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94AC" w14:textId="77777777" w:rsidR="00C0173C" w:rsidRPr="00C0173C" w:rsidRDefault="00C0173C" w:rsidP="00C0173C">
      <w:pPr>
        <w:jc w:val="center"/>
        <w:rPr>
          <w:rFonts w:ascii="Times New Roman" w:hAnsi="Times New Roman" w:cs="Times New Roman"/>
          <w:spacing w:val="2"/>
          <w:sz w:val="24"/>
          <w:szCs w:val="24"/>
          <w:lang w:val="ru-RU"/>
        </w:rPr>
      </w:pPr>
      <w:r w:rsidRPr="00C0173C">
        <w:rPr>
          <w:rFonts w:ascii="Times New Roman" w:hAnsi="Times New Roman" w:cs="Times New Roman"/>
          <w:spacing w:val="2"/>
          <w:sz w:val="24"/>
          <w:szCs w:val="24"/>
          <w:lang w:val="ru-RU"/>
        </w:rPr>
        <w:t>Санкт-Петербургский государственный университет</w:t>
      </w:r>
    </w:p>
    <w:p w14:paraId="1F416E5E" w14:textId="77777777" w:rsidR="00C0173C" w:rsidRPr="00C0173C" w:rsidRDefault="00C0173C" w:rsidP="00C0173C">
      <w:pPr>
        <w:rPr>
          <w:rFonts w:ascii="Times New Roman" w:hAnsi="Times New Roman" w:cs="Times New Roman"/>
          <w:spacing w:val="2"/>
          <w:sz w:val="24"/>
          <w:szCs w:val="24"/>
          <w:lang w:val="ru-RU"/>
        </w:rPr>
      </w:pPr>
    </w:p>
    <w:p w14:paraId="2C33C47F" w14:textId="77777777" w:rsidR="00C0173C" w:rsidRPr="00C0173C" w:rsidRDefault="00C0173C" w:rsidP="00C0173C">
      <w:pPr>
        <w:rPr>
          <w:rFonts w:ascii="Times New Roman" w:hAnsi="Times New Roman" w:cs="Times New Roman"/>
          <w:sz w:val="24"/>
          <w:szCs w:val="24"/>
          <w:lang w:val="ru-RU"/>
        </w:rPr>
      </w:pPr>
    </w:p>
    <w:p w14:paraId="682556E7" w14:textId="77777777" w:rsidR="00C0173C" w:rsidRPr="00C0173C" w:rsidRDefault="00C0173C" w:rsidP="00C0173C">
      <w:pPr>
        <w:rPr>
          <w:rFonts w:ascii="Times New Roman" w:hAnsi="Times New Roman" w:cs="Times New Roman"/>
          <w:sz w:val="24"/>
          <w:szCs w:val="24"/>
          <w:lang w:val="ru-RU"/>
        </w:rPr>
      </w:pPr>
    </w:p>
    <w:p w14:paraId="33C106A9" w14:textId="327E5B27" w:rsidR="00C0173C" w:rsidRPr="00B11000" w:rsidRDefault="00282A15" w:rsidP="00282A15">
      <w:pPr>
        <w:autoSpaceDE w:val="0"/>
        <w:spacing w:line="360" w:lineRule="auto"/>
        <w:jc w:val="center"/>
        <w:rPr>
          <w:rFonts w:asciiTheme="majorBidi" w:hAnsiTheme="majorBidi" w:cstheme="majorBidi"/>
          <w:b/>
          <w:bCs/>
          <w:i/>
          <w:sz w:val="24"/>
          <w:szCs w:val="24"/>
          <w:rtl/>
        </w:rPr>
      </w:pPr>
      <w:r w:rsidRPr="00B11000">
        <w:rPr>
          <w:rFonts w:ascii="Times New Roman" w:hAnsi="Times New Roman" w:cs="Times New Roman"/>
          <w:b/>
          <w:bCs/>
          <w:i/>
          <w:position w:val="-1"/>
          <w:sz w:val="24"/>
          <w:szCs w:val="24"/>
          <w:lang w:val="ru-RU"/>
        </w:rPr>
        <w:t xml:space="preserve">МОХАММАДИЯ </w:t>
      </w:r>
      <w:r w:rsidR="00C0173C" w:rsidRPr="00B11000">
        <w:rPr>
          <w:rFonts w:ascii="Times New Roman" w:hAnsi="Times New Roman" w:cs="Times New Roman"/>
          <w:b/>
          <w:bCs/>
          <w:i/>
          <w:position w:val="-1"/>
          <w:sz w:val="24"/>
          <w:szCs w:val="24"/>
          <w:lang w:val="ru-RU"/>
        </w:rPr>
        <w:t>Мохаммад Камаль</w:t>
      </w:r>
    </w:p>
    <w:p w14:paraId="3E6F141A" w14:textId="77777777" w:rsidR="00C0173C" w:rsidRPr="00142068" w:rsidRDefault="00C0173C" w:rsidP="00282A15">
      <w:pPr>
        <w:spacing w:line="360" w:lineRule="auto"/>
        <w:jc w:val="center"/>
        <w:rPr>
          <w:rFonts w:ascii="Times New Roman" w:hAnsi="Times New Roman" w:cs="Times New Roman"/>
          <w:b/>
          <w:bCs/>
          <w:sz w:val="24"/>
          <w:szCs w:val="24"/>
          <w:lang w:val="ru-RU"/>
        </w:rPr>
      </w:pPr>
      <w:r w:rsidRPr="00142068">
        <w:rPr>
          <w:rFonts w:ascii="Times New Roman" w:hAnsi="Times New Roman" w:cs="Times New Roman"/>
          <w:b/>
          <w:bCs/>
          <w:sz w:val="24"/>
          <w:szCs w:val="24"/>
          <w:lang w:val="ru-RU"/>
        </w:rPr>
        <w:t>Выпускная квалификационная работа</w:t>
      </w:r>
    </w:p>
    <w:p w14:paraId="199DB66C" w14:textId="359CB083" w:rsidR="00C0173C" w:rsidRPr="00142068" w:rsidRDefault="00F02A34" w:rsidP="00282A15">
      <w:pPr>
        <w:spacing w:line="360" w:lineRule="auto"/>
        <w:jc w:val="center"/>
        <w:rPr>
          <w:rFonts w:ascii="Times New Roman" w:hAnsi="Times New Roman" w:cs="Times New Roman"/>
          <w:b/>
          <w:bCs/>
          <w:iCs/>
          <w:sz w:val="24"/>
          <w:szCs w:val="24"/>
          <w:lang w:val="ru-RU"/>
        </w:rPr>
      </w:pPr>
      <w:r w:rsidRPr="00142068">
        <w:rPr>
          <w:rFonts w:ascii="Times New Roman" w:hAnsi="Times New Roman" w:cs="Times New Roman"/>
          <w:b/>
          <w:bCs/>
          <w:iCs/>
          <w:sz w:val="24"/>
          <w:szCs w:val="24"/>
          <w:lang w:val="ru-RU"/>
        </w:rPr>
        <w:t>ПРОЕКТНОЕ ФИНАНСИРОВАНИЕ В СИРИИ: ОБЗОР И ОСНОВНЫЕ ФАКТОРЫ</w:t>
      </w:r>
    </w:p>
    <w:p w14:paraId="1EB3C774" w14:textId="041D9E06" w:rsidR="00C0173C" w:rsidRPr="00C0173C" w:rsidRDefault="00F02A34" w:rsidP="00282A15">
      <w:pPr>
        <w:spacing w:line="360" w:lineRule="auto"/>
        <w:jc w:val="center"/>
        <w:rPr>
          <w:rFonts w:ascii="Times New Roman" w:hAnsi="Times New Roman" w:cs="Times New Roman"/>
          <w:sz w:val="24"/>
          <w:szCs w:val="24"/>
          <w:lang w:val="en-US"/>
        </w:rPr>
      </w:pPr>
      <w:r w:rsidRPr="00142068">
        <w:rPr>
          <w:rFonts w:ascii="Times New Roman" w:hAnsi="Times New Roman" w:cs="Times New Roman"/>
          <w:b/>
          <w:bCs/>
          <w:iCs/>
          <w:sz w:val="24"/>
          <w:szCs w:val="24"/>
          <w:lang w:val="en-US"/>
        </w:rPr>
        <w:t>PROJECT FINANCE IN SYRIA: AN OVERVIEW AND KEY DRIVERS</w:t>
      </w:r>
      <w:r>
        <w:rPr>
          <w:rFonts w:ascii="Times New Roman" w:hAnsi="Times New Roman" w:cs="Times New Roman"/>
          <w:b/>
          <w:bCs/>
          <w:iCs/>
          <w:sz w:val="24"/>
          <w:szCs w:val="24"/>
          <w:lang w:val="en-US"/>
        </w:rPr>
        <w:br/>
      </w:r>
    </w:p>
    <w:p w14:paraId="71F76BA1" w14:textId="77777777" w:rsidR="00C0173C" w:rsidRPr="00C0173C" w:rsidRDefault="00C0173C" w:rsidP="00C0173C">
      <w:pPr>
        <w:rPr>
          <w:rFonts w:ascii="Times New Roman" w:hAnsi="Times New Roman" w:cs="Times New Roman"/>
          <w:sz w:val="24"/>
          <w:szCs w:val="24"/>
          <w:lang w:val="en-US"/>
        </w:rPr>
      </w:pPr>
    </w:p>
    <w:p w14:paraId="3BE8EC0F" w14:textId="6D262661" w:rsidR="00C0173C" w:rsidRPr="00C0173C" w:rsidRDefault="00BC7BCA" w:rsidP="00BC7BCA">
      <w:pPr>
        <w:spacing w:after="0" w:line="240" w:lineRule="auto"/>
        <w:jc w:val="center"/>
        <w:rPr>
          <w:rFonts w:ascii="Times New Roman" w:hAnsi="Times New Roman" w:cs="Times New Roman"/>
          <w:spacing w:val="-1"/>
          <w:sz w:val="24"/>
          <w:szCs w:val="24"/>
          <w:lang w:val="ru-RU"/>
        </w:rPr>
      </w:pPr>
      <w:r w:rsidRPr="00BC7BCA">
        <w:rPr>
          <w:rFonts w:ascii="Times New Roman" w:hAnsi="Times New Roman" w:cs="Times New Roman"/>
          <w:spacing w:val="-1"/>
          <w:sz w:val="24"/>
          <w:szCs w:val="24"/>
          <w:lang w:val="ru-RU"/>
        </w:rPr>
        <w:t>Уровень образования</w:t>
      </w:r>
      <w:r w:rsidRPr="00812F10">
        <w:rPr>
          <w:rFonts w:ascii="Times New Roman" w:hAnsi="Times New Roman" w:cs="Times New Roman"/>
          <w:spacing w:val="-1"/>
          <w:sz w:val="24"/>
          <w:szCs w:val="24"/>
          <w:lang w:val="ru-RU"/>
        </w:rPr>
        <w:t>:</w:t>
      </w:r>
      <w:r w:rsidRPr="00BC7BCA">
        <w:rPr>
          <w:rFonts w:ascii="Times New Roman" w:hAnsi="Times New Roman" w:cs="Times New Roman"/>
          <w:spacing w:val="-1"/>
          <w:sz w:val="24"/>
          <w:szCs w:val="24"/>
          <w:lang w:val="ru-RU"/>
        </w:rPr>
        <w:t xml:space="preserve"> </w:t>
      </w:r>
      <w:r w:rsidRPr="00C0173C">
        <w:rPr>
          <w:rFonts w:ascii="Times New Roman" w:hAnsi="Times New Roman" w:cs="Times New Roman"/>
          <w:spacing w:val="-1"/>
          <w:sz w:val="24"/>
          <w:szCs w:val="24"/>
          <w:lang w:val="ru-RU"/>
        </w:rPr>
        <w:t>м</w:t>
      </w:r>
      <w:r w:rsidR="00C0173C" w:rsidRPr="00C0173C">
        <w:rPr>
          <w:rFonts w:ascii="Times New Roman" w:hAnsi="Times New Roman" w:cs="Times New Roman"/>
          <w:spacing w:val="-1"/>
          <w:sz w:val="24"/>
          <w:szCs w:val="24"/>
          <w:lang w:val="ru-RU"/>
        </w:rPr>
        <w:t>агистратура</w:t>
      </w:r>
    </w:p>
    <w:p w14:paraId="71B4DCEE" w14:textId="27E65390" w:rsidR="00C0173C" w:rsidRPr="00C0173C" w:rsidRDefault="00C0173C" w:rsidP="00BC7BCA">
      <w:pPr>
        <w:spacing w:after="0" w:line="240" w:lineRule="auto"/>
        <w:jc w:val="center"/>
        <w:rPr>
          <w:rFonts w:ascii="Times New Roman" w:hAnsi="Times New Roman" w:cs="Times New Roman"/>
          <w:spacing w:val="-1"/>
          <w:sz w:val="24"/>
          <w:szCs w:val="24"/>
          <w:lang w:val="ru-RU"/>
        </w:rPr>
      </w:pPr>
      <w:r w:rsidRPr="00C0173C">
        <w:rPr>
          <w:rFonts w:ascii="Times New Roman" w:hAnsi="Times New Roman" w:cs="Times New Roman"/>
          <w:spacing w:val="-1"/>
          <w:sz w:val="24"/>
          <w:szCs w:val="24"/>
          <w:lang w:val="ru-RU"/>
        </w:rPr>
        <w:t>Направление 38.04.08 «финансы и кредит»</w:t>
      </w:r>
    </w:p>
    <w:p w14:paraId="428C7C5D" w14:textId="32AF838F" w:rsidR="00C0173C" w:rsidRDefault="00C0173C" w:rsidP="00BC7BCA">
      <w:pPr>
        <w:spacing w:after="0" w:line="240" w:lineRule="auto"/>
        <w:jc w:val="center"/>
        <w:rPr>
          <w:rFonts w:ascii="Times New Roman" w:hAnsi="Times New Roman" w:cs="Times New Roman"/>
          <w:spacing w:val="-1"/>
          <w:sz w:val="24"/>
          <w:szCs w:val="24"/>
          <w:lang w:val="ru-RU"/>
        </w:rPr>
      </w:pPr>
      <w:r w:rsidRPr="00C0173C">
        <w:rPr>
          <w:rFonts w:ascii="Times New Roman" w:hAnsi="Times New Roman" w:cs="Times New Roman"/>
          <w:spacing w:val="-1"/>
          <w:sz w:val="24"/>
          <w:szCs w:val="24"/>
          <w:lang w:val="ru-RU"/>
        </w:rPr>
        <w:t>Основная образовательная программа ВМ.5638 «</w:t>
      </w:r>
      <w:r w:rsidR="00F30189" w:rsidRPr="00F30189">
        <w:rPr>
          <w:rFonts w:ascii="Times New Roman" w:hAnsi="Times New Roman" w:cs="Times New Roman"/>
          <w:spacing w:val="-1"/>
          <w:sz w:val="24"/>
          <w:szCs w:val="24"/>
          <w:lang w:val="ru-RU"/>
        </w:rPr>
        <w:t>финансовые рынки и банки</w:t>
      </w:r>
      <w:r w:rsidRPr="00C0173C">
        <w:rPr>
          <w:rFonts w:ascii="Times New Roman" w:hAnsi="Times New Roman" w:cs="Times New Roman"/>
          <w:spacing w:val="-1"/>
          <w:sz w:val="24"/>
          <w:szCs w:val="24"/>
          <w:lang w:val="ru-RU"/>
        </w:rPr>
        <w:t>»</w:t>
      </w:r>
    </w:p>
    <w:p w14:paraId="1256C17F" w14:textId="0961C9D1" w:rsidR="00847571" w:rsidRPr="00C0173C" w:rsidRDefault="00847571" w:rsidP="00BC7BCA">
      <w:pPr>
        <w:spacing w:after="0" w:line="240" w:lineRule="auto"/>
        <w:jc w:val="center"/>
        <w:rPr>
          <w:rFonts w:ascii="Times New Roman" w:hAnsi="Times New Roman" w:cs="Times New Roman"/>
          <w:spacing w:val="-1"/>
          <w:sz w:val="24"/>
          <w:szCs w:val="24"/>
          <w:lang w:val="ru-RU"/>
        </w:rPr>
      </w:pPr>
      <w:r w:rsidRPr="00847571">
        <w:rPr>
          <w:rFonts w:ascii="Times New Roman" w:hAnsi="Times New Roman" w:cs="Times New Roman"/>
          <w:spacing w:val="-1"/>
          <w:sz w:val="24"/>
          <w:szCs w:val="24"/>
          <w:lang w:val="ru-RU"/>
        </w:rPr>
        <w:t xml:space="preserve">Профиль </w:t>
      </w:r>
      <w:r w:rsidRPr="00C0173C">
        <w:rPr>
          <w:rFonts w:ascii="Times New Roman" w:hAnsi="Times New Roman" w:cs="Times New Roman"/>
          <w:spacing w:val="-1"/>
          <w:sz w:val="24"/>
          <w:szCs w:val="24"/>
          <w:lang w:val="ru-RU"/>
        </w:rPr>
        <w:t>«</w:t>
      </w:r>
      <w:r w:rsidRPr="00F30189">
        <w:rPr>
          <w:rFonts w:ascii="Times New Roman" w:hAnsi="Times New Roman" w:cs="Times New Roman"/>
          <w:spacing w:val="-1"/>
          <w:sz w:val="24"/>
          <w:szCs w:val="24"/>
          <w:lang w:val="ru-RU"/>
        </w:rPr>
        <w:t xml:space="preserve">финансовые </w:t>
      </w:r>
      <w:r w:rsidRPr="00847571">
        <w:rPr>
          <w:rFonts w:ascii="Times New Roman" w:hAnsi="Times New Roman" w:cs="Times New Roman"/>
          <w:spacing w:val="-1"/>
          <w:sz w:val="24"/>
          <w:szCs w:val="24"/>
          <w:lang w:val="ru-RU"/>
        </w:rPr>
        <w:t>рынке: инструменты и технологии</w:t>
      </w:r>
      <w:r w:rsidRPr="00C0173C">
        <w:rPr>
          <w:rFonts w:ascii="Times New Roman" w:hAnsi="Times New Roman" w:cs="Times New Roman"/>
          <w:spacing w:val="-1"/>
          <w:sz w:val="24"/>
          <w:szCs w:val="24"/>
          <w:lang w:val="ru-RU"/>
        </w:rPr>
        <w:t>»</w:t>
      </w:r>
    </w:p>
    <w:p w14:paraId="69BD2ABA" w14:textId="77777777" w:rsidR="00C0173C" w:rsidRPr="00C0173C" w:rsidRDefault="00C0173C" w:rsidP="00C0173C">
      <w:pPr>
        <w:rPr>
          <w:rFonts w:ascii="Times New Roman" w:hAnsi="Times New Roman" w:cs="Times New Roman"/>
          <w:sz w:val="24"/>
          <w:szCs w:val="24"/>
          <w:lang w:val="ru-RU"/>
        </w:rPr>
      </w:pPr>
    </w:p>
    <w:p w14:paraId="057E8C3B" w14:textId="77777777" w:rsidR="00C0173C" w:rsidRPr="00C0173C" w:rsidRDefault="00C0173C" w:rsidP="00C0173C">
      <w:pPr>
        <w:rPr>
          <w:rFonts w:ascii="Times New Roman" w:hAnsi="Times New Roman" w:cs="Times New Roman"/>
          <w:sz w:val="24"/>
          <w:szCs w:val="24"/>
          <w:lang w:val="ru-RU"/>
        </w:rPr>
      </w:pPr>
    </w:p>
    <w:p w14:paraId="62D668A2" w14:textId="6602C4CC" w:rsidR="00C0173C" w:rsidRDefault="00C0173C" w:rsidP="00C0173C">
      <w:pPr>
        <w:rPr>
          <w:rFonts w:ascii="Times New Roman" w:hAnsi="Times New Roman" w:cs="Times New Roman"/>
          <w:sz w:val="24"/>
          <w:szCs w:val="24"/>
          <w:lang w:val="ru-RU"/>
        </w:rPr>
      </w:pPr>
    </w:p>
    <w:p w14:paraId="1344B5E8" w14:textId="77777777" w:rsidR="00F30189" w:rsidRPr="00C0173C" w:rsidRDefault="00F30189" w:rsidP="00C0173C">
      <w:pPr>
        <w:rPr>
          <w:rFonts w:ascii="Times New Roman" w:hAnsi="Times New Roman" w:cs="Times New Roman"/>
          <w:sz w:val="24"/>
          <w:szCs w:val="24"/>
          <w:lang w:val="ru-RU"/>
        </w:rPr>
      </w:pPr>
    </w:p>
    <w:p w14:paraId="5678E757" w14:textId="7699808A" w:rsidR="00C0173C" w:rsidRDefault="00C0173C" w:rsidP="00C0173C">
      <w:pPr>
        <w:spacing w:after="0"/>
        <w:ind w:left="5954"/>
        <w:jc w:val="center"/>
        <w:rPr>
          <w:rFonts w:ascii="Times New Roman" w:hAnsi="Times New Roman" w:cs="Times New Roman"/>
          <w:spacing w:val="-2"/>
          <w:sz w:val="24"/>
          <w:szCs w:val="24"/>
          <w:lang w:val="ru-RU"/>
        </w:rPr>
      </w:pPr>
      <w:r w:rsidRPr="00C0173C">
        <w:rPr>
          <w:rFonts w:ascii="Times New Roman" w:hAnsi="Times New Roman" w:cs="Times New Roman"/>
          <w:sz w:val="24"/>
          <w:szCs w:val="24"/>
          <w:lang w:val="ru-RU"/>
        </w:rPr>
        <w:t>Н</w:t>
      </w:r>
      <w:r w:rsidRPr="00C0173C">
        <w:rPr>
          <w:rFonts w:ascii="Times New Roman" w:hAnsi="Times New Roman" w:cs="Times New Roman"/>
          <w:spacing w:val="4"/>
          <w:sz w:val="24"/>
          <w:szCs w:val="24"/>
          <w:lang w:val="ru-RU"/>
        </w:rPr>
        <w:t>а</w:t>
      </w:r>
      <w:r w:rsidRPr="00C0173C">
        <w:rPr>
          <w:rFonts w:ascii="Times New Roman" w:hAnsi="Times New Roman" w:cs="Times New Roman"/>
          <w:spacing w:val="-9"/>
          <w:sz w:val="24"/>
          <w:szCs w:val="24"/>
          <w:lang w:val="ru-RU"/>
        </w:rPr>
        <w:t>у</w:t>
      </w:r>
      <w:r w:rsidRPr="00C0173C">
        <w:rPr>
          <w:rFonts w:ascii="Times New Roman" w:hAnsi="Times New Roman" w:cs="Times New Roman"/>
          <w:sz w:val="24"/>
          <w:szCs w:val="24"/>
          <w:lang w:val="ru-RU"/>
        </w:rPr>
        <w:t>ч</w:t>
      </w:r>
      <w:r w:rsidRPr="00C0173C">
        <w:rPr>
          <w:rFonts w:ascii="Times New Roman" w:hAnsi="Times New Roman" w:cs="Times New Roman"/>
          <w:spacing w:val="1"/>
          <w:sz w:val="24"/>
          <w:szCs w:val="24"/>
          <w:lang w:val="ru-RU"/>
        </w:rPr>
        <w:t>н</w:t>
      </w:r>
      <w:r w:rsidRPr="00C0173C">
        <w:rPr>
          <w:rFonts w:ascii="Times New Roman" w:hAnsi="Times New Roman" w:cs="Times New Roman"/>
          <w:spacing w:val="2"/>
          <w:sz w:val="24"/>
          <w:szCs w:val="24"/>
          <w:lang w:val="ru-RU"/>
        </w:rPr>
        <w:t>ы</w:t>
      </w:r>
      <w:r w:rsidRPr="00C0173C">
        <w:rPr>
          <w:rFonts w:ascii="Times New Roman" w:hAnsi="Times New Roman" w:cs="Times New Roman"/>
          <w:sz w:val="24"/>
          <w:szCs w:val="24"/>
          <w:lang w:val="ru-RU"/>
        </w:rPr>
        <w:t>й</w:t>
      </w:r>
      <w:r w:rsidRPr="00C0173C">
        <w:rPr>
          <w:rFonts w:ascii="Times New Roman" w:hAnsi="Times New Roman" w:cs="Times New Roman"/>
          <w:spacing w:val="-5"/>
          <w:sz w:val="24"/>
          <w:szCs w:val="24"/>
          <w:lang w:val="ru-RU"/>
        </w:rPr>
        <w:t xml:space="preserve"> </w:t>
      </w:r>
      <w:r w:rsidRPr="00C0173C">
        <w:rPr>
          <w:rFonts w:ascii="Times New Roman" w:hAnsi="Times New Roman" w:cs="Times New Roman"/>
          <w:spacing w:val="5"/>
          <w:sz w:val="24"/>
          <w:szCs w:val="24"/>
          <w:lang w:val="ru-RU"/>
        </w:rPr>
        <w:t>р</w:t>
      </w:r>
      <w:r w:rsidRPr="00C0173C">
        <w:rPr>
          <w:rFonts w:ascii="Times New Roman" w:hAnsi="Times New Roman" w:cs="Times New Roman"/>
          <w:spacing w:val="-9"/>
          <w:sz w:val="24"/>
          <w:szCs w:val="24"/>
          <w:lang w:val="ru-RU"/>
        </w:rPr>
        <w:t>у</w:t>
      </w:r>
      <w:r w:rsidRPr="00C0173C">
        <w:rPr>
          <w:rFonts w:ascii="Times New Roman" w:hAnsi="Times New Roman" w:cs="Times New Roman"/>
          <w:spacing w:val="-1"/>
          <w:sz w:val="24"/>
          <w:szCs w:val="24"/>
          <w:lang w:val="ru-RU"/>
        </w:rPr>
        <w:t>к</w:t>
      </w:r>
      <w:r w:rsidRPr="00C0173C">
        <w:rPr>
          <w:rFonts w:ascii="Times New Roman" w:hAnsi="Times New Roman" w:cs="Times New Roman"/>
          <w:spacing w:val="5"/>
          <w:sz w:val="24"/>
          <w:szCs w:val="24"/>
          <w:lang w:val="ru-RU"/>
        </w:rPr>
        <w:t>о</w:t>
      </w:r>
      <w:r w:rsidRPr="00C0173C">
        <w:rPr>
          <w:rFonts w:ascii="Times New Roman" w:hAnsi="Times New Roman" w:cs="Times New Roman"/>
          <w:spacing w:val="2"/>
          <w:sz w:val="24"/>
          <w:szCs w:val="24"/>
          <w:lang w:val="ru-RU"/>
        </w:rPr>
        <w:t>в</w:t>
      </w:r>
      <w:r w:rsidRPr="00C0173C">
        <w:rPr>
          <w:rFonts w:ascii="Times New Roman" w:hAnsi="Times New Roman" w:cs="Times New Roman"/>
          <w:spacing w:val="5"/>
          <w:sz w:val="24"/>
          <w:szCs w:val="24"/>
          <w:lang w:val="ru-RU"/>
        </w:rPr>
        <w:t>о</w:t>
      </w:r>
      <w:r w:rsidRPr="00C0173C">
        <w:rPr>
          <w:rFonts w:ascii="Times New Roman" w:hAnsi="Times New Roman" w:cs="Times New Roman"/>
          <w:spacing w:val="-2"/>
          <w:sz w:val="24"/>
          <w:szCs w:val="24"/>
          <w:lang w:val="ru-RU"/>
        </w:rPr>
        <w:t>д</w:t>
      </w:r>
      <w:r w:rsidRPr="00C0173C">
        <w:rPr>
          <w:rFonts w:ascii="Times New Roman" w:hAnsi="Times New Roman" w:cs="Times New Roman"/>
          <w:spacing w:val="1"/>
          <w:sz w:val="24"/>
          <w:szCs w:val="24"/>
          <w:lang w:val="ru-RU"/>
        </w:rPr>
        <w:t>ит</w:t>
      </w:r>
      <w:r w:rsidRPr="00C0173C">
        <w:rPr>
          <w:rFonts w:ascii="Times New Roman" w:hAnsi="Times New Roman" w:cs="Times New Roman"/>
          <w:spacing w:val="-1"/>
          <w:sz w:val="24"/>
          <w:szCs w:val="24"/>
          <w:lang w:val="ru-RU"/>
        </w:rPr>
        <w:t>е</w:t>
      </w:r>
      <w:r w:rsidRPr="00C0173C">
        <w:rPr>
          <w:rFonts w:ascii="Times New Roman" w:hAnsi="Times New Roman" w:cs="Times New Roman"/>
          <w:sz w:val="24"/>
          <w:szCs w:val="24"/>
          <w:lang w:val="ru-RU"/>
        </w:rPr>
        <w:t>л</w:t>
      </w:r>
      <w:r w:rsidRPr="00C0173C">
        <w:rPr>
          <w:rFonts w:ascii="Times New Roman" w:hAnsi="Times New Roman" w:cs="Times New Roman"/>
          <w:spacing w:val="1"/>
          <w:sz w:val="24"/>
          <w:szCs w:val="24"/>
          <w:lang w:val="ru-RU"/>
        </w:rPr>
        <w:t>ь</w:t>
      </w:r>
      <w:r w:rsidRPr="00C0173C">
        <w:rPr>
          <w:rFonts w:ascii="Times New Roman" w:hAnsi="Times New Roman" w:cs="Times New Roman"/>
          <w:sz w:val="24"/>
          <w:szCs w:val="24"/>
          <w:lang w:val="ru-RU"/>
        </w:rPr>
        <w:t>:</w:t>
      </w:r>
    </w:p>
    <w:p w14:paraId="1B65E322" w14:textId="06FB9A80" w:rsidR="00C0173C" w:rsidRDefault="00C0173C" w:rsidP="00C0173C">
      <w:pPr>
        <w:spacing w:after="0"/>
        <w:ind w:left="5954"/>
        <w:jc w:val="center"/>
        <w:rPr>
          <w:rFonts w:ascii="Times New Roman" w:hAnsi="Times New Roman" w:cs="Times New Roman"/>
          <w:spacing w:val="-2"/>
          <w:sz w:val="24"/>
          <w:szCs w:val="24"/>
          <w:lang w:val="ru-RU"/>
        </w:rPr>
      </w:pPr>
      <w:r w:rsidRPr="00464FA4">
        <w:rPr>
          <w:rFonts w:asciiTheme="majorBidi" w:hAnsiTheme="majorBidi" w:cstheme="majorBidi"/>
          <w:sz w:val="24"/>
          <w:szCs w:val="24"/>
          <w:lang w:val="ru-RU"/>
        </w:rPr>
        <w:t>к</w:t>
      </w:r>
      <w:r w:rsidRPr="00C0173C">
        <w:rPr>
          <w:rFonts w:ascii="Times New Roman" w:hAnsi="Times New Roman" w:cs="Times New Roman"/>
          <w:spacing w:val="-2"/>
          <w:sz w:val="24"/>
          <w:szCs w:val="24"/>
          <w:lang w:val="ru-RU"/>
        </w:rPr>
        <w:t xml:space="preserve">.э.н., доцент, </w:t>
      </w:r>
      <w:r w:rsidR="00F30189">
        <w:rPr>
          <w:rFonts w:ascii="Times New Roman" w:hAnsi="Times New Roman" w:cs="Times New Roman"/>
          <w:spacing w:val="-2"/>
          <w:sz w:val="24"/>
          <w:szCs w:val="24"/>
          <w:lang w:val="ru-RU"/>
        </w:rPr>
        <w:br/>
      </w:r>
      <w:r w:rsidR="00847571" w:rsidRPr="00C0173C">
        <w:rPr>
          <w:rFonts w:ascii="Times New Roman" w:hAnsi="Times New Roman" w:cs="Times New Roman"/>
          <w:spacing w:val="-2"/>
          <w:sz w:val="24"/>
          <w:szCs w:val="24"/>
          <w:lang w:val="ru-RU"/>
        </w:rPr>
        <w:t xml:space="preserve">ТИТОВ </w:t>
      </w:r>
      <w:r w:rsidRPr="00C0173C">
        <w:rPr>
          <w:rFonts w:ascii="Times New Roman" w:hAnsi="Times New Roman" w:cs="Times New Roman"/>
          <w:spacing w:val="-2"/>
          <w:sz w:val="24"/>
          <w:szCs w:val="24"/>
          <w:lang w:val="ru-RU"/>
        </w:rPr>
        <w:t>Виктор Олегович</w:t>
      </w:r>
    </w:p>
    <w:p w14:paraId="3EAAD914" w14:textId="3B56AA36" w:rsidR="00510160" w:rsidRDefault="00510160" w:rsidP="00C0173C">
      <w:pPr>
        <w:spacing w:after="0"/>
        <w:ind w:left="5954"/>
        <w:jc w:val="center"/>
        <w:rPr>
          <w:rFonts w:ascii="Times New Roman" w:hAnsi="Times New Roman" w:cs="Times New Roman"/>
          <w:spacing w:val="-2"/>
          <w:sz w:val="24"/>
          <w:szCs w:val="24"/>
          <w:lang w:val="ru-RU"/>
        </w:rPr>
      </w:pPr>
    </w:p>
    <w:p w14:paraId="4FA46F95" w14:textId="7259908D" w:rsidR="00510160" w:rsidRDefault="00510160" w:rsidP="00C0173C">
      <w:pPr>
        <w:spacing w:after="0"/>
        <w:ind w:left="5954"/>
        <w:jc w:val="center"/>
        <w:rPr>
          <w:rFonts w:ascii="Times New Roman" w:hAnsi="Times New Roman" w:cs="Times New Roman"/>
          <w:spacing w:val="-2"/>
          <w:sz w:val="24"/>
          <w:szCs w:val="24"/>
          <w:lang w:val="ru-RU"/>
        </w:rPr>
      </w:pPr>
    </w:p>
    <w:p w14:paraId="710B60DD" w14:textId="7B3BF812" w:rsidR="00510160" w:rsidRPr="00BC7BCA" w:rsidRDefault="00510160" w:rsidP="00C0173C">
      <w:pPr>
        <w:spacing w:after="0"/>
        <w:ind w:left="5954"/>
        <w:jc w:val="center"/>
        <w:rPr>
          <w:rFonts w:ascii="Times New Roman" w:hAnsi="Times New Roman" w:cs="Times New Roman"/>
          <w:spacing w:val="2"/>
          <w:sz w:val="24"/>
          <w:szCs w:val="24"/>
          <w:lang w:val="ru-RU"/>
        </w:rPr>
      </w:pPr>
      <w:r w:rsidRPr="00510160">
        <w:rPr>
          <w:rFonts w:ascii="Times New Roman" w:hAnsi="Times New Roman" w:cs="Times New Roman"/>
          <w:spacing w:val="2"/>
          <w:sz w:val="24"/>
          <w:szCs w:val="24"/>
          <w:lang w:val="ru-RU"/>
        </w:rPr>
        <w:t>Рецензент</w:t>
      </w:r>
      <w:r w:rsidR="00847571" w:rsidRPr="00BC7BCA">
        <w:rPr>
          <w:rFonts w:ascii="Times New Roman" w:hAnsi="Times New Roman" w:cs="Times New Roman"/>
          <w:spacing w:val="2"/>
          <w:sz w:val="24"/>
          <w:szCs w:val="24"/>
          <w:lang w:val="ru-RU"/>
        </w:rPr>
        <w:t>:</w:t>
      </w:r>
    </w:p>
    <w:p w14:paraId="60F4283E" w14:textId="61EFB4B9" w:rsidR="00282A15" w:rsidRDefault="00282A15" w:rsidP="00C0173C">
      <w:pPr>
        <w:spacing w:after="0"/>
        <w:ind w:left="5954"/>
        <w:jc w:val="center"/>
        <w:rPr>
          <w:lang w:val="ru-RU"/>
        </w:rPr>
      </w:pPr>
      <w:r w:rsidRPr="008623ED">
        <w:rPr>
          <w:rFonts w:ascii="Times New Roman" w:hAnsi="Times New Roman" w:cs="Times New Roman"/>
          <w:spacing w:val="-2"/>
          <w:sz w:val="24"/>
          <w:szCs w:val="24"/>
          <w:lang w:val="ru-RU"/>
        </w:rPr>
        <w:t>директор, Н</w:t>
      </w:r>
      <w:r w:rsidR="008623ED" w:rsidRPr="008623ED">
        <w:rPr>
          <w:rFonts w:ascii="Times New Roman" w:hAnsi="Times New Roman" w:cs="Times New Roman"/>
          <w:spacing w:val="-2"/>
          <w:sz w:val="24"/>
          <w:szCs w:val="24"/>
          <w:lang w:val="ru-RU"/>
        </w:rPr>
        <w:t xml:space="preserve">П </w:t>
      </w:r>
      <w:r w:rsidRPr="008623ED">
        <w:rPr>
          <w:rFonts w:ascii="Times New Roman" w:hAnsi="Times New Roman" w:cs="Times New Roman"/>
          <w:spacing w:val="-2"/>
          <w:sz w:val="24"/>
          <w:szCs w:val="24"/>
          <w:lang w:val="ru-RU"/>
        </w:rPr>
        <w:t>«Серебряное кольцо</w:t>
      </w:r>
      <w:r w:rsidRPr="00282A15">
        <w:rPr>
          <w:lang w:val="ru-RU"/>
        </w:rPr>
        <w:t>»</w:t>
      </w:r>
    </w:p>
    <w:p w14:paraId="43F503B6" w14:textId="299C232D" w:rsidR="00BC7BCA" w:rsidRPr="004604AA" w:rsidRDefault="00BC7BCA" w:rsidP="00C0173C">
      <w:pPr>
        <w:spacing w:after="0"/>
        <w:ind w:left="5954"/>
        <w:jc w:val="center"/>
        <w:rPr>
          <w:rFonts w:ascii="Times New Roman" w:hAnsi="Times New Roman" w:cs="Times New Roman"/>
          <w:spacing w:val="-2"/>
          <w:sz w:val="24"/>
          <w:szCs w:val="24"/>
          <w:lang w:val="ru-RU"/>
        </w:rPr>
      </w:pPr>
      <w:r w:rsidRPr="00510160">
        <w:rPr>
          <w:rFonts w:ascii="Times New Roman" w:hAnsi="Times New Roman" w:cs="Times New Roman"/>
          <w:spacing w:val="-2"/>
          <w:sz w:val="24"/>
          <w:szCs w:val="24"/>
          <w:lang w:val="ru-RU"/>
        </w:rPr>
        <w:t>ИЕВЛЕВ Николай Витальевич</w:t>
      </w:r>
    </w:p>
    <w:p w14:paraId="493FFBA7" w14:textId="77777777" w:rsidR="00C0173C" w:rsidRPr="00510160" w:rsidRDefault="00C0173C" w:rsidP="00510160">
      <w:pPr>
        <w:spacing w:after="0"/>
        <w:ind w:left="5954"/>
        <w:jc w:val="center"/>
        <w:rPr>
          <w:rFonts w:ascii="Times New Roman" w:hAnsi="Times New Roman" w:cs="Times New Roman"/>
          <w:spacing w:val="-2"/>
          <w:sz w:val="24"/>
          <w:szCs w:val="24"/>
          <w:lang w:val="ru-RU"/>
        </w:rPr>
      </w:pPr>
    </w:p>
    <w:p w14:paraId="774FE24C" w14:textId="77777777" w:rsidR="00C0173C" w:rsidRPr="006030B5" w:rsidRDefault="00C0173C" w:rsidP="00C0173C">
      <w:pPr>
        <w:ind w:left="5954"/>
        <w:rPr>
          <w:rFonts w:ascii="Times New Roman" w:hAnsi="Times New Roman" w:cs="Times New Roman"/>
          <w:sz w:val="24"/>
          <w:szCs w:val="24"/>
          <w:lang w:val="ru-RU"/>
        </w:rPr>
      </w:pPr>
    </w:p>
    <w:p w14:paraId="2917F82E" w14:textId="1CD522D9" w:rsidR="00C0173C" w:rsidRDefault="00C0173C" w:rsidP="00C0173C">
      <w:pPr>
        <w:rPr>
          <w:rFonts w:ascii="Times New Roman" w:hAnsi="Times New Roman" w:cs="Times New Roman"/>
          <w:spacing w:val="2"/>
          <w:sz w:val="24"/>
          <w:szCs w:val="24"/>
          <w:lang w:val="ru-RU"/>
        </w:rPr>
      </w:pPr>
    </w:p>
    <w:p w14:paraId="1798BAE7" w14:textId="0B5D9D07" w:rsidR="00C0173C" w:rsidRDefault="00C0173C" w:rsidP="00C0173C">
      <w:pPr>
        <w:rPr>
          <w:rFonts w:ascii="Times New Roman" w:hAnsi="Times New Roman" w:cs="Times New Roman"/>
          <w:spacing w:val="2"/>
          <w:sz w:val="24"/>
          <w:szCs w:val="24"/>
          <w:lang w:val="ru-RU"/>
        </w:rPr>
      </w:pPr>
    </w:p>
    <w:p w14:paraId="215DBEFB" w14:textId="77777777" w:rsidR="00B11000" w:rsidRPr="00C0173C" w:rsidRDefault="00B11000" w:rsidP="00C0173C">
      <w:pPr>
        <w:rPr>
          <w:rFonts w:ascii="Times New Roman" w:hAnsi="Times New Roman" w:cs="Times New Roman"/>
          <w:spacing w:val="2"/>
          <w:sz w:val="24"/>
          <w:szCs w:val="24"/>
          <w:lang w:val="ru-RU"/>
        </w:rPr>
      </w:pPr>
    </w:p>
    <w:p w14:paraId="13EF78EE" w14:textId="77777777" w:rsidR="00C0173C" w:rsidRPr="006030B5" w:rsidRDefault="00C0173C" w:rsidP="00C0173C">
      <w:pPr>
        <w:jc w:val="center"/>
        <w:rPr>
          <w:rFonts w:ascii="Times New Roman" w:hAnsi="Times New Roman" w:cs="Times New Roman"/>
          <w:spacing w:val="2"/>
          <w:sz w:val="24"/>
          <w:szCs w:val="24"/>
          <w:lang w:val="ru-RU"/>
        </w:rPr>
      </w:pPr>
      <w:r w:rsidRPr="006030B5">
        <w:rPr>
          <w:rFonts w:ascii="Times New Roman" w:hAnsi="Times New Roman" w:cs="Times New Roman"/>
          <w:spacing w:val="2"/>
          <w:sz w:val="24"/>
          <w:szCs w:val="24"/>
          <w:lang w:val="ru-RU"/>
        </w:rPr>
        <w:t>Санкт-Петербург</w:t>
      </w:r>
    </w:p>
    <w:p w14:paraId="64FEF988" w14:textId="77777777" w:rsidR="00C0173C" w:rsidRPr="008623ED" w:rsidRDefault="00C0173C" w:rsidP="00C0173C">
      <w:pPr>
        <w:jc w:val="center"/>
        <w:rPr>
          <w:rFonts w:ascii="Times New Roman" w:hAnsi="Times New Roman" w:cs="Times New Roman"/>
          <w:spacing w:val="2"/>
          <w:sz w:val="24"/>
          <w:szCs w:val="24"/>
          <w:lang w:val="ru-RU"/>
        </w:rPr>
      </w:pPr>
      <w:r w:rsidRPr="008623ED">
        <w:rPr>
          <w:rFonts w:ascii="Times New Roman" w:hAnsi="Times New Roman" w:cs="Times New Roman"/>
          <w:spacing w:val="2"/>
          <w:sz w:val="24"/>
          <w:szCs w:val="24"/>
          <w:lang w:val="ru-RU"/>
        </w:rPr>
        <w:t>2020</w:t>
      </w:r>
    </w:p>
    <w:p w14:paraId="24B7C3A7" w14:textId="0BDA774A" w:rsidR="00C0173C" w:rsidRPr="008623ED" w:rsidRDefault="00C0173C" w:rsidP="00C0173C">
      <w:pPr>
        <w:rPr>
          <w:rFonts w:ascii="Times New Roman" w:hAnsi="Times New Roman" w:cs="Times New Roman"/>
          <w:spacing w:val="2"/>
          <w:sz w:val="24"/>
          <w:szCs w:val="24"/>
          <w:lang w:val="ru-RU"/>
        </w:rPr>
      </w:pPr>
    </w:p>
    <w:p w14:paraId="571F080E" w14:textId="6CDFA117" w:rsidR="00142068" w:rsidRDefault="00142068" w:rsidP="00C0173C">
      <w:pPr>
        <w:rPr>
          <w:rFonts w:ascii="Times New Roman" w:hAnsi="Times New Roman" w:cs="Times New Roman"/>
          <w:spacing w:val="2"/>
          <w:sz w:val="24"/>
          <w:szCs w:val="24"/>
          <w:lang w:val="ru-RU"/>
        </w:rPr>
      </w:pPr>
    </w:p>
    <w:p w14:paraId="5A33E43E" w14:textId="13C80627" w:rsidR="00BC7BCA" w:rsidRDefault="00BC7BCA" w:rsidP="00C0173C">
      <w:pPr>
        <w:rPr>
          <w:rFonts w:ascii="Times New Roman" w:hAnsi="Times New Roman" w:cs="Times New Roman"/>
          <w:spacing w:val="2"/>
          <w:sz w:val="24"/>
          <w:szCs w:val="24"/>
          <w:lang w:val="ru-RU"/>
        </w:rPr>
      </w:pPr>
    </w:p>
    <w:p w14:paraId="2726FB14" w14:textId="49F14A17" w:rsidR="00F54A23" w:rsidRDefault="00F21316" w:rsidP="00815A5B">
      <w:pPr>
        <w:autoSpaceDE w:val="0"/>
        <w:jc w:val="center"/>
        <w:rPr>
          <w:rFonts w:asciiTheme="majorBidi" w:hAnsiTheme="majorBidi" w:cstheme="majorBidi"/>
          <w:b/>
          <w:bCs/>
          <w:sz w:val="24"/>
          <w:szCs w:val="24"/>
        </w:rPr>
      </w:pPr>
      <w:r w:rsidRPr="00F21316">
        <w:rPr>
          <w:rFonts w:asciiTheme="majorBidi" w:hAnsiTheme="majorBidi" w:cstheme="majorBidi"/>
          <w:b/>
          <w:bCs/>
          <w:sz w:val="24"/>
          <w:szCs w:val="24"/>
        </w:rPr>
        <w:lastRenderedPageBreak/>
        <w:t>TABLE OF CONTENTS</w:t>
      </w:r>
    </w:p>
    <w:p w14:paraId="48B442BA" w14:textId="4670A267" w:rsidR="00D779AF" w:rsidRDefault="00D779AF" w:rsidP="00815A5B">
      <w:pPr>
        <w:autoSpaceDE w:val="0"/>
        <w:jc w:val="center"/>
        <w:rPr>
          <w:rFonts w:asciiTheme="majorBidi" w:hAnsiTheme="majorBidi" w:cstheme="majorBidi"/>
          <w:b/>
          <w:bCs/>
          <w:sz w:val="24"/>
          <w:szCs w:val="24"/>
        </w:rPr>
      </w:pPr>
    </w:p>
    <w:p w14:paraId="6A13122C" w14:textId="77777777" w:rsidR="00D779AF" w:rsidRPr="00A41F33" w:rsidRDefault="00D779AF" w:rsidP="00815A5B">
      <w:pPr>
        <w:autoSpaceDE w:val="0"/>
        <w:jc w:val="center"/>
        <w:rPr>
          <w:rFonts w:asciiTheme="majorBidi" w:hAnsiTheme="majorBidi" w:cstheme="majorBidi"/>
          <w:b/>
          <w:bCs/>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F21316" w14:paraId="282A950F" w14:textId="77777777" w:rsidTr="00DA15F1">
        <w:tc>
          <w:tcPr>
            <w:tcW w:w="7650" w:type="dxa"/>
          </w:tcPr>
          <w:p w14:paraId="349856AE" w14:textId="05C25476" w:rsidR="00F21316" w:rsidRPr="00F21316" w:rsidRDefault="00F21316" w:rsidP="00D779AF">
            <w:pPr>
              <w:autoSpaceDE w:val="0"/>
              <w:spacing w:line="360" w:lineRule="auto"/>
              <w:jc w:val="both"/>
              <w:rPr>
                <w:rFonts w:asciiTheme="majorBidi" w:hAnsiTheme="majorBidi" w:cstheme="majorBidi"/>
                <w:sz w:val="24"/>
                <w:szCs w:val="24"/>
              </w:rPr>
            </w:pPr>
            <w:r w:rsidRPr="00F21316">
              <w:rPr>
                <w:rFonts w:asciiTheme="majorBidi" w:hAnsiTheme="majorBidi" w:cstheme="majorBidi"/>
                <w:sz w:val="24"/>
                <w:szCs w:val="24"/>
              </w:rPr>
              <w:t xml:space="preserve">INTRODUCTION </w:t>
            </w:r>
          </w:p>
        </w:tc>
        <w:tc>
          <w:tcPr>
            <w:tcW w:w="1366" w:type="dxa"/>
          </w:tcPr>
          <w:p w14:paraId="53420E47" w14:textId="15DF2A8C" w:rsidR="00F21316" w:rsidRPr="00F21316" w:rsidRDefault="00F21316" w:rsidP="00DA15F1">
            <w:pPr>
              <w:autoSpaceDE w:val="0"/>
              <w:spacing w:line="360" w:lineRule="auto"/>
              <w:jc w:val="right"/>
              <w:rPr>
                <w:rFonts w:asciiTheme="majorBidi" w:hAnsiTheme="majorBidi" w:cstheme="majorBidi"/>
                <w:sz w:val="24"/>
                <w:szCs w:val="24"/>
              </w:rPr>
            </w:pPr>
            <w:r w:rsidRPr="00F21316">
              <w:rPr>
                <w:rFonts w:asciiTheme="majorBidi" w:hAnsiTheme="majorBidi" w:cstheme="majorBidi"/>
                <w:sz w:val="24"/>
                <w:szCs w:val="24"/>
              </w:rPr>
              <w:t>3</w:t>
            </w:r>
          </w:p>
        </w:tc>
      </w:tr>
      <w:tr w:rsidR="00F21316" w14:paraId="6788A19D" w14:textId="77777777" w:rsidTr="00DA15F1">
        <w:tc>
          <w:tcPr>
            <w:tcW w:w="7650" w:type="dxa"/>
          </w:tcPr>
          <w:p w14:paraId="04A51D12" w14:textId="43C839EB" w:rsidR="00F21316" w:rsidRPr="00F21316" w:rsidRDefault="00F21316" w:rsidP="00D779AF">
            <w:pPr>
              <w:autoSpaceDE w:val="0"/>
              <w:spacing w:line="360" w:lineRule="auto"/>
              <w:jc w:val="both"/>
              <w:rPr>
                <w:rFonts w:asciiTheme="majorBidi" w:hAnsiTheme="majorBidi" w:cstheme="majorBidi"/>
                <w:sz w:val="24"/>
                <w:szCs w:val="24"/>
              </w:rPr>
            </w:pPr>
            <w:r w:rsidRPr="00F21316">
              <w:rPr>
                <w:rFonts w:asciiTheme="majorBidi" w:hAnsiTheme="majorBidi" w:cstheme="majorBidi"/>
                <w:sz w:val="24"/>
                <w:szCs w:val="24"/>
              </w:rPr>
              <w:t>CHAPTER 1. OVERVIEW OF THE PROJECT FINANCE</w:t>
            </w:r>
          </w:p>
        </w:tc>
        <w:tc>
          <w:tcPr>
            <w:tcW w:w="1366" w:type="dxa"/>
          </w:tcPr>
          <w:p w14:paraId="4D58ECFE" w14:textId="1BF35C9D" w:rsidR="00F21316"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8</w:t>
            </w:r>
          </w:p>
        </w:tc>
      </w:tr>
      <w:tr w:rsidR="00F21316" w14:paraId="1DA35614" w14:textId="77777777" w:rsidTr="00DA15F1">
        <w:tc>
          <w:tcPr>
            <w:tcW w:w="7650" w:type="dxa"/>
          </w:tcPr>
          <w:p w14:paraId="7FACFFF7" w14:textId="1EDF49C8" w:rsidR="00F21316" w:rsidRPr="00F21316" w:rsidRDefault="00F21316"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1.1 Definitions, origins</w:t>
            </w:r>
            <w:r w:rsidR="00D80CCE">
              <w:rPr>
                <w:rFonts w:asciiTheme="majorBidi" w:hAnsiTheme="majorBidi" w:cstheme="majorBidi"/>
                <w:sz w:val="24"/>
                <w:szCs w:val="24"/>
              </w:rPr>
              <w:t>,</w:t>
            </w:r>
            <w:r w:rsidRPr="00A41F33">
              <w:rPr>
                <w:rFonts w:asciiTheme="majorBidi" w:hAnsiTheme="majorBidi" w:cstheme="majorBidi"/>
                <w:sz w:val="24"/>
                <w:szCs w:val="24"/>
              </w:rPr>
              <w:t xml:space="preserve"> and the reasons behind applying project finance</w:t>
            </w:r>
          </w:p>
        </w:tc>
        <w:tc>
          <w:tcPr>
            <w:tcW w:w="1366" w:type="dxa"/>
          </w:tcPr>
          <w:p w14:paraId="2AE49135" w14:textId="6234C6CE" w:rsidR="00F21316"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8</w:t>
            </w:r>
          </w:p>
        </w:tc>
      </w:tr>
      <w:tr w:rsidR="00F21316" w14:paraId="62A31803" w14:textId="77777777" w:rsidTr="00DA15F1">
        <w:tc>
          <w:tcPr>
            <w:tcW w:w="7650" w:type="dxa"/>
          </w:tcPr>
          <w:p w14:paraId="1E29FD1B" w14:textId="0E79B1F0" w:rsidR="00F21316"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1.2 Finance as an element of comparative financial structures</w:t>
            </w:r>
          </w:p>
        </w:tc>
        <w:tc>
          <w:tcPr>
            <w:tcW w:w="1366" w:type="dxa"/>
          </w:tcPr>
          <w:p w14:paraId="4BDFC55B" w14:textId="02DAAAB0" w:rsidR="00F21316"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1</w:t>
            </w:r>
            <w:r w:rsidR="0087509C">
              <w:rPr>
                <w:rFonts w:asciiTheme="majorBidi" w:hAnsiTheme="majorBidi" w:cstheme="majorBidi"/>
                <w:sz w:val="24"/>
                <w:szCs w:val="24"/>
              </w:rPr>
              <w:t>1</w:t>
            </w:r>
          </w:p>
        </w:tc>
      </w:tr>
      <w:tr w:rsidR="00F21316" w14:paraId="20087C78" w14:textId="77777777" w:rsidTr="00DA15F1">
        <w:tc>
          <w:tcPr>
            <w:tcW w:w="7650" w:type="dxa"/>
          </w:tcPr>
          <w:p w14:paraId="25DD10C5" w14:textId="0ABDB296" w:rsidR="00F21316"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1.3 Advantages and disadvantages of project financ</w:t>
            </w:r>
            <w:r w:rsidR="00341059">
              <w:rPr>
                <w:rFonts w:asciiTheme="majorBidi" w:hAnsiTheme="majorBidi" w:cstheme="majorBidi"/>
                <w:sz w:val="24"/>
                <w:szCs w:val="24"/>
              </w:rPr>
              <w:t>e</w:t>
            </w:r>
          </w:p>
        </w:tc>
        <w:tc>
          <w:tcPr>
            <w:tcW w:w="1366" w:type="dxa"/>
          </w:tcPr>
          <w:p w14:paraId="2CD91BB3" w14:textId="0B6F6439" w:rsidR="00F21316"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2</w:t>
            </w:r>
            <w:r w:rsidR="00FB7FF9">
              <w:rPr>
                <w:rFonts w:asciiTheme="majorBidi" w:hAnsiTheme="majorBidi" w:cstheme="majorBidi"/>
                <w:sz w:val="24"/>
                <w:szCs w:val="24"/>
              </w:rPr>
              <w:t>0</w:t>
            </w:r>
          </w:p>
        </w:tc>
      </w:tr>
      <w:tr w:rsidR="00F21316" w14:paraId="31799890" w14:textId="77777777" w:rsidTr="00DA15F1">
        <w:tc>
          <w:tcPr>
            <w:tcW w:w="7650" w:type="dxa"/>
          </w:tcPr>
          <w:p w14:paraId="009BC44A" w14:textId="2AF69B9F" w:rsidR="00F21316" w:rsidRPr="00F21316" w:rsidRDefault="00D779AF" w:rsidP="00D779AF">
            <w:pPr>
              <w:autoSpaceDE w:val="0"/>
              <w:spacing w:line="360" w:lineRule="auto"/>
              <w:jc w:val="both"/>
              <w:rPr>
                <w:rFonts w:asciiTheme="majorBidi" w:hAnsiTheme="majorBidi" w:cstheme="majorBidi"/>
                <w:sz w:val="24"/>
                <w:szCs w:val="24"/>
              </w:rPr>
            </w:pPr>
            <w:r>
              <w:rPr>
                <w:rFonts w:asciiTheme="majorBidi" w:hAnsiTheme="majorBidi" w:cstheme="majorBidi"/>
                <w:sz w:val="24"/>
                <w:szCs w:val="24"/>
              </w:rPr>
              <w:t>Summary</w:t>
            </w:r>
          </w:p>
        </w:tc>
        <w:tc>
          <w:tcPr>
            <w:tcW w:w="1366" w:type="dxa"/>
          </w:tcPr>
          <w:p w14:paraId="72C6034D" w14:textId="48943235" w:rsidR="00F21316"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2</w:t>
            </w:r>
            <w:r w:rsidR="0087509C">
              <w:rPr>
                <w:rFonts w:asciiTheme="majorBidi" w:hAnsiTheme="majorBidi" w:cstheme="majorBidi"/>
                <w:sz w:val="24"/>
                <w:szCs w:val="24"/>
              </w:rPr>
              <w:t>5</w:t>
            </w:r>
          </w:p>
        </w:tc>
      </w:tr>
      <w:tr w:rsidR="00D779AF" w14:paraId="22A33553" w14:textId="77777777" w:rsidTr="00DA15F1">
        <w:tc>
          <w:tcPr>
            <w:tcW w:w="7650" w:type="dxa"/>
          </w:tcPr>
          <w:p w14:paraId="20DE876F" w14:textId="7CB9CBE5" w:rsidR="00D779AF" w:rsidRPr="00F21316" w:rsidRDefault="00D779AF" w:rsidP="00924421">
            <w:pPr>
              <w:suppressAutoHyphens/>
              <w:autoSpaceDE w:val="0"/>
              <w:spacing w:line="360" w:lineRule="auto"/>
              <w:jc w:val="both"/>
              <w:rPr>
                <w:rFonts w:asciiTheme="majorBidi" w:hAnsiTheme="majorBidi" w:cstheme="majorBidi"/>
                <w:sz w:val="24"/>
                <w:szCs w:val="24"/>
              </w:rPr>
            </w:pPr>
            <w:r w:rsidRPr="00D779AF">
              <w:rPr>
                <w:rFonts w:asciiTheme="majorBidi" w:hAnsiTheme="majorBidi" w:cstheme="majorBidi"/>
                <w:sz w:val="24"/>
                <w:szCs w:val="24"/>
              </w:rPr>
              <w:t>CHAPTER 2. PROJECT FINANCE ANALYSIS IN THE ARAB COUNTRIES AND THE REST OF THE WORLD</w:t>
            </w:r>
          </w:p>
        </w:tc>
        <w:tc>
          <w:tcPr>
            <w:tcW w:w="1366" w:type="dxa"/>
          </w:tcPr>
          <w:p w14:paraId="13FE6CDE" w14:textId="3BB1E3A2"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2</w:t>
            </w:r>
            <w:r w:rsidR="0087509C">
              <w:rPr>
                <w:rFonts w:asciiTheme="majorBidi" w:hAnsiTheme="majorBidi" w:cstheme="majorBidi"/>
                <w:sz w:val="24"/>
                <w:szCs w:val="24"/>
              </w:rPr>
              <w:t>6</w:t>
            </w:r>
          </w:p>
        </w:tc>
      </w:tr>
      <w:tr w:rsidR="00D779AF" w14:paraId="2F3B4379" w14:textId="77777777" w:rsidTr="00DA15F1">
        <w:tc>
          <w:tcPr>
            <w:tcW w:w="7650" w:type="dxa"/>
          </w:tcPr>
          <w:p w14:paraId="6A417F3A" w14:textId="2B5D6C43" w:rsidR="00D779AF"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 xml:space="preserve">2.1 The </w:t>
            </w:r>
            <w:r w:rsidR="00450A8B">
              <w:rPr>
                <w:rFonts w:asciiTheme="majorBidi" w:hAnsiTheme="majorBidi" w:cstheme="majorBidi"/>
                <w:sz w:val="24"/>
                <w:szCs w:val="24"/>
              </w:rPr>
              <w:t>development</w:t>
            </w:r>
            <w:r w:rsidRPr="00A41F33">
              <w:rPr>
                <w:rFonts w:asciiTheme="majorBidi" w:hAnsiTheme="majorBidi" w:cstheme="majorBidi"/>
                <w:sz w:val="24"/>
                <w:szCs w:val="24"/>
              </w:rPr>
              <w:t xml:space="preserve"> of project finance in the world</w:t>
            </w:r>
          </w:p>
        </w:tc>
        <w:tc>
          <w:tcPr>
            <w:tcW w:w="1366" w:type="dxa"/>
          </w:tcPr>
          <w:p w14:paraId="6DBAB83F" w14:textId="5FCB4A63"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2</w:t>
            </w:r>
            <w:r w:rsidR="00510160">
              <w:rPr>
                <w:rFonts w:asciiTheme="majorBidi" w:hAnsiTheme="majorBidi" w:cstheme="majorBidi"/>
                <w:sz w:val="24"/>
                <w:szCs w:val="24"/>
              </w:rPr>
              <w:t>6</w:t>
            </w:r>
          </w:p>
        </w:tc>
      </w:tr>
      <w:tr w:rsidR="00D779AF" w14:paraId="6F97E950" w14:textId="77777777" w:rsidTr="00DA15F1">
        <w:tc>
          <w:tcPr>
            <w:tcW w:w="7650" w:type="dxa"/>
          </w:tcPr>
          <w:p w14:paraId="6E0921D7" w14:textId="405BEAD3" w:rsidR="00D779AF"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 xml:space="preserve">2.2 The </w:t>
            </w:r>
            <w:r w:rsidR="00450A8B">
              <w:rPr>
                <w:rFonts w:asciiTheme="majorBidi" w:hAnsiTheme="majorBidi" w:cstheme="majorBidi"/>
                <w:sz w:val="24"/>
                <w:szCs w:val="24"/>
              </w:rPr>
              <w:t>growth</w:t>
            </w:r>
            <w:r w:rsidRPr="00A41F33">
              <w:rPr>
                <w:rFonts w:asciiTheme="majorBidi" w:hAnsiTheme="majorBidi" w:cstheme="majorBidi"/>
                <w:sz w:val="24"/>
                <w:szCs w:val="24"/>
              </w:rPr>
              <w:t xml:space="preserve"> of project finance in the Arab </w:t>
            </w:r>
            <w:r w:rsidR="00450A8B">
              <w:rPr>
                <w:rFonts w:asciiTheme="majorBidi" w:hAnsiTheme="majorBidi" w:cstheme="majorBidi"/>
                <w:sz w:val="24"/>
                <w:szCs w:val="24"/>
              </w:rPr>
              <w:t>world</w:t>
            </w:r>
          </w:p>
        </w:tc>
        <w:tc>
          <w:tcPr>
            <w:tcW w:w="1366" w:type="dxa"/>
          </w:tcPr>
          <w:p w14:paraId="6F6422CC" w14:textId="2B9F00DD"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3</w:t>
            </w:r>
            <w:r w:rsidR="007E5AFF">
              <w:rPr>
                <w:rFonts w:asciiTheme="majorBidi" w:hAnsiTheme="majorBidi" w:cstheme="majorBidi"/>
                <w:sz w:val="24"/>
                <w:szCs w:val="24"/>
              </w:rPr>
              <w:t>2</w:t>
            </w:r>
          </w:p>
        </w:tc>
      </w:tr>
      <w:tr w:rsidR="00D779AF" w14:paraId="25101AD1" w14:textId="77777777" w:rsidTr="00DA15F1">
        <w:tc>
          <w:tcPr>
            <w:tcW w:w="7650" w:type="dxa"/>
          </w:tcPr>
          <w:p w14:paraId="31DE8FFC" w14:textId="312151BF" w:rsidR="00D779AF"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2.3 Successful Arab project finance</w:t>
            </w:r>
            <w:r w:rsidR="007E14A0">
              <w:rPr>
                <w:rFonts w:asciiTheme="majorBidi" w:hAnsiTheme="majorBidi" w:cstheme="majorBidi"/>
                <w:sz w:val="24"/>
                <w:szCs w:val="24"/>
              </w:rPr>
              <w:t xml:space="preserve"> cases</w:t>
            </w:r>
          </w:p>
        </w:tc>
        <w:tc>
          <w:tcPr>
            <w:tcW w:w="1366" w:type="dxa"/>
          </w:tcPr>
          <w:p w14:paraId="42467C01" w14:textId="6F99DEBC"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3</w:t>
            </w:r>
            <w:r w:rsidR="007E5AFF">
              <w:rPr>
                <w:rFonts w:asciiTheme="majorBidi" w:hAnsiTheme="majorBidi" w:cstheme="majorBidi"/>
                <w:sz w:val="24"/>
                <w:szCs w:val="24"/>
              </w:rPr>
              <w:t>7</w:t>
            </w:r>
          </w:p>
        </w:tc>
      </w:tr>
      <w:tr w:rsidR="00D779AF" w14:paraId="1B033028" w14:textId="77777777" w:rsidTr="00DA15F1">
        <w:tc>
          <w:tcPr>
            <w:tcW w:w="7650" w:type="dxa"/>
          </w:tcPr>
          <w:p w14:paraId="75E17F57" w14:textId="5C58D1C8" w:rsidR="00D779AF" w:rsidRPr="00F21316" w:rsidRDefault="00D779AF" w:rsidP="00D779AF">
            <w:pPr>
              <w:autoSpaceDE w:val="0"/>
              <w:spacing w:line="360" w:lineRule="auto"/>
              <w:jc w:val="both"/>
              <w:rPr>
                <w:rFonts w:asciiTheme="majorBidi" w:hAnsiTheme="majorBidi" w:cstheme="majorBidi"/>
                <w:sz w:val="24"/>
                <w:szCs w:val="24"/>
              </w:rPr>
            </w:pPr>
            <w:r>
              <w:rPr>
                <w:rFonts w:asciiTheme="majorBidi" w:hAnsiTheme="majorBidi" w:cstheme="majorBidi"/>
                <w:sz w:val="24"/>
                <w:szCs w:val="24"/>
              </w:rPr>
              <w:t>Summary</w:t>
            </w:r>
          </w:p>
        </w:tc>
        <w:tc>
          <w:tcPr>
            <w:tcW w:w="1366" w:type="dxa"/>
          </w:tcPr>
          <w:p w14:paraId="66DF2E61" w14:textId="6F58356C"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4</w:t>
            </w:r>
            <w:r w:rsidR="007E5AFF">
              <w:rPr>
                <w:rFonts w:asciiTheme="majorBidi" w:hAnsiTheme="majorBidi" w:cstheme="majorBidi"/>
                <w:sz w:val="24"/>
                <w:szCs w:val="24"/>
              </w:rPr>
              <w:t>3</w:t>
            </w:r>
          </w:p>
        </w:tc>
      </w:tr>
      <w:tr w:rsidR="00D779AF" w14:paraId="5C20D771" w14:textId="77777777" w:rsidTr="00DA15F1">
        <w:tc>
          <w:tcPr>
            <w:tcW w:w="7650" w:type="dxa"/>
          </w:tcPr>
          <w:p w14:paraId="645B3E1A" w14:textId="546C5ECC" w:rsidR="00D779AF" w:rsidRPr="00F21316" w:rsidRDefault="00D779AF" w:rsidP="00924421">
            <w:pPr>
              <w:suppressAutoHyphens/>
              <w:autoSpaceDE w:val="0"/>
              <w:spacing w:line="360" w:lineRule="auto"/>
              <w:jc w:val="both"/>
              <w:rPr>
                <w:rFonts w:asciiTheme="majorBidi" w:hAnsiTheme="majorBidi" w:cstheme="majorBidi"/>
                <w:sz w:val="24"/>
                <w:szCs w:val="24"/>
              </w:rPr>
            </w:pPr>
            <w:r w:rsidRPr="00D779AF">
              <w:rPr>
                <w:rFonts w:asciiTheme="majorBidi" w:hAnsiTheme="majorBidi" w:cstheme="majorBidi"/>
                <w:sz w:val="24"/>
                <w:szCs w:val="24"/>
              </w:rPr>
              <w:t xml:space="preserve">CHAPTER 3. THE PROJECT FINANCE POSSIBLE ROLE IN THE RECONSTRUCTION </w:t>
            </w:r>
            <w:r w:rsidR="005613D4">
              <w:rPr>
                <w:rFonts w:asciiTheme="majorBidi" w:hAnsiTheme="majorBidi" w:cstheme="majorBidi"/>
                <w:sz w:val="24"/>
                <w:szCs w:val="24"/>
              </w:rPr>
              <w:t>OF</w:t>
            </w:r>
            <w:r w:rsidRPr="00D779AF">
              <w:rPr>
                <w:rFonts w:asciiTheme="majorBidi" w:hAnsiTheme="majorBidi" w:cstheme="majorBidi"/>
                <w:sz w:val="24"/>
                <w:szCs w:val="24"/>
              </w:rPr>
              <w:t xml:space="preserve"> SYRIA</w:t>
            </w:r>
          </w:p>
        </w:tc>
        <w:tc>
          <w:tcPr>
            <w:tcW w:w="1366" w:type="dxa"/>
          </w:tcPr>
          <w:p w14:paraId="1B6A67E7" w14:textId="5C42F667"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4</w:t>
            </w:r>
            <w:r w:rsidR="007E5AFF">
              <w:rPr>
                <w:rFonts w:asciiTheme="majorBidi" w:hAnsiTheme="majorBidi" w:cstheme="majorBidi"/>
                <w:sz w:val="24"/>
                <w:szCs w:val="24"/>
              </w:rPr>
              <w:t>4</w:t>
            </w:r>
          </w:p>
        </w:tc>
      </w:tr>
      <w:tr w:rsidR="00D779AF" w14:paraId="5FDBEAEB" w14:textId="77777777" w:rsidTr="00DA15F1">
        <w:tc>
          <w:tcPr>
            <w:tcW w:w="7650" w:type="dxa"/>
          </w:tcPr>
          <w:p w14:paraId="72F5F1AC" w14:textId="024CB674" w:rsidR="00D779AF" w:rsidRPr="00F21316" w:rsidRDefault="00D779AF" w:rsidP="00D779AF">
            <w:pPr>
              <w:autoSpaceDE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3.1 </w:t>
            </w:r>
            <w:r w:rsidRPr="00A41F33">
              <w:rPr>
                <w:rFonts w:asciiTheme="majorBidi" w:hAnsiTheme="majorBidi" w:cstheme="majorBidi"/>
                <w:sz w:val="24"/>
                <w:szCs w:val="24"/>
              </w:rPr>
              <w:t>Syria economy before and after the crisis</w:t>
            </w:r>
          </w:p>
        </w:tc>
        <w:tc>
          <w:tcPr>
            <w:tcW w:w="1366" w:type="dxa"/>
          </w:tcPr>
          <w:p w14:paraId="60455BB4" w14:textId="1461C744"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4</w:t>
            </w:r>
            <w:r w:rsidR="00510160">
              <w:rPr>
                <w:rFonts w:asciiTheme="majorBidi" w:hAnsiTheme="majorBidi" w:cstheme="majorBidi"/>
                <w:sz w:val="24"/>
                <w:szCs w:val="24"/>
              </w:rPr>
              <w:t>4</w:t>
            </w:r>
          </w:p>
        </w:tc>
      </w:tr>
      <w:tr w:rsidR="00D779AF" w14:paraId="376C1646" w14:textId="77777777" w:rsidTr="00DA15F1">
        <w:tc>
          <w:tcPr>
            <w:tcW w:w="7650" w:type="dxa"/>
          </w:tcPr>
          <w:p w14:paraId="12D0341B" w14:textId="267E4970" w:rsidR="00D779AF"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3.2 Possible sources of funding for reconstruction in Syria</w:t>
            </w:r>
          </w:p>
        </w:tc>
        <w:tc>
          <w:tcPr>
            <w:tcW w:w="1366" w:type="dxa"/>
          </w:tcPr>
          <w:p w14:paraId="586BB784" w14:textId="51DEE3E7" w:rsidR="00D779AF" w:rsidRPr="00F21316" w:rsidRDefault="00D779AF"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5</w:t>
            </w:r>
            <w:r w:rsidR="002C5999">
              <w:rPr>
                <w:rFonts w:asciiTheme="majorBidi" w:hAnsiTheme="majorBidi" w:cstheme="majorBidi"/>
                <w:sz w:val="24"/>
                <w:szCs w:val="24"/>
              </w:rPr>
              <w:t>0</w:t>
            </w:r>
          </w:p>
        </w:tc>
      </w:tr>
      <w:tr w:rsidR="00D779AF" w14:paraId="022A21EE" w14:textId="77777777" w:rsidTr="00DA15F1">
        <w:tc>
          <w:tcPr>
            <w:tcW w:w="7650" w:type="dxa"/>
          </w:tcPr>
          <w:p w14:paraId="489F54AB" w14:textId="436E00B6" w:rsidR="00D779AF" w:rsidRPr="00F21316" w:rsidRDefault="00D779AF" w:rsidP="00D779AF">
            <w:pPr>
              <w:autoSpaceDE w:val="0"/>
              <w:spacing w:line="360" w:lineRule="auto"/>
              <w:jc w:val="both"/>
              <w:rPr>
                <w:rFonts w:asciiTheme="majorBidi" w:hAnsiTheme="majorBidi" w:cstheme="majorBidi"/>
                <w:sz w:val="24"/>
                <w:szCs w:val="24"/>
              </w:rPr>
            </w:pPr>
            <w:r w:rsidRPr="00A41F33">
              <w:rPr>
                <w:rFonts w:asciiTheme="majorBidi" w:hAnsiTheme="majorBidi" w:cstheme="majorBidi"/>
                <w:sz w:val="24"/>
                <w:szCs w:val="24"/>
              </w:rPr>
              <w:t>3.3 The investment climate, opportunities, and challenges for applying project finance in Syria</w:t>
            </w:r>
          </w:p>
        </w:tc>
        <w:tc>
          <w:tcPr>
            <w:tcW w:w="1366" w:type="dxa"/>
          </w:tcPr>
          <w:p w14:paraId="23800AC6" w14:textId="79FF6A32" w:rsidR="00D779AF" w:rsidRPr="00F21316" w:rsidRDefault="009C0AD1"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57</w:t>
            </w:r>
          </w:p>
        </w:tc>
      </w:tr>
      <w:tr w:rsidR="00D779AF" w14:paraId="523091A2" w14:textId="77777777" w:rsidTr="00DA15F1">
        <w:tc>
          <w:tcPr>
            <w:tcW w:w="7650" w:type="dxa"/>
          </w:tcPr>
          <w:p w14:paraId="25644C54" w14:textId="625C36CD" w:rsidR="00D779AF" w:rsidRPr="00F21316" w:rsidRDefault="00D779AF" w:rsidP="00D779AF">
            <w:pPr>
              <w:autoSpaceDE w:val="0"/>
              <w:spacing w:line="360" w:lineRule="auto"/>
              <w:jc w:val="both"/>
              <w:rPr>
                <w:rFonts w:asciiTheme="majorBidi" w:hAnsiTheme="majorBidi" w:cstheme="majorBidi"/>
                <w:sz w:val="24"/>
                <w:szCs w:val="24"/>
              </w:rPr>
            </w:pPr>
            <w:r w:rsidRPr="00DB6A2F">
              <w:rPr>
                <w:rFonts w:asciiTheme="majorBidi" w:hAnsiTheme="majorBidi" w:cstheme="majorBidi"/>
                <w:sz w:val="24"/>
                <w:szCs w:val="24"/>
              </w:rPr>
              <w:t xml:space="preserve">3.4 Evaluation </w:t>
            </w:r>
            <w:r w:rsidR="00DA15F1">
              <w:rPr>
                <w:rFonts w:asciiTheme="majorBidi" w:hAnsiTheme="majorBidi" w:cstheme="majorBidi"/>
                <w:sz w:val="24"/>
                <w:szCs w:val="24"/>
              </w:rPr>
              <w:t>m</w:t>
            </w:r>
            <w:r w:rsidRPr="00DB6A2F">
              <w:rPr>
                <w:rFonts w:asciiTheme="majorBidi" w:hAnsiTheme="majorBidi" w:cstheme="majorBidi"/>
                <w:sz w:val="24"/>
                <w:szCs w:val="24"/>
              </w:rPr>
              <w:t xml:space="preserve">odel of the </w:t>
            </w:r>
            <w:r w:rsidR="00DA15F1">
              <w:rPr>
                <w:rFonts w:asciiTheme="majorBidi" w:hAnsiTheme="majorBidi" w:cstheme="majorBidi"/>
                <w:sz w:val="24"/>
                <w:szCs w:val="24"/>
              </w:rPr>
              <w:t>p</w:t>
            </w:r>
            <w:r w:rsidRPr="00DB6A2F">
              <w:rPr>
                <w:rFonts w:asciiTheme="majorBidi" w:hAnsiTheme="majorBidi" w:cstheme="majorBidi"/>
                <w:sz w:val="24"/>
                <w:szCs w:val="24"/>
              </w:rPr>
              <w:t xml:space="preserve">roject </w:t>
            </w:r>
            <w:r w:rsidR="00DA15F1">
              <w:rPr>
                <w:rFonts w:asciiTheme="majorBidi" w:hAnsiTheme="majorBidi" w:cstheme="majorBidi"/>
                <w:sz w:val="24"/>
                <w:szCs w:val="24"/>
              </w:rPr>
              <w:t>f</w:t>
            </w:r>
            <w:r w:rsidRPr="00DB6A2F">
              <w:rPr>
                <w:rFonts w:asciiTheme="majorBidi" w:hAnsiTheme="majorBidi" w:cstheme="majorBidi"/>
                <w:sz w:val="24"/>
                <w:szCs w:val="24"/>
              </w:rPr>
              <w:t>inance investments</w:t>
            </w:r>
          </w:p>
        </w:tc>
        <w:tc>
          <w:tcPr>
            <w:tcW w:w="1366" w:type="dxa"/>
          </w:tcPr>
          <w:p w14:paraId="13D0F415" w14:textId="33943621" w:rsidR="00D779AF" w:rsidRPr="00F21316" w:rsidRDefault="004F2D38"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61</w:t>
            </w:r>
          </w:p>
        </w:tc>
      </w:tr>
      <w:tr w:rsidR="00D779AF" w14:paraId="5985CBC0" w14:textId="77777777" w:rsidTr="00DA15F1">
        <w:tc>
          <w:tcPr>
            <w:tcW w:w="7650" w:type="dxa"/>
          </w:tcPr>
          <w:p w14:paraId="5C9808F9" w14:textId="023AAB37" w:rsidR="00D779AF" w:rsidRPr="00DB6A2F" w:rsidRDefault="00D779AF" w:rsidP="00D779AF">
            <w:pPr>
              <w:autoSpaceDE w:val="0"/>
              <w:spacing w:line="360" w:lineRule="auto"/>
              <w:jc w:val="both"/>
              <w:rPr>
                <w:rFonts w:asciiTheme="majorBidi" w:hAnsiTheme="majorBidi" w:cstheme="majorBidi"/>
                <w:sz w:val="24"/>
                <w:szCs w:val="24"/>
              </w:rPr>
            </w:pPr>
            <w:r w:rsidRPr="00D779AF">
              <w:rPr>
                <w:rFonts w:asciiTheme="majorBidi" w:hAnsiTheme="majorBidi" w:cstheme="majorBidi"/>
                <w:sz w:val="24"/>
                <w:szCs w:val="24"/>
              </w:rPr>
              <w:t>CONCLUSION</w:t>
            </w:r>
          </w:p>
        </w:tc>
        <w:tc>
          <w:tcPr>
            <w:tcW w:w="1366" w:type="dxa"/>
          </w:tcPr>
          <w:p w14:paraId="4F9D1D9C" w14:textId="1BD5BD85" w:rsidR="00D779AF" w:rsidRDefault="004F2D38"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6</w:t>
            </w:r>
            <w:r w:rsidR="009379CE">
              <w:rPr>
                <w:rFonts w:asciiTheme="majorBidi" w:hAnsiTheme="majorBidi" w:cstheme="majorBidi"/>
                <w:sz w:val="24"/>
                <w:szCs w:val="24"/>
              </w:rPr>
              <w:t>6</w:t>
            </w:r>
          </w:p>
        </w:tc>
      </w:tr>
      <w:tr w:rsidR="00D779AF" w14:paraId="4A4BDB8A" w14:textId="77777777" w:rsidTr="00DA15F1">
        <w:tc>
          <w:tcPr>
            <w:tcW w:w="7650" w:type="dxa"/>
          </w:tcPr>
          <w:p w14:paraId="7CE67C08" w14:textId="4DF43579" w:rsidR="00D779AF" w:rsidRPr="00DB6A2F" w:rsidRDefault="00D779AF" w:rsidP="00D779AF">
            <w:pPr>
              <w:autoSpaceDE w:val="0"/>
              <w:spacing w:line="360" w:lineRule="auto"/>
              <w:jc w:val="both"/>
              <w:rPr>
                <w:rFonts w:asciiTheme="majorBidi" w:hAnsiTheme="majorBidi" w:cstheme="majorBidi"/>
                <w:sz w:val="24"/>
                <w:szCs w:val="24"/>
              </w:rPr>
            </w:pPr>
            <w:r w:rsidRPr="00D779AF">
              <w:rPr>
                <w:rFonts w:asciiTheme="majorBidi" w:hAnsiTheme="majorBidi" w:cstheme="majorBidi"/>
                <w:sz w:val="24"/>
                <w:szCs w:val="24"/>
              </w:rPr>
              <w:t>LIST OF REFERENCES</w:t>
            </w:r>
          </w:p>
        </w:tc>
        <w:tc>
          <w:tcPr>
            <w:tcW w:w="1366" w:type="dxa"/>
          </w:tcPr>
          <w:p w14:paraId="313145B4" w14:textId="1D26516D" w:rsidR="00D779AF" w:rsidRDefault="009379CE"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69</w:t>
            </w:r>
          </w:p>
        </w:tc>
      </w:tr>
      <w:tr w:rsidR="00D779AF" w14:paraId="7603713B" w14:textId="77777777" w:rsidTr="00DA15F1">
        <w:tc>
          <w:tcPr>
            <w:tcW w:w="7650" w:type="dxa"/>
          </w:tcPr>
          <w:p w14:paraId="5B320C1B" w14:textId="7EEB733C" w:rsidR="00D779AF" w:rsidRPr="00DB6A2F" w:rsidRDefault="00555190" w:rsidP="00D779AF">
            <w:pPr>
              <w:autoSpaceDE w:val="0"/>
              <w:spacing w:line="360" w:lineRule="auto"/>
              <w:jc w:val="both"/>
              <w:rPr>
                <w:rFonts w:asciiTheme="majorBidi" w:hAnsiTheme="majorBidi" w:cstheme="majorBidi"/>
                <w:sz w:val="24"/>
                <w:szCs w:val="24"/>
              </w:rPr>
            </w:pPr>
            <w:r w:rsidRPr="00555190">
              <w:rPr>
                <w:rFonts w:asciiTheme="majorBidi" w:hAnsiTheme="majorBidi" w:cstheme="majorBidi"/>
                <w:sz w:val="24"/>
                <w:szCs w:val="24"/>
              </w:rPr>
              <w:t>APPENDICES</w:t>
            </w:r>
          </w:p>
        </w:tc>
        <w:tc>
          <w:tcPr>
            <w:tcW w:w="1366" w:type="dxa"/>
          </w:tcPr>
          <w:p w14:paraId="2A0752E2" w14:textId="649751BD" w:rsidR="00D779AF" w:rsidRDefault="004F2D38" w:rsidP="00DA15F1">
            <w:pPr>
              <w:autoSpaceDE w:val="0"/>
              <w:spacing w:line="360" w:lineRule="auto"/>
              <w:jc w:val="right"/>
              <w:rPr>
                <w:rFonts w:asciiTheme="majorBidi" w:hAnsiTheme="majorBidi" w:cstheme="majorBidi"/>
                <w:sz w:val="24"/>
                <w:szCs w:val="24"/>
              </w:rPr>
            </w:pPr>
            <w:r>
              <w:rPr>
                <w:rFonts w:asciiTheme="majorBidi" w:hAnsiTheme="majorBidi" w:cstheme="majorBidi"/>
                <w:sz w:val="24"/>
                <w:szCs w:val="24"/>
              </w:rPr>
              <w:t>7</w:t>
            </w:r>
            <w:r w:rsidR="009379CE">
              <w:rPr>
                <w:rFonts w:asciiTheme="majorBidi" w:hAnsiTheme="majorBidi" w:cstheme="majorBidi"/>
                <w:sz w:val="24"/>
                <w:szCs w:val="24"/>
              </w:rPr>
              <w:t>5</w:t>
            </w:r>
          </w:p>
        </w:tc>
      </w:tr>
    </w:tbl>
    <w:p w14:paraId="75DB28EA" w14:textId="7E8E5084" w:rsidR="0039356C" w:rsidRDefault="0039356C" w:rsidP="00B1469F">
      <w:pPr>
        <w:autoSpaceDE w:val="0"/>
        <w:spacing w:before="240" w:line="360" w:lineRule="auto"/>
        <w:jc w:val="both"/>
        <w:rPr>
          <w:rFonts w:asciiTheme="majorBidi" w:hAnsiTheme="majorBidi" w:cstheme="majorBidi"/>
          <w:b/>
          <w:bCs/>
          <w:sz w:val="24"/>
          <w:szCs w:val="24"/>
        </w:rPr>
      </w:pPr>
    </w:p>
    <w:p w14:paraId="34B3DAB4" w14:textId="72DA03E1" w:rsidR="00D779AF" w:rsidRDefault="00D779AF" w:rsidP="00B1469F">
      <w:pPr>
        <w:autoSpaceDE w:val="0"/>
        <w:spacing w:before="240" w:line="360" w:lineRule="auto"/>
        <w:jc w:val="both"/>
        <w:rPr>
          <w:rFonts w:asciiTheme="majorBidi" w:hAnsiTheme="majorBidi" w:cstheme="majorBidi"/>
          <w:b/>
          <w:bCs/>
          <w:sz w:val="24"/>
          <w:szCs w:val="24"/>
        </w:rPr>
      </w:pPr>
    </w:p>
    <w:p w14:paraId="30D3BC6F" w14:textId="4ACAF955" w:rsidR="00D779AF" w:rsidRDefault="00D779AF" w:rsidP="00B1469F">
      <w:pPr>
        <w:autoSpaceDE w:val="0"/>
        <w:spacing w:before="240" w:line="360" w:lineRule="auto"/>
        <w:jc w:val="both"/>
        <w:rPr>
          <w:rFonts w:asciiTheme="majorBidi" w:hAnsiTheme="majorBidi" w:cstheme="majorBidi"/>
          <w:b/>
          <w:bCs/>
          <w:sz w:val="24"/>
          <w:szCs w:val="24"/>
        </w:rPr>
      </w:pPr>
    </w:p>
    <w:p w14:paraId="67CC08F2" w14:textId="77777777" w:rsidR="00510160" w:rsidRDefault="00510160" w:rsidP="00B1469F">
      <w:pPr>
        <w:autoSpaceDE w:val="0"/>
        <w:spacing w:before="240" w:line="360" w:lineRule="auto"/>
        <w:jc w:val="both"/>
        <w:rPr>
          <w:rFonts w:asciiTheme="majorBidi" w:hAnsiTheme="majorBidi" w:cstheme="majorBidi"/>
          <w:b/>
          <w:bCs/>
          <w:sz w:val="24"/>
          <w:szCs w:val="24"/>
        </w:rPr>
      </w:pPr>
    </w:p>
    <w:p w14:paraId="40C8CA1A" w14:textId="399807EE" w:rsidR="00D779AF" w:rsidRDefault="00D779AF" w:rsidP="00B1469F">
      <w:pPr>
        <w:autoSpaceDE w:val="0"/>
        <w:spacing w:before="240" w:line="360" w:lineRule="auto"/>
        <w:jc w:val="both"/>
        <w:rPr>
          <w:rFonts w:asciiTheme="majorBidi" w:hAnsiTheme="majorBidi" w:cstheme="majorBidi"/>
          <w:b/>
          <w:bCs/>
          <w:sz w:val="24"/>
          <w:szCs w:val="24"/>
        </w:rPr>
      </w:pPr>
    </w:p>
    <w:p w14:paraId="1875130D" w14:textId="77777777" w:rsidR="000716AE" w:rsidRDefault="000716AE" w:rsidP="00B1469F">
      <w:pPr>
        <w:autoSpaceDE w:val="0"/>
        <w:spacing w:before="240" w:line="360" w:lineRule="auto"/>
        <w:jc w:val="both"/>
        <w:rPr>
          <w:rFonts w:asciiTheme="majorBidi" w:hAnsiTheme="majorBidi" w:cstheme="majorBidi"/>
          <w:b/>
          <w:bCs/>
          <w:sz w:val="24"/>
          <w:szCs w:val="24"/>
        </w:rPr>
      </w:pPr>
    </w:p>
    <w:p w14:paraId="169BA4FA" w14:textId="0999B113" w:rsidR="007B0A6D" w:rsidRPr="00B02901" w:rsidRDefault="000F0094" w:rsidP="00CA7B6D">
      <w:pPr>
        <w:autoSpaceDE w:val="0"/>
        <w:spacing w:line="360" w:lineRule="auto"/>
        <w:jc w:val="center"/>
        <w:rPr>
          <w:rFonts w:asciiTheme="majorBidi" w:hAnsiTheme="majorBidi" w:cstheme="majorBidi"/>
          <w:sz w:val="28"/>
          <w:szCs w:val="28"/>
        </w:rPr>
      </w:pPr>
      <w:r w:rsidRPr="00B02901">
        <w:rPr>
          <w:rFonts w:asciiTheme="majorBidi" w:hAnsiTheme="majorBidi" w:cstheme="majorBidi"/>
          <w:sz w:val="28"/>
          <w:szCs w:val="28"/>
        </w:rPr>
        <w:lastRenderedPageBreak/>
        <w:t>INTRODUCTION</w:t>
      </w:r>
    </w:p>
    <w:p w14:paraId="09475BEC" w14:textId="566C9477" w:rsidR="00153B76" w:rsidRPr="00A83FEF" w:rsidRDefault="00153B76" w:rsidP="00AA10E8">
      <w:pPr>
        <w:suppressAutoHyphens/>
        <w:spacing w:before="240" w:line="360" w:lineRule="auto"/>
        <w:ind w:firstLine="567"/>
        <w:jc w:val="both"/>
        <w:rPr>
          <w:rFonts w:asciiTheme="majorBidi" w:hAnsiTheme="majorBidi" w:cstheme="majorBidi"/>
          <w:sz w:val="24"/>
          <w:szCs w:val="24"/>
        </w:rPr>
      </w:pPr>
      <w:r w:rsidRPr="00804EBE">
        <w:rPr>
          <w:rFonts w:asciiTheme="majorBidi" w:hAnsiTheme="majorBidi" w:cstheme="majorBidi"/>
          <w:sz w:val="24"/>
          <w:szCs w:val="24"/>
        </w:rPr>
        <w:t xml:space="preserve">Syria, officially the Syrian Arab Republic, is a country in the middle east, with a </w:t>
      </w:r>
      <w:r w:rsidR="00B92572" w:rsidRPr="00B92572">
        <w:rPr>
          <w:rFonts w:asciiTheme="majorBidi" w:hAnsiTheme="majorBidi" w:cstheme="majorBidi"/>
          <w:sz w:val="24"/>
          <w:szCs w:val="24"/>
        </w:rPr>
        <w:t>significant</w:t>
      </w:r>
      <w:r w:rsidR="00B92572">
        <w:rPr>
          <w:rFonts w:asciiTheme="majorBidi" w:hAnsiTheme="majorBidi" w:cstheme="majorBidi"/>
          <w:sz w:val="24"/>
          <w:szCs w:val="24"/>
        </w:rPr>
        <w:t xml:space="preserve"> </w:t>
      </w:r>
      <w:r w:rsidRPr="00804EBE">
        <w:rPr>
          <w:rFonts w:asciiTheme="majorBidi" w:hAnsiTheme="majorBidi" w:cstheme="majorBidi"/>
          <w:sz w:val="24"/>
          <w:szCs w:val="24"/>
        </w:rPr>
        <w:t>location at the heart of the trade site of the three continents of Asia, Europe</w:t>
      </w:r>
      <w:r>
        <w:rPr>
          <w:rFonts w:asciiTheme="majorBidi" w:hAnsiTheme="majorBidi" w:cstheme="majorBidi"/>
          <w:sz w:val="24"/>
          <w:szCs w:val="24"/>
        </w:rPr>
        <w:t>,</w:t>
      </w:r>
      <w:r w:rsidRPr="00804EBE">
        <w:rPr>
          <w:rFonts w:asciiTheme="majorBidi" w:hAnsiTheme="majorBidi" w:cstheme="majorBidi"/>
          <w:sz w:val="24"/>
          <w:szCs w:val="24"/>
        </w:rPr>
        <w:t xml:space="preserve"> and Africa</w:t>
      </w:r>
      <w:r w:rsidR="0003542C">
        <w:rPr>
          <w:rFonts w:asciiTheme="majorBidi" w:hAnsiTheme="majorBidi" w:cstheme="majorBidi"/>
          <w:sz w:val="24"/>
          <w:szCs w:val="24"/>
        </w:rPr>
        <w:t>. B</w:t>
      </w:r>
      <w:r>
        <w:rPr>
          <w:rFonts w:asciiTheme="majorBidi" w:hAnsiTheme="majorBidi" w:cstheme="majorBidi"/>
          <w:sz w:val="24"/>
          <w:szCs w:val="24"/>
        </w:rPr>
        <w:t>esides</w:t>
      </w:r>
      <w:r w:rsidR="0003542C">
        <w:rPr>
          <w:rFonts w:asciiTheme="majorBidi" w:hAnsiTheme="majorBidi" w:cstheme="majorBidi"/>
          <w:sz w:val="24"/>
          <w:szCs w:val="24"/>
        </w:rPr>
        <w:t>,</w:t>
      </w:r>
      <w:r w:rsidRPr="00804EBE">
        <w:rPr>
          <w:rFonts w:asciiTheme="majorBidi" w:hAnsiTheme="majorBidi" w:cstheme="majorBidi"/>
          <w:sz w:val="24"/>
          <w:szCs w:val="24"/>
        </w:rPr>
        <w:t xml:space="preserve"> the diversity of the terrain and its coastline on the Mediterranean Sea, making it one of the most attractive areas for investment.</w:t>
      </w:r>
    </w:p>
    <w:p w14:paraId="119E2C80" w14:textId="35F67751" w:rsidR="00153B76" w:rsidRPr="00804EBE" w:rsidRDefault="00153B76" w:rsidP="00AA10E8">
      <w:pPr>
        <w:suppressAutoHyphens/>
        <w:spacing w:line="360" w:lineRule="auto"/>
        <w:ind w:firstLine="567"/>
        <w:jc w:val="both"/>
        <w:rPr>
          <w:rFonts w:asciiTheme="majorBidi" w:hAnsiTheme="majorBidi" w:cstheme="majorBidi"/>
          <w:sz w:val="24"/>
          <w:szCs w:val="24"/>
        </w:rPr>
      </w:pPr>
      <w:r w:rsidRPr="00804EBE">
        <w:rPr>
          <w:rFonts w:asciiTheme="majorBidi" w:hAnsiTheme="majorBidi" w:cstheme="majorBidi"/>
          <w:sz w:val="24"/>
          <w:szCs w:val="24"/>
        </w:rPr>
        <w:t xml:space="preserve">The conflict in Syria has been going on for </w:t>
      </w:r>
      <w:r>
        <w:rPr>
          <w:rFonts w:asciiTheme="majorBidi" w:hAnsiTheme="majorBidi" w:cstheme="majorBidi"/>
          <w:sz w:val="24"/>
          <w:szCs w:val="24"/>
        </w:rPr>
        <w:t>nine</w:t>
      </w:r>
      <w:r w:rsidRPr="00804EBE">
        <w:rPr>
          <w:rFonts w:asciiTheme="majorBidi" w:hAnsiTheme="majorBidi" w:cstheme="majorBidi"/>
          <w:sz w:val="24"/>
          <w:szCs w:val="24"/>
        </w:rPr>
        <w:t xml:space="preserve"> years</w:t>
      </w:r>
      <w:r w:rsidR="00B92572">
        <w:rPr>
          <w:rFonts w:asciiTheme="majorBidi" w:hAnsiTheme="majorBidi" w:cstheme="majorBidi"/>
          <w:sz w:val="24"/>
          <w:szCs w:val="24"/>
        </w:rPr>
        <w:t>.</w:t>
      </w:r>
      <w:r>
        <w:rPr>
          <w:rFonts w:asciiTheme="majorBidi" w:hAnsiTheme="majorBidi" w:cstheme="majorBidi"/>
          <w:sz w:val="24"/>
          <w:szCs w:val="24"/>
        </w:rPr>
        <w:t xml:space="preserve"> </w:t>
      </w:r>
      <w:r w:rsidR="00B92572">
        <w:rPr>
          <w:rFonts w:asciiTheme="majorBidi" w:hAnsiTheme="majorBidi" w:cstheme="majorBidi"/>
          <w:sz w:val="24"/>
          <w:szCs w:val="24"/>
        </w:rPr>
        <w:t>T</w:t>
      </w:r>
      <w:r>
        <w:rPr>
          <w:rFonts w:asciiTheme="majorBidi" w:hAnsiTheme="majorBidi" w:cstheme="majorBidi"/>
          <w:sz w:val="24"/>
          <w:szCs w:val="24"/>
        </w:rPr>
        <w:t>he</w:t>
      </w:r>
      <w:r w:rsidRPr="00804EBE">
        <w:rPr>
          <w:rFonts w:asciiTheme="majorBidi" w:hAnsiTheme="majorBidi" w:cstheme="majorBidi"/>
          <w:sz w:val="24"/>
          <w:szCs w:val="24"/>
        </w:rPr>
        <w:t xml:space="preserve"> results were brutal, main cities were severely damaged, infrastructure</w:t>
      </w:r>
      <w:r w:rsidRPr="00B14946">
        <w:rPr>
          <w:rFonts w:asciiTheme="majorBidi" w:hAnsiTheme="majorBidi" w:cstheme="majorBidi"/>
          <w:sz w:val="24"/>
          <w:szCs w:val="24"/>
          <w:lang w:val="en-US"/>
        </w:rPr>
        <w:t xml:space="preserve"> </w:t>
      </w:r>
      <w:r>
        <w:rPr>
          <w:rFonts w:asciiTheme="majorBidi" w:hAnsiTheme="majorBidi" w:cstheme="majorBidi"/>
          <w:sz w:val="24"/>
          <w:szCs w:val="24"/>
          <w:lang w:val="en-US"/>
        </w:rPr>
        <w:t>has been destroyed</w:t>
      </w:r>
      <w:r w:rsidR="004638CB">
        <w:rPr>
          <w:rFonts w:asciiTheme="majorBidi" w:hAnsiTheme="majorBidi" w:cstheme="majorBidi"/>
          <w:sz w:val="24"/>
          <w:szCs w:val="24"/>
          <w:lang w:val="en-US"/>
        </w:rPr>
        <w:t>,</w:t>
      </w:r>
      <w:r w:rsidRPr="00804EBE">
        <w:rPr>
          <w:rFonts w:asciiTheme="majorBidi" w:hAnsiTheme="majorBidi" w:cstheme="majorBidi"/>
          <w:sz w:val="24"/>
          <w:szCs w:val="24"/>
        </w:rPr>
        <w:t xml:space="preserve"> factories</w:t>
      </w:r>
      <w:r>
        <w:rPr>
          <w:rFonts w:asciiTheme="majorBidi" w:hAnsiTheme="majorBidi" w:cstheme="majorBidi"/>
          <w:sz w:val="24"/>
          <w:szCs w:val="24"/>
        </w:rPr>
        <w:t xml:space="preserve"> and</w:t>
      </w:r>
      <w:r w:rsidRPr="00804EBE">
        <w:rPr>
          <w:rFonts w:asciiTheme="majorBidi" w:hAnsiTheme="majorBidi" w:cstheme="majorBidi"/>
          <w:sz w:val="24"/>
          <w:szCs w:val="24"/>
        </w:rPr>
        <w:t xml:space="preserve"> most services have been shut down</w:t>
      </w:r>
      <w:r w:rsidR="004638CB">
        <w:rPr>
          <w:rFonts w:asciiTheme="majorBidi" w:hAnsiTheme="majorBidi" w:cstheme="majorBidi"/>
          <w:sz w:val="24"/>
          <w:szCs w:val="24"/>
        </w:rPr>
        <w:t>,</w:t>
      </w:r>
      <w:r w:rsidRPr="00804EBE">
        <w:rPr>
          <w:rFonts w:asciiTheme="majorBidi" w:hAnsiTheme="majorBidi" w:cstheme="majorBidi"/>
          <w:sz w:val="24"/>
          <w:szCs w:val="24"/>
        </w:rPr>
        <w:t xml:space="preserve"> and the Syrian economy has shifted from a state economy to an informal economy.</w:t>
      </w:r>
    </w:p>
    <w:p w14:paraId="7C1DF414" w14:textId="156BDA4B" w:rsidR="00153B76" w:rsidRPr="00804EBE" w:rsidRDefault="00153B76" w:rsidP="00AA10E8">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It</w:t>
      </w:r>
      <w:r w:rsidRPr="00804EBE">
        <w:rPr>
          <w:rFonts w:asciiTheme="majorBidi" w:hAnsiTheme="majorBidi" w:cstheme="majorBidi"/>
          <w:sz w:val="24"/>
          <w:szCs w:val="24"/>
        </w:rPr>
        <w:t xml:space="preserve"> is difficult to give a precise figure on the cost of the cr</w:t>
      </w:r>
      <w:r>
        <w:rPr>
          <w:rFonts w:asciiTheme="majorBidi" w:hAnsiTheme="majorBidi" w:cstheme="majorBidi"/>
          <w:sz w:val="24"/>
          <w:szCs w:val="24"/>
        </w:rPr>
        <w:t>isis in</w:t>
      </w:r>
      <w:r w:rsidRPr="00804EBE">
        <w:rPr>
          <w:rFonts w:asciiTheme="majorBidi" w:hAnsiTheme="majorBidi" w:cstheme="majorBidi"/>
          <w:sz w:val="24"/>
          <w:szCs w:val="24"/>
        </w:rPr>
        <w:t xml:space="preserve"> Syria since March 2011, </w:t>
      </w:r>
      <w:r>
        <w:rPr>
          <w:rFonts w:asciiTheme="majorBidi" w:hAnsiTheme="majorBidi" w:cstheme="majorBidi"/>
          <w:sz w:val="24"/>
          <w:szCs w:val="24"/>
        </w:rPr>
        <w:t>which may</w:t>
      </w:r>
      <w:r w:rsidR="0003542C">
        <w:rPr>
          <w:rFonts w:asciiTheme="majorBidi" w:hAnsiTheme="majorBidi" w:cstheme="majorBidi"/>
          <w:sz w:val="24"/>
          <w:szCs w:val="24"/>
        </w:rPr>
        <w:t xml:space="preserve"> continue to</w:t>
      </w:r>
      <w:r>
        <w:rPr>
          <w:rFonts w:asciiTheme="majorBidi" w:hAnsiTheme="majorBidi" w:cstheme="majorBidi"/>
          <w:sz w:val="24"/>
          <w:szCs w:val="24"/>
        </w:rPr>
        <w:t xml:space="preserve"> increase, </w:t>
      </w:r>
      <w:r w:rsidRPr="00804EBE">
        <w:rPr>
          <w:rFonts w:asciiTheme="majorBidi" w:hAnsiTheme="majorBidi" w:cstheme="majorBidi"/>
          <w:sz w:val="24"/>
          <w:szCs w:val="24"/>
        </w:rPr>
        <w:t xml:space="preserve">as the crisis </w:t>
      </w:r>
      <w:r>
        <w:rPr>
          <w:rFonts w:asciiTheme="majorBidi" w:hAnsiTheme="majorBidi" w:cstheme="majorBidi"/>
          <w:sz w:val="24"/>
          <w:szCs w:val="24"/>
        </w:rPr>
        <w:t xml:space="preserve">is not </w:t>
      </w:r>
      <w:r w:rsidRPr="00804EBE">
        <w:rPr>
          <w:rFonts w:asciiTheme="majorBidi" w:hAnsiTheme="majorBidi" w:cstheme="majorBidi"/>
          <w:sz w:val="24"/>
          <w:szCs w:val="24"/>
        </w:rPr>
        <w:t>over</w:t>
      </w:r>
      <w:r>
        <w:rPr>
          <w:rFonts w:asciiTheme="majorBidi" w:hAnsiTheme="majorBidi" w:cstheme="majorBidi"/>
          <w:sz w:val="24"/>
          <w:szCs w:val="24"/>
        </w:rPr>
        <w:t xml:space="preserve"> yet</w:t>
      </w:r>
      <w:r w:rsidRPr="00804EBE">
        <w:rPr>
          <w:rFonts w:asciiTheme="majorBidi" w:hAnsiTheme="majorBidi" w:cstheme="majorBidi"/>
          <w:sz w:val="24"/>
          <w:szCs w:val="24"/>
        </w:rPr>
        <w:t>, not to mention the inability to count the current damage to infrastructure and thousands of residential, commercial</w:t>
      </w:r>
      <w:r w:rsidR="0003542C">
        <w:rPr>
          <w:rFonts w:asciiTheme="majorBidi" w:hAnsiTheme="majorBidi" w:cstheme="majorBidi"/>
          <w:sz w:val="24"/>
          <w:szCs w:val="24"/>
        </w:rPr>
        <w:t>,</w:t>
      </w:r>
      <w:r w:rsidRPr="00804EBE">
        <w:rPr>
          <w:rFonts w:asciiTheme="majorBidi" w:hAnsiTheme="majorBidi" w:cstheme="majorBidi"/>
          <w:sz w:val="24"/>
          <w:szCs w:val="24"/>
        </w:rPr>
        <w:t xml:space="preserve"> and industrial facilities.</w:t>
      </w:r>
    </w:p>
    <w:p w14:paraId="24298B58" w14:textId="20413532" w:rsidR="00153B76" w:rsidRPr="00804EBE" w:rsidRDefault="00153B76" w:rsidP="00AA10E8">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ESCWA </w:t>
      </w:r>
      <w:r w:rsidRPr="00804EBE">
        <w:rPr>
          <w:rFonts w:asciiTheme="majorBidi" w:hAnsiTheme="majorBidi" w:cstheme="majorBidi"/>
          <w:sz w:val="24"/>
          <w:szCs w:val="24"/>
        </w:rPr>
        <w:t>estimated</w:t>
      </w:r>
      <w:r>
        <w:rPr>
          <w:rFonts w:asciiTheme="majorBidi" w:hAnsiTheme="majorBidi" w:cstheme="majorBidi"/>
          <w:sz w:val="24"/>
          <w:szCs w:val="24"/>
        </w:rPr>
        <w:t xml:space="preserve"> the scale</w:t>
      </w:r>
      <w:r w:rsidRPr="00804EBE">
        <w:rPr>
          <w:rFonts w:asciiTheme="majorBidi" w:hAnsiTheme="majorBidi" w:cstheme="majorBidi"/>
          <w:sz w:val="24"/>
          <w:szCs w:val="24"/>
        </w:rPr>
        <w:t xml:space="preserve"> of destruction in physical capita</w:t>
      </w:r>
      <w:r>
        <w:rPr>
          <w:rFonts w:asciiTheme="majorBidi" w:hAnsiTheme="majorBidi" w:cstheme="majorBidi"/>
          <w:sz w:val="24"/>
          <w:szCs w:val="24"/>
        </w:rPr>
        <w:t xml:space="preserve">l and its sectoral distribution </w:t>
      </w:r>
      <w:r w:rsidRPr="00804EBE">
        <w:rPr>
          <w:rFonts w:asciiTheme="majorBidi" w:hAnsiTheme="majorBidi" w:cstheme="majorBidi"/>
          <w:sz w:val="24"/>
          <w:szCs w:val="24"/>
        </w:rPr>
        <w:t xml:space="preserve">at more than $388 </w:t>
      </w:r>
      <w:r>
        <w:rPr>
          <w:rFonts w:asciiTheme="majorBidi" w:hAnsiTheme="majorBidi" w:cstheme="majorBidi"/>
          <w:sz w:val="24"/>
          <w:szCs w:val="24"/>
        </w:rPr>
        <w:t>bn</w:t>
      </w:r>
      <w:r w:rsidRPr="00804EBE">
        <w:rPr>
          <w:rFonts w:asciiTheme="majorBidi" w:hAnsiTheme="majorBidi" w:cstheme="majorBidi"/>
          <w:sz w:val="24"/>
          <w:szCs w:val="24"/>
        </w:rPr>
        <w:t>. However, statistics from local authorities</w:t>
      </w:r>
      <w:r>
        <w:rPr>
          <w:rFonts w:asciiTheme="majorBidi" w:hAnsiTheme="majorBidi" w:cstheme="majorBidi"/>
          <w:sz w:val="24"/>
          <w:szCs w:val="24"/>
        </w:rPr>
        <w:t>,</w:t>
      </w:r>
      <w:r w:rsidRPr="00804EBE">
        <w:rPr>
          <w:rFonts w:asciiTheme="majorBidi" w:hAnsiTheme="majorBidi" w:cstheme="majorBidi"/>
          <w:sz w:val="24"/>
          <w:szCs w:val="24"/>
        </w:rPr>
        <w:t xml:space="preserve"> research </w:t>
      </w:r>
      <w:r w:rsidR="00AF071E" w:rsidRPr="00804EBE">
        <w:rPr>
          <w:rFonts w:asciiTheme="majorBidi" w:hAnsiTheme="majorBidi" w:cstheme="majorBidi"/>
          <w:sz w:val="24"/>
          <w:szCs w:val="24"/>
        </w:rPr>
        <w:t>cent</w:t>
      </w:r>
      <w:r w:rsidR="00AF071E">
        <w:rPr>
          <w:rFonts w:asciiTheme="majorBidi" w:hAnsiTheme="majorBidi" w:cstheme="majorBidi"/>
          <w:sz w:val="24"/>
          <w:szCs w:val="24"/>
        </w:rPr>
        <w:t>res</w:t>
      </w:r>
      <w:r w:rsidR="008F47F6">
        <w:rPr>
          <w:rFonts w:asciiTheme="majorBidi" w:hAnsiTheme="majorBidi" w:cstheme="majorBidi"/>
          <w:sz w:val="24"/>
          <w:szCs w:val="24"/>
        </w:rPr>
        <w:t>, and</w:t>
      </w:r>
      <w:r w:rsidR="00687FA6">
        <w:rPr>
          <w:rFonts w:asciiTheme="majorBidi" w:hAnsiTheme="majorBidi" w:cstheme="majorBidi"/>
          <w:sz w:val="24"/>
          <w:szCs w:val="24"/>
        </w:rPr>
        <w:t xml:space="preserve"> </w:t>
      </w:r>
      <w:r w:rsidRPr="00804EBE">
        <w:rPr>
          <w:rFonts w:asciiTheme="majorBidi" w:hAnsiTheme="majorBidi" w:cstheme="majorBidi"/>
          <w:sz w:val="24"/>
          <w:szCs w:val="24"/>
        </w:rPr>
        <w:t>international organi</w:t>
      </w:r>
      <w:r w:rsidR="0008719D">
        <w:rPr>
          <w:rFonts w:asciiTheme="majorBidi" w:hAnsiTheme="majorBidi" w:cstheme="majorBidi"/>
          <w:sz w:val="24"/>
          <w:szCs w:val="24"/>
        </w:rPr>
        <w:t>s</w:t>
      </w:r>
      <w:r w:rsidRPr="00804EBE">
        <w:rPr>
          <w:rFonts w:asciiTheme="majorBidi" w:hAnsiTheme="majorBidi" w:cstheme="majorBidi"/>
          <w:sz w:val="24"/>
          <w:szCs w:val="24"/>
        </w:rPr>
        <w:t xml:space="preserve">ations </w:t>
      </w:r>
      <w:r>
        <w:rPr>
          <w:rFonts w:asciiTheme="majorBidi" w:hAnsiTheme="majorBidi" w:cstheme="majorBidi"/>
          <w:sz w:val="24"/>
          <w:szCs w:val="24"/>
        </w:rPr>
        <w:t>show</w:t>
      </w:r>
      <w:r w:rsidRPr="00804EBE">
        <w:rPr>
          <w:rFonts w:asciiTheme="majorBidi" w:hAnsiTheme="majorBidi" w:cstheme="majorBidi"/>
          <w:sz w:val="24"/>
          <w:szCs w:val="24"/>
        </w:rPr>
        <w:t xml:space="preserve"> that the cost of the war on Syria is more than $400 </w:t>
      </w:r>
      <w:r>
        <w:rPr>
          <w:rFonts w:asciiTheme="majorBidi" w:hAnsiTheme="majorBidi" w:cstheme="majorBidi"/>
          <w:sz w:val="24"/>
          <w:szCs w:val="24"/>
        </w:rPr>
        <w:t>bn</w:t>
      </w:r>
      <w:r w:rsidRPr="00804EBE">
        <w:rPr>
          <w:rFonts w:asciiTheme="majorBidi" w:hAnsiTheme="majorBidi" w:cstheme="majorBidi"/>
          <w:sz w:val="24"/>
          <w:szCs w:val="24"/>
        </w:rPr>
        <w:t xml:space="preserve">, this amount is </w:t>
      </w:r>
      <w:r>
        <w:rPr>
          <w:rFonts w:asciiTheme="majorBidi" w:hAnsiTheme="majorBidi" w:cstheme="majorBidi"/>
          <w:sz w:val="24"/>
          <w:szCs w:val="24"/>
        </w:rPr>
        <w:t>more than</w:t>
      </w:r>
      <w:r w:rsidRPr="00804EBE">
        <w:rPr>
          <w:rFonts w:asciiTheme="majorBidi" w:hAnsiTheme="majorBidi" w:cstheme="majorBidi"/>
          <w:sz w:val="24"/>
          <w:szCs w:val="24"/>
        </w:rPr>
        <w:t xml:space="preserve"> seven times the GDP of Syria in 2010 ($60.2 </w:t>
      </w:r>
      <w:r>
        <w:rPr>
          <w:rFonts w:asciiTheme="majorBidi" w:hAnsiTheme="majorBidi" w:cstheme="majorBidi"/>
          <w:sz w:val="24"/>
          <w:szCs w:val="24"/>
        </w:rPr>
        <w:t>bn</w:t>
      </w:r>
      <w:r w:rsidRPr="00804EBE">
        <w:rPr>
          <w:rFonts w:asciiTheme="majorBidi" w:hAnsiTheme="majorBidi" w:cstheme="majorBidi"/>
          <w:sz w:val="24"/>
          <w:szCs w:val="24"/>
        </w:rPr>
        <w:t>), the year before the crisis, which later led to a contraction of GDP of more than 60%.</w:t>
      </w:r>
    </w:p>
    <w:p w14:paraId="68D36DFB" w14:textId="1897C0B7" w:rsidR="00153B76" w:rsidRPr="00804EBE" w:rsidRDefault="00B92572" w:rsidP="00AA10E8">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To</w:t>
      </w:r>
      <w:r w:rsidR="00153B76" w:rsidRPr="00804EBE">
        <w:rPr>
          <w:rFonts w:asciiTheme="majorBidi" w:hAnsiTheme="majorBidi" w:cstheme="majorBidi"/>
          <w:sz w:val="24"/>
          <w:szCs w:val="24"/>
        </w:rPr>
        <w:t xml:space="preserve"> move to </w:t>
      </w:r>
      <w:r>
        <w:rPr>
          <w:rFonts w:asciiTheme="majorBidi" w:hAnsiTheme="majorBidi" w:cstheme="majorBidi"/>
          <w:sz w:val="24"/>
          <w:szCs w:val="24"/>
        </w:rPr>
        <w:t>the</w:t>
      </w:r>
      <w:r w:rsidR="00153B76" w:rsidRPr="00804EBE">
        <w:rPr>
          <w:rFonts w:asciiTheme="majorBidi" w:hAnsiTheme="majorBidi" w:cstheme="majorBidi"/>
          <w:sz w:val="24"/>
          <w:szCs w:val="24"/>
        </w:rPr>
        <w:t xml:space="preserve"> new political and economic stage (stage of reconstruction)</w:t>
      </w:r>
      <w:r w:rsidR="004638CB">
        <w:rPr>
          <w:rFonts w:asciiTheme="majorBidi" w:hAnsiTheme="majorBidi" w:cstheme="majorBidi"/>
          <w:sz w:val="24"/>
          <w:szCs w:val="24"/>
        </w:rPr>
        <w:t>.</w:t>
      </w:r>
      <w:r w:rsidR="00153B76" w:rsidRPr="00804EBE">
        <w:rPr>
          <w:rFonts w:asciiTheme="majorBidi" w:hAnsiTheme="majorBidi" w:cstheme="majorBidi"/>
          <w:sz w:val="24"/>
          <w:szCs w:val="24"/>
        </w:rPr>
        <w:t xml:space="preserve"> </w:t>
      </w:r>
      <w:r w:rsidR="004638CB">
        <w:rPr>
          <w:rFonts w:asciiTheme="majorBidi" w:hAnsiTheme="majorBidi" w:cstheme="majorBidi"/>
          <w:sz w:val="24"/>
          <w:szCs w:val="24"/>
        </w:rPr>
        <w:t>T</w:t>
      </w:r>
      <w:r w:rsidR="00153B76" w:rsidRPr="00804EBE">
        <w:rPr>
          <w:rFonts w:asciiTheme="majorBidi" w:hAnsiTheme="majorBidi" w:cstheme="majorBidi"/>
          <w:sz w:val="24"/>
          <w:szCs w:val="24"/>
        </w:rPr>
        <w:t xml:space="preserve">he post-crisis planners in Syria face many questions </w:t>
      </w:r>
      <w:r w:rsidR="00637269">
        <w:rPr>
          <w:rFonts w:asciiTheme="majorBidi" w:hAnsiTheme="majorBidi" w:cstheme="majorBidi"/>
          <w:sz w:val="24"/>
          <w:szCs w:val="24"/>
        </w:rPr>
        <w:t>that</w:t>
      </w:r>
      <w:r w:rsidR="00153B76" w:rsidRPr="00804EBE">
        <w:rPr>
          <w:rFonts w:asciiTheme="majorBidi" w:hAnsiTheme="majorBidi" w:cstheme="majorBidi"/>
          <w:sz w:val="24"/>
          <w:szCs w:val="24"/>
        </w:rPr>
        <w:t xml:space="preserve"> revolve around the nature, foundations, objectives</w:t>
      </w:r>
      <w:r w:rsidR="00153B76">
        <w:rPr>
          <w:rFonts w:asciiTheme="majorBidi" w:hAnsiTheme="majorBidi" w:cstheme="majorBidi"/>
          <w:sz w:val="24"/>
          <w:szCs w:val="24"/>
        </w:rPr>
        <w:t>,</w:t>
      </w:r>
      <w:r w:rsidR="00153B76" w:rsidRPr="00804EBE">
        <w:rPr>
          <w:rFonts w:asciiTheme="majorBidi" w:hAnsiTheme="majorBidi" w:cstheme="majorBidi"/>
          <w:sz w:val="24"/>
          <w:szCs w:val="24"/>
        </w:rPr>
        <w:t xml:space="preserve"> and scope of the reconstruction process and its key participants</w:t>
      </w:r>
      <w:r w:rsidR="004638CB">
        <w:rPr>
          <w:rFonts w:asciiTheme="majorBidi" w:hAnsiTheme="majorBidi" w:cstheme="majorBidi"/>
          <w:sz w:val="24"/>
          <w:szCs w:val="24"/>
        </w:rPr>
        <w:t>.</w:t>
      </w:r>
      <w:r w:rsidR="00153B76" w:rsidRPr="00804EBE">
        <w:rPr>
          <w:rFonts w:asciiTheme="majorBidi" w:hAnsiTheme="majorBidi" w:cstheme="majorBidi"/>
          <w:sz w:val="24"/>
          <w:szCs w:val="24"/>
        </w:rPr>
        <w:t xml:space="preserve"> </w:t>
      </w:r>
      <w:r w:rsidR="00637269" w:rsidRPr="00637269">
        <w:rPr>
          <w:rFonts w:asciiTheme="majorBidi" w:hAnsiTheme="majorBidi" w:cstheme="majorBidi"/>
          <w:sz w:val="24"/>
          <w:szCs w:val="24"/>
        </w:rPr>
        <w:t xml:space="preserve">One of the most critical questions is how to finance the reconstruction process and what resources are available to the Syrian government to undertake such </w:t>
      </w:r>
      <w:r w:rsidR="003E6755" w:rsidRPr="003E6755">
        <w:rPr>
          <w:rFonts w:asciiTheme="majorBidi" w:hAnsiTheme="majorBidi" w:cstheme="majorBidi"/>
          <w:sz w:val="24"/>
          <w:szCs w:val="24"/>
        </w:rPr>
        <w:t>an enormous</w:t>
      </w:r>
      <w:r w:rsidR="003E6755">
        <w:rPr>
          <w:rFonts w:asciiTheme="majorBidi" w:hAnsiTheme="majorBidi" w:cstheme="majorBidi"/>
          <w:sz w:val="24"/>
          <w:szCs w:val="24"/>
        </w:rPr>
        <w:t xml:space="preserve"> </w:t>
      </w:r>
      <w:r w:rsidR="00637269" w:rsidRPr="00637269">
        <w:rPr>
          <w:rFonts w:asciiTheme="majorBidi" w:hAnsiTheme="majorBidi" w:cstheme="majorBidi"/>
          <w:sz w:val="24"/>
          <w:szCs w:val="24"/>
        </w:rPr>
        <w:t>project</w:t>
      </w:r>
      <w:r w:rsidR="00153B76" w:rsidRPr="00804EBE">
        <w:rPr>
          <w:rFonts w:asciiTheme="majorBidi" w:hAnsiTheme="majorBidi" w:cstheme="majorBidi"/>
          <w:sz w:val="24"/>
          <w:szCs w:val="24"/>
        </w:rPr>
        <w:t>.</w:t>
      </w:r>
    </w:p>
    <w:p w14:paraId="122F2D2C" w14:textId="1CDBF16F" w:rsidR="00153B76" w:rsidRPr="00804EBE" w:rsidRDefault="00153B76" w:rsidP="00AA10E8">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w:t>
      </w:r>
      <w:r w:rsidRPr="00804EBE">
        <w:rPr>
          <w:rFonts w:asciiTheme="majorBidi" w:hAnsiTheme="majorBidi" w:cstheme="majorBidi"/>
          <w:sz w:val="24"/>
          <w:szCs w:val="24"/>
        </w:rPr>
        <w:t>n light of the limited internal options related to the ability to secure</w:t>
      </w:r>
      <w:r w:rsidR="0003542C">
        <w:rPr>
          <w:rFonts w:asciiTheme="majorBidi" w:hAnsiTheme="majorBidi" w:cstheme="majorBidi"/>
          <w:sz w:val="24"/>
          <w:szCs w:val="24"/>
        </w:rPr>
        <w:t xml:space="preserve"> financial</w:t>
      </w:r>
      <w:r w:rsidRPr="00804EBE">
        <w:rPr>
          <w:rFonts w:asciiTheme="majorBidi" w:hAnsiTheme="majorBidi" w:cstheme="majorBidi"/>
          <w:sz w:val="24"/>
          <w:szCs w:val="24"/>
        </w:rPr>
        <w:t xml:space="preserve"> sources, </w:t>
      </w:r>
      <w:r>
        <w:rPr>
          <w:rFonts w:asciiTheme="majorBidi" w:hAnsiTheme="majorBidi" w:cstheme="majorBidi"/>
          <w:sz w:val="24"/>
          <w:szCs w:val="24"/>
        </w:rPr>
        <w:t xml:space="preserve">the </w:t>
      </w:r>
      <w:r w:rsidRPr="00804EBE">
        <w:rPr>
          <w:rFonts w:asciiTheme="majorBidi" w:hAnsiTheme="majorBidi" w:cstheme="majorBidi"/>
          <w:sz w:val="24"/>
          <w:szCs w:val="24"/>
        </w:rPr>
        <w:t xml:space="preserve">Syrian government may adopt a </w:t>
      </w:r>
      <w:r>
        <w:rPr>
          <w:rFonts w:asciiTheme="majorBidi" w:hAnsiTheme="majorBidi" w:cstheme="majorBidi"/>
          <w:sz w:val="24"/>
          <w:szCs w:val="24"/>
        </w:rPr>
        <w:t>mechanism</w:t>
      </w:r>
      <w:r w:rsidRPr="00804EBE">
        <w:rPr>
          <w:rFonts w:asciiTheme="majorBidi" w:hAnsiTheme="majorBidi" w:cstheme="majorBidi"/>
          <w:sz w:val="24"/>
          <w:szCs w:val="24"/>
        </w:rPr>
        <w:t xml:space="preserve"> called </w:t>
      </w:r>
      <w:r w:rsidR="00AF071E">
        <w:rPr>
          <w:rFonts w:asciiTheme="majorBidi" w:hAnsiTheme="majorBidi" w:cstheme="majorBidi"/>
          <w:sz w:val="24"/>
          <w:szCs w:val="24"/>
        </w:rPr>
        <w:t>“</w:t>
      </w:r>
      <w:r w:rsidRPr="00804EBE">
        <w:rPr>
          <w:rFonts w:asciiTheme="majorBidi" w:hAnsiTheme="majorBidi" w:cstheme="majorBidi"/>
          <w:sz w:val="24"/>
          <w:szCs w:val="24"/>
        </w:rPr>
        <w:t>project finance</w:t>
      </w:r>
      <w:r w:rsidR="00AF071E">
        <w:rPr>
          <w:rFonts w:asciiTheme="majorBidi" w:hAnsiTheme="majorBidi" w:cstheme="majorBidi"/>
          <w:sz w:val="24"/>
          <w:szCs w:val="24"/>
        </w:rPr>
        <w:t>”</w:t>
      </w:r>
      <w:r w:rsidRPr="00804EBE">
        <w:rPr>
          <w:rFonts w:asciiTheme="majorBidi" w:hAnsiTheme="majorBidi" w:cstheme="majorBidi"/>
          <w:sz w:val="24"/>
          <w:szCs w:val="24"/>
        </w:rPr>
        <w:t>.</w:t>
      </w:r>
    </w:p>
    <w:p w14:paraId="4B8F9EA6" w14:textId="77777777" w:rsidR="000716AE" w:rsidRDefault="00153B76" w:rsidP="00AA10E8">
      <w:pPr>
        <w:suppressAutoHyphens/>
        <w:spacing w:line="360" w:lineRule="auto"/>
        <w:ind w:firstLine="567"/>
        <w:jc w:val="both"/>
        <w:rPr>
          <w:rFonts w:ascii="Times New Roman" w:hAnsi="Times New Roman" w:cs="Times New Roman"/>
          <w:sz w:val="24"/>
          <w:szCs w:val="24"/>
        </w:rPr>
      </w:pPr>
      <w:r w:rsidRPr="000E5080">
        <w:rPr>
          <w:rFonts w:ascii="Times New Roman" w:hAnsi="Times New Roman" w:cs="Times New Roman"/>
          <w:sz w:val="24"/>
          <w:szCs w:val="24"/>
        </w:rPr>
        <w:t>Despite the increasing trend in using project finance in the world, published empirical studies on the topic are limited.</w:t>
      </w:r>
      <w:r w:rsidRPr="000E5080">
        <w:rPr>
          <w:rStyle w:val="FootnoteReference"/>
          <w:rFonts w:ascii="Times New Roman" w:hAnsi="Times New Roman" w:cs="Times New Roman"/>
          <w:sz w:val="24"/>
          <w:szCs w:val="24"/>
        </w:rPr>
        <w:footnoteReference w:id="1"/>
      </w:r>
      <w:r w:rsidRPr="000E5080">
        <w:rPr>
          <w:rFonts w:ascii="Times New Roman" w:hAnsi="Times New Roman" w:cs="Times New Roman"/>
          <w:sz w:val="24"/>
          <w:szCs w:val="24"/>
        </w:rPr>
        <w:t xml:space="preserve"> The majority of these published articles and working papers are theoretical rather than practical studies, focusing primarily on a detailed examination of </w:t>
      </w:r>
      <w:r w:rsidR="00B92572" w:rsidRPr="000E5080">
        <w:rPr>
          <w:rFonts w:ascii="Times New Roman" w:hAnsi="Times New Roman" w:cs="Times New Roman"/>
          <w:sz w:val="24"/>
          <w:szCs w:val="24"/>
        </w:rPr>
        <w:t xml:space="preserve">narrow </w:t>
      </w:r>
      <w:r w:rsidRPr="000E5080">
        <w:rPr>
          <w:rFonts w:ascii="Times New Roman" w:hAnsi="Times New Roman" w:cs="Times New Roman"/>
          <w:sz w:val="24"/>
          <w:szCs w:val="24"/>
        </w:rPr>
        <w:t>individual aspects such as risk management, types of interaction schemes used between participants, contractual framework, and credit structure.</w:t>
      </w:r>
    </w:p>
    <w:p w14:paraId="7F15770D" w14:textId="29B2CDD8" w:rsidR="00153B76" w:rsidRPr="000716AE" w:rsidRDefault="00153B76" w:rsidP="00AA10E8">
      <w:pPr>
        <w:suppressAutoHyphens/>
        <w:spacing w:line="360" w:lineRule="auto"/>
        <w:ind w:firstLine="567"/>
        <w:jc w:val="both"/>
        <w:rPr>
          <w:rFonts w:ascii="Times New Roman" w:hAnsi="Times New Roman" w:cs="Times New Roman"/>
          <w:sz w:val="24"/>
          <w:szCs w:val="24"/>
        </w:rPr>
      </w:pPr>
      <w:r w:rsidRPr="00804EBE">
        <w:rPr>
          <w:rFonts w:asciiTheme="majorBidi" w:hAnsiTheme="majorBidi" w:cstheme="majorBidi"/>
          <w:sz w:val="24"/>
          <w:szCs w:val="24"/>
        </w:rPr>
        <w:t xml:space="preserve">This thesis investigates the role of project finance as a driver of economic growth; it is beneficial to the least developed economies as it </w:t>
      </w:r>
      <w:r>
        <w:rPr>
          <w:rFonts w:asciiTheme="majorBidi" w:hAnsiTheme="majorBidi" w:cstheme="majorBidi"/>
          <w:sz w:val="24"/>
          <w:szCs w:val="24"/>
        </w:rPr>
        <w:t>can</w:t>
      </w:r>
      <w:r w:rsidRPr="00804EBE">
        <w:rPr>
          <w:rFonts w:asciiTheme="majorBidi" w:hAnsiTheme="majorBidi" w:cstheme="majorBidi"/>
          <w:sz w:val="24"/>
          <w:szCs w:val="24"/>
        </w:rPr>
        <w:t xml:space="preserve"> compensate for </w:t>
      </w:r>
      <w:r w:rsidR="008C680D">
        <w:rPr>
          <w:rFonts w:asciiTheme="majorBidi" w:hAnsiTheme="majorBidi" w:cstheme="majorBidi"/>
          <w:sz w:val="24"/>
          <w:szCs w:val="24"/>
        </w:rPr>
        <w:t>the</w:t>
      </w:r>
      <w:r w:rsidRPr="00804EBE">
        <w:rPr>
          <w:rFonts w:asciiTheme="majorBidi" w:hAnsiTheme="majorBidi" w:cstheme="majorBidi"/>
          <w:sz w:val="24"/>
          <w:szCs w:val="24"/>
        </w:rPr>
        <w:t xml:space="preserve"> lack of domestic financial </w:t>
      </w:r>
      <w:r w:rsidRPr="00804EBE">
        <w:rPr>
          <w:rFonts w:asciiTheme="majorBidi" w:hAnsiTheme="majorBidi" w:cstheme="majorBidi"/>
          <w:sz w:val="24"/>
          <w:szCs w:val="24"/>
        </w:rPr>
        <w:lastRenderedPageBreak/>
        <w:t>development.</w:t>
      </w:r>
      <w:r w:rsidRPr="00804EBE">
        <w:rPr>
          <w:rFonts w:asciiTheme="majorBidi" w:hAnsiTheme="majorBidi" w:cstheme="majorBidi"/>
          <w:sz w:val="24"/>
          <w:szCs w:val="24"/>
          <w:vertAlign w:val="superscript"/>
        </w:rPr>
        <w:footnoteReference w:id="2"/>
      </w:r>
      <w:r w:rsidRPr="00804EBE">
        <w:rPr>
          <w:rFonts w:asciiTheme="majorBidi" w:hAnsiTheme="majorBidi" w:cstheme="majorBidi"/>
          <w:sz w:val="24"/>
          <w:szCs w:val="24"/>
        </w:rPr>
        <w:t xml:space="preserve"> </w:t>
      </w:r>
      <w:r w:rsidR="00637269" w:rsidRPr="00637269">
        <w:rPr>
          <w:rFonts w:asciiTheme="majorBidi" w:hAnsiTheme="majorBidi" w:cstheme="majorBidi"/>
          <w:sz w:val="24"/>
          <w:szCs w:val="24"/>
        </w:rPr>
        <w:t>Over the years, project finance proved to be one of the innovative techniques in bridging the resource constraints faced by most governments in financing large developmental investments.</w:t>
      </w:r>
    </w:p>
    <w:p w14:paraId="75851A97" w14:textId="1098FB96" w:rsidR="00153B76" w:rsidRPr="00940D18" w:rsidRDefault="00153B76" w:rsidP="00AA10E8">
      <w:pPr>
        <w:suppressAutoHyphens/>
        <w:spacing w:line="360" w:lineRule="auto"/>
        <w:ind w:firstLine="567"/>
        <w:jc w:val="both"/>
        <w:rPr>
          <w:rFonts w:ascii="Times New Roman" w:hAnsi="Times New Roman" w:cs="Times New Roman"/>
          <w:sz w:val="24"/>
          <w:szCs w:val="24"/>
        </w:rPr>
      </w:pPr>
      <w:r w:rsidRPr="00804EBE">
        <w:rPr>
          <w:rFonts w:asciiTheme="majorBidi" w:hAnsiTheme="majorBidi" w:cstheme="majorBidi"/>
          <w:sz w:val="24"/>
          <w:szCs w:val="24"/>
        </w:rPr>
        <w:t>Project ﬁnance is unique in its contractual structure</w:t>
      </w:r>
      <w:r w:rsidR="008C680D">
        <w:rPr>
          <w:rFonts w:asciiTheme="majorBidi" w:hAnsiTheme="majorBidi" w:cstheme="majorBidi"/>
          <w:sz w:val="24"/>
          <w:szCs w:val="24"/>
        </w:rPr>
        <w:t>;</w:t>
      </w:r>
      <w:r w:rsidR="0003542C">
        <w:rPr>
          <w:rFonts w:asciiTheme="majorBidi" w:hAnsiTheme="majorBidi" w:cstheme="majorBidi"/>
          <w:sz w:val="24"/>
          <w:szCs w:val="24"/>
        </w:rPr>
        <w:t xml:space="preserve"> </w:t>
      </w:r>
      <w:r w:rsidRPr="00804EBE">
        <w:rPr>
          <w:rFonts w:asciiTheme="majorBidi" w:hAnsiTheme="majorBidi" w:cstheme="majorBidi"/>
          <w:sz w:val="24"/>
          <w:szCs w:val="24"/>
        </w:rPr>
        <w:t>it can substitute for underdeveloped ﬁnancial markets. It is an efficient way to fund capital-intensive and strategically important projects such as long-term infrastructure, industrial, or public services</w:t>
      </w:r>
      <w:r w:rsidR="0003542C">
        <w:rPr>
          <w:rFonts w:asciiTheme="majorBidi" w:hAnsiTheme="majorBidi" w:cstheme="majorBidi"/>
          <w:sz w:val="24"/>
          <w:szCs w:val="24"/>
        </w:rPr>
        <w:t xml:space="preserve"> projects</w:t>
      </w:r>
      <w:r w:rsidRPr="00804EBE">
        <w:rPr>
          <w:rFonts w:asciiTheme="majorBidi" w:hAnsiTheme="majorBidi" w:cstheme="majorBidi"/>
          <w:sz w:val="24"/>
          <w:szCs w:val="24"/>
        </w:rPr>
        <w:t>. This financing method often funds the development of energy, natural resource, and social infrastructure assets, as well as the provision of associated public services.</w:t>
      </w:r>
      <w:r>
        <w:rPr>
          <w:rFonts w:asciiTheme="majorBidi" w:hAnsiTheme="majorBidi" w:cstheme="majorBidi"/>
          <w:sz w:val="24"/>
          <w:szCs w:val="24"/>
        </w:rPr>
        <w:t xml:space="preserve"> </w:t>
      </w:r>
      <w:r w:rsidRPr="00940D18">
        <w:rPr>
          <w:rFonts w:ascii="Times New Roman" w:hAnsi="Times New Roman" w:cs="Times New Roman"/>
          <w:sz w:val="24"/>
          <w:szCs w:val="24"/>
        </w:rPr>
        <w:t xml:space="preserve">Kleimeier and Megginson indicated that project finance is mainly used in infrastructure and the </w:t>
      </w:r>
      <w:r>
        <w:rPr>
          <w:rFonts w:ascii="Times New Roman" w:hAnsi="Times New Roman" w:cs="Times New Roman"/>
          <w:sz w:val="24"/>
          <w:szCs w:val="24"/>
        </w:rPr>
        <w:t>utility</w:t>
      </w:r>
      <w:r w:rsidRPr="00940D18">
        <w:rPr>
          <w:rFonts w:ascii="Times New Roman" w:hAnsi="Times New Roman" w:cs="Times New Roman"/>
          <w:sz w:val="24"/>
          <w:szCs w:val="24"/>
        </w:rPr>
        <w:t xml:space="preserve"> sector, where it is </w:t>
      </w:r>
      <w:r w:rsidR="005E513A">
        <w:rPr>
          <w:rFonts w:ascii="Times New Roman" w:hAnsi="Times New Roman" w:cs="Times New Roman"/>
          <w:sz w:val="24"/>
          <w:szCs w:val="24"/>
        </w:rPr>
        <w:t>easy</w:t>
      </w:r>
      <w:r w:rsidRPr="00940D18">
        <w:rPr>
          <w:rFonts w:ascii="Times New Roman" w:hAnsi="Times New Roman" w:cs="Times New Roman"/>
          <w:sz w:val="24"/>
          <w:szCs w:val="24"/>
        </w:rPr>
        <w:t xml:space="preserve"> to create project structures with identified cash flow streams.</w:t>
      </w:r>
      <w:r w:rsidRPr="00940D18">
        <w:rPr>
          <w:rStyle w:val="FootnoteReference"/>
          <w:rFonts w:ascii="Times New Roman" w:hAnsi="Times New Roman" w:cs="Times New Roman"/>
          <w:sz w:val="24"/>
          <w:szCs w:val="24"/>
        </w:rPr>
        <w:footnoteReference w:id="3"/>
      </w:r>
      <w:r w:rsidRPr="00940D18">
        <w:rPr>
          <w:rFonts w:ascii="Times New Roman" w:hAnsi="Times New Roman" w:cs="Times New Roman"/>
          <w:sz w:val="24"/>
          <w:szCs w:val="24"/>
        </w:rPr>
        <w:t xml:space="preserve">  </w:t>
      </w:r>
      <w:r w:rsidR="00FA06D5" w:rsidRPr="00FA06D5">
        <w:rPr>
          <w:rFonts w:ascii="Times New Roman" w:hAnsi="Times New Roman" w:cs="Times New Roman"/>
          <w:sz w:val="24"/>
          <w:szCs w:val="24"/>
        </w:rPr>
        <w:t>H. Davis' work comprises 38 case studies of project financing covering power, water, resources, and infrastructure projects in various countries, which illustrate different aspects of project finance across the world</w:t>
      </w:r>
      <w:r w:rsidRPr="00940D18">
        <w:rPr>
          <w:rFonts w:ascii="Times New Roman" w:hAnsi="Times New Roman" w:cs="Times New Roman"/>
          <w:sz w:val="24"/>
          <w:szCs w:val="24"/>
        </w:rPr>
        <w:t>.</w:t>
      </w:r>
      <w:r w:rsidRPr="00940D18">
        <w:rPr>
          <w:rStyle w:val="FootnoteReference"/>
          <w:rFonts w:ascii="Times New Roman" w:hAnsi="Times New Roman" w:cs="Times New Roman"/>
          <w:sz w:val="24"/>
          <w:szCs w:val="24"/>
        </w:rPr>
        <w:footnoteReference w:id="4"/>
      </w:r>
    </w:p>
    <w:p w14:paraId="0E5A1037" w14:textId="4102BA9C" w:rsidR="00153B76" w:rsidRDefault="00153B76" w:rsidP="00AA10E8">
      <w:pPr>
        <w:suppressAutoHyphens/>
        <w:spacing w:line="360" w:lineRule="auto"/>
        <w:ind w:firstLine="567"/>
        <w:jc w:val="both"/>
        <w:rPr>
          <w:rFonts w:asciiTheme="majorBidi" w:hAnsiTheme="majorBidi" w:cstheme="majorBidi"/>
          <w:sz w:val="24"/>
          <w:szCs w:val="24"/>
        </w:rPr>
      </w:pPr>
      <w:r w:rsidRPr="00804EBE">
        <w:rPr>
          <w:rFonts w:asciiTheme="majorBidi" w:hAnsiTheme="majorBidi" w:cstheme="majorBidi"/>
          <w:sz w:val="24"/>
          <w:szCs w:val="24"/>
        </w:rPr>
        <w:t xml:space="preserve">Project finance may contribute to the real economy in both direct and indirect ways. </w:t>
      </w:r>
      <w:r w:rsidR="00637269" w:rsidRPr="00637269">
        <w:rPr>
          <w:rFonts w:asciiTheme="majorBidi" w:hAnsiTheme="majorBidi" w:cstheme="majorBidi"/>
          <w:sz w:val="24"/>
          <w:szCs w:val="24"/>
        </w:rPr>
        <w:t>Directly, it contributes to GDP formation by increasing an economy's stock of capital and as an additional input in other sectors' production processes</w:t>
      </w:r>
      <w:r w:rsidRPr="00804EBE">
        <w:rPr>
          <w:rFonts w:asciiTheme="majorBidi" w:hAnsiTheme="majorBidi" w:cstheme="majorBidi"/>
          <w:sz w:val="24"/>
          <w:szCs w:val="24"/>
        </w:rPr>
        <w:t xml:space="preserve">. </w:t>
      </w:r>
      <w:r w:rsidR="00637269" w:rsidRPr="00637269">
        <w:rPr>
          <w:rFonts w:asciiTheme="majorBidi" w:hAnsiTheme="majorBidi" w:cstheme="majorBidi"/>
          <w:sz w:val="24"/>
          <w:szCs w:val="24"/>
        </w:rPr>
        <w:t>Indirectly, project finance increases total factor productivity by reducing transaction and other costs and generating positive externalities, such as those derived from roads and public infrastructure, allowing more efficient use of conventional productive inputs</w:t>
      </w:r>
      <w:r w:rsidRPr="00804EBE">
        <w:rPr>
          <w:rFonts w:asciiTheme="majorBidi" w:hAnsiTheme="majorBidi" w:cstheme="majorBidi"/>
          <w:sz w:val="24"/>
          <w:szCs w:val="24"/>
        </w:rPr>
        <w:t xml:space="preserve">. The lack of an adequate infrastructure can pose </w:t>
      </w:r>
      <w:r w:rsidR="008C680D">
        <w:rPr>
          <w:rFonts w:asciiTheme="majorBidi" w:hAnsiTheme="majorBidi" w:cstheme="majorBidi"/>
          <w:sz w:val="24"/>
          <w:szCs w:val="24"/>
        </w:rPr>
        <w:t>big</w:t>
      </w:r>
      <w:r w:rsidRPr="00804EBE">
        <w:rPr>
          <w:rFonts w:asciiTheme="majorBidi" w:hAnsiTheme="majorBidi" w:cstheme="majorBidi"/>
          <w:sz w:val="24"/>
          <w:szCs w:val="24"/>
        </w:rPr>
        <w:t xml:space="preserve"> constraints on growth.</w:t>
      </w:r>
      <w:r w:rsidRPr="00804EBE">
        <w:rPr>
          <w:rStyle w:val="FootnoteReference"/>
          <w:rFonts w:asciiTheme="majorBidi" w:hAnsiTheme="majorBidi" w:cstheme="majorBidi"/>
          <w:sz w:val="24"/>
          <w:szCs w:val="24"/>
        </w:rPr>
        <w:footnoteReference w:id="5"/>
      </w:r>
    </w:p>
    <w:p w14:paraId="302CBD1D" w14:textId="7B190F88" w:rsidR="00153B76" w:rsidRPr="00AB5237" w:rsidRDefault="00153B76" w:rsidP="00AA10E8">
      <w:pPr>
        <w:suppressAutoHyphens/>
        <w:spacing w:line="360" w:lineRule="auto"/>
        <w:ind w:firstLine="567"/>
        <w:jc w:val="both"/>
        <w:rPr>
          <w:rFonts w:asciiTheme="majorBidi" w:hAnsiTheme="majorBidi" w:cstheme="majorBidi"/>
          <w:sz w:val="24"/>
          <w:szCs w:val="24"/>
        </w:rPr>
      </w:pPr>
      <w:r w:rsidRPr="001A378B">
        <w:rPr>
          <w:rFonts w:ascii="Times New Roman" w:hAnsi="Times New Roman" w:cs="Times New Roman"/>
          <w:b/>
          <w:bCs/>
          <w:sz w:val="24"/>
          <w:szCs w:val="24"/>
        </w:rPr>
        <w:t xml:space="preserve">The relevance of the </w:t>
      </w:r>
      <w:r w:rsidR="001F0CC4">
        <w:rPr>
          <w:rFonts w:ascii="Times New Roman" w:hAnsi="Times New Roman" w:cs="Times New Roman"/>
          <w:b/>
          <w:bCs/>
          <w:sz w:val="24"/>
          <w:szCs w:val="24"/>
        </w:rPr>
        <w:t>thesis</w:t>
      </w:r>
      <w:r w:rsidRPr="001A378B">
        <w:rPr>
          <w:rFonts w:ascii="Times New Roman" w:hAnsi="Times New Roman" w:cs="Times New Roman"/>
          <w:sz w:val="24"/>
          <w:szCs w:val="24"/>
        </w:rPr>
        <w:t>.</w:t>
      </w:r>
      <w:r>
        <w:rPr>
          <w:rFonts w:ascii="Times New Roman" w:hAnsi="Times New Roman" w:cs="Times New Roman"/>
          <w:sz w:val="24"/>
          <w:szCs w:val="24"/>
        </w:rPr>
        <w:t xml:space="preserve"> </w:t>
      </w:r>
      <w:r w:rsidR="00A67AC6" w:rsidRPr="00A67AC6">
        <w:rPr>
          <w:rFonts w:asciiTheme="majorBidi" w:hAnsiTheme="majorBidi" w:cstheme="majorBidi"/>
          <w:sz w:val="24"/>
          <w:szCs w:val="24"/>
        </w:rPr>
        <w:t xml:space="preserve">In order to accelerate the Syrian economy during the reconstruction phase, it is necessary to increase investment in capital-intensive and strategically important projects, such as long-term infrastructure, industrial projects, and utilities, which play a role in economic development progress. </w:t>
      </w:r>
      <w:r w:rsidRPr="00AB5237">
        <w:rPr>
          <w:rFonts w:asciiTheme="majorBidi" w:hAnsiTheme="majorBidi" w:cstheme="majorBidi"/>
          <w:sz w:val="24"/>
          <w:szCs w:val="24"/>
        </w:rPr>
        <w:t xml:space="preserve"> </w:t>
      </w:r>
    </w:p>
    <w:p w14:paraId="3F5FBEAD" w14:textId="2E92C795" w:rsidR="00153B76" w:rsidRPr="00AB5237" w:rsidRDefault="00153B76" w:rsidP="00AA10E8">
      <w:pPr>
        <w:suppressAutoHyphens/>
        <w:spacing w:line="360" w:lineRule="auto"/>
        <w:ind w:firstLine="567"/>
        <w:jc w:val="both"/>
        <w:rPr>
          <w:rFonts w:asciiTheme="majorBidi" w:hAnsiTheme="majorBidi" w:cstheme="majorBidi"/>
          <w:sz w:val="24"/>
          <w:szCs w:val="24"/>
          <w:rtl/>
        </w:rPr>
      </w:pPr>
      <w:r w:rsidRPr="00AB5237">
        <w:rPr>
          <w:rFonts w:asciiTheme="majorBidi" w:hAnsiTheme="majorBidi" w:cstheme="majorBidi"/>
          <w:sz w:val="24"/>
          <w:szCs w:val="24"/>
        </w:rPr>
        <w:t>The success of investment projects determines the effectiveness of the financing mod</w:t>
      </w:r>
      <w:r>
        <w:rPr>
          <w:rFonts w:asciiTheme="majorBidi" w:hAnsiTheme="majorBidi" w:cstheme="majorBidi"/>
          <w:sz w:val="24"/>
          <w:szCs w:val="24"/>
        </w:rPr>
        <w:t>el</w:t>
      </w:r>
      <w:r w:rsidR="00532594">
        <w:rPr>
          <w:rFonts w:asciiTheme="majorBidi" w:hAnsiTheme="majorBidi" w:cstheme="majorBidi"/>
          <w:sz w:val="24"/>
          <w:szCs w:val="24"/>
        </w:rPr>
        <w:t>;</w:t>
      </w:r>
      <w:r w:rsidR="008C680D">
        <w:rPr>
          <w:rFonts w:asciiTheme="majorBidi" w:hAnsiTheme="majorBidi" w:cstheme="majorBidi"/>
          <w:sz w:val="24"/>
          <w:szCs w:val="24"/>
        </w:rPr>
        <w:t xml:space="preserve"> </w:t>
      </w:r>
      <w:r w:rsidR="00532594">
        <w:rPr>
          <w:rFonts w:asciiTheme="majorBidi" w:hAnsiTheme="majorBidi" w:cstheme="majorBidi"/>
          <w:sz w:val="24"/>
          <w:szCs w:val="24"/>
        </w:rPr>
        <w:t>t</w:t>
      </w:r>
      <w:r w:rsidRPr="00AB5237">
        <w:rPr>
          <w:rFonts w:asciiTheme="majorBidi" w:hAnsiTheme="majorBidi" w:cstheme="majorBidi"/>
          <w:sz w:val="24"/>
          <w:szCs w:val="24"/>
        </w:rPr>
        <w:t xml:space="preserve">herefore, it is urgent to determine an adequate </w:t>
      </w:r>
      <w:r>
        <w:rPr>
          <w:rFonts w:asciiTheme="majorBidi" w:hAnsiTheme="majorBidi" w:cstheme="majorBidi"/>
          <w:sz w:val="24"/>
          <w:szCs w:val="24"/>
        </w:rPr>
        <w:t xml:space="preserve">and </w:t>
      </w:r>
      <w:r w:rsidRPr="00AB5237">
        <w:rPr>
          <w:rFonts w:asciiTheme="majorBidi" w:hAnsiTheme="majorBidi" w:cstheme="majorBidi"/>
          <w:sz w:val="24"/>
          <w:szCs w:val="24"/>
        </w:rPr>
        <w:t xml:space="preserve">modern mechanism for financing long-term high-risk infrastructure </w:t>
      </w:r>
      <w:r>
        <w:rPr>
          <w:rFonts w:asciiTheme="majorBidi" w:hAnsiTheme="majorBidi" w:cstheme="majorBidi"/>
          <w:sz w:val="24"/>
          <w:szCs w:val="24"/>
        </w:rPr>
        <w:t>projects</w:t>
      </w:r>
      <w:r w:rsidRPr="00AB5237">
        <w:rPr>
          <w:rFonts w:asciiTheme="majorBidi" w:hAnsiTheme="majorBidi" w:cstheme="majorBidi"/>
          <w:sz w:val="24"/>
          <w:szCs w:val="24"/>
        </w:rPr>
        <w:t xml:space="preserve"> at the reconstruction stage. </w:t>
      </w:r>
      <w:r w:rsidR="00DE2F4E" w:rsidRPr="00DE2F4E">
        <w:rPr>
          <w:rFonts w:asciiTheme="majorBidi" w:hAnsiTheme="majorBidi" w:cstheme="majorBidi"/>
          <w:sz w:val="24"/>
          <w:szCs w:val="24"/>
        </w:rPr>
        <w:t>Such a mechanism can be project finance, which will accelerate the country's investment development, and increase the competitiveness of the economy</w:t>
      </w:r>
      <w:r w:rsidRPr="00AB5237">
        <w:rPr>
          <w:rFonts w:asciiTheme="majorBidi" w:hAnsiTheme="majorBidi" w:cstheme="majorBidi"/>
          <w:sz w:val="24"/>
          <w:szCs w:val="24"/>
        </w:rPr>
        <w:t xml:space="preserve">. </w:t>
      </w:r>
    </w:p>
    <w:p w14:paraId="5722D514" w14:textId="1965CAE3" w:rsidR="00153B76" w:rsidRDefault="00153B76" w:rsidP="00AA10E8">
      <w:pPr>
        <w:suppressAutoHyphens/>
        <w:spacing w:line="360" w:lineRule="auto"/>
        <w:ind w:firstLine="567"/>
        <w:jc w:val="both"/>
        <w:rPr>
          <w:rFonts w:asciiTheme="majorBidi" w:hAnsiTheme="majorBidi" w:cstheme="majorBidi"/>
          <w:sz w:val="24"/>
          <w:szCs w:val="24"/>
          <w:rtl/>
          <w:lang w:bidi="ar-SY"/>
        </w:rPr>
      </w:pPr>
      <w:r>
        <w:rPr>
          <w:rFonts w:asciiTheme="majorBidi" w:hAnsiTheme="majorBidi" w:cstheme="majorBidi"/>
          <w:b/>
          <w:bCs/>
          <w:sz w:val="24"/>
          <w:szCs w:val="24"/>
        </w:rPr>
        <w:t xml:space="preserve">Literature review. </w:t>
      </w:r>
      <w:r w:rsidRPr="00335BCB">
        <w:rPr>
          <w:rFonts w:asciiTheme="majorBidi" w:hAnsiTheme="majorBidi" w:cstheme="majorBidi"/>
          <w:sz w:val="24"/>
          <w:szCs w:val="24"/>
        </w:rPr>
        <w:t xml:space="preserve">The formation of the </w:t>
      </w:r>
      <w:r w:rsidR="001F0CC4">
        <w:rPr>
          <w:rFonts w:asciiTheme="majorBidi" w:hAnsiTheme="majorBidi" w:cstheme="majorBidi"/>
          <w:sz w:val="24"/>
          <w:szCs w:val="24"/>
        </w:rPr>
        <w:t>thesis</w:t>
      </w:r>
      <w:r w:rsidRPr="00335BCB">
        <w:rPr>
          <w:rFonts w:asciiTheme="majorBidi" w:hAnsiTheme="majorBidi" w:cstheme="majorBidi"/>
          <w:sz w:val="24"/>
          <w:szCs w:val="24"/>
        </w:rPr>
        <w:t xml:space="preserve"> was influenced by the work of foreign and Russian authors on project financing</w:t>
      </w:r>
      <w:r>
        <w:rPr>
          <w:rFonts w:asciiTheme="majorBidi" w:hAnsiTheme="majorBidi" w:cstheme="majorBidi"/>
          <w:sz w:val="24"/>
          <w:szCs w:val="24"/>
        </w:rPr>
        <w:t xml:space="preserve">. </w:t>
      </w:r>
      <w:r>
        <w:rPr>
          <w:rFonts w:asciiTheme="majorBidi" w:hAnsiTheme="majorBidi" w:cstheme="majorBidi"/>
          <w:sz w:val="24"/>
          <w:szCs w:val="24"/>
          <w:lang w:bidi="ar-SY"/>
        </w:rPr>
        <w:t>T</w:t>
      </w:r>
      <w:r w:rsidRPr="002606D3">
        <w:rPr>
          <w:rFonts w:asciiTheme="majorBidi" w:hAnsiTheme="majorBidi" w:cstheme="majorBidi"/>
          <w:sz w:val="24"/>
          <w:szCs w:val="24"/>
          <w:lang w:bidi="ar-SY"/>
        </w:rPr>
        <w:t xml:space="preserve">he research is made up of materials from the World Bank, </w:t>
      </w:r>
      <w:r w:rsidR="005E513A">
        <w:rPr>
          <w:rFonts w:asciiTheme="majorBidi" w:hAnsiTheme="majorBidi" w:cstheme="majorBidi"/>
          <w:sz w:val="24"/>
          <w:szCs w:val="24"/>
          <w:lang w:bidi="ar-SY"/>
        </w:rPr>
        <w:t>t</w:t>
      </w:r>
      <w:r w:rsidRPr="002606D3">
        <w:rPr>
          <w:rFonts w:asciiTheme="majorBidi" w:hAnsiTheme="majorBidi" w:cstheme="majorBidi"/>
          <w:sz w:val="24"/>
          <w:szCs w:val="24"/>
          <w:lang w:bidi="ar-SY"/>
        </w:rPr>
        <w:t xml:space="preserve">he </w:t>
      </w:r>
      <w:r w:rsidRPr="002606D3">
        <w:rPr>
          <w:rFonts w:asciiTheme="majorBidi" w:hAnsiTheme="majorBidi" w:cstheme="majorBidi"/>
          <w:sz w:val="24"/>
          <w:szCs w:val="24"/>
          <w:lang w:bidi="ar-SY"/>
        </w:rPr>
        <w:lastRenderedPageBreak/>
        <w:t xml:space="preserve">International Monetary Fund, </w:t>
      </w:r>
      <w:r w:rsidR="005E513A">
        <w:rPr>
          <w:rFonts w:asciiTheme="majorBidi" w:hAnsiTheme="majorBidi" w:cstheme="majorBidi"/>
          <w:sz w:val="24"/>
          <w:szCs w:val="24"/>
          <w:lang w:bidi="ar-SY"/>
        </w:rPr>
        <w:t>t</w:t>
      </w:r>
      <w:r w:rsidRPr="002606D3">
        <w:rPr>
          <w:rFonts w:asciiTheme="majorBidi" w:hAnsiTheme="majorBidi" w:cstheme="majorBidi"/>
          <w:sz w:val="24"/>
          <w:szCs w:val="24"/>
          <w:lang w:bidi="ar-SY"/>
        </w:rPr>
        <w:t xml:space="preserve">he International Finance Corporation, </w:t>
      </w:r>
      <w:r>
        <w:rPr>
          <w:rFonts w:asciiTheme="majorBidi" w:hAnsiTheme="majorBidi" w:cstheme="majorBidi"/>
          <w:sz w:val="24"/>
          <w:szCs w:val="24"/>
          <w:lang w:bidi="ar-SY"/>
        </w:rPr>
        <w:t>international</w:t>
      </w:r>
      <w:r w:rsidRPr="002606D3">
        <w:rPr>
          <w:rFonts w:asciiTheme="majorBidi" w:hAnsiTheme="majorBidi" w:cstheme="majorBidi"/>
          <w:sz w:val="24"/>
          <w:szCs w:val="24"/>
          <w:lang w:bidi="ar-SY"/>
        </w:rPr>
        <w:t xml:space="preserve"> consulting and rating agencies, materials from books and journal articles, foreign periodicals Project </w:t>
      </w:r>
      <w:r>
        <w:rPr>
          <w:rFonts w:asciiTheme="majorBidi" w:hAnsiTheme="majorBidi" w:cstheme="majorBidi"/>
          <w:sz w:val="24"/>
          <w:szCs w:val="24"/>
          <w:lang w:bidi="ar-SY"/>
        </w:rPr>
        <w:t>Finance</w:t>
      </w:r>
      <w:r w:rsidRPr="002606D3">
        <w:rPr>
          <w:rFonts w:asciiTheme="majorBidi" w:hAnsiTheme="majorBidi" w:cstheme="majorBidi"/>
          <w:sz w:val="24"/>
          <w:szCs w:val="24"/>
          <w:lang w:bidi="ar-SY"/>
        </w:rPr>
        <w:t xml:space="preserve"> Magazine, </w:t>
      </w:r>
      <w:r w:rsidR="005E513A">
        <w:rPr>
          <w:rFonts w:asciiTheme="majorBidi" w:hAnsiTheme="majorBidi" w:cstheme="majorBidi"/>
          <w:sz w:val="24"/>
          <w:szCs w:val="24"/>
          <w:lang w:bidi="ar-SY"/>
        </w:rPr>
        <w:t>t</w:t>
      </w:r>
      <w:r w:rsidRPr="00920BC3">
        <w:rPr>
          <w:rFonts w:asciiTheme="majorBidi" w:hAnsiTheme="majorBidi" w:cstheme="majorBidi"/>
          <w:sz w:val="24"/>
          <w:szCs w:val="24"/>
          <w:lang w:bidi="ar-SY"/>
        </w:rPr>
        <w:t>he Central Bureau of Statistics</w:t>
      </w:r>
      <w:r>
        <w:rPr>
          <w:rFonts w:asciiTheme="majorBidi" w:hAnsiTheme="majorBidi" w:cstheme="majorBidi"/>
          <w:sz w:val="24"/>
          <w:szCs w:val="24"/>
          <w:lang w:bidi="ar-SY"/>
        </w:rPr>
        <w:t xml:space="preserve"> in Syria, </w:t>
      </w:r>
      <w:r w:rsidRPr="00920BC3">
        <w:rPr>
          <w:rFonts w:asciiTheme="majorBidi" w:hAnsiTheme="majorBidi" w:cstheme="majorBidi"/>
          <w:sz w:val="24"/>
          <w:szCs w:val="24"/>
          <w:lang w:bidi="ar-SY"/>
        </w:rPr>
        <w:t>Syrian Central Bank</w:t>
      </w:r>
      <w:r>
        <w:rPr>
          <w:rFonts w:asciiTheme="majorBidi" w:hAnsiTheme="majorBidi" w:cstheme="majorBidi"/>
          <w:sz w:val="24"/>
          <w:szCs w:val="24"/>
          <w:lang w:bidi="ar-SY"/>
        </w:rPr>
        <w:t xml:space="preserve">, </w:t>
      </w:r>
      <w:r w:rsidRPr="00920BC3">
        <w:rPr>
          <w:rFonts w:asciiTheme="majorBidi" w:hAnsiTheme="majorBidi" w:cstheme="majorBidi"/>
          <w:sz w:val="24"/>
          <w:szCs w:val="24"/>
          <w:lang w:bidi="ar-SY"/>
        </w:rPr>
        <w:t>Syrian Ministry of Finance</w:t>
      </w:r>
      <w:r>
        <w:rPr>
          <w:rFonts w:asciiTheme="majorBidi" w:hAnsiTheme="majorBidi" w:cstheme="majorBidi"/>
          <w:sz w:val="24"/>
          <w:szCs w:val="24"/>
          <w:lang w:bidi="ar-SY"/>
        </w:rPr>
        <w:t xml:space="preserve">, </w:t>
      </w:r>
      <w:r w:rsidR="00743917">
        <w:rPr>
          <w:rFonts w:asciiTheme="majorBidi" w:hAnsiTheme="majorBidi" w:cstheme="majorBidi"/>
          <w:sz w:val="24"/>
          <w:szCs w:val="24"/>
          <w:lang w:bidi="ar-SY"/>
        </w:rPr>
        <w:t xml:space="preserve">and the </w:t>
      </w:r>
      <w:r w:rsidRPr="00920BC3">
        <w:rPr>
          <w:rFonts w:asciiTheme="majorBidi" w:hAnsiTheme="majorBidi" w:cstheme="majorBidi"/>
          <w:sz w:val="24"/>
          <w:szCs w:val="24"/>
          <w:lang w:bidi="ar-SY"/>
        </w:rPr>
        <w:t xml:space="preserve">Syrian Investment </w:t>
      </w:r>
      <w:r>
        <w:rPr>
          <w:rFonts w:asciiTheme="majorBidi" w:hAnsiTheme="majorBidi" w:cstheme="majorBidi"/>
          <w:sz w:val="24"/>
          <w:szCs w:val="24"/>
          <w:lang w:bidi="ar-SY"/>
        </w:rPr>
        <w:t>Agency.</w:t>
      </w:r>
    </w:p>
    <w:p w14:paraId="6E553F1F" w14:textId="1848ABF1" w:rsidR="00153B76" w:rsidRPr="000E5080" w:rsidRDefault="00DE2F4E" w:rsidP="00AA10E8">
      <w:pPr>
        <w:suppressAutoHyphens/>
        <w:spacing w:line="360" w:lineRule="auto"/>
        <w:ind w:firstLine="567"/>
        <w:jc w:val="both"/>
        <w:rPr>
          <w:rFonts w:ascii="Times New Roman" w:hAnsi="Times New Roman" w:cs="Times New Roman"/>
          <w:sz w:val="24"/>
          <w:szCs w:val="24"/>
        </w:rPr>
      </w:pPr>
      <w:r w:rsidRPr="00DE2F4E">
        <w:rPr>
          <w:rFonts w:ascii="Times New Roman" w:hAnsi="Times New Roman" w:cs="Times New Roman"/>
          <w:sz w:val="24"/>
          <w:szCs w:val="24"/>
        </w:rPr>
        <w:t>P. Nevitt was one of the first authors to justify project financing, presenting the general theory of project financing</w:t>
      </w:r>
      <w:r w:rsidR="00153B76" w:rsidRPr="000E5080">
        <w:rPr>
          <w:rFonts w:ascii="Times New Roman" w:hAnsi="Times New Roman" w:cs="Times New Roman"/>
          <w:sz w:val="24"/>
          <w:szCs w:val="24"/>
        </w:rPr>
        <w:t>. Many texts (</w:t>
      </w:r>
      <w:bookmarkStart w:id="0" w:name="_Hlk30956815"/>
      <w:r w:rsidR="00153B76" w:rsidRPr="000E5080">
        <w:rPr>
          <w:rFonts w:ascii="Times New Roman" w:hAnsi="Times New Roman" w:cs="Times New Roman"/>
          <w:sz w:val="24"/>
          <w:szCs w:val="24"/>
        </w:rPr>
        <w:t xml:space="preserve">S. Gatti, </w:t>
      </w:r>
      <w:bookmarkStart w:id="1" w:name="_Hlk30955287"/>
      <w:r w:rsidR="00153B76" w:rsidRPr="000E5080">
        <w:rPr>
          <w:rFonts w:ascii="Times New Roman" w:hAnsi="Times New Roman" w:cs="Times New Roman"/>
          <w:sz w:val="24"/>
          <w:szCs w:val="24"/>
        </w:rPr>
        <w:t>F. Fabozzi</w:t>
      </w:r>
      <w:bookmarkEnd w:id="1"/>
      <w:r w:rsidR="00153B76" w:rsidRPr="000E5080">
        <w:rPr>
          <w:rFonts w:ascii="Times New Roman" w:hAnsi="Times New Roman" w:cs="Times New Roman"/>
          <w:sz w:val="24"/>
          <w:szCs w:val="24"/>
        </w:rPr>
        <w:t>, A. Fight, M. Khan, R. Parra, M. Morrison</w:t>
      </w:r>
      <w:bookmarkEnd w:id="0"/>
      <w:r w:rsidR="00743917">
        <w:rPr>
          <w:rFonts w:ascii="Times New Roman" w:hAnsi="Times New Roman" w:cs="Times New Roman"/>
          <w:sz w:val="24"/>
          <w:szCs w:val="24"/>
        </w:rPr>
        <w:t>, etc.</w:t>
      </w:r>
      <w:r w:rsidR="00153B76" w:rsidRPr="000E5080">
        <w:rPr>
          <w:rFonts w:ascii="Times New Roman" w:hAnsi="Times New Roman" w:cs="Times New Roman"/>
          <w:sz w:val="24"/>
          <w:szCs w:val="24"/>
        </w:rPr>
        <w:t xml:space="preserve">) contain detailed descriptions, analyses, and examples of project financing, the works of B. Esti are highly specialized and mainly devoted to risk analysis. </w:t>
      </w:r>
      <w:r w:rsidR="005E513A" w:rsidRPr="005E513A">
        <w:rPr>
          <w:rFonts w:ascii="Times New Roman" w:hAnsi="Times New Roman" w:cs="Times New Roman"/>
          <w:sz w:val="24"/>
          <w:szCs w:val="24"/>
        </w:rPr>
        <w:t>While the materials published by international financial organizations, such as the World Bank, are often presented in the form of databases, which must be analysed by the reader</w:t>
      </w:r>
      <w:r w:rsidR="00153B76" w:rsidRPr="000E5080">
        <w:rPr>
          <w:rFonts w:ascii="Times New Roman" w:hAnsi="Times New Roman" w:cs="Times New Roman"/>
          <w:sz w:val="24"/>
          <w:szCs w:val="24"/>
        </w:rPr>
        <w:t>.</w:t>
      </w:r>
    </w:p>
    <w:p w14:paraId="576386D1" w14:textId="70BD9C04" w:rsidR="00153B76" w:rsidRPr="000F35BD" w:rsidRDefault="00153B76" w:rsidP="00AA10E8">
      <w:pPr>
        <w:suppressAutoHyphens/>
        <w:spacing w:line="360" w:lineRule="auto"/>
        <w:ind w:firstLine="567"/>
        <w:jc w:val="both"/>
        <w:rPr>
          <w:rFonts w:ascii="Times New Roman" w:hAnsi="Times New Roman" w:cs="Times New Roman"/>
          <w:sz w:val="24"/>
          <w:szCs w:val="24"/>
        </w:rPr>
      </w:pPr>
      <w:r w:rsidRPr="000E5080">
        <w:rPr>
          <w:rFonts w:ascii="Times New Roman" w:hAnsi="Times New Roman" w:cs="Times New Roman"/>
          <w:sz w:val="24"/>
          <w:szCs w:val="24"/>
        </w:rPr>
        <w:t xml:space="preserve">Among the works devoted to project financing in Russia, it is necessary to note the works of </w:t>
      </w:r>
      <w:r>
        <w:rPr>
          <w:rFonts w:ascii="Times New Roman" w:hAnsi="Times New Roman" w:cs="Times New Roman"/>
          <w:sz w:val="24"/>
          <w:szCs w:val="24"/>
          <w:lang w:val="en-US" w:bidi="ar-SY"/>
        </w:rPr>
        <w:t>I</w:t>
      </w:r>
      <w:r w:rsidRPr="000E5080">
        <w:rPr>
          <w:rFonts w:ascii="Times New Roman" w:hAnsi="Times New Roman" w:cs="Times New Roman"/>
          <w:sz w:val="24"/>
          <w:szCs w:val="24"/>
        </w:rPr>
        <w:t xml:space="preserve">. </w:t>
      </w:r>
      <w:r>
        <w:rPr>
          <w:rFonts w:ascii="Times New Roman" w:hAnsi="Times New Roman" w:cs="Times New Roman"/>
          <w:sz w:val="24"/>
          <w:szCs w:val="24"/>
        </w:rPr>
        <w:t>Nikonova</w:t>
      </w:r>
      <w:r w:rsidRPr="000E5080">
        <w:rPr>
          <w:rFonts w:ascii="Times New Roman" w:hAnsi="Times New Roman" w:cs="Times New Roman"/>
          <w:sz w:val="24"/>
          <w:szCs w:val="24"/>
        </w:rPr>
        <w:t xml:space="preserve">, </w:t>
      </w:r>
      <w:r>
        <w:rPr>
          <w:rFonts w:ascii="Times New Roman" w:hAnsi="Times New Roman" w:cs="Times New Roman"/>
          <w:sz w:val="24"/>
          <w:szCs w:val="24"/>
          <w:lang w:val="en-US"/>
        </w:rPr>
        <w:t>A</w:t>
      </w:r>
      <w:r w:rsidRPr="000E5080">
        <w:rPr>
          <w:rFonts w:ascii="Times New Roman" w:hAnsi="Times New Roman" w:cs="Times New Roman"/>
          <w:sz w:val="24"/>
          <w:szCs w:val="24"/>
          <w:lang w:val="en-US"/>
        </w:rPr>
        <w:t xml:space="preserve">. </w:t>
      </w:r>
      <w:r>
        <w:rPr>
          <w:rFonts w:ascii="Times New Roman" w:hAnsi="Times New Roman" w:cs="Times New Roman"/>
          <w:sz w:val="24"/>
          <w:szCs w:val="24"/>
          <w:lang w:val="en-US"/>
        </w:rPr>
        <w:t>Smirnov</w:t>
      </w:r>
      <w:r w:rsidRPr="000E5080">
        <w:rPr>
          <w:rFonts w:ascii="Times New Roman" w:hAnsi="Times New Roman" w:cs="Times New Roman"/>
          <w:sz w:val="24"/>
          <w:szCs w:val="24"/>
          <w:lang w:val="en-US"/>
        </w:rPr>
        <w:t>,</w:t>
      </w:r>
      <w:r w:rsidRPr="000E5080">
        <w:rPr>
          <w:rFonts w:ascii="Times New Roman" w:hAnsi="Times New Roman" w:cs="Times New Roman"/>
          <w:sz w:val="24"/>
          <w:szCs w:val="24"/>
        </w:rPr>
        <w:t xml:space="preserve"> </w:t>
      </w:r>
      <w:r>
        <w:rPr>
          <w:rFonts w:ascii="Times New Roman" w:hAnsi="Times New Roman" w:cs="Times New Roman"/>
          <w:sz w:val="24"/>
          <w:szCs w:val="24"/>
        </w:rPr>
        <w:t>G</w:t>
      </w:r>
      <w:r w:rsidRPr="000E5080">
        <w:rPr>
          <w:rFonts w:ascii="Times New Roman" w:hAnsi="Times New Roman" w:cs="Times New Roman"/>
          <w:sz w:val="24"/>
          <w:szCs w:val="24"/>
        </w:rPr>
        <w:t xml:space="preserve">. </w:t>
      </w:r>
      <w:r>
        <w:rPr>
          <w:rFonts w:ascii="Times New Roman" w:hAnsi="Times New Roman" w:cs="Times New Roman"/>
          <w:sz w:val="24"/>
          <w:szCs w:val="24"/>
        </w:rPr>
        <w:t>Kalmykova</w:t>
      </w:r>
      <w:r w:rsidRPr="000E5080">
        <w:rPr>
          <w:rFonts w:ascii="Times New Roman" w:hAnsi="Times New Roman" w:cs="Times New Roman"/>
          <w:sz w:val="24"/>
          <w:szCs w:val="24"/>
        </w:rPr>
        <w:t xml:space="preserve">, </w:t>
      </w:r>
      <w:r>
        <w:rPr>
          <w:rFonts w:ascii="Times New Roman" w:hAnsi="Times New Roman" w:cs="Times New Roman"/>
          <w:sz w:val="24"/>
          <w:szCs w:val="24"/>
        </w:rPr>
        <w:t>V</w:t>
      </w:r>
      <w:r w:rsidRPr="000E5080">
        <w:rPr>
          <w:rFonts w:ascii="Times New Roman" w:hAnsi="Times New Roman" w:cs="Times New Roman"/>
          <w:sz w:val="24"/>
          <w:szCs w:val="24"/>
        </w:rPr>
        <w:t xml:space="preserve">. </w:t>
      </w:r>
      <w:r>
        <w:rPr>
          <w:rFonts w:ascii="Times New Roman" w:hAnsi="Times New Roman" w:cs="Times New Roman"/>
          <w:sz w:val="24"/>
          <w:szCs w:val="24"/>
        </w:rPr>
        <w:t>Kasatonov</w:t>
      </w:r>
      <w:r w:rsidRPr="000E5080">
        <w:rPr>
          <w:rFonts w:ascii="Times New Roman" w:hAnsi="Times New Roman" w:cs="Times New Roman"/>
          <w:sz w:val="24"/>
          <w:szCs w:val="24"/>
        </w:rPr>
        <w:t xml:space="preserve">, </w:t>
      </w:r>
      <w:r>
        <w:rPr>
          <w:rFonts w:ascii="Times New Roman" w:hAnsi="Times New Roman" w:cs="Times New Roman"/>
          <w:sz w:val="24"/>
          <w:szCs w:val="24"/>
        </w:rPr>
        <w:t>D</w:t>
      </w:r>
      <w:r w:rsidRPr="000E5080">
        <w:rPr>
          <w:rFonts w:ascii="Times New Roman" w:hAnsi="Times New Roman" w:cs="Times New Roman"/>
          <w:sz w:val="24"/>
          <w:szCs w:val="24"/>
        </w:rPr>
        <w:t xml:space="preserve">. </w:t>
      </w:r>
      <w:r>
        <w:rPr>
          <w:rFonts w:ascii="Times New Roman" w:hAnsi="Times New Roman" w:cs="Times New Roman"/>
          <w:sz w:val="24"/>
          <w:szCs w:val="24"/>
        </w:rPr>
        <w:t>Morozov</w:t>
      </w:r>
      <w:r w:rsidRPr="000E5080">
        <w:rPr>
          <w:rFonts w:ascii="Times New Roman" w:hAnsi="Times New Roman" w:cs="Times New Roman"/>
          <w:sz w:val="24"/>
          <w:szCs w:val="24"/>
        </w:rPr>
        <w:t xml:space="preserve">, </w:t>
      </w:r>
      <w:r>
        <w:rPr>
          <w:rFonts w:ascii="Times New Roman" w:hAnsi="Times New Roman" w:cs="Times New Roman"/>
          <w:sz w:val="24"/>
          <w:szCs w:val="24"/>
          <w:lang w:val="en-US"/>
        </w:rPr>
        <w:t>V</w:t>
      </w:r>
      <w:r w:rsidRPr="000E5080">
        <w:rPr>
          <w:rFonts w:ascii="Times New Roman" w:hAnsi="Times New Roman" w:cs="Times New Roman"/>
          <w:sz w:val="24"/>
          <w:szCs w:val="24"/>
          <w:lang w:val="en-US"/>
        </w:rPr>
        <w:t xml:space="preserve">. </w:t>
      </w:r>
      <w:r>
        <w:rPr>
          <w:rFonts w:ascii="Times New Roman" w:hAnsi="Times New Roman" w:cs="Times New Roman"/>
          <w:sz w:val="24"/>
          <w:szCs w:val="24"/>
          <w:lang w:val="en-US"/>
        </w:rPr>
        <w:t>Fauzer</w:t>
      </w:r>
      <w:r w:rsidRPr="000E5080">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E5080">
        <w:rPr>
          <w:rFonts w:ascii="Times New Roman" w:hAnsi="Times New Roman" w:cs="Times New Roman"/>
          <w:sz w:val="24"/>
          <w:szCs w:val="24"/>
          <w:lang w:val="en-US"/>
        </w:rPr>
        <w:t xml:space="preserve">. </w:t>
      </w:r>
      <w:r>
        <w:rPr>
          <w:rFonts w:ascii="Times New Roman" w:hAnsi="Times New Roman" w:cs="Times New Roman"/>
          <w:sz w:val="24"/>
          <w:szCs w:val="24"/>
          <w:lang w:val="en-US"/>
        </w:rPr>
        <w:t>Rodionov</w:t>
      </w:r>
      <w:r w:rsidRPr="000E5080">
        <w:rPr>
          <w:rFonts w:ascii="Times New Roman" w:hAnsi="Times New Roman" w:cs="Times New Roman"/>
          <w:sz w:val="24"/>
          <w:szCs w:val="24"/>
          <w:lang w:val="en-US"/>
        </w:rPr>
        <w:t xml:space="preserve">, </w:t>
      </w:r>
      <w:r w:rsidRPr="000E5080">
        <w:rPr>
          <w:rFonts w:ascii="Times New Roman" w:hAnsi="Times New Roman" w:cs="Times New Roman"/>
          <w:sz w:val="24"/>
          <w:szCs w:val="24"/>
        </w:rPr>
        <w:t>etc</w:t>
      </w:r>
      <w:r w:rsidRPr="000E5080">
        <w:rPr>
          <w:rFonts w:ascii="Times New Roman" w:hAnsi="Times New Roman" w:cs="Times New Roman"/>
          <w:sz w:val="24"/>
          <w:szCs w:val="24"/>
          <w:lang w:val="en-US"/>
        </w:rPr>
        <w:t xml:space="preserve">. </w:t>
      </w:r>
      <w:r w:rsidRPr="000E5080">
        <w:rPr>
          <w:rFonts w:ascii="Times New Roman" w:hAnsi="Times New Roman" w:cs="Times New Roman"/>
          <w:sz w:val="24"/>
          <w:szCs w:val="24"/>
        </w:rPr>
        <w:t>They examined the main features of project financing, presented practical examples of project financing in the CIS and abroad.</w:t>
      </w:r>
      <w:r w:rsidR="001753FC">
        <w:rPr>
          <w:rStyle w:val="FootnoteReference"/>
          <w:rFonts w:ascii="Times New Roman" w:hAnsi="Times New Roman" w:cs="Times New Roman"/>
          <w:sz w:val="24"/>
          <w:szCs w:val="24"/>
        </w:rPr>
        <w:footnoteReference w:id="6"/>
      </w:r>
      <w:r w:rsidRPr="000E5080">
        <w:rPr>
          <w:rFonts w:ascii="Times New Roman" w:hAnsi="Times New Roman" w:cs="Times New Roman"/>
          <w:sz w:val="24"/>
          <w:szCs w:val="24"/>
        </w:rPr>
        <w:t xml:space="preserve"> The modern tools for managing risks arising from implement</w:t>
      </w:r>
      <w:r>
        <w:rPr>
          <w:rFonts w:ascii="Times New Roman" w:hAnsi="Times New Roman" w:cs="Times New Roman"/>
          <w:sz w:val="24"/>
          <w:szCs w:val="24"/>
        </w:rPr>
        <w:t xml:space="preserve">ing </w:t>
      </w:r>
      <w:r w:rsidRPr="000E5080">
        <w:rPr>
          <w:rFonts w:ascii="Times New Roman" w:hAnsi="Times New Roman" w:cs="Times New Roman"/>
          <w:sz w:val="24"/>
          <w:szCs w:val="24"/>
        </w:rPr>
        <w:t>large investment projects and ways to minimize them are described.</w:t>
      </w:r>
    </w:p>
    <w:p w14:paraId="2037D1D3" w14:textId="38F3D548" w:rsidR="00153B76" w:rsidRPr="002B2636" w:rsidRDefault="00153B76" w:rsidP="00AA10E8">
      <w:pPr>
        <w:suppressAutoHyphens/>
        <w:spacing w:before="240" w:line="360" w:lineRule="auto"/>
        <w:ind w:firstLine="567"/>
        <w:jc w:val="both"/>
        <w:rPr>
          <w:rFonts w:asciiTheme="majorBidi" w:hAnsiTheme="majorBidi" w:cstheme="majorBidi"/>
          <w:sz w:val="24"/>
          <w:szCs w:val="24"/>
        </w:rPr>
      </w:pPr>
      <w:r w:rsidRPr="002B2636">
        <w:rPr>
          <w:rFonts w:asciiTheme="majorBidi" w:hAnsiTheme="majorBidi" w:cstheme="majorBidi"/>
          <w:b/>
          <w:bCs/>
          <w:sz w:val="24"/>
          <w:szCs w:val="24"/>
          <w:lang w:val="en-US" w:bidi="ar-SY"/>
        </w:rPr>
        <w:t>Problem statement</w:t>
      </w:r>
      <w:r>
        <w:rPr>
          <w:rFonts w:asciiTheme="majorBidi" w:hAnsiTheme="majorBidi" w:cstheme="majorBidi"/>
          <w:b/>
          <w:bCs/>
          <w:sz w:val="24"/>
          <w:szCs w:val="24"/>
          <w:lang w:val="en-US" w:bidi="ar-SY"/>
        </w:rPr>
        <w:t xml:space="preserve">. </w:t>
      </w:r>
      <w:r w:rsidRPr="002B2636">
        <w:rPr>
          <w:rFonts w:asciiTheme="majorBidi" w:hAnsiTheme="majorBidi" w:cstheme="majorBidi"/>
          <w:sz w:val="24"/>
          <w:szCs w:val="24"/>
        </w:rPr>
        <w:t>The difficulty of the availability of funding</w:t>
      </w:r>
      <w:r w:rsidR="00D772F3">
        <w:rPr>
          <w:rFonts w:asciiTheme="majorBidi" w:hAnsiTheme="majorBidi" w:cstheme="majorBidi"/>
          <w:sz w:val="24"/>
          <w:szCs w:val="24"/>
        </w:rPr>
        <w:t xml:space="preserve"> </w:t>
      </w:r>
      <w:r w:rsidRPr="002B2636">
        <w:rPr>
          <w:rFonts w:asciiTheme="majorBidi" w:hAnsiTheme="majorBidi" w:cstheme="majorBidi"/>
          <w:sz w:val="24"/>
          <w:szCs w:val="24"/>
        </w:rPr>
        <w:t xml:space="preserve">and scarcity of financial resources and expertise has always been </w:t>
      </w:r>
      <w:r w:rsidR="00AF071E">
        <w:rPr>
          <w:rFonts w:asciiTheme="majorBidi" w:hAnsiTheme="majorBidi" w:cstheme="majorBidi"/>
          <w:sz w:val="24"/>
          <w:szCs w:val="24"/>
        </w:rPr>
        <w:t>a</w:t>
      </w:r>
      <w:r w:rsidRPr="002B2636">
        <w:rPr>
          <w:rFonts w:asciiTheme="majorBidi" w:hAnsiTheme="majorBidi" w:cstheme="majorBidi"/>
          <w:sz w:val="24"/>
          <w:szCs w:val="24"/>
        </w:rPr>
        <w:t xml:space="preserve"> barrier to the achievement of several development projects</w:t>
      </w:r>
      <w:r w:rsidR="005F5DBB">
        <w:rPr>
          <w:rFonts w:asciiTheme="majorBidi" w:hAnsiTheme="majorBidi" w:cstheme="majorBidi"/>
          <w:sz w:val="24"/>
          <w:szCs w:val="24"/>
        </w:rPr>
        <w:t>. I</w:t>
      </w:r>
      <w:r w:rsidRPr="002B2636">
        <w:rPr>
          <w:rFonts w:asciiTheme="majorBidi" w:hAnsiTheme="majorBidi" w:cstheme="majorBidi"/>
          <w:sz w:val="24"/>
          <w:szCs w:val="24"/>
        </w:rPr>
        <w:t xml:space="preserve">t will be one of the obstacles to the reconstruction process in the Syrian Arab Republic, </w:t>
      </w:r>
      <w:r w:rsidR="00C95A92">
        <w:rPr>
          <w:rFonts w:asciiTheme="majorBidi" w:hAnsiTheme="majorBidi" w:cstheme="majorBidi"/>
          <w:sz w:val="24"/>
          <w:szCs w:val="24"/>
        </w:rPr>
        <w:t>w</w:t>
      </w:r>
      <w:r w:rsidRPr="002B2636">
        <w:rPr>
          <w:rFonts w:asciiTheme="majorBidi" w:hAnsiTheme="majorBidi" w:cstheme="majorBidi"/>
          <w:sz w:val="24"/>
          <w:szCs w:val="24"/>
        </w:rPr>
        <w:t>hich require substantial financial resources, human expertise, material, and other equipment, are not available to the Syrian government.</w:t>
      </w:r>
    </w:p>
    <w:p w14:paraId="18795396" w14:textId="50FC4353" w:rsidR="00153B76" w:rsidRPr="002B2636" w:rsidRDefault="00153B76" w:rsidP="00AA10E8">
      <w:pPr>
        <w:suppressAutoHyphens/>
        <w:spacing w:line="360" w:lineRule="auto"/>
        <w:ind w:firstLine="567"/>
        <w:jc w:val="both"/>
        <w:rPr>
          <w:rFonts w:asciiTheme="majorBidi" w:hAnsiTheme="majorBidi" w:cstheme="majorBidi"/>
          <w:sz w:val="24"/>
          <w:szCs w:val="24"/>
        </w:rPr>
      </w:pPr>
      <w:r w:rsidRPr="002B2636">
        <w:rPr>
          <w:rFonts w:asciiTheme="majorBidi" w:hAnsiTheme="majorBidi" w:cstheme="majorBidi"/>
          <w:sz w:val="24"/>
          <w:szCs w:val="24"/>
        </w:rPr>
        <w:t>The Syrian government issued many investment legislations that encourage investment, starting with the Investment Promotion Law No. 10 of 1991 and its amendments.</w:t>
      </w:r>
      <w:r w:rsidRPr="002B2636">
        <w:rPr>
          <w:rFonts w:asciiTheme="majorBidi" w:hAnsiTheme="majorBidi" w:cstheme="majorBidi"/>
          <w:sz w:val="24"/>
          <w:szCs w:val="24"/>
          <w:rtl/>
        </w:rPr>
        <w:t xml:space="preserve"> </w:t>
      </w:r>
      <w:r w:rsidR="004A5E7D" w:rsidRPr="004A5E7D">
        <w:rPr>
          <w:rFonts w:asciiTheme="majorBidi" w:hAnsiTheme="majorBidi" w:cstheme="majorBidi"/>
          <w:sz w:val="24"/>
          <w:szCs w:val="24"/>
        </w:rPr>
        <w:t>The Syrian government also formed “The Syrian Investment Authority” under Legislative Decree No. 9 of 2007; this was accompanied by the issuance of Investment Promotion Decree No. 8 of 2007, which replaced the Investment Law No. 10 of 1991 and its amendments</w:t>
      </w:r>
      <w:r w:rsidRPr="002B2636">
        <w:rPr>
          <w:rFonts w:asciiTheme="majorBidi" w:hAnsiTheme="majorBidi" w:cstheme="majorBidi"/>
          <w:sz w:val="24"/>
          <w:szCs w:val="24"/>
        </w:rPr>
        <w:t>.</w:t>
      </w:r>
    </w:p>
    <w:p w14:paraId="0188635C" w14:textId="276F2A60" w:rsidR="00153B76" w:rsidRPr="002B2636" w:rsidRDefault="00153B76" w:rsidP="00AA10E8">
      <w:pPr>
        <w:suppressAutoHyphens/>
        <w:spacing w:line="360" w:lineRule="auto"/>
        <w:ind w:firstLine="567"/>
        <w:jc w:val="both"/>
        <w:rPr>
          <w:rFonts w:asciiTheme="majorBidi" w:hAnsiTheme="majorBidi" w:cstheme="majorBidi"/>
          <w:sz w:val="24"/>
          <w:szCs w:val="24"/>
        </w:rPr>
      </w:pPr>
      <w:r w:rsidRPr="002B2636">
        <w:rPr>
          <w:rFonts w:asciiTheme="majorBidi" w:hAnsiTheme="majorBidi" w:cstheme="majorBidi"/>
          <w:sz w:val="24"/>
          <w:szCs w:val="24"/>
        </w:rPr>
        <w:t xml:space="preserve">In general, </w:t>
      </w:r>
      <w:r w:rsidR="00D772F3">
        <w:rPr>
          <w:rFonts w:asciiTheme="majorBidi" w:hAnsiTheme="majorBidi" w:cstheme="majorBidi"/>
          <w:sz w:val="24"/>
          <w:szCs w:val="24"/>
        </w:rPr>
        <w:t>t</w:t>
      </w:r>
      <w:r w:rsidR="00D772F3" w:rsidRPr="00D772F3">
        <w:rPr>
          <w:rFonts w:asciiTheme="majorBidi" w:hAnsiTheme="majorBidi" w:cstheme="majorBidi"/>
          <w:sz w:val="24"/>
          <w:szCs w:val="24"/>
        </w:rPr>
        <w:t xml:space="preserve">hese procedures </w:t>
      </w:r>
      <w:r w:rsidRPr="002B2636">
        <w:rPr>
          <w:rFonts w:asciiTheme="majorBidi" w:hAnsiTheme="majorBidi" w:cstheme="majorBidi"/>
          <w:sz w:val="24"/>
          <w:szCs w:val="24"/>
        </w:rPr>
        <w:t>aimed at encouraging foreign investments and granting investors generous tax incentives and exemptions. It provided investors with many facilities enabling the investor to set up investment projects with competitive economic interest</w:t>
      </w:r>
      <w:r>
        <w:rPr>
          <w:rFonts w:asciiTheme="majorBidi" w:hAnsiTheme="majorBidi" w:cstheme="majorBidi"/>
          <w:sz w:val="24"/>
          <w:szCs w:val="24"/>
        </w:rPr>
        <w:t>.</w:t>
      </w:r>
    </w:p>
    <w:p w14:paraId="685866EF" w14:textId="4C9D0800" w:rsidR="00153B76" w:rsidRPr="002B2636" w:rsidRDefault="004A5E7D" w:rsidP="00AA10E8">
      <w:pPr>
        <w:suppressAutoHyphens/>
        <w:spacing w:line="360" w:lineRule="auto"/>
        <w:ind w:firstLine="567"/>
        <w:jc w:val="both"/>
        <w:rPr>
          <w:rFonts w:asciiTheme="majorBidi" w:hAnsiTheme="majorBidi" w:cstheme="majorBidi"/>
          <w:sz w:val="24"/>
          <w:szCs w:val="24"/>
        </w:rPr>
      </w:pPr>
      <w:r w:rsidRPr="004A5E7D">
        <w:rPr>
          <w:rFonts w:asciiTheme="majorBidi" w:hAnsiTheme="majorBidi" w:cstheme="majorBidi"/>
          <w:sz w:val="24"/>
          <w:szCs w:val="24"/>
        </w:rPr>
        <w:lastRenderedPageBreak/>
        <w:t>The research problem is mainly the current crisis in Syria, and the resulting destruction and losses, which in the next stage inevitably necessitate planning for the reconstruction process and how to secure funding for this process</w:t>
      </w:r>
      <w:r w:rsidR="00153B76" w:rsidRPr="002B2636">
        <w:rPr>
          <w:rFonts w:asciiTheme="majorBidi" w:hAnsiTheme="majorBidi" w:cstheme="majorBidi"/>
          <w:sz w:val="24"/>
          <w:szCs w:val="24"/>
        </w:rPr>
        <w:t>.</w:t>
      </w:r>
    </w:p>
    <w:p w14:paraId="2271C69A" w14:textId="77C61628" w:rsidR="00153B76" w:rsidRPr="00AB5237" w:rsidRDefault="00153B76" w:rsidP="00AA10E8">
      <w:pPr>
        <w:suppressAutoHyphens/>
        <w:spacing w:before="240" w:line="360" w:lineRule="auto"/>
        <w:ind w:firstLine="567"/>
        <w:jc w:val="both"/>
        <w:rPr>
          <w:rFonts w:ascii="Times New Roman" w:hAnsi="Times New Roman" w:cs="Times New Roman"/>
          <w:sz w:val="24"/>
          <w:szCs w:val="24"/>
        </w:rPr>
      </w:pPr>
      <w:r w:rsidRPr="00A347D9">
        <w:rPr>
          <w:rFonts w:asciiTheme="majorBidi" w:hAnsiTheme="majorBidi" w:cstheme="majorBidi"/>
          <w:b/>
          <w:bCs/>
          <w:sz w:val="24"/>
          <w:szCs w:val="24"/>
          <w:lang w:val="en-US" w:bidi="ar-SY"/>
        </w:rPr>
        <w:t xml:space="preserve">The purpose of </w:t>
      </w:r>
      <w:r>
        <w:rPr>
          <w:rFonts w:asciiTheme="majorBidi" w:hAnsiTheme="majorBidi" w:cstheme="majorBidi"/>
          <w:b/>
          <w:bCs/>
          <w:sz w:val="24"/>
          <w:szCs w:val="24"/>
          <w:lang w:val="en-US" w:bidi="ar-SY"/>
        </w:rPr>
        <w:t xml:space="preserve">the </w:t>
      </w:r>
      <w:r w:rsidR="001F0CC4">
        <w:rPr>
          <w:rFonts w:asciiTheme="majorBidi" w:hAnsiTheme="majorBidi" w:cstheme="majorBidi"/>
          <w:b/>
          <w:bCs/>
          <w:sz w:val="24"/>
          <w:szCs w:val="24"/>
          <w:lang w:val="en-US" w:bidi="ar-SY"/>
        </w:rPr>
        <w:t>thesis</w:t>
      </w:r>
      <w:r w:rsidRPr="00A347D9">
        <w:rPr>
          <w:rFonts w:asciiTheme="majorBidi" w:hAnsiTheme="majorBidi" w:cstheme="majorBidi"/>
          <w:sz w:val="24"/>
          <w:szCs w:val="24"/>
          <w:lang w:val="en-US" w:bidi="ar-SY"/>
        </w:rPr>
        <w:t>.</w:t>
      </w:r>
      <w:r w:rsidR="00DE15A8">
        <w:rPr>
          <w:rFonts w:asciiTheme="majorBidi" w:hAnsiTheme="majorBidi" w:cstheme="majorBidi"/>
          <w:sz w:val="24"/>
          <w:szCs w:val="24"/>
          <w:lang w:val="en-US" w:bidi="ar-SY"/>
        </w:rPr>
        <w:t xml:space="preserve"> </w:t>
      </w:r>
      <w:r w:rsidR="00DE15A8" w:rsidRPr="00DE15A8">
        <w:rPr>
          <w:rFonts w:ascii="Times New Roman" w:hAnsi="Times New Roman" w:cs="Times New Roman"/>
          <w:sz w:val="24"/>
          <w:szCs w:val="24"/>
        </w:rPr>
        <w:t>The purpose of the research is the justification of an integrated approach to project finance of investment reconstruction projects in Syria.</w:t>
      </w:r>
    </w:p>
    <w:p w14:paraId="01DCD6D8" w14:textId="77777777" w:rsidR="00153B76" w:rsidRPr="00804EBE" w:rsidRDefault="00153B76" w:rsidP="00AA10E8">
      <w:pPr>
        <w:suppressAutoHyphens/>
        <w:spacing w:line="360" w:lineRule="auto"/>
        <w:ind w:firstLine="567"/>
        <w:jc w:val="both"/>
        <w:rPr>
          <w:rFonts w:asciiTheme="majorBidi" w:hAnsiTheme="majorBidi" w:cstheme="majorBidi"/>
          <w:sz w:val="24"/>
          <w:szCs w:val="24"/>
        </w:rPr>
      </w:pPr>
      <w:r w:rsidRPr="00804EBE">
        <w:rPr>
          <w:rFonts w:asciiTheme="majorBidi" w:hAnsiTheme="majorBidi" w:cstheme="majorBidi"/>
          <w:sz w:val="24"/>
          <w:szCs w:val="24"/>
        </w:rPr>
        <w:t>In</w:t>
      </w:r>
      <w:r>
        <w:rPr>
          <w:rFonts w:asciiTheme="majorBidi" w:hAnsiTheme="majorBidi" w:cstheme="majorBidi"/>
          <w:sz w:val="24"/>
          <w:szCs w:val="24"/>
        </w:rPr>
        <w:t xml:space="preserve"> general, this research aims to </w:t>
      </w:r>
      <w:r w:rsidRPr="00335BCB">
        <w:rPr>
          <w:rFonts w:asciiTheme="majorBidi" w:hAnsiTheme="majorBidi" w:cstheme="majorBidi"/>
          <w:sz w:val="24"/>
          <w:szCs w:val="24"/>
          <w:lang w:bidi="ar-SY"/>
        </w:rPr>
        <w:t>solve the following problems:</w:t>
      </w:r>
    </w:p>
    <w:p w14:paraId="102AC83B" w14:textId="129FA4BD" w:rsidR="00153B76" w:rsidRPr="00BE67C0" w:rsidRDefault="00DE15A8" w:rsidP="00AA10E8">
      <w:pPr>
        <w:pStyle w:val="ListParagraph"/>
        <w:numPr>
          <w:ilvl w:val="0"/>
          <w:numId w:val="46"/>
        </w:numPr>
        <w:suppressAutoHyphens/>
        <w:spacing w:after="0" w:line="360" w:lineRule="auto"/>
        <w:ind w:left="567" w:hanging="357"/>
        <w:jc w:val="both"/>
        <w:textAlignment w:val="auto"/>
        <w:rPr>
          <w:rFonts w:asciiTheme="majorBidi" w:hAnsiTheme="majorBidi" w:cstheme="majorBidi"/>
          <w:sz w:val="24"/>
          <w:szCs w:val="24"/>
        </w:rPr>
      </w:pPr>
      <w:r w:rsidRPr="00DE15A8">
        <w:rPr>
          <w:rFonts w:asciiTheme="majorBidi" w:hAnsiTheme="majorBidi" w:cstheme="majorBidi"/>
          <w:sz w:val="24"/>
          <w:szCs w:val="24"/>
        </w:rPr>
        <w:t>To structure scientific approaches to understanding the essence of project finance; (1.1+1.2)</w:t>
      </w:r>
    </w:p>
    <w:p w14:paraId="545035E8" w14:textId="05B97B17" w:rsidR="00153B76" w:rsidRPr="00BE67C0" w:rsidRDefault="00DE15A8" w:rsidP="00AA10E8">
      <w:pPr>
        <w:pStyle w:val="ListParagraph"/>
        <w:numPr>
          <w:ilvl w:val="0"/>
          <w:numId w:val="46"/>
        </w:numPr>
        <w:suppressAutoHyphens/>
        <w:spacing w:after="0" w:line="360" w:lineRule="auto"/>
        <w:ind w:left="567" w:hanging="357"/>
        <w:jc w:val="both"/>
        <w:textAlignment w:val="auto"/>
        <w:rPr>
          <w:rFonts w:asciiTheme="majorBidi" w:hAnsiTheme="majorBidi" w:cstheme="majorBidi"/>
          <w:sz w:val="24"/>
          <w:szCs w:val="24"/>
        </w:rPr>
      </w:pPr>
      <w:r w:rsidRPr="00DE15A8">
        <w:rPr>
          <w:rFonts w:asciiTheme="majorBidi" w:hAnsiTheme="majorBidi" w:cstheme="majorBidi"/>
          <w:sz w:val="24"/>
          <w:szCs w:val="24"/>
          <w:lang w:bidi="ar-SY"/>
        </w:rPr>
        <w:t>Identify the advantages and disadvantages of project finance in comparison with other models for financing investment projects; (1.3)</w:t>
      </w:r>
    </w:p>
    <w:p w14:paraId="2430F826" w14:textId="435C8BA9" w:rsidR="00153B76" w:rsidRPr="00BE67C0" w:rsidRDefault="00DE15A8" w:rsidP="00AA10E8">
      <w:pPr>
        <w:pStyle w:val="ListParagraph"/>
        <w:numPr>
          <w:ilvl w:val="0"/>
          <w:numId w:val="46"/>
        </w:numPr>
        <w:suppressAutoHyphens/>
        <w:spacing w:after="0" w:line="360" w:lineRule="auto"/>
        <w:ind w:left="567" w:hanging="357"/>
        <w:jc w:val="both"/>
        <w:textAlignment w:val="auto"/>
        <w:rPr>
          <w:rFonts w:asciiTheme="majorBidi" w:hAnsiTheme="majorBidi" w:cstheme="majorBidi"/>
          <w:sz w:val="24"/>
          <w:szCs w:val="24"/>
        </w:rPr>
      </w:pPr>
      <w:r w:rsidRPr="00DE15A8">
        <w:rPr>
          <w:rFonts w:asciiTheme="majorBidi" w:hAnsiTheme="majorBidi" w:cstheme="majorBidi"/>
          <w:color w:val="000000"/>
          <w:sz w:val="24"/>
          <w:szCs w:val="24"/>
          <w:lang w:val="en-US"/>
        </w:rPr>
        <w:t>Identify the features of project finance in the world and Arab countries, mainly in the GCC region</w:t>
      </w:r>
      <w:r>
        <w:rPr>
          <w:rFonts w:asciiTheme="majorBidi" w:hAnsiTheme="majorBidi" w:cstheme="majorBidi"/>
          <w:color w:val="000000"/>
          <w:sz w:val="24"/>
          <w:szCs w:val="24"/>
          <w:lang w:val="en-US"/>
        </w:rPr>
        <w:t>;</w:t>
      </w:r>
      <w:r w:rsidRPr="00DE15A8">
        <w:rPr>
          <w:rFonts w:asciiTheme="majorBidi" w:hAnsiTheme="majorBidi" w:cstheme="majorBidi"/>
          <w:color w:val="000000"/>
          <w:sz w:val="24"/>
          <w:szCs w:val="24"/>
          <w:lang w:val="en-US"/>
        </w:rPr>
        <w:t xml:space="preserve"> (2.1+2.2+2.3)</w:t>
      </w:r>
    </w:p>
    <w:p w14:paraId="05AC8EBE" w14:textId="60702953" w:rsidR="00153B76" w:rsidRPr="00BE67C0" w:rsidRDefault="00153B76" w:rsidP="00AA10E8">
      <w:pPr>
        <w:pStyle w:val="ListParagraph"/>
        <w:numPr>
          <w:ilvl w:val="0"/>
          <w:numId w:val="46"/>
        </w:numPr>
        <w:suppressAutoHyphens/>
        <w:autoSpaceDN/>
        <w:spacing w:after="0" w:line="360" w:lineRule="auto"/>
        <w:ind w:left="567" w:hanging="357"/>
        <w:contextualSpacing/>
        <w:jc w:val="both"/>
        <w:textAlignment w:val="auto"/>
        <w:rPr>
          <w:rFonts w:asciiTheme="majorBidi" w:hAnsiTheme="majorBidi" w:cstheme="majorBidi"/>
          <w:sz w:val="24"/>
          <w:szCs w:val="24"/>
          <w:lang w:bidi="ar-SY"/>
        </w:rPr>
      </w:pPr>
      <w:r w:rsidRPr="00BE67C0">
        <w:rPr>
          <w:rFonts w:asciiTheme="majorBidi" w:hAnsiTheme="majorBidi" w:cstheme="majorBidi"/>
          <w:sz w:val="24"/>
          <w:szCs w:val="24"/>
          <w:lang w:bidi="ar-SY"/>
        </w:rPr>
        <w:t>Clarify the reality of the Syrian economy since the beginning of the war in 2011</w:t>
      </w:r>
      <w:r w:rsidR="005F5DBB" w:rsidRPr="00BE67C0">
        <w:rPr>
          <w:rFonts w:asciiTheme="majorBidi" w:hAnsiTheme="majorBidi" w:cstheme="majorBidi"/>
          <w:sz w:val="24"/>
          <w:szCs w:val="24"/>
          <w:lang w:bidi="ar-SY"/>
        </w:rPr>
        <w:t>,</w:t>
      </w:r>
      <w:r w:rsidRPr="00BE67C0">
        <w:rPr>
          <w:rFonts w:asciiTheme="majorBidi" w:hAnsiTheme="majorBidi" w:cstheme="majorBidi"/>
          <w:sz w:val="24"/>
          <w:szCs w:val="24"/>
          <w:lang w:bidi="ar-SY"/>
        </w:rPr>
        <w:t xml:space="preserve"> in terms of losses and damages, size of the </w:t>
      </w:r>
      <w:r w:rsidR="002B31CD" w:rsidRPr="00BE67C0">
        <w:rPr>
          <w:rFonts w:asciiTheme="majorBidi" w:hAnsiTheme="majorBidi" w:cstheme="majorBidi"/>
          <w:sz w:val="24"/>
          <w:szCs w:val="24"/>
          <w:lang w:bidi="ar-SY"/>
        </w:rPr>
        <w:t xml:space="preserve">available </w:t>
      </w:r>
      <w:r w:rsidRPr="00BE67C0">
        <w:rPr>
          <w:rFonts w:asciiTheme="majorBidi" w:hAnsiTheme="majorBidi" w:cstheme="majorBidi"/>
          <w:sz w:val="24"/>
          <w:szCs w:val="24"/>
          <w:lang w:bidi="ar-SY"/>
        </w:rPr>
        <w:t>national resources, required investments</w:t>
      </w:r>
      <w:r w:rsidR="00D6558A" w:rsidRPr="00BE67C0">
        <w:rPr>
          <w:rFonts w:asciiTheme="majorBidi" w:hAnsiTheme="majorBidi" w:cstheme="majorBidi"/>
          <w:sz w:val="24"/>
          <w:szCs w:val="24"/>
          <w:lang w:bidi="ar-SY"/>
        </w:rPr>
        <w:t xml:space="preserve">, </w:t>
      </w:r>
      <w:r w:rsidRPr="00BE67C0">
        <w:rPr>
          <w:rFonts w:asciiTheme="majorBidi" w:hAnsiTheme="majorBidi" w:cstheme="majorBidi"/>
          <w:sz w:val="24"/>
          <w:szCs w:val="24"/>
          <w:lang w:bidi="ar-SY"/>
        </w:rPr>
        <w:t>and the necessary financing</w:t>
      </w:r>
      <w:r w:rsidR="00DE15A8">
        <w:rPr>
          <w:rFonts w:asciiTheme="majorBidi" w:hAnsiTheme="majorBidi" w:cstheme="majorBidi"/>
          <w:sz w:val="24"/>
          <w:szCs w:val="24"/>
          <w:lang w:bidi="ar-SY"/>
        </w:rPr>
        <w:t xml:space="preserve">; </w:t>
      </w:r>
      <w:r w:rsidR="00DE15A8" w:rsidRPr="00DE15A8">
        <w:rPr>
          <w:rFonts w:asciiTheme="majorBidi" w:hAnsiTheme="majorBidi" w:cstheme="majorBidi"/>
          <w:sz w:val="24"/>
          <w:szCs w:val="24"/>
          <w:lang w:bidi="ar-SY"/>
        </w:rPr>
        <w:t>(3.1+3.2)</w:t>
      </w:r>
    </w:p>
    <w:p w14:paraId="47ECC6B2" w14:textId="0F2F26BB" w:rsidR="00153B76" w:rsidRPr="00BE67C0" w:rsidRDefault="00153B76" w:rsidP="00AA10E8">
      <w:pPr>
        <w:pStyle w:val="ListParagraph"/>
        <w:numPr>
          <w:ilvl w:val="0"/>
          <w:numId w:val="46"/>
        </w:numPr>
        <w:suppressAutoHyphens/>
        <w:autoSpaceDN/>
        <w:spacing w:after="0" w:line="360" w:lineRule="auto"/>
        <w:ind w:left="567" w:hanging="357"/>
        <w:contextualSpacing/>
        <w:jc w:val="both"/>
        <w:textAlignment w:val="auto"/>
        <w:rPr>
          <w:rFonts w:asciiTheme="majorBidi" w:hAnsiTheme="majorBidi" w:cstheme="majorBidi"/>
          <w:sz w:val="24"/>
          <w:szCs w:val="24"/>
          <w:lang w:bidi="ar-SY"/>
        </w:rPr>
      </w:pPr>
      <w:r w:rsidRPr="00BE67C0">
        <w:rPr>
          <w:rFonts w:asciiTheme="majorBidi" w:hAnsiTheme="majorBidi" w:cstheme="majorBidi"/>
          <w:sz w:val="24"/>
          <w:szCs w:val="24"/>
          <w:lang w:bidi="ar-SY"/>
        </w:rPr>
        <w:t>Analyse the investment environment in Syria and clarification of investment opportunities available to capital</w:t>
      </w:r>
      <w:r w:rsidR="00DE15A8">
        <w:rPr>
          <w:rFonts w:asciiTheme="majorBidi" w:hAnsiTheme="majorBidi" w:cstheme="majorBidi"/>
          <w:sz w:val="24"/>
          <w:szCs w:val="24"/>
          <w:lang w:bidi="ar-SY"/>
        </w:rPr>
        <w:t xml:space="preserve">; </w:t>
      </w:r>
      <w:r w:rsidR="00DE15A8" w:rsidRPr="00DE15A8">
        <w:rPr>
          <w:rFonts w:asciiTheme="majorBidi" w:hAnsiTheme="majorBidi" w:cstheme="majorBidi"/>
          <w:sz w:val="24"/>
          <w:szCs w:val="24"/>
          <w:lang w:bidi="ar-SY"/>
        </w:rPr>
        <w:t>(3.3)</w:t>
      </w:r>
    </w:p>
    <w:p w14:paraId="5738ED40" w14:textId="445205EE" w:rsidR="00153B76" w:rsidRPr="00BE67C0" w:rsidRDefault="00EE5AA2" w:rsidP="00AA10E8">
      <w:pPr>
        <w:pStyle w:val="ListParagraph"/>
        <w:numPr>
          <w:ilvl w:val="0"/>
          <w:numId w:val="46"/>
        </w:numPr>
        <w:suppressAutoHyphens/>
        <w:autoSpaceDN/>
        <w:spacing w:line="360" w:lineRule="auto"/>
        <w:ind w:left="567" w:hanging="357"/>
        <w:contextualSpacing/>
        <w:jc w:val="both"/>
        <w:textAlignment w:val="auto"/>
        <w:rPr>
          <w:rFonts w:asciiTheme="majorBidi" w:hAnsiTheme="majorBidi" w:cstheme="majorBidi"/>
          <w:sz w:val="24"/>
          <w:szCs w:val="24"/>
          <w:lang w:bidi="ar-SY"/>
        </w:rPr>
      </w:pPr>
      <w:r w:rsidRPr="00EE5AA2">
        <w:rPr>
          <w:rFonts w:asciiTheme="majorBidi" w:hAnsiTheme="majorBidi" w:cstheme="majorBidi"/>
          <w:color w:val="000000"/>
          <w:sz w:val="24"/>
          <w:szCs w:val="24"/>
          <w:lang w:val="en-US"/>
        </w:rPr>
        <w:t>Substantiate the author</w:t>
      </w:r>
      <w:r w:rsidR="00B83523">
        <w:rPr>
          <w:rFonts w:ascii="Times New Roman" w:hAnsi="Times New Roman" w:cs="Times New Roman"/>
          <w:sz w:val="24"/>
          <w:szCs w:val="24"/>
        </w:rPr>
        <w:t>'</w:t>
      </w:r>
      <w:r w:rsidRPr="00EE5AA2">
        <w:rPr>
          <w:rFonts w:asciiTheme="majorBidi" w:hAnsiTheme="majorBidi" w:cstheme="majorBidi"/>
          <w:color w:val="000000"/>
          <w:sz w:val="24"/>
          <w:szCs w:val="24"/>
          <w:lang w:val="en-US"/>
        </w:rPr>
        <w:t>s approach to the implementation of project finance in Syria using model mathematical tools</w:t>
      </w:r>
      <w:r w:rsidR="00DE15A8" w:rsidRPr="00EE5AA2">
        <w:rPr>
          <w:rFonts w:asciiTheme="majorBidi" w:hAnsiTheme="majorBidi" w:cstheme="majorBidi"/>
          <w:color w:val="000000"/>
          <w:sz w:val="24"/>
          <w:szCs w:val="24"/>
          <w:lang w:val="en-US"/>
        </w:rPr>
        <w:t>; (3.2+3.3</w:t>
      </w:r>
      <w:r w:rsidR="00DE15A8" w:rsidRPr="00DE15A8">
        <w:rPr>
          <w:rFonts w:asciiTheme="majorBidi" w:hAnsiTheme="majorBidi" w:cstheme="majorBidi"/>
          <w:sz w:val="24"/>
          <w:szCs w:val="24"/>
          <w:lang w:bidi="ar-SY"/>
        </w:rPr>
        <w:t>+3.4)</w:t>
      </w:r>
    </w:p>
    <w:p w14:paraId="3DF29375" w14:textId="5D2ABFC5" w:rsidR="00153B76" w:rsidRDefault="00153B76" w:rsidP="00AA10E8">
      <w:pPr>
        <w:suppressAutoHyphens/>
        <w:spacing w:before="240" w:line="360" w:lineRule="auto"/>
        <w:ind w:firstLine="567"/>
        <w:jc w:val="both"/>
        <w:rPr>
          <w:rFonts w:asciiTheme="majorBidi" w:hAnsiTheme="majorBidi" w:cstheme="majorBidi"/>
          <w:sz w:val="24"/>
          <w:szCs w:val="24"/>
        </w:rPr>
      </w:pPr>
      <w:r w:rsidRPr="00A347D9">
        <w:rPr>
          <w:rFonts w:asciiTheme="majorBidi" w:hAnsiTheme="majorBidi" w:cstheme="majorBidi"/>
          <w:b/>
          <w:bCs/>
          <w:sz w:val="24"/>
          <w:szCs w:val="24"/>
          <w:lang w:val="en-US" w:bidi="ar-SY"/>
        </w:rPr>
        <w:t>Research methodology.</w:t>
      </w:r>
      <w:r>
        <w:rPr>
          <w:rFonts w:asciiTheme="majorBidi" w:hAnsiTheme="majorBidi" w:cstheme="majorBidi"/>
          <w:b/>
          <w:bCs/>
          <w:sz w:val="24"/>
          <w:szCs w:val="24"/>
          <w:lang w:val="en-US" w:bidi="ar-SY"/>
        </w:rPr>
        <w:t xml:space="preserve"> </w:t>
      </w:r>
      <w:r w:rsidRPr="002606D3">
        <w:rPr>
          <w:rFonts w:asciiTheme="majorBidi" w:hAnsiTheme="majorBidi" w:cstheme="majorBidi"/>
          <w:sz w:val="24"/>
          <w:szCs w:val="24"/>
        </w:rPr>
        <w:t xml:space="preserve">The theoretical basis of the research is the work of leading experts in the field of project finance, </w:t>
      </w:r>
      <w:r w:rsidRPr="00A347D9">
        <w:rPr>
          <w:rFonts w:asciiTheme="majorBidi" w:hAnsiTheme="majorBidi" w:cstheme="majorBidi"/>
          <w:sz w:val="24"/>
          <w:szCs w:val="24"/>
        </w:rPr>
        <w:t>corporate finance theory, Islamic finance,</w:t>
      </w:r>
      <w:r w:rsidR="00C7616E">
        <w:rPr>
          <w:rFonts w:asciiTheme="majorBidi" w:hAnsiTheme="majorBidi" w:cstheme="majorBidi" w:hint="cs"/>
          <w:sz w:val="24"/>
          <w:szCs w:val="24"/>
          <w:rtl/>
        </w:rPr>
        <w:t xml:space="preserve"> </w:t>
      </w:r>
      <w:r w:rsidR="00C7616E" w:rsidRPr="00C7616E">
        <w:rPr>
          <w:rFonts w:asciiTheme="majorBidi" w:hAnsiTheme="majorBidi" w:cstheme="majorBidi"/>
          <w:sz w:val="24"/>
          <w:szCs w:val="24"/>
        </w:rPr>
        <w:t xml:space="preserve">financial markets, economic and mathematical </w:t>
      </w:r>
      <w:r w:rsidR="00C7616E">
        <w:rPr>
          <w:rFonts w:asciiTheme="majorBidi" w:hAnsiTheme="majorBidi" w:cstheme="majorBidi"/>
          <w:sz w:val="24"/>
          <w:szCs w:val="24"/>
        </w:rPr>
        <w:t>modelling,</w:t>
      </w:r>
      <w:r w:rsidRPr="00A347D9">
        <w:rPr>
          <w:rFonts w:asciiTheme="majorBidi" w:hAnsiTheme="majorBidi" w:cstheme="majorBidi"/>
          <w:sz w:val="24"/>
          <w:szCs w:val="24"/>
        </w:rPr>
        <w:t xml:space="preserve"> </w:t>
      </w:r>
      <w:r w:rsidRPr="002606D3">
        <w:rPr>
          <w:rFonts w:asciiTheme="majorBidi" w:hAnsiTheme="majorBidi" w:cstheme="majorBidi"/>
          <w:sz w:val="24"/>
          <w:szCs w:val="24"/>
        </w:rPr>
        <w:t>as well as laws and regulations of</w:t>
      </w:r>
      <w:r>
        <w:rPr>
          <w:rFonts w:asciiTheme="majorBidi" w:hAnsiTheme="majorBidi" w:cstheme="majorBidi"/>
          <w:sz w:val="24"/>
          <w:szCs w:val="24"/>
        </w:rPr>
        <w:t xml:space="preserve"> the</w:t>
      </w:r>
      <w:r w:rsidRPr="002606D3">
        <w:rPr>
          <w:rFonts w:asciiTheme="majorBidi" w:hAnsiTheme="majorBidi" w:cstheme="majorBidi"/>
          <w:sz w:val="24"/>
          <w:szCs w:val="24"/>
        </w:rPr>
        <w:t xml:space="preserve"> </w:t>
      </w:r>
      <w:r>
        <w:rPr>
          <w:rFonts w:asciiTheme="majorBidi" w:hAnsiTheme="majorBidi" w:cstheme="majorBidi"/>
          <w:sz w:val="24"/>
          <w:szCs w:val="24"/>
        </w:rPr>
        <w:t xml:space="preserve">Syrian government </w:t>
      </w:r>
      <w:r w:rsidRPr="002606D3">
        <w:rPr>
          <w:rFonts w:asciiTheme="majorBidi" w:hAnsiTheme="majorBidi" w:cstheme="majorBidi"/>
          <w:sz w:val="24"/>
          <w:szCs w:val="24"/>
        </w:rPr>
        <w:t xml:space="preserve">and </w:t>
      </w:r>
      <w:r>
        <w:rPr>
          <w:rFonts w:asciiTheme="majorBidi" w:hAnsiTheme="majorBidi" w:cstheme="majorBidi"/>
          <w:sz w:val="24"/>
          <w:szCs w:val="24"/>
        </w:rPr>
        <w:t>many</w:t>
      </w:r>
      <w:r w:rsidRPr="002606D3">
        <w:rPr>
          <w:rFonts w:asciiTheme="majorBidi" w:hAnsiTheme="majorBidi" w:cstheme="majorBidi"/>
          <w:sz w:val="24"/>
          <w:szCs w:val="24"/>
        </w:rPr>
        <w:t xml:space="preserve"> </w:t>
      </w:r>
      <w:r>
        <w:rPr>
          <w:rFonts w:asciiTheme="majorBidi" w:hAnsiTheme="majorBidi" w:cstheme="majorBidi"/>
          <w:sz w:val="24"/>
          <w:szCs w:val="24"/>
        </w:rPr>
        <w:t>Arab</w:t>
      </w:r>
      <w:r w:rsidRPr="002606D3">
        <w:rPr>
          <w:rFonts w:asciiTheme="majorBidi" w:hAnsiTheme="majorBidi" w:cstheme="majorBidi"/>
          <w:sz w:val="24"/>
          <w:szCs w:val="24"/>
        </w:rPr>
        <w:t xml:space="preserve"> countries</w:t>
      </w:r>
      <w:r>
        <w:rPr>
          <w:rFonts w:asciiTheme="majorBidi" w:hAnsiTheme="majorBidi" w:cstheme="majorBidi"/>
          <w:sz w:val="24"/>
          <w:szCs w:val="24"/>
        </w:rPr>
        <w:t>.</w:t>
      </w:r>
    </w:p>
    <w:p w14:paraId="5BC0A844" w14:textId="08624F69" w:rsidR="00153B76" w:rsidRDefault="00153B76" w:rsidP="00AA10E8">
      <w:pPr>
        <w:suppressAutoHyphens/>
        <w:spacing w:line="360" w:lineRule="auto"/>
        <w:ind w:firstLine="567"/>
        <w:jc w:val="both"/>
        <w:rPr>
          <w:rFonts w:asciiTheme="majorBidi" w:hAnsiTheme="majorBidi" w:cstheme="majorBidi"/>
          <w:color w:val="000000"/>
          <w:sz w:val="24"/>
          <w:szCs w:val="24"/>
          <w:lang w:val="en-US"/>
        </w:rPr>
      </w:pPr>
      <w:r w:rsidRPr="006848D5">
        <w:rPr>
          <w:rFonts w:asciiTheme="majorBidi" w:hAnsiTheme="majorBidi" w:cstheme="majorBidi"/>
          <w:color w:val="000000"/>
          <w:sz w:val="24"/>
          <w:szCs w:val="24"/>
          <w:lang w:val="en-US"/>
        </w:rPr>
        <w:t xml:space="preserve">The </w:t>
      </w:r>
      <w:r w:rsidR="001F0CC4">
        <w:rPr>
          <w:rFonts w:asciiTheme="majorBidi" w:hAnsiTheme="majorBidi" w:cstheme="majorBidi"/>
          <w:sz w:val="24"/>
          <w:szCs w:val="24"/>
          <w:lang w:bidi="ar-SY"/>
        </w:rPr>
        <w:t>thesis</w:t>
      </w:r>
      <w:r w:rsidRPr="002606D3">
        <w:rPr>
          <w:rFonts w:asciiTheme="majorBidi" w:hAnsiTheme="majorBidi" w:cstheme="majorBidi"/>
          <w:sz w:val="24"/>
          <w:szCs w:val="24"/>
          <w:lang w:bidi="ar-SY"/>
        </w:rPr>
        <w:t xml:space="preserve"> </w:t>
      </w:r>
      <w:r w:rsidRPr="006848D5">
        <w:rPr>
          <w:rFonts w:asciiTheme="majorBidi" w:hAnsiTheme="majorBidi" w:cstheme="majorBidi"/>
          <w:color w:val="000000"/>
          <w:sz w:val="24"/>
          <w:szCs w:val="24"/>
          <w:lang w:val="en-US"/>
        </w:rPr>
        <w:t>employed</w:t>
      </w:r>
      <w:r w:rsidR="00BE73DE">
        <w:rPr>
          <w:rFonts w:asciiTheme="majorBidi" w:hAnsiTheme="majorBidi" w:cstheme="majorBidi"/>
          <w:color w:val="000000"/>
          <w:sz w:val="24"/>
          <w:szCs w:val="24"/>
          <w:lang w:val="en-US"/>
        </w:rPr>
        <w:t xml:space="preserve"> </w:t>
      </w:r>
      <w:r w:rsidR="00BE73DE" w:rsidRPr="002606D3">
        <w:rPr>
          <w:rFonts w:asciiTheme="majorBidi" w:hAnsiTheme="majorBidi" w:cstheme="majorBidi"/>
          <w:sz w:val="24"/>
          <w:szCs w:val="24"/>
          <w:lang w:bidi="ar-SY"/>
        </w:rPr>
        <w:t>methods of scientific knowledge as observation</w:t>
      </w:r>
      <w:r w:rsidR="00BE73DE">
        <w:rPr>
          <w:rFonts w:asciiTheme="majorBidi" w:hAnsiTheme="majorBidi" w:cstheme="majorBidi"/>
          <w:sz w:val="24"/>
          <w:szCs w:val="24"/>
          <w:lang w:bidi="ar-SY"/>
        </w:rPr>
        <w:t>,</w:t>
      </w:r>
      <w:r w:rsidRPr="006848D5">
        <w:rPr>
          <w:rFonts w:asciiTheme="majorBidi" w:hAnsiTheme="majorBidi" w:cstheme="majorBidi"/>
          <w:color w:val="000000"/>
          <w:sz w:val="24"/>
          <w:szCs w:val="24"/>
          <w:lang w:val="en-US"/>
        </w:rPr>
        <w:t xml:space="preserve"> statistical analysis, regression mode</w:t>
      </w:r>
      <w:r w:rsidR="00642013">
        <w:rPr>
          <w:rFonts w:asciiTheme="majorBidi" w:hAnsiTheme="majorBidi" w:cstheme="majorBidi"/>
          <w:color w:val="000000"/>
          <w:sz w:val="24"/>
          <w:szCs w:val="24"/>
          <w:lang w:val="en-US"/>
        </w:rPr>
        <w:t>l</w:t>
      </w:r>
      <w:r w:rsidRPr="006848D5">
        <w:rPr>
          <w:rFonts w:asciiTheme="majorBidi" w:hAnsiTheme="majorBidi" w:cstheme="majorBidi"/>
          <w:color w:val="000000"/>
          <w:sz w:val="24"/>
          <w:szCs w:val="24"/>
          <w:lang w:val="en-US"/>
        </w:rPr>
        <w:t>ling</w:t>
      </w:r>
      <w:r>
        <w:rPr>
          <w:rFonts w:asciiTheme="majorBidi" w:hAnsiTheme="majorBidi" w:cstheme="majorBidi"/>
          <w:color w:val="000000"/>
          <w:sz w:val="24"/>
          <w:szCs w:val="24"/>
          <w:lang w:val="en-US"/>
        </w:rPr>
        <w:t>,</w:t>
      </w:r>
      <w:r w:rsidRPr="00A347D9">
        <w:rPr>
          <w:rFonts w:asciiTheme="majorBidi" w:hAnsiTheme="majorBidi" w:cstheme="majorBidi"/>
          <w:sz w:val="24"/>
          <w:szCs w:val="24"/>
          <w:lang w:bidi="ar-SY"/>
        </w:rPr>
        <w:t xml:space="preserve"> </w:t>
      </w:r>
      <w:r w:rsidRPr="002606D3">
        <w:rPr>
          <w:rFonts w:asciiTheme="majorBidi" w:hAnsiTheme="majorBidi" w:cstheme="majorBidi"/>
          <w:sz w:val="24"/>
          <w:szCs w:val="24"/>
          <w:lang w:bidi="ar-SY"/>
        </w:rPr>
        <w:t>theoretical analysis, comparative analysis</w:t>
      </w:r>
      <w:r>
        <w:rPr>
          <w:rFonts w:asciiTheme="majorBidi" w:hAnsiTheme="majorBidi" w:cstheme="majorBidi"/>
          <w:sz w:val="24"/>
          <w:szCs w:val="24"/>
          <w:lang w:bidi="ar-SY"/>
        </w:rPr>
        <w:t>,</w:t>
      </w:r>
      <w:r w:rsidRPr="006848D5">
        <w:rPr>
          <w:rFonts w:asciiTheme="majorBidi" w:hAnsiTheme="majorBidi" w:cstheme="majorBidi"/>
          <w:color w:val="000000"/>
          <w:sz w:val="24"/>
          <w:szCs w:val="24"/>
          <w:lang w:val="en-US"/>
        </w:rPr>
        <w:t xml:space="preserve"> </w:t>
      </w:r>
      <w:r w:rsidRPr="002606D3">
        <w:rPr>
          <w:rFonts w:asciiTheme="majorBidi" w:hAnsiTheme="majorBidi" w:cstheme="majorBidi"/>
          <w:sz w:val="24"/>
          <w:szCs w:val="24"/>
          <w:lang w:bidi="ar-SY"/>
        </w:rPr>
        <w:t>economic-statistical analyses</w:t>
      </w:r>
      <w:r>
        <w:rPr>
          <w:rFonts w:asciiTheme="majorBidi" w:hAnsiTheme="majorBidi" w:cstheme="majorBidi"/>
          <w:sz w:val="24"/>
          <w:szCs w:val="24"/>
          <w:lang w:bidi="ar-SY"/>
        </w:rPr>
        <w:t xml:space="preserve">, </w:t>
      </w:r>
      <w:r w:rsidR="008F47F6">
        <w:rPr>
          <w:rFonts w:asciiTheme="majorBidi" w:hAnsiTheme="majorBidi" w:cstheme="majorBidi"/>
          <w:sz w:val="24"/>
          <w:szCs w:val="24"/>
          <w:lang w:bidi="ar-SY"/>
        </w:rPr>
        <w:t xml:space="preserve">the </w:t>
      </w:r>
      <w:r w:rsidRPr="002606D3">
        <w:rPr>
          <w:rFonts w:asciiTheme="majorBidi" w:hAnsiTheme="majorBidi" w:cstheme="majorBidi"/>
          <w:sz w:val="24"/>
          <w:szCs w:val="24"/>
          <w:lang w:bidi="ar-SY"/>
        </w:rPr>
        <w:t>generalization of scientific and statistical data</w:t>
      </w:r>
      <w:r>
        <w:rPr>
          <w:rFonts w:asciiTheme="majorBidi" w:hAnsiTheme="majorBidi" w:cstheme="majorBidi"/>
          <w:sz w:val="24"/>
          <w:szCs w:val="24"/>
          <w:lang w:bidi="ar-SY"/>
        </w:rPr>
        <w:t>,</w:t>
      </w:r>
      <w:r w:rsidRPr="002606D3">
        <w:rPr>
          <w:rFonts w:asciiTheme="majorBidi" w:hAnsiTheme="majorBidi" w:cstheme="majorBidi"/>
          <w:sz w:val="24"/>
          <w:szCs w:val="24"/>
          <w:lang w:bidi="ar-SY"/>
        </w:rPr>
        <w:t xml:space="preserve"> </w:t>
      </w:r>
      <w:r w:rsidR="008F47F6">
        <w:rPr>
          <w:rFonts w:asciiTheme="majorBidi" w:hAnsiTheme="majorBidi" w:cstheme="majorBidi"/>
          <w:sz w:val="24"/>
          <w:szCs w:val="24"/>
          <w:lang w:bidi="ar-SY"/>
        </w:rPr>
        <w:t xml:space="preserve">and </w:t>
      </w:r>
      <w:r w:rsidRPr="002606D3">
        <w:rPr>
          <w:rFonts w:asciiTheme="majorBidi" w:hAnsiTheme="majorBidi" w:cstheme="majorBidi"/>
          <w:sz w:val="24"/>
          <w:szCs w:val="24"/>
          <w:lang w:bidi="ar-SY"/>
        </w:rPr>
        <w:t>presentation of theoretical and empirical knowledge in the form of a scientific text.</w:t>
      </w:r>
      <w:r>
        <w:rPr>
          <w:rFonts w:asciiTheme="majorBidi" w:hAnsiTheme="majorBidi" w:cstheme="majorBidi"/>
          <w:sz w:val="24"/>
          <w:szCs w:val="24"/>
          <w:lang w:bidi="ar-SY"/>
        </w:rPr>
        <w:t xml:space="preserve"> </w:t>
      </w:r>
      <w:r w:rsidR="00384A76">
        <w:rPr>
          <w:rFonts w:asciiTheme="majorBidi" w:hAnsiTheme="majorBidi" w:cstheme="majorBidi"/>
          <w:sz w:val="24"/>
          <w:szCs w:val="24"/>
          <w:lang w:bidi="ar-SY"/>
        </w:rPr>
        <w:t>T</w:t>
      </w:r>
      <w:r w:rsidR="00384A76" w:rsidRPr="00384A76">
        <w:rPr>
          <w:rFonts w:asciiTheme="majorBidi" w:hAnsiTheme="majorBidi" w:cstheme="majorBidi"/>
          <w:sz w:val="24"/>
          <w:szCs w:val="24"/>
          <w:lang w:bidi="ar-SY"/>
        </w:rPr>
        <w:t>he author analyse</w:t>
      </w:r>
      <w:r w:rsidR="00743A98">
        <w:rPr>
          <w:rFonts w:asciiTheme="majorBidi" w:hAnsiTheme="majorBidi" w:cstheme="majorBidi"/>
          <w:sz w:val="24"/>
          <w:szCs w:val="24"/>
          <w:lang w:bidi="ar-SY"/>
        </w:rPr>
        <w:t>d</w:t>
      </w:r>
      <w:r w:rsidR="00384A76" w:rsidRPr="00384A76">
        <w:rPr>
          <w:rFonts w:asciiTheme="majorBidi" w:hAnsiTheme="majorBidi" w:cstheme="majorBidi"/>
          <w:sz w:val="24"/>
          <w:szCs w:val="24"/>
          <w:lang w:bidi="ar-SY"/>
        </w:rPr>
        <w:t xml:space="preserve"> historical data on the size, dynamics, and structure of project financing in the world, particularly in the GCC countries. The economic indicators data that reflects the effects of the Syrian economic crisis has also been investigated</w:t>
      </w:r>
      <w:r>
        <w:rPr>
          <w:rFonts w:asciiTheme="majorBidi" w:hAnsiTheme="majorBidi" w:cstheme="majorBidi"/>
          <w:color w:val="000000"/>
          <w:sz w:val="24"/>
          <w:szCs w:val="24"/>
          <w:lang w:val="en-US"/>
        </w:rPr>
        <w:t>.</w:t>
      </w:r>
    </w:p>
    <w:p w14:paraId="09040F66" w14:textId="36E356D0" w:rsidR="00153B76" w:rsidRPr="00804EBE" w:rsidRDefault="00153B76" w:rsidP="00AA10E8">
      <w:pPr>
        <w:suppressAutoHyphens/>
        <w:spacing w:before="240" w:line="360" w:lineRule="auto"/>
        <w:ind w:firstLine="567"/>
        <w:jc w:val="both"/>
        <w:rPr>
          <w:rFonts w:asciiTheme="majorBidi" w:hAnsiTheme="majorBidi" w:cstheme="majorBidi"/>
          <w:sz w:val="24"/>
          <w:szCs w:val="24"/>
        </w:rPr>
      </w:pPr>
      <w:r w:rsidRPr="00804EBE">
        <w:rPr>
          <w:rFonts w:asciiTheme="majorBidi" w:hAnsiTheme="majorBidi" w:cstheme="majorBidi"/>
          <w:b/>
          <w:bCs/>
          <w:sz w:val="24"/>
          <w:szCs w:val="24"/>
          <w:lang w:val="en-US" w:bidi="ar-SY"/>
        </w:rPr>
        <w:t xml:space="preserve">Significance of the </w:t>
      </w:r>
      <w:r>
        <w:rPr>
          <w:rFonts w:asciiTheme="majorBidi" w:hAnsiTheme="majorBidi" w:cstheme="majorBidi"/>
          <w:b/>
          <w:bCs/>
          <w:sz w:val="24"/>
          <w:szCs w:val="24"/>
          <w:lang w:val="en-US" w:bidi="ar-SY"/>
        </w:rPr>
        <w:t>r</w:t>
      </w:r>
      <w:r w:rsidRPr="00804EBE">
        <w:rPr>
          <w:rFonts w:asciiTheme="majorBidi" w:hAnsiTheme="majorBidi" w:cstheme="majorBidi"/>
          <w:b/>
          <w:bCs/>
          <w:sz w:val="24"/>
          <w:szCs w:val="24"/>
          <w:lang w:val="en-US" w:bidi="ar-SY"/>
        </w:rPr>
        <w:t>esearch</w:t>
      </w:r>
      <w:r>
        <w:rPr>
          <w:rFonts w:asciiTheme="majorBidi" w:hAnsiTheme="majorBidi" w:cstheme="majorBidi"/>
          <w:b/>
          <w:bCs/>
          <w:sz w:val="24"/>
          <w:szCs w:val="24"/>
          <w:lang w:val="en-US" w:bidi="ar-SY"/>
        </w:rPr>
        <w:t xml:space="preserve">. </w:t>
      </w:r>
      <w:r w:rsidRPr="00804EBE">
        <w:rPr>
          <w:rFonts w:asciiTheme="majorBidi" w:hAnsiTheme="majorBidi" w:cstheme="majorBidi"/>
          <w:sz w:val="24"/>
          <w:szCs w:val="24"/>
        </w:rPr>
        <w:t xml:space="preserve">The results of this research can contribute effectively to shed light on the international experience </w:t>
      </w:r>
      <w:r w:rsidR="000B344A">
        <w:rPr>
          <w:rFonts w:asciiTheme="majorBidi" w:hAnsiTheme="majorBidi" w:cstheme="majorBidi"/>
          <w:sz w:val="24"/>
          <w:szCs w:val="24"/>
        </w:rPr>
        <w:t xml:space="preserve">of </w:t>
      </w:r>
      <w:r>
        <w:rPr>
          <w:rFonts w:asciiTheme="majorBidi" w:hAnsiTheme="majorBidi" w:cstheme="majorBidi"/>
          <w:sz w:val="24"/>
          <w:szCs w:val="24"/>
        </w:rPr>
        <w:t>p</w:t>
      </w:r>
      <w:r w:rsidRPr="00804EBE">
        <w:rPr>
          <w:rFonts w:asciiTheme="majorBidi" w:hAnsiTheme="majorBidi" w:cstheme="majorBidi"/>
          <w:sz w:val="24"/>
          <w:szCs w:val="24"/>
        </w:rPr>
        <w:t xml:space="preserve">roject </w:t>
      </w:r>
      <w:r>
        <w:rPr>
          <w:rFonts w:asciiTheme="majorBidi" w:hAnsiTheme="majorBidi" w:cstheme="majorBidi"/>
          <w:sz w:val="24"/>
          <w:szCs w:val="24"/>
        </w:rPr>
        <w:t>f</w:t>
      </w:r>
      <w:r w:rsidRPr="00804EBE">
        <w:rPr>
          <w:rFonts w:asciiTheme="majorBidi" w:hAnsiTheme="majorBidi" w:cstheme="majorBidi"/>
          <w:sz w:val="24"/>
          <w:szCs w:val="24"/>
        </w:rPr>
        <w:t>inance</w:t>
      </w:r>
      <w:r>
        <w:rPr>
          <w:rFonts w:asciiTheme="majorBidi" w:hAnsiTheme="majorBidi" w:cstheme="majorBidi"/>
          <w:sz w:val="24"/>
          <w:szCs w:val="24"/>
        </w:rPr>
        <w:t xml:space="preserve"> </w:t>
      </w:r>
      <w:r w:rsidRPr="00804EBE">
        <w:rPr>
          <w:rFonts w:asciiTheme="majorBidi" w:hAnsiTheme="majorBidi" w:cstheme="majorBidi"/>
          <w:sz w:val="24"/>
          <w:szCs w:val="24"/>
        </w:rPr>
        <w:t xml:space="preserve">and clarify the strengths and weaknesses in them. </w:t>
      </w:r>
      <w:r w:rsidR="00642013">
        <w:rPr>
          <w:rFonts w:asciiTheme="majorBidi" w:hAnsiTheme="majorBidi" w:cstheme="majorBidi"/>
          <w:sz w:val="24"/>
          <w:szCs w:val="24"/>
        </w:rPr>
        <w:t>To e</w:t>
      </w:r>
      <w:r w:rsidRPr="00804EBE">
        <w:rPr>
          <w:rFonts w:asciiTheme="majorBidi" w:hAnsiTheme="majorBidi" w:cstheme="majorBidi"/>
          <w:sz w:val="24"/>
          <w:szCs w:val="24"/>
        </w:rPr>
        <w:t>nabl</w:t>
      </w:r>
      <w:r w:rsidR="00642013">
        <w:rPr>
          <w:rFonts w:asciiTheme="majorBidi" w:hAnsiTheme="majorBidi" w:cstheme="majorBidi"/>
          <w:sz w:val="24"/>
          <w:szCs w:val="24"/>
        </w:rPr>
        <w:t>e</w:t>
      </w:r>
      <w:r w:rsidRPr="00804EBE">
        <w:rPr>
          <w:rFonts w:asciiTheme="majorBidi" w:hAnsiTheme="majorBidi" w:cstheme="majorBidi"/>
          <w:sz w:val="24"/>
          <w:szCs w:val="24"/>
        </w:rPr>
        <w:t xml:space="preserve"> the necessary reforms to be introduced in the policies used in planning the reconstruction process to advance and develop the investment climate.</w:t>
      </w:r>
    </w:p>
    <w:p w14:paraId="7BCF7599" w14:textId="257BE808" w:rsidR="00153B76" w:rsidRPr="00804EBE" w:rsidRDefault="007901E7" w:rsidP="00AA10E8">
      <w:pPr>
        <w:suppressAutoHyphens/>
        <w:spacing w:line="360" w:lineRule="auto"/>
        <w:ind w:firstLine="567"/>
        <w:jc w:val="both"/>
        <w:rPr>
          <w:rFonts w:asciiTheme="majorBidi" w:hAnsiTheme="majorBidi" w:cstheme="majorBidi"/>
          <w:sz w:val="24"/>
          <w:szCs w:val="24"/>
        </w:rPr>
      </w:pPr>
      <w:r w:rsidRPr="007901E7">
        <w:rPr>
          <w:rFonts w:asciiTheme="majorBidi" w:hAnsiTheme="majorBidi" w:cstheme="majorBidi"/>
          <w:sz w:val="24"/>
          <w:szCs w:val="24"/>
        </w:rPr>
        <w:lastRenderedPageBreak/>
        <w:t xml:space="preserve">This research may prove to be useful in identifying the investment situation in Syria, </w:t>
      </w:r>
      <w:r w:rsidR="003E6755" w:rsidRPr="003E6755">
        <w:rPr>
          <w:rFonts w:asciiTheme="majorBidi" w:hAnsiTheme="majorBidi" w:cstheme="majorBidi"/>
          <w:sz w:val="24"/>
          <w:szCs w:val="24"/>
        </w:rPr>
        <w:t xml:space="preserve">highlighting </w:t>
      </w:r>
      <w:r w:rsidRPr="007901E7">
        <w:rPr>
          <w:rFonts w:asciiTheme="majorBidi" w:hAnsiTheme="majorBidi" w:cstheme="majorBidi"/>
          <w:sz w:val="24"/>
          <w:szCs w:val="24"/>
        </w:rPr>
        <w:t xml:space="preserve">the </w:t>
      </w:r>
      <w:r w:rsidR="00842B12">
        <w:rPr>
          <w:rFonts w:asciiTheme="majorBidi" w:hAnsiTheme="majorBidi" w:cstheme="majorBidi"/>
          <w:sz w:val="24"/>
          <w:szCs w:val="24"/>
        </w:rPr>
        <w:t>advantages</w:t>
      </w:r>
      <w:r w:rsidR="00842B12" w:rsidRPr="007901E7">
        <w:rPr>
          <w:rFonts w:asciiTheme="majorBidi" w:hAnsiTheme="majorBidi" w:cstheme="majorBidi"/>
          <w:sz w:val="24"/>
          <w:szCs w:val="24"/>
        </w:rPr>
        <w:t xml:space="preserve"> </w:t>
      </w:r>
      <w:r w:rsidRPr="007901E7">
        <w:rPr>
          <w:rFonts w:asciiTheme="majorBidi" w:hAnsiTheme="majorBidi" w:cstheme="majorBidi"/>
          <w:sz w:val="24"/>
          <w:szCs w:val="24"/>
        </w:rPr>
        <w:t>of project finance and the purpose of attracting it</w:t>
      </w:r>
      <w:r w:rsidR="003E6755">
        <w:rPr>
          <w:rFonts w:asciiTheme="majorBidi" w:hAnsiTheme="majorBidi" w:cstheme="majorBidi"/>
          <w:sz w:val="24"/>
          <w:szCs w:val="24"/>
        </w:rPr>
        <w:t>. T</w:t>
      </w:r>
      <w:r w:rsidRPr="007901E7">
        <w:rPr>
          <w:rFonts w:asciiTheme="majorBidi" w:hAnsiTheme="majorBidi" w:cstheme="majorBidi"/>
          <w:sz w:val="24"/>
          <w:szCs w:val="24"/>
        </w:rPr>
        <w:t xml:space="preserve">o recommend the most important procedures, which may help </w:t>
      </w:r>
      <w:r>
        <w:rPr>
          <w:rFonts w:asciiTheme="majorBidi" w:hAnsiTheme="majorBidi" w:cstheme="majorBidi"/>
          <w:sz w:val="24"/>
          <w:szCs w:val="24"/>
        </w:rPr>
        <w:t xml:space="preserve">to </w:t>
      </w:r>
      <w:r w:rsidRPr="007901E7">
        <w:rPr>
          <w:rFonts w:asciiTheme="majorBidi" w:hAnsiTheme="majorBidi" w:cstheme="majorBidi"/>
          <w:sz w:val="24"/>
          <w:szCs w:val="24"/>
        </w:rPr>
        <w:t>attract and develop project finance in Syria</w:t>
      </w:r>
      <w:r w:rsidR="00153B76" w:rsidRPr="00804EBE">
        <w:rPr>
          <w:rFonts w:asciiTheme="majorBidi" w:hAnsiTheme="majorBidi" w:cstheme="majorBidi"/>
          <w:sz w:val="24"/>
          <w:szCs w:val="24"/>
        </w:rPr>
        <w:t>.</w:t>
      </w:r>
    </w:p>
    <w:p w14:paraId="60DF5B9A" w14:textId="51032BB6" w:rsidR="00153B76" w:rsidRDefault="00153B76" w:rsidP="00AA10E8">
      <w:pPr>
        <w:suppressAutoHyphens/>
        <w:spacing w:line="360" w:lineRule="auto"/>
        <w:ind w:firstLine="567"/>
        <w:jc w:val="both"/>
        <w:rPr>
          <w:rFonts w:ascii="Times New Roman" w:hAnsi="Times New Roman" w:cs="Times New Roman"/>
          <w:sz w:val="24"/>
          <w:szCs w:val="24"/>
          <w:rtl/>
        </w:rPr>
      </w:pPr>
      <w:r w:rsidRPr="008D0089">
        <w:rPr>
          <w:rFonts w:asciiTheme="majorBidi" w:hAnsiTheme="majorBidi" w:cstheme="majorBidi"/>
          <w:b/>
          <w:bCs/>
          <w:sz w:val="24"/>
          <w:szCs w:val="24"/>
          <w:lang w:bidi="ar-SY"/>
        </w:rPr>
        <w:t xml:space="preserve">The practical significance of the </w:t>
      </w:r>
      <w:r w:rsidR="001F0CC4">
        <w:rPr>
          <w:rFonts w:asciiTheme="majorBidi" w:hAnsiTheme="majorBidi" w:cstheme="majorBidi"/>
          <w:b/>
          <w:bCs/>
          <w:sz w:val="24"/>
          <w:szCs w:val="24"/>
          <w:lang w:bidi="ar-SY"/>
        </w:rPr>
        <w:t>thesis</w:t>
      </w:r>
      <w:r w:rsidR="007901E7">
        <w:rPr>
          <w:rFonts w:asciiTheme="majorBidi" w:hAnsiTheme="majorBidi" w:cstheme="majorBidi"/>
          <w:b/>
          <w:bCs/>
          <w:sz w:val="24"/>
          <w:szCs w:val="24"/>
          <w:lang w:bidi="ar-SY"/>
        </w:rPr>
        <w:t xml:space="preserve">. </w:t>
      </w:r>
      <w:r w:rsidR="007901E7" w:rsidRPr="007901E7">
        <w:rPr>
          <w:rFonts w:ascii="Times New Roman" w:hAnsi="Times New Roman" w:cs="Times New Roman"/>
          <w:sz w:val="24"/>
          <w:szCs w:val="24"/>
        </w:rPr>
        <w:t xml:space="preserve">The thesis's practical significance </w:t>
      </w:r>
      <w:r w:rsidRPr="007901E7">
        <w:rPr>
          <w:rFonts w:ascii="Times New Roman" w:hAnsi="Times New Roman" w:cs="Times New Roman"/>
          <w:sz w:val="24"/>
          <w:szCs w:val="24"/>
        </w:rPr>
        <w:t xml:space="preserve">lies in </w:t>
      </w:r>
      <w:r>
        <w:rPr>
          <w:rFonts w:ascii="Times New Roman" w:hAnsi="Times New Roman" w:cs="Times New Roman"/>
          <w:sz w:val="24"/>
          <w:szCs w:val="24"/>
        </w:rPr>
        <w:t xml:space="preserve">a comprehensive study of the possibility of </w:t>
      </w:r>
      <w:r w:rsidR="000B344A">
        <w:rPr>
          <w:rFonts w:ascii="Times New Roman" w:hAnsi="Times New Roman" w:cs="Times New Roman"/>
          <w:sz w:val="24"/>
          <w:szCs w:val="24"/>
        </w:rPr>
        <w:t xml:space="preserve">applying </w:t>
      </w:r>
      <w:r>
        <w:rPr>
          <w:rFonts w:ascii="Times New Roman" w:hAnsi="Times New Roman" w:cs="Times New Roman"/>
          <w:sz w:val="24"/>
          <w:szCs w:val="24"/>
        </w:rPr>
        <w:t xml:space="preserve">project financing at the reconstruction stage in Syria. </w:t>
      </w:r>
      <w:r w:rsidR="007901E7" w:rsidRPr="007901E7">
        <w:rPr>
          <w:rFonts w:ascii="Times New Roman" w:hAnsi="Times New Roman" w:cs="Times New Roman"/>
          <w:sz w:val="24"/>
          <w:szCs w:val="24"/>
        </w:rPr>
        <w:t>The proposed project finance mechanism can be reviewed and applied by the Syrian government's legislative and executive bodies</w:t>
      </w:r>
      <w:r>
        <w:rPr>
          <w:rFonts w:ascii="Times New Roman" w:hAnsi="Times New Roman" w:cs="Times New Roman"/>
          <w:sz w:val="24"/>
          <w:szCs w:val="24"/>
        </w:rPr>
        <w:t>.</w:t>
      </w:r>
    </w:p>
    <w:p w14:paraId="01B0C362" w14:textId="2139BF62" w:rsidR="00BE73DE" w:rsidRDefault="00BE73DE" w:rsidP="00AA10E8">
      <w:pPr>
        <w:suppressAutoHyphens/>
        <w:spacing w:line="360" w:lineRule="auto"/>
        <w:ind w:firstLine="567"/>
        <w:jc w:val="both"/>
        <w:rPr>
          <w:rFonts w:asciiTheme="majorBidi" w:hAnsiTheme="majorBidi" w:cstheme="majorBidi"/>
          <w:sz w:val="24"/>
          <w:szCs w:val="24"/>
          <w:lang w:bidi="ar-SY"/>
        </w:rPr>
      </w:pPr>
      <w:r>
        <w:rPr>
          <w:rFonts w:asciiTheme="majorBidi" w:hAnsiTheme="majorBidi" w:cstheme="majorBidi"/>
          <w:sz w:val="24"/>
          <w:szCs w:val="24"/>
          <w:lang w:val="en-US"/>
        </w:rPr>
        <w:t>T</w:t>
      </w:r>
      <w:r w:rsidRPr="0009648F">
        <w:rPr>
          <w:rFonts w:asciiTheme="majorBidi" w:hAnsiTheme="majorBidi" w:cstheme="majorBidi"/>
          <w:sz w:val="24"/>
          <w:szCs w:val="24"/>
          <w:lang w:val="en-US"/>
        </w:rPr>
        <w:t xml:space="preserve">he </w:t>
      </w:r>
      <w:r>
        <w:rPr>
          <w:rFonts w:asciiTheme="majorBidi" w:hAnsiTheme="majorBidi" w:cstheme="majorBidi"/>
          <w:sz w:val="24"/>
          <w:szCs w:val="24"/>
          <w:lang w:val="en-US"/>
        </w:rPr>
        <w:t>thesis</w:t>
      </w:r>
      <w:r w:rsidRPr="0009648F">
        <w:rPr>
          <w:rFonts w:asciiTheme="majorBidi" w:hAnsiTheme="majorBidi" w:cstheme="majorBidi"/>
          <w:sz w:val="24"/>
          <w:szCs w:val="24"/>
          <w:lang w:val="en-US"/>
        </w:rPr>
        <w:t xml:space="preserve"> presents </w:t>
      </w:r>
      <w:r>
        <w:rPr>
          <w:rFonts w:asciiTheme="majorBidi" w:hAnsiTheme="majorBidi" w:cstheme="majorBidi"/>
          <w:sz w:val="24"/>
          <w:szCs w:val="24"/>
          <w:lang w:val="en-US"/>
        </w:rPr>
        <w:t>an</w:t>
      </w:r>
      <w:r w:rsidRPr="0009648F">
        <w:rPr>
          <w:rFonts w:asciiTheme="majorBidi" w:hAnsiTheme="majorBidi" w:cstheme="majorBidi"/>
          <w:sz w:val="24"/>
          <w:szCs w:val="24"/>
          <w:lang w:val="en-US"/>
        </w:rPr>
        <w:t xml:space="preserve"> ideology of creating an </w:t>
      </w:r>
      <w:r w:rsidR="00FE22B1">
        <w:rPr>
          <w:rFonts w:asciiTheme="majorBidi" w:hAnsiTheme="majorBidi" w:cstheme="majorBidi"/>
          <w:sz w:val="24"/>
          <w:szCs w:val="24"/>
          <w:lang w:val="en-US"/>
        </w:rPr>
        <w:t>evaluation</w:t>
      </w:r>
      <w:r w:rsidRPr="0009648F">
        <w:rPr>
          <w:rFonts w:asciiTheme="majorBidi" w:hAnsiTheme="majorBidi" w:cstheme="majorBidi"/>
          <w:sz w:val="24"/>
          <w:szCs w:val="24"/>
          <w:lang w:val="en-US"/>
        </w:rPr>
        <w:t xml:space="preserve"> of an investment program within the framework of a project financing system in </w:t>
      </w:r>
      <w:r w:rsidR="00FE22B1">
        <w:rPr>
          <w:rFonts w:asciiTheme="majorBidi" w:hAnsiTheme="majorBidi" w:cstheme="majorBidi"/>
          <w:sz w:val="24"/>
          <w:szCs w:val="24"/>
          <w:lang w:val="en-US"/>
        </w:rPr>
        <w:t xml:space="preserve">the </w:t>
      </w:r>
      <w:r>
        <w:rPr>
          <w:rFonts w:asciiTheme="majorBidi" w:hAnsiTheme="majorBidi" w:cstheme="majorBidi"/>
          <w:sz w:val="24"/>
          <w:szCs w:val="24"/>
          <w:lang w:val="en-US"/>
        </w:rPr>
        <w:t>Syria</w:t>
      </w:r>
      <w:r w:rsidR="00FE22B1">
        <w:rPr>
          <w:rFonts w:asciiTheme="majorBidi" w:hAnsiTheme="majorBidi" w:cstheme="majorBidi"/>
          <w:sz w:val="24"/>
          <w:szCs w:val="24"/>
          <w:lang w:val="en-US"/>
        </w:rPr>
        <w:t>n</w:t>
      </w:r>
      <w:r w:rsidR="00F6794E">
        <w:rPr>
          <w:rFonts w:asciiTheme="majorBidi" w:hAnsiTheme="majorBidi" w:cstheme="majorBidi"/>
          <w:sz w:val="24"/>
          <w:szCs w:val="24"/>
          <w:lang w:val="en-US"/>
        </w:rPr>
        <w:t xml:space="preserve"> reconstruction phase</w:t>
      </w:r>
      <w:r>
        <w:rPr>
          <w:rFonts w:asciiTheme="majorBidi" w:hAnsiTheme="majorBidi" w:cstheme="majorBidi"/>
          <w:sz w:val="24"/>
          <w:szCs w:val="24"/>
          <w:lang w:val="en-US"/>
        </w:rPr>
        <w:t>.</w:t>
      </w:r>
    </w:p>
    <w:p w14:paraId="73CA07DF" w14:textId="543CBB5E" w:rsidR="00153B76" w:rsidRPr="008D0089" w:rsidRDefault="00153B76" w:rsidP="00AA10E8">
      <w:pPr>
        <w:suppressAutoHyphens/>
        <w:spacing w:line="360" w:lineRule="auto"/>
        <w:ind w:firstLine="567"/>
        <w:jc w:val="both"/>
        <w:rPr>
          <w:rFonts w:asciiTheme="majorBidi" w:hAnsiTheme="majorBidi" w:cstheme="majorBidi"/>
          <w:sz w:val="24"/>
          <w:szCs w:val="24"/>
          <w:lang w:bidi="ar-SY"/>
        </w:rPr>
      </w:pPr>
      <w:r w:rsidRPr="008D0089">
        <w:rPr>
          <w:rFonts w:asciiTheme="majorBidi" w:hAnsiTheme="majorBidi" w:cstheme="majorBidi"/>
          <w:b/>
          <w:bCs/>
          <w:sz w:val="24"/>
          <w:szCs w:val="24"/>
          <w:lang w:bidi="ar-SY"/>
        </w:rPr>
        <w:t xml:space="preserve">Publications </w:t>
      </w:r>
      <w:r>
        <w:rPr>
          <w:rFonts w:asciiTheme="majorBidi" w:hAnsiTheme="majorBidi" w:cstheme="majorBidi"/>
          <w:b/>
          <w:bCs/>
          <w:sz w:val="24"/>
          <w:szCs w:val="24"/>
          <w:lang w:bidi="ar-SY"/>
        </w:rPr>
        <w:t>o</w:t>
      </w:r>
      <w:r w:rsidRPr="008D0089">
        <w:rPr>
          <w:rFonts w:asciiTheme="majorBidi" w:hAnsiTheme="majorBidi" w:cstheme="majorBidi"/>
          <w:b/>
          <w:bCs/>
          <w:sz w:val="24"/>
          <w:szCs w:val="24"/>
          <w:lang w:bidi="ar-SY"/>
        </w:rPr>
        <w:t xml:space="preserve">n the topic of </w:t>
      </w:r>
      <w:r w:rsidR="008F47F6">
        <w:rPr>
          <w:rFonts w:asciiTheme="majorBidi" w:hAnsiTheme="majorBidi" w:cstheme="majorBidi"/>
          <w:b/>
          <w:bCs/>
          <w:sz w:val="24"/>
          <w:szCs w:val="24"/>
          <w:lang w:bidi="ar-SY"/>
        </w:rPr>
        <w:t xml:space="preserve">the </w:t>
      </w:r>
      <w:r w:rsidR="001F0CC4">
        <w:rPr>
          <w:rFonts w:asciiTheme="majorBidi" w:hAnsiTheme="majorBidi" w:cstheme="majorBidi"/>
          <w:b/>
          <w:bCs/>
          <w:sz w:val="24"/>
          <w:szCs w:val="24"/>
          <w:lang w:bidi="ar-SY"/>
        </w:rPr>
        <w:t>thesis</w:t>
      </w:r>
      <w:r>
        <w:rPr>
          <w:rFonts w:asciiTheme="majorBidi" w:hAnsiTheme="majorBidi" w:cstheme="majorBidi"/>
          <w:b/>
          <w:bCs/>
          <w:sz w:val="24"/>
          <w:szCs w:val="24"/>
          <w:lang w:bidi="ar-SY"/>
        </w:rPr>
        <w:t>.</w:t>
      </w:r>
      <w:r w:rsidRPr="00700C8B">
        <w:rPr>
          <w:rFonts w:asciiTheme="majorBidi" w:hAnsiTheme="majorBidi" w:cstheme="majorBidi"/>
          <w:b/>
          <w:bCs/>
          <w:sz w:val="24"/>
          <w:szCs w:val="24"/>
          <w:lang w:bidi="ar-SY"/>
        </w:rPr>
        <w:t xml:space="preserve"> </w:t>
      </w:r>
      <w:r>
        <w:rPr>
          <w:rFonts w:asciiTheme="majorBidi" w:hAnsiTheme="majorBidi" w:cstheme="majorBidi"/>
          <w:sz w:val="24"/>
          <w:szCs w:val="24"/>
          <w:lang w:bidi="ar-SY"/>
        </w:rPr>
        <w:t>T</w:t>
      </w:r>
      <w:r w:rsidRPr="00700C8B">
        <w:rPr>
          <w:rFonts w:asciiTheme="majorBidi" w:hAnsiTheme="majorBidi" w:cstheme="majorBidi"/>
          <w:sz w:val="24"/>
          <w:szCs w:val="24"/>
          <w:lang w:bidi="ar-SY"/>
        </w:rPr>
        <w:t>he author published</w:t>
      </w:r>
      <w:r>
        <w:rPr>
          <w:rFonts w:asciiTheme="majorBidi" w:hAnsiTheme="majorBidi" w:cstheme="majorBidi"/>
          <w:sz w:val="24"/>
          <w:szCs w:val="24"/>
          <w:lang w:bidi="ar-SY"/>
        </w:rPr>
        <w:t xml:space="preserve"> </w:t>
      </w:r>
      <w:r w:rsidR="002B31CD">
        <w:rPr>
          <w:rFonts w:asciiTheme="majorBidi" w:hAnsiTheme="majorBidi" w:cstheme="majorBidi"/>
          <w:sz w:val="24"/>
          <w:szCs w:val="24"/>
          <w:lang w:bidi="ar-SY"/>
        </w:rPr>
        <w:t>an</w:t>
      </w:r>
      <w:r>
        <w:rPr>
          <w:rFonts w:asciiTheme="majorBidi" w:hAnsiTheme="majorBidi" w:cstheme="majorBidi"/>
          <w:sz w:val="24"/>
          <w:szCs w:val="24"/>
          <w:lang w:bidi="ar-SY"/>
        </w:rPr>
        <w:t xml:space="preserve"> article in a journal </w:t>
      </w:r>
      <w:r w:rsidRPr="00700C8B">
        <w:rPr>
          <w:rFonts w:asciiTheme="majorBidi" w:hAnsiTheme="majorBidi" w:cstheme="majorBidi"/>
          <w:sz w:val="24"/>
          <w:szCs w:val="24"/>
          <w:lang w:bidi="ar-SY"/>
        </w:rPr>
        <w:t>included in the list of Russian peer-reviewed scientific publications approved by the Higher Attestation Commission of the Russian Federation.</w:t>
      </w:r>
    </w:p>
    <w:p w14:paraId="289CE98E" w14:textId="6C0110BD" w:rsidR="00153B76" w:rsidRDefault="00153B76" w:rsidP="00AA10E8">
      <w:pPr>
        <w:suppressAutoHyphens/>
        <w:autoSpaceDE w:val="0"/>
        <w:spacing w:before="240" w:line="360" w:lineRule="auto"/>
        <w:ind w:firstLine="567"/>
        <w:jc w:val="both"/>
        <w:rPr>
          <w:rFonts w:asciiTheme="majorBidi" w:hAnsiTheme="majorBidi" w:cstheme="majorBidi"/>
          <w:sz w:val="24"/>
          <w:szCs w:val="24"/>
          <w:lang w:bidi="ar-SY"/>
        </w:rPr>
      </w:pPr>
      <w:r w:rsidRPr="00247F40">
        <w:rPr>
          <w:rFonts w:asciiTheme="majorBidi" w:hAnsiTheme="majorBidi" w:cstheme="majorBidi"/>
          <w:b/>
          <w:bCs/>
          <w:sz w:val="24"/>
          <w:szCs w:val="24"/>
          <w:lang w:bidi="ar-SY"/>
        </w:rPr>
        <w:t xml:space="preserve">The volume and structure of the </w:t>
      </w:r>
      <w:r w:rsidR="001F0CC4">
        <w:rPr>
          <w:rFonts w:asciiTheme="majorBidi" w:hAnsiTheme="majorBidi" w:cstheme="majorBidi"/>
          <w:b/>
          <w:bCs/>
          <w:sz w:val="24"/>
          <w:szCs w:val="24"/>
          <w:lang w:bidi="ar-SY"/>
        </w:rPr>
        <w:t>thesis</w:t>
      </w:r>
      <w:r>
        <w:rPr>
          <w:rFonts w:asciiTheme="majorBidi" w:hAnsiTheme="majorBidi" w:cstheme="majorBidi"/>
          <w:b/>
          <w:bCs/>
          <w:sz w:val="24"/>
          <w:szCs w:val="24"/>
          <w:lang w:bidi="ar-SY"/>
        </w:rPr>
        <w:t xml:space="preserve">. </w:t>
      </w:r>
      <w:r w:rsidRPr="008D0089">
        <w:rPr>
          <w:rFonts w:asciiTheme="majorBidi" w:hAnsiTheme="majorBidi" w:cstheme="majorBidi"/>
          <w:sz w:val="24"/>
          <w:szCs w:val="24"/>
          <w:lang w:bidi="ar-SY"/>
        </w:rPr>
        <w:t xml:space="preserve">The </w:t>
      </w:r>
      <w:r w:rsidR="001F0CC4">
        <w:rPr>
          <w:rFonts w:asciiTheme="majorBidi" w:hAnsiTheme="majorBidi" w:cstheme="majorBidi"/>
          <w:sz w:val="24"/>
          <w:szCs w:val="24"/>
          <w:lang w:bidi="ar-SY"/>
        </w:rPr>
        <w:t>thesis</w:t>
      </w:r>
      <w:r w:rsidRPr="008D0089">
        <w:rPr>
          <w:rFonts w:asciiTheme="majorBidi" w:hAnsiTheme="majorBidi" w:cstheme="majorBidi"/>
          <w:sz w:val="24"/>
          <w:szCs w:val="24"/>
          <w:lang w:bidi="ar-SY"/>
        </w:rPr>
        <w:t xml:space="preserve"> consists of an introduction, three chapters, </w:t>
      </w:r>
      <w:r w:rsidR="008F47F6">
        <w:rPr>
          <w:rFonts w:asciiTheme="majorBidi" w:hAnsiTheme="majorBidi" w:cstheme="majorBidi"/>
          <w:sz w:val="24"/>
          <w:szCs w:val="24"/>
          <w:lang w:bidi="ar-SY"/>
        </w:rPr>
        <w:t xml:space="preserve">a </w:t>
      </w:r>
      <w:r w:rsidRPr="008D0089">
        <w:rPr>
          <w:rFonts w:asciiTheme="majorBidi" w:hAnsiTheme="majorBidi" w:cstheme="majorBidi"/>
          <w:sz w:val="24"/>
          <w:szCs w:val="24"/>
          <w:lang w:bidi="ar-SY"/>
        </w:rPr>
        <w:t>conclusion,</w:t>
      </w:r>
      <w:r w:rsidR="002B31CD">
        <w:rPr>
          <w:rFonts w:asciiTheme="majorBidi" w:hAnsiTheme="majorBidi" w:cstheme="majorBidi"/>
          <w:sz w:val="24"/>
          <w:szCs w:val="24"/>
          <w:lang w:bidi="ar-SY"/>
        </w:rPr>
        <w:t xml:space="preserve"> and</w:t>
      </w:r>
      <w:r w:rsidR="008F47F6">
        <w:rPr>
          <w:rFonts w:asciiTheme="majorBidi" w:hAnsiTheme="majorBidi" w:cstheme="majorBidi"/>
          <w:sz w:val="24"/>
          <w:szCs w:val="24"/>
          <w:lang w:bidi="ar-SY"/>
        </w:rPr>
        <w:t xml:space="preserve"> the</w:t>
      </w:r>
      <w:r w:rsidRPr="008D0089">
        <w:rPr>
          <w:rFonts w:asciiTheme="majorBidi" w:hAnsiTheme="majorBidi" w:cstheme="majorBidi"/>
          <w:sz w:val="24"/>
          <w:szCs w:val="24"/>
          <w:lang w:bidi="ar-SY"/>
        </w:rPr>
        <w:t xml:space="preserve"> list of </w:t>
      </w:r>
      <w:r>
        <w:rPr>
          <w:rFonts w:asciiTheme="majorBidi" w:hAnsiTheme="majorBidi" w:cstheme="majorBidi"/>
          <w:sz w:val="24"/>
          <w:szCs w:val="24"/>
          <w:lang w:bidi="ar-SY"/>
        </w:rPr>
        <w:t>references</w:t>
      </w:r>
      <w:r w:rsidR="002B31CD">
        <w:rPr>
          <w:rFonts w:asciiTheme="majorBidi" w:hAnsiTheme="majorBidi" w:cstheme="majorBidi"/>
          <w:sz w:val="24"/>
          <w:szCs w:val="24"/>
          <w:lang w:bidi="ar-SY"/>
        </w:rPr>
        <w:t>,</w:t>
      </w:r>
      <w:r w:rsidRPr="008D0089">
        <w:rPr>
          <w:rFonts w:asciiTheme="majorBidi" w:hAnsiTheme="majorBidi" w:cstheme="majorBidi"/>
          <w:sz w:val="24"/>
          <w:szCs w:val="24"/>
          <w:lang w:bidi="ar-SY"/>
        </w:rPr>
        <w:t xml:space="preserve"> </w:t>
      </w:r>
      <w:r w:rsidR="002B31CD">
        <w:rPr>
          <w:rFonts w:asciiTheme="majorBidi" w:hAnsiTheme="majorBidi" w:cstheme="majorBidi"/>
          <w:sz w:val="24"/>
          <w:szCs w:val="24"/>
          <w:lang w:bidi="ar-SY"/>
        </w:rPr>
        <w:t>i</w:t>
      </w:r>
      <w:r w:rsidRPr="008D0089">
        <w:rPr>
          <w:rFonts w:asciiTheme="majorBidi" w:hAnsiTheme="majorBidi" w:cstheme="majorBidi"/>
          <w:sz w:val="24"/>
          <w:szCs w:val="24"/>
          <w:lang w:bidi="ar-SY"/>
        </w:rPr>
        <w:t xml:space="preserve">ncluding </w:t>
      </w:r>
      <w:r w:rsidR="00812371">
        <w:rPr>
          <w:rFonts w:asciiTheme="majorBidi" w:hAnsiTheme="majorBidi" w:cstheme="majorBidi" w:hint="cs"/>
          <w:sz w:val="24"/>
          <w:szCs w:val="24"/>
          <w:rtl/>
          <w:lang w:bidi="ar-SY"/>
        </w:rPr>
        <w:t>11</w:t>
      </w:r>
      <w:r w:rsidR="00137C9D">
        <w:rPr>
          <w:rFonts w:asciiTheme="majorBidi" w:hAnsiTheme="majorBidi" w:cstheme="majorBidi"/>
          <w:sz w:val="24"/>
          <w:szCs w:val="24"/>
          <w:lang w:bidi="ar-SY"/>
        </w:rPr>
        <w:t>2</w:t>
      </w:r>
      <w:r w:rsidRPr="008D0089">
        <w:rPr>
          <w:rFonts w:asciiTheme="majorBidi" w:hAnsiTheme="majorBidi" w:cstheme="majorBidi"/>
          <w:sz w:val="24"/>
          <w:szCs w:val="24"/>
          <w:lang w:bidi="ar-SY"/>
        </w:rPr>
        <w:t xml:space="preserve"> titles,</w:t>
      </w:r>
      <w:r w:rsidR="00FD5DFE">
        <w:rPr>
          <w:rFonts w:asciiTheme="majorBidi" w:hAnsiTheme="majorBidi" w:cstheme="majorBidi"/>
          <w:sz w:val="24"/>
          <w:szCs w:val="24"/>
          <w:lang w:bidi="ar-SY"/>
        </w:rPr>
        <w:t xml:space="preserve"> </w:t>
      </w:r>
      <w:r w:rsidR="00642013">
        <w:rPr>
          <w:rFonts w:asciiTheme="majorBidi" w:hAnsiTheme="majorBidi" w:cstheme="majorBidi"/>
          <w:sz w:val="24"/>
          <w:szCs w:val="24"/>
          <w:lang w:bidi="ar-SY"/>
        </w:rPr>
        <w:t>five</w:t>
      </w:r>
      <w:r>
        <w:rPr>
          <w:rFonts w:asciiTheme="majorBidi" w:hAnsiTheme="majorBidi" w:cstheme="majorBidi"/>
          <w:sz w:val="24"/>
          <w:szCs w:val="24"/>
          <w:lang w:bidi="ar-SY"/>
        </w:rPr>
        <w:t xml:space="preserve"> </w:t>
      </w:r>
      <w:r w:rsidR="004A6B4F" w:rsidRPr="00555190">
        <w:rPr>
          <w:rFonts w:asciiTheme="majorBidi" w:hAnsiTheme="majorBidi" w:cstheme="majorBidi"/>
          <w:sz w:val="24"/>
          <w:szCs w:val="24"/>
          <w:lang w:bidi="ar-SY"/>
        </w:rPr>
        <w:t>appendices</w:t>
      </w:r>
      <w:r w:rsidRPr="008D0089">
        <w:rPr>
          <w:rFonts w:asciiTheme="majorBidi" w:hAnsiTheme="majorBidi" w:cstheme="majorBidi"/>
          <w:sz w:val="24"/>
          <w:szCs w:val="24"/>
          <w:lang w:bidi="ar-SY"/>
        </w:rPr>
        <w:t xml:space="preserve">. The content of the work is set out on </w:t>
      </w:r>
      <w:r w:rsidR="00510160">
        <w:rPr>
          <w:rFonts w:asciiTheme="majorBidi" w:hAnsiTheme="majorBidi" w:cstheme="majorBidi"/>
          <w:sz w:val="24"/>
          <w:szCs w:val="24"/>
          <w:lang w:bidi="ar-SY"/>
        </w:rPr>
        <w:t>7</w:t>
      </w:r>
      <w:r w:rsidR="009379CE">
        <w:rPr>
          <w:rFonts w:asciiTheme="majorBidi" w:hAnsiTheme="majorBidi" w:cstheme="majorBidi"/>
          <w:sz w:val="24"/>
          <w:szCs w:val="24"/>
          <w:lang w:bidi="ar-SY"/>
        </w:rPr>
        <w:t>4</w:t>
      </w:r>
      <w:r w:rsidRPr="008D0089">
        <w:rPr>
          <w:rFonts w:asciiTheme="majorBidi" w:hAnsiTheme="majorBidi" w:cstheme="majorBidi"/>
          <w:sz w:val="24"/>
          <w:szCs w:val="24"/>
          <w:lang w:bidi="ar-SY"/>
        </w:rPr>
        <w:t xml:space="preserve"> pages, </w:t>
      </w:r>
      <w:r w:rsidRPr="00FD5DFE">
        <w:rPr>
          <w:rFonts w:asciiTheme="majorBidi" w:hAnsiTheme="majorBidi" w:cstheme="majorBidi"/>
          <w:sz w:val="24"/>
          <w:szCs w:val="24"/>
          <w:lang w:bidi="ar-SY"/>
        </w:rPr>
        <w:t>including 1</w:t>
      </w:r>
      <w:r w:rsidR="00736BF5">
        <w:rPr>
          <w:rFonts w:asciiTheme="majorBidi" w:hAnsiTheme="majorBidi" w:cstheme="majorBidi"/>
          <w:sz w:val="24"/>
          <w:szCs w:val="24"/>
          <w:lang w:bidi="ar-SY"/>
        </w:rPr>
        <w:t>3</w:t>
      </w:r>
      <w:r w:rsidRPr="00FD5DFE">
        <w:rPr>
          <w:rFonts w:asciiTheme="majorBidi" w:hAnsiTheme="majorBidi" w:cstheme="majorBidi"/>
          <w:sz w:val="24"/>
          <w:szCs w:val="24"/>
          <w:lang w:bidi="ar-SY"/>
        </w:rPr>
        <w:t xml:space="preserve"> tables, 13 figures</w:t>
      </w:r>
      <w:r w:rsidRPr="008D0089">
        <w:rPr>
          <w:rFonts w:asciiTheme="majorBidi" w:hAnsiTheme="majorBidi" w:cstheme="majorBidi"/>
          <w:sz w:val="24"/>
          <w:szCs w:val="24"/>
          <w:lang w:bidi="ar-SY"/>
        </w:rPr>
        <w:t>.</w:t>
      </w:r>
    </w:p>
    <w:p w14:paraId="39DF97CC" w14:textId="1BA363B9" w:rsidR="00957C4A" w:rsidRDefault="00957C4A" w:rsidP="00A347D9">
      <w:pPr>
        <w:spacing w:line="360" w:lineRule="auto"/>
        <w:jc w:val="both"/>
        <w:rPr>
          <w:rFonts w:asciiTheme="majorBidi" w:hAnsiTheme="majorBidi" w:cstheme="majorBidi"/>
          <w:b/>
          <w:bCs/>
          <w:sz w:val="24"/>
          <w:szCs w:val="24"/>
          <w:lang w:bidi="ar-SY"/>
        </w:rPr>
      </w:pPr>
    </w:p>
    <w:p w14:paraId="66357570" w14:textId="77777777" w:rsidR="000F0094" w:rsidRDefault="000F0094" w:rsidP="00A347D9">
      <w:pPr>
        <w:spacing w:line="360" w:lineRule="auto"/>
        <w:jc w:val="both"/>
        <w:rPr>
          <w:rFonts w:asciiTheme="majorBidi" w:hAnsiTheme="majorBidi" w:cstheme="majorBidi"/>
          <w:b/>
          <w:bCs/>
          <w:sz w:val="24"/>
          <w:szCs w:val="24"/>
          <w:lang w:bidi="ar-SY"/>
        </w:rPr>
      </w:pPr>
    </w:p>
    <w:p w14:paraId="4F41DD72" w14:textId="2CD9328F" w:rsidR="004A5E7D" w:rsidRDefault="004A5E7D" w:rsidP="00A347D9">
      <w:pPr>
        <w:spacing w:line="360" w:lineRule="auto"/>
        <w:jc w:val="both"/>
        <w:rPr>
          <w:rFonts w:asciiTheme="majorBidi" w:hAnsiTheme="majorBidi" w:cstheme="majorBidi"/>
          <w:b/>
          <w:bCs/>
          <w:sz w:val="24"/>
          <w:szCs w:val="24"/>
          <w:lang w:bidi="ar-SY"/>
        </w:rPr>
      </w:pPr>
    </w:p>
    <w:p w14:paraId="2375711E" w14:textId="77777777" w:rsidR="004A5E7D" w:rsidRDefault="004A5E7D" w:rsidP="00A347D9">
      <w:pPr>
        <w:spacing w:line="360" w:lineRule="auto"/>
        <w:jc w:val="both"/>
        <w:rPr>
          <w:rFonts w:asciiTheme="majorBidi" w:hAnsiTheme="majorBidi" w:cstheme="majorBidi"/>
          <w:b/>
          <w:bCs/>
          <w:sz w:val="24"/>
          <w:szCs w:val="24"/>
          <w:lang w:bidi="ar-SY"/>
        </w:rPr>
      </w:pPr>
    </w:p>
    <w:p w14:paraId="5D2FCB8A" w14:textId="5FC63592" w:rsidR="00642013" w:rsidRDefault="00642013" w:rsidP="00A347D9">
      <w:pPr>
        <w:spacing w:line="360" w:lineRule="auto"/>
        <w:jc w:val="both"/>
        <w:rPr>
          <w:rFonts w:asciiTheme="majorBidi" w:hAnsiTheme="majorBidi" w:cstheme="majorBidi"/>
          <w:b/>
          <w:bCs/>
          <w:sz w:val="24"/>
          <w:szCs w:val="24"/>
          <w:lang w:bidi="ar-SY"/>
        </w:rPr>
      </w:pPr>
    </w:p>
    <w:p w14:paraId="52021820" w14:textId="356467A8" w:rsidR="000716AE" w:rsidRDefault="000716AE" w:rsidP="00A347D9">
      <w:pPr>
        <w:spacing w:line="360" w:lineRule="auto"/>
        <w:jc w:val="both"/>
        <w:rPr>
          <w:rFonts w:asciiTheme="majorBidi" w:hAnsiTheme="majorBidi" w:cstheme="majorBidi"/>
          <w:b/>
          <w:bCs/>
          <w:sz w:val="24"/>
          <w:szCs w:val="24"/>
          <w:lang w:bidi="ar-SY"/>
        </w:rPr>
      </w:pPr>
    </w:p>
    <w:p w14:paraId="67E95E50" w14:textId="7ED40B6F" w:rsidR="000716AE" w:rsidRDefault="000716AE" w:rsidP="00A347D9">
      <w:pPr>
        <w:spacing w:line="360" w:lineRule="auto"/>
        <w:jc w:val="both"/>
        <w:rPr>
          <w:rFonts w:asciiTheme="majorBidi" w:hAnsiTheme="majorBidi" w:cstheme="majorBidi"/>
          <w:b/>
          <w:bCs/>
          <w:sz w:val="24"/>
          <w:szCs w:val="24"/>
          <w:lang w:bidi="ar-SY"/>
        </w:rPr>
      </w:pPr>
    </w:p>
    <w:p w14:paraId="27C7A281" w14:textId="67FE00F9" w:rsidR="000716AE" w:rsidRDefault="000716AE" w:rsidP="00A347D9">
      <w:pPr>
        <w:spacing w:line="360" w:lineRule="auto"/>
        <w:jc w:val="both"/>
        <w:rPr>
          <w:rFonts w:asciiTheme="majorBidi" w:hAnsiTheme="majorBidi" w:cstheme="majorBidi"/>
          <w:b/>
          <w:bCs/>
          <w:sz w:val="24"/>
          <w:szCs w:val="24"/>
          <w:lang w:bidi="ar-SY"/>
        </w:rPr>
      </w:pPr>
    </w:p>
    <w:p w14:paraId="16783803" w14:textId="1D097F9E" w:rsidR="00EE5AA2" w:rsidRDefault="00EE5AA2" w:rsidP="00A347D9">
      <w:pPr>
        <w:spacing w:line="360" w:lineRule="auto"/>
        <w:jc w:val="both"/>
        <w:rPr>
          <w:rFonts w:asciiTheme="majorBidi" w:hAnsiTheme="majorBidi" w:cstheme="majorBidi"/>
          <w:b/>
          <w:bCs/>
          <w:sz w:val="24"/>
          <w:szCs w:val="24"/>
          <w:lang w:bidi="ar-SY"/>
        </w:rPr>
      </w:pPr>
    </w:p>
    <w:p w14:paraId="1071908A" w14:textId="77777777" w:rsidR="00EE5AA2" w:rsidRDefault="00EE5AA2" w:rsidP="00A347D9">
      <w:pPr>
        <w:spacing w:line="360" w:lineRule="auto"/>
        <w:jc w:val="both"/>
        <w:rPr>
          <w:rFonts w:asciiTheme="majorBidi" w:hAnsiTheme="majorBidi" w:cstheme="majorBidi"/>
          <w:b/>
          <w:bCs/>
          <w:sz w:val="24"/>
          <w:szCs w:val="24"/>
          <w:lang w:bidi="ar-SY"/>
        </w:rPr>
      </w:pPr>
    </w:p>
    <w:p w14:paraId="341F6B73" w14:textId="3469EDE0" w:rsidR="000716AE" w:rsidRDefault="000716AE" w:rsidP="00A347D9">
      <w:pPr>
        <w:spacing w:line="360" w:lineRule="auto"/>
        <w:jc w:val="both"/>
        <w:rPr>
          <w:rFonts w:asciiTheme="majorBidi" w:hAnsiTheme="majorBidi" w:cstheme="majorBidi"/>
          <w:b/>
          <w:bCs/>
          <w:sz w:val="24"/>
          <w:szCs w:val="24"/>
          <w:lang w:bidi="ar-SY"/>
        </w:rPr>
      </w:pPr>
    </w:p>
    <w:p w14:paraId="5ED76EB5" w14:textId="33E2963B" w:rsidR="000716AE" w:rsidRDefault="000716AE" w:rsidP="00A347D9">
      <w:pPr>
        <w:spacing w:line="360" w:lineRule="auto"/>
        <w:jc w:val="both"/>
        <w:rPr>
          <w:rFonts w:asciiTheme="majorBidi" w:hAnsiTheme="majorBidi" w:cstheme="majorBidi"/>
          <w:b/>
          <w:bCs/>
          <w:sz w:val="24"/>
          <w:szCs w:val="24"/>
          <w:lang w:bidi="ar-SY"/>
        </w:rPr>
      </w:pPr>
    </w:p>
    <w:p w14:paraId="16AA1700" w14:textId="77777777" w:rsidR="00007985" w:rsidRDefault="00007985" w:rsidP="00A347D9">
      <w:pPr>
        <w:spacing w:line="360" w:lineRule="auto"/>
        <w:jc w:val="both"/>
        <w:rPr>
          <w:rFonts w:asciiTheme="majorBidi" w:hAnsiTheme="majorBidi" w:cstheme="majorBidi"/>
          <w:b/>
          <w:bCs/>
          <w:sz w:val="24"/>
          <w:szCs w:val="24"/>
          <w:lang w:bidi="ar-SY"/>
        </w:rPr>
      </w:pPr>
    </w:p>
    <w:p w14:paraId="15B41533" w14:textId="51E16721" w:rsidR="007B0A6D" w:rsidRPr="00B02901" w:rsidRDefault="000F0094" w:rsidP="003D5A05">
      <w:pPr>
        <w:autoSpaceDE w:val="0"/>
        <w:spacing w:line="360" w:lineRule="auto"/>
        <w:ind w:left="680" w:right="680"/>
        <w:jc w:val="center"/>
        <w:rPr>
          <w:rFonts w:asciiTheme="majorBidi" w:hAnsiTheme="majorBidi" w:cstheme="majorBidi"/>
          <w:sz w:val="28"/>
          <w:szCs w:val="28"/>
        </w:rPr>
      </w:pPr>
      <w:r w:rsidRPr="00B02901">
        <w:rPr>
          <w:rFonts w:asciiTheme="majorBidi" w:hAnsiTheme="majorBidi" w:cstheme="majorBidi"/>
          <w:sz w:val="28"/>
          <w:szCs w:val="28"/>
        </w:rPr>
        <w:lastRenderedPageBreak/>
        <w:t>CHAPTER 1. OVERVIEW OF THE PROJECT FINANCE</w:t>
      </w:r>
    </w:p>
    <w:p w14:paraId="157347F3" w14:textId="771E4C2E" w:rsidR="00A83FEF" w:rsidRPr="00B17EE2" w:rsidRDefault="00A83FEF" w:rsidP="00FB7FF9">
      <w:pPr>
        <w:autoSpaceDE w:val="0"/>
        <w:spacing w:before="240" w:line="360" w:lineRule="auto"/>
        <w:jc w:val="both"/>
        <w:rPr>
          <w:rFonts w:asciiTheme="majorBidi" w:hAnsiTheme="majorBidi" w:cstheme="majorBidi"/>
          <w:sz w:val="28"/>
          <w:szCs w:val="28"/>
        </w:rPr>
      </w:pPr>
      <w:r w:rsidRPr="00B17EE2">
        <w:rPr>
          <w:rFonts w:asciiTheme="majorBidi" w:hAnsiTheme="majorBidi" w:cstheme="majorBidi"/>
          <w:sz w:val="28"/>
          <w:szCs w:val="28"/>
        </w:rPr>
        <w:t xml:space="preserve">1.1 Definitions, </w:t>
      </w:r>
      <w:r w:rsidR="00D30414" w:rsidRPr="00B17EE2">
        <w:rPr>
          <w:rFonts w:asciiTheme="majorBidi" w:hAnsiTheme="majorBidi" w:cstheme="majorBidi"/>
          <w:sz w:val="28"/>
          <w:szCs w:val="28"/>
        </w:rPr>
        <w:t>o</w:t>
      </w:r>
      <w:r w:rsidRPr="00B17EE2">
        <w:rPr>
          <w:rFonts w:asciiTheme="majorBidi" w:hAnsiTheme="majorBidi" w:cstheme="majorBidi"/>
          <w:sz w:val="28"/>
          <w:szCs w:val="28"/>
        </w:rPr>
        <w:t>rigins</w:t>
      </w:r>
      <w:r w:rsidR="00D80CCE" w:rsidRPr="00B17EE2">
        <w:rPr>
          <w:rFonts w:asciiTheme="majorBidi" w:hAnsiTheme="majorBidi" w:cstheme="majorBidi"/>
          <w:sz w:val="28"/>
          <w:szCs w:val="28"/>
        </w:rPr>
        <w:t>,</w:t>
      </w:r>
      <w:r w:rsidRPr="00B17EE2">
        <w:rPr>
          <w:rFonts w:asciiTheme="majorBidi" w:hAnsiTheme="majorBidi" w:cstheme="majorBidi"/>
          <w:sz w:val="28"/>
          <w:szCs w:val="28"/>
        </w:rPr>
        <w:t xml:space="preserve"> and the </w:t>
      </w:r>
      <w:r w:rsidR="00D30414" w:rsidRPr="00B17EE2">
        <w:rPr>
          <w:rFonts w:asciiTheme="majorBidi" w:hAnsiTheme="majorBidi" w:cstheme="majorBidi"/>
          <w:sz w:val="28"/>
          <w:szCs w:val="28"/>
        </w:rPr>
        <w:t>r</w:t>
      </w:r>
      <w:r w:rsidRPr="00B17EE2">
        <w:rPr>
          <w:rFonts w:asciiTheme="majorBidi" w:hAnsiTheme="majorBidi" w:cstheme="majorBidi"/>
          <w:sz w:val="28"/>
          <w:szCs w:val="28"/>
        </w:rPr>
        <w:t xml:space="preserve">easons </w:t>
      </w:r>
      <w:r w:rsidR="00D30414" w:rsidRPr="00B17EE2">
        <w:rPr>
          <w:rFonts w:asciiTheme="majorBidi" w:hAnsiTheme="majorBidi" w:cstheme="majorBidi"/>
          <w:sz w:val="28"/>
          <w:szCs w:val="28"/>
        </w:rPr>
        <w:t>b</w:t>
      </w:r>
      <w:r w:rsidRPr="00B17EE2">
        <w:rPr>
          <w:rFonts w:asciiTheme="majorBidi" w:hAnsiTheme="majorBidi" w:cstheme="majorBidi"/>
          <w:sz w:val="28"/>
          <w:szCs w:val="28"/>
        </w:rPr>
        <w:t xml:space="preserve">ehind </w:t>
      </w:r>
      <w:r w:rsidR="00D30414" w:rsidRPr="00B17EE2">
        <w:rPr>
          <w:rFonts w:asciiTheme="majorBidi" w:hAnsiTheme="majorBidi" w:cstheme="majorBidi"/>
          <w:sz w:val="28"/>
          <w:szCs w:val="28"/>
        </w:rPr>
        <w:t>a</w:t>
      </w:r>
      <w:r w:rsidRPr="00B17EE2">
        <w:rPr>
          <w:rFonts w:asciiTheme="majorBidi" w:hAnsiTheme="majorBidi" w:cstheme="majorBidi"/>
          <w:sz w:val="28"/>
          <w:szCs w:val="28"/>
        </w:rPr>
        <w:t xml:space="preserve">pplying </w:t>
      </w:r>
      <w:r w:rsidR="00D30414" w:rsidRPr="00B17EE2">
        <w:rPr>
          <w:rFonts w:asciiTheme="majorBidi" w:hAnsiTheme="majorBidi" w:cstheme="majorBidi"/>
          <w:sz w:val="28"/>
          <w:szCs w:val="28"/>
        </w:rPr>
        <w:t>p</w:t>
      </w:r>
      <w:r w:rsidRPr="00B17EE2">
        <w:rPr>
          <w:rFonts w:asciiTheme="majorBidi" w:hAnsiTheme="majorBidi" w:cstheme="majorBidi"/>
          <w:sz w:val="28"/>
          <w:szCs w:val="28"/>
        </w:rPr>
        <w:t xml:space="preserve">roject </w:t>
      </w:r>
      <w:r w:rsidR="00D30414" w:rsidRPr="00B17EE2">
        <w:rPr>
          <w:rFonts w:asciiTheme="majorBidi" w:hAnsiTheme="majorBidi" w:cstheme="majorBidi"/>
          <w:sz w:val="28"/>
          <w:szCs w:val="28"/>
        </w:rPr>
        <w:t>f</w:t>
      </w:r>
      <w:r w:rsidRPr="00B17EE2">
        <w:rPr>
          <w:rFonts w:asciiTheme="majorBidi" w:hAnsiTheme="majorBidi" w:cstheme="majorBidi"/>
          <w:sz w:val="28"/>
          <w:szCs w:val="28"/>
        </w:rPr>
        <w:t>inance</w:t>
      </w:r>
    </w:p>
    <w:p w14:paraId="74D491AB" w14:textId="3E11C3B0" w:rsidR="005D5C04" w:rsidRDefault="003A00C5" w:rsidP="00AA10E8">
      <w:pPr>
        <w:suppressAutoHyphens/>
        <w:spacing w:before="240" w:line="360" w:lineRule="auto"/>
        <w:ind w:firstLine="567"/>
        <w:jc w:val="both"/>
      </w:pPr>
      <w:r>
        <w:rPr>
          <w:rFonts w:ascii="Times New Roman" w:hAnsi="Times New Roman" w:cs="Times New Roman"/>
          <w:sz w:val="24"/>
          <w:szCs w:val="24"/>
        </w:rPr>
        <w:t xml:space="preserve">Existing literature suggests many definitions of project finance. </w:t>
      </w:r>
      <w:r w:rsidR="00465E24" w:rsidRPr="00465E24">
        <w:rPr>
          <w:rFonts w:ascii="Times New Roman" w:hAnsi="Times New Roman" w:cs="Times New Roman"/>
          <w:sz w:val="24"/>
          <w:szCs w:val="24"/>
        </w:rPr>
        <w:t>According to Triantis, project finance is the art and skill of piecing together new business development elements, financial engineering techniques, and a web of contractual agreements to develop ambitious projects and make the right decisions to raise funding for industrial or infrastructure projects on a limited/nonrecourse basis. Lenders look to the cash flow for loan repayment and the project assets for collateral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09C09E57" w14:textId="71F30117" w:rsidR="005D5C04" w:rsidRPr="000F0094" w:rsidRDefault="003E52DC" w:rsidP="00AA10E8">
      <w:pPr>
        <w:suppressAutoHyphens/>
        <w:spacing w:line="360" w:lineRule="auto"/>
        <w:ind w:firstLine="567"/>
        <w:jc w:val="both"/>
      </w:pPr>
      <w:r w:rsidRPr="003E52DC">
        <w:rPr>
          <w:rFonts w:ascii="Times New Roman" w:hAnsi="Times New Roman" w:cs="Times New Roman"/>
          <w:sz w:val="24"/>
          <w:szCs w:val="24"/>
        </w:rPr>
        <w:t>Finnerty contends that: Project finance may be defined as the raising of funds on a limited-recourse or nonrecourse basis to finance an economically separable capital investment project. The funds' providers look primarily to the project cash flow as the source of funds to service their loans and provide the return of and a return on their equity invested in the project</w:t>
      </w:r>
      <w:r w:rsidR="003A00C5">
        <w:rPr>
          <w:rFonts w:ascii="Times New Roman" w:hAnsi="Times New Roman" w:cs="Times New Roman"/>
          <w:sz w:val="24"/>
          <w:szCs w:val="24"/>
        </w:rPr>
        <w:t>.</w:t>
      </w:r>
      <w:r w:rsidR="003A00C5">
        <w:rPr>
          <w:rStyle w:val="FootnoteReference"/>
          <w:rFonts w:ascii="Times New Roman" w:hAnsi="Times New Roman" w:cs="Times New Roman"/>
          <w:sz w:val="24"/>
          <w:szCs w:val="24"/>
        </w:rPr>
        <w:footnoteReference w:id="8"/>
      </w:r>
      <w:r w:rsidR="000F0094">
        <w:rPr>
          <w:rFonts w:ascii="Times New Roman" w:hAnsi="Times New Roman" w:cs="Times New Roman"/>
          <w:sz w:val="24"/>
          <w:szCs w:val="24"/>
        </w:rPr>
        <w:t xml:space="preserve"> </w:t>
      </w:r>
      <w:r w:rsidR="00BD73AE" w:rsidRPr="00BD73AE">
        <w:rPr>
          <w:rFonts w:ascii="Times New Roman" w:hAnsi="Times New Roman" w:cs="Times New Roman"/>
          <w:sz w:val="24"/>
          <w:szCs w:val="24"/>
        </w:rPr>
        <w:t>From this definition, nonrecourse debt is based on the cash flows and the project's income rather than the credit of the project sponsor</w:t>
      </w:r>
      <w:r w:rsidR="003A00C5">
        <w:rPr>
          <w:rFonts w:ascii="Times New Roman" w:hAnsi="Times New Roman" w:cs="Times New Roman"/>
          <w:sz w:val="24"/>
          <w:szCs w:val="24"/>
        </w:rPr>
        <w:t>.</w:t>
      </w:r>
    </w:p>
    <w:p w14:paraId="3D8713DF" w14:textId="62698700" w:rsidR="005D5C04" w:rsidRDefault="003A00C5" w:rsidP="00AA10E8">
      <w:pPr>
        <w:suppressAutoHyphens/>
        <w:spacing w:line="360" w:lineRule="auto"/>
        <w:ind w:firstLine="567"/>
        <w:jc w:val="both"/>
      </w:pPr>
      <w:r>
        <w:rPr>
          <w:rFonts w:ascii="Times New Roman" w:hAnsi="Times New Roman" w:cs="Times New Roman"/>
          <w:sz w:val="24"/>
          <w:szCs w:val="24"/>
        </w:rPr>
        <w:t>Yescombe defines project finance as a method of raising long-term debt financing for major projects through financial engineering, based on lending against the cash flow generated by the project alone</w:t>
      </w:r>
      <w:r w:rsidR="003531FD">
        <w:rPr>
          <w:rFonts w:ascii="Times New Roman" w:hAnsi="Times New Roman" w:cs="Times New Roman"/>
          <w:sz w:val="24"/>
          <w:szCs w:val="24"/>
        </w:rPr>
        <w:t>.</w:t>
      </w:r>
      <w:r>
        <w:rPr>
          <w:rFonts w:ascii="Times New Roman" w:hAnsi="Times New Roman" w:cs="Times New Roman"/>
          <w:sz w:val="24"/>
          <w:szCs w:val="24"/>
        </w:rPr>
        <w:t xml:space="preserve"> </w:t>
      </w:r>
      <w:r w:rsidR="003531FD">
        <w:rPr>
          <w:rFonts w:ascii="Times New Roman" w:hAnsi="Times New Roman" w:cs="Times New Roman"/>
          <w:sz w:val="24"/>
          <w:szCs w:val="24"/>
        </w:rPr>
        <w:t>I</w:t>
      </w:r>
      <w:r>
        <w:rPr>
          <w:rFonts w:ascii="Times New Roman" w:hAnsi="Times New Roman" w:cs="Times New Roman"/>
          <w:sz w:val="24"/>
          <w:szCs w:val="24"/>
        </w:rPr>
        <w:t>t depends on a detailed evaluation of a project's construction, operating and revenue risks, and their allocation between investors, lenders, and other parties through contractual and other arrangements.</w:t>
      </w:r>
      <w:r>
        <w:rPr>
          <w:rFonts w:ascii="Times New Roman" w:hAnsi="Times New Roman" w:cs="Times New Roman"/>
          <w:sz w:val="24"/>
          <w:szCs w:val="24"/>
          <w:vertAlign w:val="superscript"/>
        </w:rPr>
        <w:footnoteReference w:id="9"/>
      </w:r>
    </w:p>
    <w:p w14:paraId="0212288F" w14:textId="4E65FB7B" w:rsidR="005D5C04" w:rsidRDefault="003A00C5" w:rsidP="00AA10E8">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a</w:t>
      </w:r>
      <w:r w:rsidR="000F0094">
        <w:rPr>
          <w:rFonts w:ascii="Times New Roman" w:hAnsi="Times New Roman" w:cs="Times New Roman"/>
          <w:sz w:val="24"/>
          <w:szCs w:val="24"/>
        </w:rPr>
        <w:t xml:space="preserve"> </w:t>
      </w:r>
      <w:r>
        <w:rPr>
          <w:rFonts w:ascii="Times New Roman" w:hAnsi="Times New Roman" w:cs="Times New Roman"/>
          <w:sz w:val="24"/>
          <w:szCs w:val="24"/>
        </w:rPr>
        <w:t>well-established technique for long-term financing of capital-intensive projects such as infrastructure (e.g.</w:t>
      </w:r>
      <w:r w:rsidR="008E7B71">
        <w:rPr>
          <w:rFonts w:ascii="Times New Roman" w:hAnsi="Times New Roman" w:cs="Times New Roman"/>
          <w:sz w:val="24"/>
          <w:szCs w:val="24"/>
        </w:rPr>
        <w:t>,</w:t>
      </w:r>
      <w:r>
        <w:rPr>
          <w:rFonts w:ascii="Times New Roman" w:hAnsi="Times New Roman" w:cs="Times New Roman"/>
          <w:sz w:val="24"/>
          <w:szCs w:val="24"/>
        </w:rPr>
        <w:t xml:space="preserve"> road, rail, port, airports), natural resources (e.g.</w:t>
      </w:r>
      <w:r w:rsidR="008E7B71">
        <w:rPr>
          <w:rFonts w:ascii="Times New Roman" w:hAnsi="Times New Roman" w:cs="Times New Roman"/>
          <w:sz w:val="24"/>
          <w:szCs w:val="24"/>
        </w:rPr>
        <w:t>,</w:t>
      </w:r>
      <w:r>
        <w:rPr>
          <w:rFonts w:ascii="Times New Roman" w:hAnsi="Times New Roman" w:cs="Times New Roman"/>
          <w:sz w:val="24"/>
          <w:szCs w:val="24"/>
        </w:rPr>
        <w:t xml:space="preserve"> mining, oil &amp; gas), energy (e.g.</w:t>
      </w:r>
      <w:r w:rsidR="008E7B71">
        <w:rPr>
          <w:rFonts w:ascii="Times New Roman" w:hAnsi="Times New Roman" w:cs="Times New Roman"/>
          <w:sz w:val="24"/>
          <w:szCs w:val="24"/>
        </w:rPr>
        <w:t>,</w:t>
      </w:r>
      <w:r>
        <w:rPr>
          <w:rFonts w:ascii="Times New Roman" w:hAnsi="Times New Roman" w:cs="Times New Roman"/>
          <w:sz w:val="24"/>
          <w:szCs w:val="24"/>
        </w:rPr>
        <w:t xml:space="preserve"> power plants, wind farms</w:t>
      </w:r>
      <w:r w:rsidR="00C57349">
        <w:rPr>
          <w:rFonts w:ascii="Times New Roman" w:hAnsi="Times New Roman" w:cs="Times New Roman"/>
          <w:sz w:val="24"/>
          <w:szCs w:val="24"/>
        </w:rPr>
        <w:t xml:space="preserve">, </w:t>
      </w:r>
      <w:r>
        <w:rPr>
          <w:rFonts w:ascii="Times New Roman" w:hAnsi="Times New Roman" w:cs="Times New Roman"/>
          <w:sz w:val="24"/>
          <w:szCs w:val="24"/>
        </w:rPr>
        <w:t>and other renewables), and more recently social infrastructure (e.g.</w:t>
      </w:r>
      <w:r w:rsidR="008E7B71">
        <w:rPr>
          <w:rFonts w:ascii="Times New Roman" w:hAnsi="Times New Roman" w:cs="Times New Roman"/>
          <w:sz w:val="24"/>
          <w:szCs w:val="24"/>
        </w:rPr>
        <w:t>,</w:t>
      </w:r>
      <w:r>
        <w:rPr>
          <w:rFonts w:ascii="Times New Roman" w:hAnsi="Times New Roman" w:cs="Times New Roman"/>
          <w:sz w:val="24"/>
          <w:szCs w:val="24"/>
        </w:rPr>
        <w:t xml:space="preserve"> school, prison, health). </w:t>
      </w:r>
      <w:r w:rsidR="008E7B71" w:rsidRPr="008E7B71">
        <w:rPr>
          <w:rFonts w:ascii="Times New Roman" w:hAnsi="Times New Roman" w:cs="Times New Roman"/>
          <w:sz w:val="24"/>
          <w:szCs w:val="24"/>
        </w:rPr>
        <w:t>It is used by both the public and private sectors</w:t>
      </w:r>
      <w:r>
        <w:rPr>
          <w:rFonts w:ascii="Times New Roman" w:hAnsi="Times New Roman" w:cs="Times New Roman"/>
          <w:sz w:val="24"/>
          <w:szCs w:val="24"/>
        </w:rPr>
        <w:t>.</w:t>
      </w:r>
    </w:p>
    <w:p w14:paraId="0DAAA190" w14:textId="4F154AB1" w:rsidR="005D5C04" w:rsidRDefault="003A00C5" w:rsidP="00AA10E8">
      <w:pPr>
        <w:suppressAutoHyphens/>
        <w:spacing w:line="360" w:lineRule="auto"/>
        <w:ind w:firstLine="567"/>
        <w:jc w:val="both"/>
      </w:pPr>
      <w:r>
        <w:rPr>
          <w:rFonts w:ascii="Times New Roman" w:hAnsi="Times New Roman" w:cs="Times New Roman"/>
          <w:sz w:val="24"/>
          <w:szCs w:val="24"/>
        </w:rPr>
        <w:t xml:space="preserve">Megginson argues that what distinguishes project finance from other types of financing is that debts are expected to be paid by the project itself and not by </w:t>
      </w:r>
      <w:r w:rsidR="00C57349">
        <w:rPr>
          <w:rFonts w:ascii="Times New Roman" w:hAnsi="Times New Roman" w:cs="Times New Roman"/>
          <w:sz w:val="24"/>
          <w:szCs w:val="24"/>
        </w:rPr>
        <w:t xml:space="preserve">the </w:t>
      </w:r>
      <w:r>
        <w:rPr>
          <w:rFonts w:ascii="Times New Roman" w:hAnsi="Times New Roman" w:cs="Times New Roman"/>
          <w:sz w:val="24"/>
          <w:szCs w:val="24"/>
        </w:rPr>
        <w:t>government repay the project debts as well as risk</w:t>
      </w:r>
      <w:r w:rsidR="00C57349">
        <w:rPr>
          <w:rFonts w:ascii="Times New Roman" w:hAnsi="Times New Roman" w:cs="Times New Roman"/>
          <w:sz w:val="24"/>
          <w:szCs w:val="24"/>
        </w:rPr>
        <w:t>-</w:t>
      </w:r>
      <w:r>
        <w:rPr>
          <w:rFonts w:ascii="Times New Roman" w:hAnsi="Times New Roman" w:cs="Times New Roman"/>
          <w:sz w:val="24"/>
          <w:szCs w:val="24"/>
        </w:rPr>
        <w:t xml:space="preserve">sharing feature of </w:t>
      </w:r>
      <w:r w:rsidR="003531FD">
        <w:rPr>
          <w:rFonts w:ascii="Times New Roman" w:hAnsi="Times New Roman" w:cs="Times New Roman"/>
          <w:sz w:val="24"/>
          <w:szCs w:val="24"/>
        </w:rPr>
        <w:t>project finance</w:t>
      </w:r>
      <w:r>
        <w:rPr>
          <w:rFonts w:ascii="Times New Roman" w:hAnsi="Times New Roman" w:cs="Times New Roman"/>
          <w:sz w:val="24"/>
          <w:szCs w:val="24"/>
        </w:rPr>
        <w:t xml:space="preserve"> between creditors. Elsewhere Megginson argues that project finance is perceived as an efficient method of obtaining long-term, relatively low-cost financing for capital intensive projects in risky countries.</w:t>
      </w:r>
      <w:r>
        <w:rPr>
          <w:rStyle w:val="FootnoteReference"/>
          <w:rFonts w:ascii="Times New Roman" w:hAnsi="Times New Roman" w:cs="Times New Roman"/>
          <w:sz w:val="24"/>
          <w:szCs w:val="24"/>
        </w:rPr>
        <w:footnoteReference w:id="10"/>
      </w:r>
    </w:p>
    <w:p w14:paraId="6604B9D9" w14:textId="77777777" w:rsidR="005D5C04" w:rsidRDefault="003A00C5" w:rsidP="00AA10E8">
      <w:pPr>
        <w:suppressAutoHyphens/>
        <w:spacing w:line="360" w:lineRule="auto"/>
        <w:ind w:firstLine="567"/>
        <w:jc w:val="both"/>
      </w:pPr>
      <w:r w:rsidRPr="00B407FE">
        <w:rPr>
          <w:rFonts w:ascii="Times New Roman" w:hAnsi="Times New Roman" w:cs="Times New Roman"/>
          <w:sz w:val="24"/>
          <w:szCs w:val="24"/>
        </w:rPr>
        <w:lastRenderedPageBreak/>
        <w:t>So, the principles of project finance can be summarized as:</w:t>
      </w:r>
      <w:r>
        <w:rPr>
          <w:rStyle w:val="FootnoteReference"/>
          <w:rFonts w:ascii="Times New Roman" w:hAnsi="Times New Roman" w:cs="Times New Roman"/>
          <w:sz w:val="24"/>
          <w:szCs w:val="24"/>
        </w:rPr>
        <w:footnoteReference w:id="11"/>
      </w:r>
    </w:p>
    <w:p w14:paraId="5E5AB4F0" w14:textId="37CE0EB0" w:rsidR="005D5C04" w:rsidRDefault="003A00C5" w:rsidP="00AA10E8">
      <w:pPr>
        <w:pStyle w:val="ListParagraph"/>
        <w:numPr>
          <w:ilvl w:val="0"/>
          <w:numId w:val="1"/>
        </w:numPr>
        <w:suppressAutoHyphens/>
        <w:spacing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 xml:space="preserve">The project usually relates to </w:t>
      </w:r>
      <w:r w:rsidR="0040329E">
        <w:rPr>
          <w:rFonts w:ascii="Times New Roman" w:hAnsi="Times New Roman" w:cs="Times New Roman"/>
          <w:sz w:val="24"/>
          <w:szCs w:val="24"/>
        </w:rPr>
        <w:t>significant</w:t>
      </w:r>
      <w:r>
        <w:rPr>
          <w:rFonts w:ascii="Times New Roman" w:hAnsi="Times New Roman" w:cs="Times New Roman"/>
          <w:sz w:val="24"/>
          <w:szCs w:val="24"/>
        </w:rPr>
        <w:t xml:space="preserve"> infrastructure with a long construction period and long operating life. </w:t>
      </w:r>
      <w:r w:rsidR="0040329E">
        <w:rPr>
          <w:rFonts w:ascii="Times New Roman" w:hAnsi="Times New Roman" w:cs="Times New Roman"/>
          <w:sz w:val="24"/>
          <w:szCs w:val="24"/>
        </w:rPr>
        <w:t>It</w:t>
      </w:r>
      <w:r>
        <w:rPr>
          <w:rFonts w:ascii="Times New Roman" w:hAnsi="Times New Roman" w:cs="Times New Roman"/>
          <w:sz w:val="24"/>
          <w:szCs w:val="24"/>
        </w:rPr>
        <w:t xml:space="preserve"> means that the financing must also be for </w:t>
      </w:r>
      <w:r w:rsidR="0040329E">
        <w:rPr>
          <w:rFonts w:ascii="Times New Roman" w:hAnsi="Times New Roman" w:cs="Times New Roman"/>
          <w:sz w:val="24"/>
          <w:szCs w:val="24"/>
        </w:rPr>
        <w:t>the</w:t>
      </w:r>
      <w:r>
        <w:rPr>
          <w:rFonts w:ascii="Times New Roman" w:hAnsi="Times New Roman" w:cs="Times New Roman"/>
          <w:sz w:val="24"/>
          <w:szCs w:val="24"/>
        </w:rPr>
        <w:t xml:space="preserve"> long term (typically 15</w:t>
      </w:r>
      <w:r w:rsidR="003531FD">
        <w:rPr>
          <w:rFonts w:ascii="Times New Roman" w:hAnsi="Times New Roman" w:cs="Times New Roman"/>
          <w:sz w:val="24"/>
          <w:szCs w:val="24"/>
        </w:rPr>
        <w:t>-</w:t>
      </w:r>
      <w:r>
        <w:rPr>
          <w:rFonts w:ascii="Times New Roman" w:hAnsi="Times New Roman" w:cs="Times New Roman"/>
          <w:sz w:val="24"/>
          <w:szCs w:val="24"/>
        </w:rPr>
        <w:t>25 years).</w:t>
      </w:r>
    </w:p>
    <w:p w14:paraId="58DC45BC" w14:textId="21F2AD3D" w:rsidR="005D5C04" w:rsidRDefault="003A00C5" w:rsidP="00AA10E8">
      <w:pPr>
        <w:pStyle w:val="ListParagraph"/>
        <w:numPr>
          <w:ilvl w:val="0"/>
          <w:numId w:val="1"/>
        </w:numPr>
        <w:suppressAutoHyphens/>
        <w:spacing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 xml:space="preserve">Lenders rely on the future cash flow projected to be generated by the project to pay their interest and fees and repay their debt. </w:t>
      </w:r>
    </w:p>
    <w:p w14:paraId="156C2261" w14:textId="1974A85D" w:rsidR="005D5C04" w:rsidRDefault="003A00C5" w:rsidP="00AA10E8">
      <w:pPr>
        <w:pStyle w:val="ListParagraph"/>
        <w:numPr>
          <w:ilvl w:val="0"/>
          <w:numId w:val="1"/>
        </w:numPr>
        <w:suppressAutoHyphens/>
        <w:spacing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 xml:space="preserve">There is a high ratio of debt to equity </w:t>
      </w:r>
      <w:r w:rsidR="003531FD">
        <w:rPr>
          <w:rFonts w:ascii="Times New Roman" w:hAnsi="Times New Roman" w:cs="Times New Roman"/>
          <w:sz w:val="24"/>
          <w:szCs w:val="24"/>
        </w:rPr>
        <w:t>“</w:t>
      </w:r>
      <w:r>
        <w:rPr>
          <w:rFonts w:ascii="Times New Roman" w:hAnsi="Times New Roman" w:cs="Times New Roman"/>
          <w:sz w:val="24"/>
          <w:szCs w:val="24"/>
        </w:rPr>
        <w:t>leverage</w:t>
      </w:r>
      <w:r w:rsidR="003531FD">
        <w:rPr>
          <w:rFonts w:ascii="Times New Roman" w:hAnsi="Times New Roman" w:cs="Times New Roman"/>
          <w:sz w:val="24"/>
          <w:szCs w:val="24"/>
        </w:rPr>
        <w:t>”</w:t>
      </w:r>
      <w:r w:rsidR="0040329E">
        <w:rPr>
          <w:rFonts w:ascii="Times New Roman" w:hAnsi="Times New Roman" w:cs="Times New Roman"/>
          <w:sz w:val="24"/>
          <w:szCs w:val="24"/>
        </w:rPr>
        <w:t>;</w:t>
      </w:r>
      <w:r>
        <w:rPr>
          <w:rFonts w:ascii="Times New Roman" w:hAnsi="Times New Roman" w:cs="Times New Roman"/>
          <w:sz w:val="24"/>
          <w:szCs w:val="24"/>
        </w:rPr>
        <w:t xml:space="preserve"> project finance debt may cover 70</w:t>
      </w:r>
      <w:r w:rsidR="003531FD">
        <w:rPr>
          <w:rFonts w:ascii="Times New Roman" w:hAnsi="Times New Roman" w:cs="Times New Roman"/>
          <w:sz w:val="24"/>
          <w:szCs w:val="24"/>
        </w:rPr>
        <w:t>-</w:t>
      </w:r>
      <w:r>
        <w:rPr>
          <w:rFonts w:ascii="Times New Roman" w:hAnsi="Times New Roman" w:cs="Times New Roman"/>
          <w:sz w:val="24"/>
          <w:szCs w:val="24"/>
        </w:rPr>
        <w:t xml:space="preserve">90% of the </w:t>
      </w:r>
      <w:r w:rsidR="00BD73AE">
        <w:rPr>
          <w:rFonts w:ascii="Times New Roman" w:hAnsi="Times New Roman" w:cs="Times New Roman"/>
          <w:sz w:val="24"/>
          <w:szCs w:val="24"/>
        </w:rPr>
        <w:t>project</w:t>
      </w:r>
      <w:r w:rsidR="00BD73AE" w:rsidRPr="00810EC1">
        <w:rPr>
          <w:rFonts w:ascii="Times New Roman" w:hAnsi="Times New Roman" w:cs="Times New Roman"/>
          <w:sz w:val="24"/>
          <w:szCs w:val="24"/>
        </w:rPr>
        <w:t>'</w:t>
      </w:r>
      <w:r w:rsidR="00BD73AE">
        <w:rPr>
          <w:rFonts w:ascii="Times New Roman" w:hAnsi="Times New Roman" w:cs="Times New Roman"/>
          <w:sz w:val="24"/>
          <w:szCs w:val="24"/>
        </w:rPr>
        <w:t xml:space="preserve">s </w:t>
      </w:r>
      <w:r>
        <w:rPr>
          <w:rFonts w:ascii="Times New Roman" w:hAnsi="Times New Roman" w:cs="Times New Roman"/>
          <w:sz w:val="24"/>
          <w:szCs w:val="24"/>
        </w:rPr>
        <w:t>capital cost.</w:t>
      </w:r>
      <w:r w:rsidR="00BD73AE">
        <w:rPr>
          <w:rFonts w:ascii="Times New Roman" w:hAnsi="Times New Roman" w:cs="Times New Roman"/>
          <w:sz w:val="24"/>
          <w:szCs w:val="24"/>
        </w:rPr>
        <w:t xml:space="preserve"> </w:t>
      </w:r>
    </w:p>
    <w:p w14:paraId="706F97FC" w14:textId="1D70504F" w:rsidR="005D5C04" w:rsidRDefault="003A00C5" w:rsidP="00AA10E8">
      <w:pPr>
        <w:pStyle w:val="ListParagraph"/>
        <w:numPr>
          <w:ilvl w:val="0"/>
          <w:numId w:val="1"/>
        </w:numPr>
        <w:suppressAutoHyphens/>
        <w:spacing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The Project Company</w:t>
      </w:r>
      <w:r w:rsidR="00810EC1" w:rsidRPr="00810EC1">
        <w:rPr>
          <w:rFonts w:ascii="Times New Roman" w:hAnsi="Times New Roman" w:cs="Times New Roman"/>
          <w:sz w:val="24"/>
          <w:szCs w:val="24"/>
        </w:rPr>
        <w:t>'</w:t>
      </w:r>
      <w:r>
        <w:rPr>
          <w:rFonts w:ascii="Times New Roman" w:hAnsi="Times New Roman" w:cs="Times New Roman"/>
          <w:sz w:val="24"/>
          <w:szCs w:val="24"/>
        </w:rPr>
        <w:t>s physical assets are likely to be worth much less than the debt if they are sold off after a default on the financing</w:t>
      </w:r>
      <w:r w:rsidR="0040329E">
        <w:rPr>
          <w:rFonts w:ascii="Times New Roman" w:hAnsi="Times New Roman" w:cs="Times New Roman"/>
          <w:sz w:val="24"/>
          <w:szCs w:val="24"/>
        </w:rPr>
        <w:t>; in</w:t>
      </w:r>
      <w:r>
        <w:rPr>
          <w:rFonts w:ascii="Times New Roman" w:hAnsi="Times New Roman" w:cs="Times New Roman"/>
          <w:sz w:val="24"/>
          <w:szCs w:val="24"/>
        </w:rPr>
        <w:t xml:space="preserve"> projects involving public infrastructure</w:t>
      </w:r>
      <w:r w:rsidR="00C57349">
        <w:rPr>
          <w:rFonts w:ascii="Times New Roman" w:hAnsi="Times New Roman" w:cs="Times New Roman"/>
          <w:sz w:val="24"/>
          <w:szCs w:val="24"/>
        </w:rPr>
        <w:t xml:space="preserve">, </w:t>
      </w:r>
      <w:r>
        <w:rPr>
          <w:rFonts w:ascii="Times New Roman" w:hAnsi="Times New Roman" w:cs="Times New Roman"/>
          <w:sz w:val="24"/>
          <w:szCs w:val="24"/>
        </w:rPr>
        <w:t>they cannot be sold.</w:t>
      </w:r>
    </w:p>
    <w:p w14:paraId="042699F5" w14:textId="58638FA8" w:rsidR="005D5C04" w:rsidRDefault="003A00C5" w:rsidP="00AA10E8">
      <w:pPr>
        <w:pStyle w:val="ListParagraph"/>
        <w:numPr>
          <w:ilvl w:val="0"/>
          <w:numId w:val="1"/>
        </w:numPr>
        <w:suppressAutoHyphens/>
        <w:spacing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The project has a finite life, based on such factors as the length of the contracts or licenses, or reserves of natural resources. So, the project-finance debt must be fully repaid by the end of the project</w:t>
      </w:r>
      <w:r w:rsidR="00810EC1" w:rsidRPr="00810EC1">
        <w:rPr>
          <w:rFonts w:ascii="Times New Roman" w:hAnsi="Times New Roman" w:cs="Times New Roman"/>
          <w:sz w:val="24"/>
          <w:szCs w:val="24"/>
        </w:rPr>
        <w:t>'</w:t>
      </w:r>
      <w:r>
        <w:rPr>
          <w:rFonts w:ascii="Times New Roman" w:hAnsi="Times New Roman" w:cs="Times New Roman"/>
          <w:sz w:val="24"/>
          <w:szCs w:val="24"/>
        </w:rPr>
        <w:t>s life.</w:t>
      </w:r>
    </w:p>
    <w:p w14:paraId="3BA2C74C" w14:textId="53729E48" w:rsidR="00F64B3B" w:rsidRDefault="003A00C5" w:rsidP="00AA10E8">
      <w:pPr>
        <w:pStyle w:val="ListParagraph"/>
        <w:numPr>
          <w:ilvl w:val="0"/>
          <w:numId w:val="1"/>
        </w:numPr>
        <w:suppressAutoHyphens/>
        <w:spacing w:line="360" w:lineRule="auto"/>
        <w:ind w:left="567" w:hanging="357"/>
        <w:jc w:val="both"/>
        <w:rPr>
          <w:rFonts w:ascii="Times New Roman" w:hAnsi="Times New Roman" w:cs="Times New Roman"/>
          <w:sz w:val="24"/>
          <w:szCs w:val="24"/>
        </w:rPr>
      </w:pPr>
      <w:r>
        <w:rPr>
          <w:rFonts w:ascii="Times New Roman" w:hAnsi="Times New Roman" w:cs="Times New Roman"/>
          <w:sz w:val="24"/>
          <w:szCs w:val="24"/>
        </w:rPr>
        <w:t xml:space="preserve">There are no guarantees from the investors in the </w:t>
      </w:r>
      <w:r w:rsidR="003531FD">
        <w:rPr>
          <w:rFonts w:ascii="Times New Roman" w:hAnsi="Times New Roman" w:cs="Times New Roman"/>
          <w:sz w:val="24"/>
          <w:szCs w:val="24"/>
        </w:rPr>
        <w:t>p</w:t>
      </w:r>
      <w:r>
        <w:rPr>
          <w:rFonts w:ascii="Times New Roman" w:hAnsi="Times New Roman" w:cs="Times New Roman"/>
          <w:sz w:val="24"/>
          <w:szCs w:val="24"/>
        </w:rPr>
        <w:t xml:space="preserve">roject </w:t>
      </w:r>
      <w:r w:rsidR="003531FD">
        <w:rPr>
          <w:rFonts w:ascii="Times New Roman" w:hAnsi="Times New Roman" w:cs="Times New Roman"/>
          <w:sz w:val="24"/>
          <w:szCs w:val="24"/>
        </w:rPr>
        <w:t>c</w:t>
      </w:r>
      <w:r>
        <w:rPr>
          <w:rFonts w:ascii="Times New Roman" w:hAnsi="Times New Roman" w:cs="Times New Roman"/>
          <w:sz w:val="24"/>
          <w:szCs w:val="24"/>
        </w:rPr>
        <w:t>ompany for the project</w:t>
      </w:r>
      <w:r w:rsidR="003531FD">
        <w:rPr>
          <w:rFonts w:ascii="Times New Roman" w:hAnsi="Times New Roman" w:cs="Times New Roman"/>
          <w:sz w:val="24"/>
          <w:szCs w:val="24"/>
        </w:rPr>
        <w:t xml:space="preserve"> </w:t>
      </w:r>
      <w:r>
        <w:rPr>
          <w:rFonts w:ascii="Times New Roman" w:hAnsi="Times New Roman" w:cs="Times New Roman"/>
          <w:sz w:val="24"/>
          <w:szCs w:val="24"/>
        </w:rPr>
        <w:t xml:space="preserve">debt. So, this is </w:t>
      </w:r>
      <w:r w:rsidR="003531FD">
        <w:rPr>
          <w:rFonts w:ascii="Times New Roman" w:hAnsi="Times New Roman" w:cs="Times New Roman"/>
          <w:sz w:val="24"/>
          <w:szCs w:val="24"/>
        </w:rPr>
        <w:t>“</w:t>
      </w:r>
      <w:r>
        <w:rPr>
          <w:rFonts w:ascii="Times New Roman" w:hAnsi="Times New Roman" w:cs="Times New Roman"/>
          <w:sz w:val="24"/>
          <w:szCs w:val="24"/>
        </w:rPr>
        <w:t>nonrecourse</w:t>
      </w:r>
      <w:r w:rsidR="003531FD">
        <w:rPr>
          <w:rFonts w:ascii="Times New Roman" w:hAnsi="Times New Roman" w:cs="Times New Roman"/>
          <w:sz w:val="24"/>
          <w:szCs w:val="24"/>
        </w:rPr>
        <w:t>”</w:t>
      </w:r>
      <w:r>
        <w:rPr>
          <w:rFonts w:ascii="Times New Roman" w:hAnsi="Times New Roman" w:cs="Times New Roman"/>
          <w:sz w:val="24"/>
          <w:szCs w:val="24"/>
        </w:rPr>
        <w:t xml:space="preserve"> finance.</w:t>
      </w:r>
    </w:p>
    <w:p w14:paraId="4315C7C4" w14:textId="5B4E8DE4" w:rsidR="003A0D47" w:rsidRPr="003A0D47" w:rsidRDefault="003A0D47" w:rsidP="00AA10E8">
      <w:pPr>
        <w:suppressAutoHyphens/>
        <w:autoSpaceDE w:val="0"/>
        <w:adjustRightInd w:val="0"/>
        <w:spacing w:line="360" w:lineRule="auto"/>
        <w:ind w:firstLine="567"/>
        <w:textAlignment w:val="auto"/>
        <w:rPr>
          <w:rFonts w:asciiTheme="majorBidi" w:hAnsiTheme="majorBidi" w:cstheme="majorBidi"/>
          <w:sz w:val="24"/>
          <w:szCs w:val="24"/>
          <w:lang w:val="en-US"/>
        </w:rPr>
      </w:pPr>
      <w:r w:rsidRPr="003A0D47">
        <w:rPr>
          <w:rFonts w:asciiTheme="majorBidi" w:hAnsiTheme="majorBidi" w:cstheme="majorBidi"/>
          <w:sz w:val="24"/>
          <w:szCs w:val="24"/>
          <w:lang w:val="en-US"/>
        </w:rPr>
        <w:t>The life of a project can be divided into three phases:</w:t>
      </w:r>
      <w:r w:rsidR="00D220B2">
        <w:rPr>
          <w:rStyle w:val="FootnoteReference"/>
          <w:rFonts w:asciiTheme="majorBidi" w:hAnsiTheme="majorBidi" w:cstheme="majorBidi"/>
          <w:sz w:val="24"/>
          <w:szCs w:val="24"/>
          <w:lang w:val="en-US"/>
        </w:rPr>
        <w:footnoteReference w:id="12"/>
      </w:r>
    </w:p>
    <w:p w14:paraId="43B68ED2" w14:textId="334933F9" w:rsidR="003A0D47" w:rsidRPr="003A0D47" w:rsidRDefault="003A0D47" w:rsidP="00AA10E8">
      <w:pPr>
        <w:pStyle w:val="ListParagraph"/>
        <w:numPr>
          <w:ilvl w:val="0"/>
          <w:numId w:val="6"/>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3A0D47">
        <w:rPr>
          <w:rFonts w:asciiTheme="majorBidi" w:hAnsiTheme="majorBidi" w:cstheme="majorBidi"/>
          <w:b/>
          <w:bCs/>
          <w:sz w:val="24"/>
          <w:szCs w:val="24"/>
          <w:lang w:val="en-US"/>
        </w:rPr>
        <w:t>Development</w:t>
      </w:r>
      <w:r w:rsidR="00EB38B3">
        <w:rPr>
          <w:rFonts w:asciiTheme="majorBidi" w:hAnsiTheme="majorBidi" w:cstheme="majorBidi"/>
          <w:b/>
          <w:bCs/>
          <w:sz w:val="24"/>
          <w:szCs w:val="24"/>
          <w:lang w:val="en-US"/>
        </w:rPr>
        <w:t>.</w:t>
      </w:r>
      <w:r w:rsidRPr="003A0D47">
        <w:rPr>
          <w:rFonts w:asciiTheme="majorBidi" w:hAnsiTheme="majorBidi" w:cstheme="majorBidi"/>
          <w:sz w:val="24"/>
          <w:szCs w:val="24"/>
          <w:lang w:val="en-US"/>
        </w:rPr>
        <w:t xml:space="preserve"> </w:t>
      </w:r>
      <w:r w:rsidR="007901E7">
        <w:rPr>
          <w:rFonts w:asciiTheme="majorBidi" w:hAnsiTheme="majorBidi" w:cstheme="majorBidi"/>
          <w:sz w:val="24"/>
          <w:szCs w:val="24"/>
          <w:lang w:val="en-US"/>
        </w:rPr>
        <w:t>When</w:t>
      </w:r>
      <w:r w:rsidRPr="003A0D47">
        <w:rPr>
          <w:rFonts w:asciiTheme="majorBidi" w:hAnsiTheme="majorBidi" w:cstheme="majorBidi"/>
          <w:sz w:val="24"/>
          <w:szCs w:val="24"/>
          <w:lang w:val="en-US"/>
        </w:rPr>
        <w:t xml:space="preserve"> the project is conceived, the </w:t>
      </w:r>
      <w:r w:rsidR="003531FD">
        <w:rPr>
          <w:rFonts w:asciiTheme="majorBidi" w:hAnsiTheme="majorBidi" w:cstheme="majorBidi"/>
          <w:sz w:val="24"/>
          <w:szCs w:val="24"/>
          <w:lang w:val="en-US"/>
        </w:rPr>
        <w:t>p</w:t>
      </w:r>
      <w:r w:rsidRPr="003A0D47">
        <w:rPr>
          <w:rFonts w:asciiTheme="majorBidi" w:hAnsiTheme="majorBidi" w:cstheme="majorBidi"/>
          <w:sz w:val="24"/>
          <w:szCs w:val="24"/>
          <w:lang w:val="en-US"/>
        </w:rPr>
        <w:t xml:space="preserve">roject </w:t>
      </w:r>
      <w:r w:rsidR="003531FD">
        <w:rPr>
          <w:rFonts w:asciiTheme="majorBidi" w:hAnsiTheme="majorBidi" w:cstheme="majorBidi"/>
          <w:sz w:val="24"/>
          <w:szCs w:val="24"/>
          <w:lang w:val="en-US"/>
        </w:rPr>
        <w:t>c</w:t>
      </w:r>
      <w:r w:rsidRPr="003A0D47">
        <w:rPr>
          <w:rFonts w:asciiTheme="majorBidi" w:hAnsiTheme="majorBidi" w:cstheme="majorBidi"/>
          <w:sz w:val="24"/>
          <w:szCs w:val="24"/>
          <w:lang w:val="en-US"/>
        </w:rPr>
        <w:t>ontracts are negotiated</w:t>
      </w:r>
      <w:r w:rsidR="00846003">
        <w:rPr>
          <w:rFonts w:asciiTheme="majorBidi" w:hAnsiTheme="majorBidi" w:cstheme="majorBidi"/>
          <w:sz w:val="24"/>
          <w:szCs w:val="24"/>
          <w:lang w:val="en-US"/>
        </w:rPr>
        <w:t xml:space="preserve">, </w:t>
      </w:r>
      <w:r w:rsidR="00846003" w:rsidRPr="00846003">
        <w:rPr>
          <w:rFonts w:asciiTheme="majorBidi" w:hAnsiTheme="majorBidi" w:cstheme="majorBidi"/>
          <w:sz w:val="24"/>
          <w:szCs w:val="24"/>
          <w:lang w:val="en-US"/>
        </w:rPr>
        <w:t>signed, and come into effect</w:t>
      </w:r>
      <w:r w:rsidR="003531FD">
        <w:rPr>
          <w:rFonts w:asciiTheme="majorBidi" w:hAnsiTheme="majorBidi" w:cstheme="majorBidi"/>
          <w:sz w:val="24"/>
          <w:szCs w:val="24"/>
          <w:lang w:val="en-US"/>
        </w:rPr>
        <w:t>. T</w:t>
      </w:r>
      <w:r w:rsidRPr="003A0D47">
        <w:rPr>
          <w:rFonts w:asciiTheme="majorBidi" w:hAnsiTheme="majorBidi" w:cstheme="majorBidi"/>
          <w:sz w:val="24"/>
          <w:szCs w:val="24"/>
          <w:lang w:val="en-US"/>
        </w:rPr>
        <w:t>he equity and project</w:t>
      </w:r>
      <w:r w:rsidR="00810EC1" w:rsidRPr="00810EC1">
        <w:rPr>
          <w:rFonts w:ascii="Times New Roman" w:hAnsi="Times New Roman" w:cs="Times New Roman"/>
          <w:sz w:val="24"/>
          <w:szCs w:val="24"/>
        </w:rPr>
        <w:t>'</w:t>
      </w:r>
      <w:r w:rsidR="0040329E">
        <w:rPr>
          <w:rFonts w:asciiTheme="majorBidi" w:hAnsiTheme="majorBidi" w:cstheme="majorBidi"/>
          <w:sz w:val="24"/>
          <w:szCs w:val="24"/>
          <w:lang w:val="en-US"/>
        </w:rPr>
        <w:t>s</w:t>
      </w:r>
      <w:r w:rsidRPr="003A0D47">
        <w:rPr>
          <w:rFonts w:asciiTheme="majorBidi" w:hAnsiTheme="majorBidi" w:cstheme="majorBidi"/>
          <w:sz w:val="24"/>
          <w:szCs w:val="24"/>
          <w:lang w:val="en-US"/>
        </w:rPr>
        <w:t xml:space="preserve"> debt are put in place and available for drawing.</w:t>
      </w:r>
      <w:r w:rsidR="00846003" w:rsidRPr="00846003">
        <w:rPr>
          <w:rFonts w:asciiTheme="majorBidi" w:hAnsiTheme="majorBidi" w:cstheme="majorBidi"/>
          <w:sz w:val="24"/>
          <w:szCs w:val="24"/>
          <w:lang w:val="en-US"/>
        </w:rPr>
        <w:t xml:space="preserve"> This phase is more </w:t>
      </w:r>
      <w:r w:rsidR="00846586">
        <w:rPr>
          <w:rFonts w:asciiTheme="majorBidi" w:hAnsiTheme="majorBidi" w:cstheme="majorBidi"/>
          <w:sz w:val="24"/>
          <w:szCs w:val="24"/>
          <w:lang w:val="en-US"/>
        </w:rPr>
        <w:t>complicated</w:t>
      </w:r>
      <w:r w:rsidR="00846003" w:rsidRPr="00846003">
        <w:rPr>
          <w:rFonts w:asciiTheme="majorBidi" w:hAnsiTheme="majorBidi" w:cstheme="majorBidi"/>
          <w:sz w:val="24"/>
          <w:szCs w:val="24"/>
          <w:lang w:val="en-US"/>
        </w:rPr>
        <w:t xml:space="preserve"> than it might appear at first sight and can </w:t>
      </w:r>
      <w:r w:rsidR="004C3E94" w:rsidRPr="00846003">
        <w:rPr>
          <w:rFonts w:asciiTheme="majorBidi" w:hAnsiTheme="majorBidi" w:cstheme="majorBidi"/>
          <w:sz w:val="24"/>
          <w:szCs w:val="24"/>
          <w:lang w:val="en-US"/>
        </w:rPr>
        <w:t xml:space="preserve">run </w:t>
      </w:r>
      <w:r w:rsidR="00787F72" w:rsidRPr="00787F72">
        <w:rPr>
          <w:rFonts w:asciiTheme="majorBidi" w:hAnsiTheme="majorBidi" w:cstheme="majorBidi"/>
          <w:sz w:val="24"/>
          <w:szCs w:val="24"/>
          <w:lang w:val="en-US"/>
        </w:rPr>
        <w:t xml:space="preserve">smoothly </w:t>
      </w:r>
      <w:r w:rsidR="00846003" w:rsidRPr="00846003">
        <w:rPr>
          <w:rFonts w:asciiTheme="majorBidi" w:hAnsiTheme="majorBidi" w:cstheme="majorBidi"/>
          <w:sz w:val="24"/>
          <w:szCs w:val="24"/>
          <w:lang w:val="en-US"/>
        </w:rPr>
        <w:t>for several years</w:t>
      </w:r>
      <w:r w:rsidR="00846003">
        <w:rPr>
          <w:rFonts w:asciiTheme="majorBidi" w:hAnsiTheme="majorBidi" w:cstheme="majorBidi"/>
          <w:sz w:val="24"/>
          <w:szCs w:val="24"/>
          <w:lang w:val="en-US"/>
        </w:rPr>
        <w:t>.</w:t>
      </w:r>
    </w:p>
    <w:p w14:paraId="7299DF1D" w14:textId="231D2A53" w:rsidR="003A0D47" w:rsidRPr="003A0D47" w:rsidRDefault="003A0D47" w:rsidP="00AA10E8">
      <w:pPr>
        <w:pStyle w:val="ListParagraph"/>
        <w:numPr>
          <w:ilvl w:val="0"/>
          <w:numId w:val="6"/>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3A0D47">
        <w:rPr>
          <w:rFonts w:asciiTheme="majorBidi" w:hAnsiTheme="majorBidi" w:cstheme="majorBidi"/>
          <w:b/>
          <w:bCs/>
          <w:sz w:val="24"/>
          <w:szCs w:val="24"/>
          <w:lang w:val="en-US"/>
        </w:rPr>
        <w:t>Construction</w:t>
      </w:r>
      <w:r w:rsidR="00EB38B3">
        <w:rPr>
          <w:rFonts w:asciiTheme="majorBidi" w:hAnsiTheme="majorBidi" w:cstheme="majorBidi"/>
          <w:b/>
          <w:bCs/>
          <w:sz w:val="24"/>
          <w:szCs w:val="24"/>
          <w:lang w:val="en-US"/>
        </w:rPr>
        <w:t>.</w:t>
      </w:r>
      <w:r w:rsidRPr="003A0D47">
        <w:rPr>
          <w:rFonts w:asciiTheme="majorBidi" w:hAnsiTheme="majorBidi" w:cstheme="majorBidi"/>
          <w:sz w:val="24"/>
          <w:szCs w:val="24"/>
          <w:lang w:val="en-US"/>
        </w:rPr>
        <w:t xml:space="preserve"> The period during which the project finance is drawn down and the project is built.</w:t>
      </w:r>
    </w:p>
    <w:p w14:paraId="7439B5C7" w14:textId="51D760D5" w:rsidR="003A0D47" w:rsidRPr="003A0D47" w:rsidRDefault="003A0D47" w:rsidP="00AA10E8">
      <w:pPr>
        <w:pStyle w:val="ListParagraph"/>
        <w:numPr>
          <w:ilvl w:val="0"/>
          <w:numId w:val="6"/>
        </w:numPr>
        <w:suppressAutoHyphens/>
        <w:autoSpaceDE w:val="0"/>
        <w:adjustRightInd w:val="0"/>
        <w:spacing w:after="0" w:line="360" w:lineRule="auto"/>
        <w:ind w:left="567" w:hanging="357"/>
        <w:jc w:val="both"/>
        <w:textAlignment w:val="auto"/>
        <w:rPr>
          <w:rFonts w:asciiTheme="majorBidi" w:hAnsiTheme="majorBidi" w:cstheme="majorBidi"/>
          <w:sz w:val="24"/>
          <w:szCs w:val="24"/>
        </w:rPr>
      </w:pPr>
      <w:r w:rsidRPr="003A0D47">
        <w:rPr>
          <w:rFonts w:asciiTheme="majorBidi" w:hAnsiTheme="majorBidi" w:cstheme="majorBidi"/>
          <w:b/>
          <w:bCs/>
          <w:sz w:val="24"/>
          <w:szCs w:val="24"/>
          <w:lang w:val="en-US"/>
        </w:rPr>
        <w:t>Operation</w:t>
      </w:r>
      <w:r w:rsidR="00EB38B3">
        <w:rPr>
          <w:rFonts w:asciiTheme="majorBidi" w:hAnsiTheme="majorBidi" w:cstheme="majorBidi"/>
          <w:sz w:val="24"/>
          <w:szCs w:val="24"/>
          <w:lang w:val="en-US"/>
        </w:rPr>
        <w:t>.</w:t>
      </w:r>
      <w:r w:rsidRPr="003A0D47">
        <w:rPr>
          <w:rFonts w:asciiTheme="majorBidi" w:hAnsiTheme="majorBidi" w:cstheme="majorBidi"/>
          <w:sz w:val="24"/>
          <w:szCs w:val="24"/>
          <w:lang w:val="en-US"/>
        </w:rPr>
        <w:t xml:space="preserve"> The period during which the project operates commercially and produces cash flow to pay the lenders</w:t>
      </w:r>
      <w:r w:rsidR="00810EC1" w:rsidRPr="00810EC1">
        <w:rPr>
          <w:rFonts w:ascii="Times New Roman" w:hAnsi="Times New Roman" w:cs="Times New Roman"/>
          <w:sz w:val="24"/>
          <w:szCs w:val="24"/>
        </w:rPr>
        <w:t>'</w:t>
      </w:r>
      <w:r w:rsidRPr="003A0D47">
        <w:rPr>
          <w:rFonts w:asciiTheme="majorBidi" w:hAnsiTheme="majorBidi" w:cstheme="majorBidi"/>
          <w:sz w:val="24"/>
          <w:szCs w:val="24"/>
          <w:lang w:val="en-US"/>
        </w:rPr>
        <w:t xml:space="preserve"> debt interest and principal repayments and the investors</w:t>
      </w:r>
      <w:r w:rsidR="00810EC1" w:rsidRPr="00810EC1">
        <w:rPr>
          <w:rFonts w:ascii="Times New Roman" w:hAnsi="Times New Roman" w:cs="Times New Roman"/>
          <w:sz w:val="24"/>
          <w:szCs w:val="24"/>
        </w:rPr>
        <w:t>'</w:t>
      </w:r>
      <w:r w:rsidRPr="003A0D47">
        <w:rPr>
          <w:rFonts w:asciiTheme="majorBidi" w:hAnsiTheme="majorBidi" w:cstheme="majorBidi"/>
          <w:sz w:val="24"/>
          <w:szCs w:val="24"/>
          <w:lang w:val="en-US"/>
        </w:rPr>
        <w:t xml:space="preserve"> equity return</w:t>
      </w:r>
      <w:r>
        <w:rPr>
          <w:rFonts w:asciiTheme="majorBidi" w:hAnsiTheme="majorBidi" w:cstheme="majorBidi"/>
          <w:sz w:val="24"/>
          <w:szCs w:val="24"/>
          <w:lang w:val="en-US"/>
        </w:rPr>
        <w:t>.</w:t>
      </w:r>
    </w:p>
    <w:p w14:paraId="1E6D3A3D" w14:textId="44E55CAF" w:rsidR="009212D7" w:rsidRDefault="009212D7" w:rsidP="00AA10E8">
      <w:pPr>
        <w:suppressAutoHyphens/>
        <w:autoSpaceDE w:val="0"/>
        <w:spacing w:before="240" w:after="0" w:line="360" w:lineRule="auto"/>
        <w:ind w:firstLine="567"/>
        <w:jc w:val="both"/>
        <w:rPr>
          <w:vertAlign w:val="superscript"/>
        </w:rPr>
      </w:pPr>
      <w:r w:rsidRPr="00347200">
        <w:rPr>
          <w:rFonts w:asciiTheme="majorBidi" w:hAnsiTheme="majorBidi" w:cstheme="majorBidi"/>
          <w:sz w:val="24"/>
          <w:szCs w:val="24"/>
        </w:rPr>
        <w:t xml:space="preserve">With the explosion of project financing in the late 1980s and 1990s around the world, there is a temptation to think that </w:t>
      </w:r>
      <w:r w:rsidR="00AF071E">
        <w:rPr>
          <w:rFonts w:asciiTheme="majorBidi" w:hAnsiTheme="majorBidi" w:cstheme="majorBidi"/>
          <w:sz w:val="24"/>
          <w:szCs w:val="24"/>
        </w:rPr>
        <w:t xml:space="preserve">the </w:t>
      </w:r>
      <w:r w:rsidRPr="00347200">
        <w:rPr>
          <w:rFonts w:asciiTheme="majorBidi" w:hAnsiTheme="majorBidi" w:cstheme="majorBidi"/>
          <w:sz w:val="24"/>
          <w:szCs w:val="24"/>
        </w:rPr>
        <w:t>project finance term is a relatively new concept</w:t>
      </w:r>
      <w:r w:rsidR="003531FD">
        <w:rPr>
          <w:rFonts w:asciiTheme="majorBidi" w:hAnsiTheme="majorBidi" w:cstheme="majorBidi"/>
          <w:sz w:val="24"/>
          <w:szCs w:val="24"/>
        </w:rPr>
        <w:t>.</w:t>
      </w:r>
      <w:r w:rsidRPr="00347200">
        <w:rPr>
          <w:rFonts w:asciiTheme="majorBidi" w:hAnsiTheme="majorBidi" w:cstheme="majorBidi"/>
          <w:sz w:val="24"/>
          <w:szCs w:val="24"/>
        </w:rPr>
        <w:t xml:space="preserve"> </w:t>
      </w:r>
      <w:r w:rsidR="003531FD">
        <w:rPr>
          <w:rFonts w:asciiTheme="majorBidi" w:hAnsiTheme="majorBidi" w:cstheme="majorBidi"/>
          <w:sz w:val="24"/>
          <w:szCs w:val="24"/>
        </w:rPr>
        <w:t>H</w:t>
      </w:r>
      <w:r w:rsidRPr="00347200">
        <w:rPr>
          <w:rFonts w:asciiTheme="majorBidi" w:hAnsiTheme="majorBidi" w:cstheme="majorBidi"/>
          <w:sz w:val="24"/>
          <w:szCs w:val="24"/>
        </w:rPr>
        <w:t>owever,</w:t>
      </w:r>
      <w:r w:rsidR="003531FD" w:rsidRPr="003531FD">
        <w:rPr>
          <w:rFonts w:asciiTheme="majorBidi" w:hAnsiTheme="majorBidi" w:cstheme="majorBidi"/>
          <w:sz w:val="24"/>
          <w:szCs w:val="24"/>
        </w:rPr>
        <w:t xml:space="preserve"> </w:t>
      </w:r>
      <w:r w:rsidR="003531FD" w:rsidRPr="00347200">
        <w:rPr>
          <w:rFonts w:asciiTheme="majorBidi" w:hAnsiTheme="majorBidi" w:cstheme="majorBidi"/>
          <w:sz w:val="24"/>
          <w:szCs w:val="24"/>
        </w:rPr>
        <w:t>this is</w:t>
      </w:r>
      <w:r w:rsidRPr="00347200">
        <w:rPr>
          <w:rFonts w:asciiTheme="majorBidi" w:hAnsiTheme="majorBidi" w:cstheme="majorBidi"/>
          <w:sz w:val="24"/>
          <w:szCs w:val="24"/>
        </w:rPr>
        <w:t xml:space="preserve"> far from being true</w:t>
      </w:r>
      <w:r w:rsidR="008423DA">
        <w:rPr>
          <w:rFonts w:asciiTheme="majorBidi" w:hAnsiTheme="majorBidi" w:cstheme="majorBidi"/>
          <w:sz w:val="24"/>
          <w:szCs w:val="24"/>
        </w:rPr>
        <w:t>;</w:t>
      </w:r>
      <w:r w:rsidRPr="00347200">
        <w:rPr>
          <w:rFonts w:asciiTheme="majorBidi" w:hAnsiTheme="majorBidi" w:cstheme="majorBidi"/>
          <w:sz w:val="24"/>
          <w:szCs w:val="24"/>
        </w:rPr>
        <w:t xml:space="preserve"> </w:t>
      </w:r>
      <w:r w:rsidR="003531FD">
        <w:rPr>
          <w:rFonts w:asciiTheme="majorBidi" w:hAnsiTheme="majorBidi" w:cstheme="majorBidi"/>
          <w:sz w:val="24"/>
          <w:szCs w:val="24"/>
        </w:rPr>
        <w:t>i</w:t>
      </w:r>
      <w:r w:rsidRPr="00347200">
        <w:rPr>
          <w:rFonts w:asciiTheme="majorBidi" w:hAnsiTheme="majorBidi" w:cstheme="majorBidi"/>
          <w:sz w:val="24"/>
          <w:szCs w:val="24"/>
        </w:rPr>
        <w:t xml:space="preserve">ndeed, </w:t>
      </w:r>
      <w:r w:rsidRPr="003F7C52">
        <w:rPr>
          <w:rFonts w:asciiTheme="majorBidi" w:hAnsiTheme="majorBidi" w:cstheme="majorBidi"/>
          <w:sz w:val="24"/>
          <w:szCs w:val="24"/>
        </w:rPr>
        <w:t xml:space="preserve">the first recorded use of </w:t>
      </w:r>
      <w:r w:rsidR="001D52BB">
        <w:rPr>
          <w:rFonts w:asciiTheme="majorBidi" w:hAnsiTheme="majorBidi" w:cstheme="majorBidi"/>
          <w:sz w:val="24"/>
          <w:szCs w:val="24"/>
        </w:rPr>
        <w:t>p</w:t>
      </w:r>
      <w:r w:rsidRPr="003F7C52">
        <w:rPr>
          <w:rFonts w:asciiTheme="majorBidi" w:hAnsiTheme="majorBidi" w:cstheme="majorBidi"/>
          <w:sz w:val="24"/>
          <w:szCs w:val="24"/>
        </w:rPr>
        <w:t xml:space="preserve">roject </w:t>
      </w:r>
      <w:r w:rsidR="001D52BB">
        <w:rPr>
          <w:rFonts w:asciiTheme="majorBidi" w:hAnsiTheme="majorBidi" w:cstheme="majorBidi"/>
          <w:sz w:val="24"/>
          <w:szCs w:val="24"/>
        </w:rPr>
        <w:t>f</w:t>
      </w:r>
      <w:r w:rsidRPr="003F7C52">
        <w:rPr>
          <w:rFonts w:asciiTheme="majorBidi" w:hAnsiTheme="majorBidi" w:cstheme="majorBidi"/>
          <w:sz w:val="24"/>
          <w:szCs w:val="24"/>
        </w:rPr>
        <w:t xml:space="preserve">inance was probably in 1800 BC, </w:t>
      </w:r>
      <w:r>
        <w:rPr>
          <w:rFonts w:asciiTheme="majorBidi" w:hAnsiTheme="majorBidi" w:cstheme="majorBidi"/>
          <w:sz w:val="24"/>
          <w:szCs w:val="24"/>
        </w:rPr>
        <w:t>about 3800</w:t>
      </w:r>
      <w:r w:rsidRPr="003F7C52">
        <w:rPr>
          <w:rFonts w:asciiTheme="majorBidi" w:hAnsiTheme="majorBidi" w:cstheme="majorBidi"/>
          <w:sz w:val="24"/>
          <w:szCs w:val="24"/>
        </w:rPr>
        <w:t xml:space="preserve"> years ago. Under the Code of</w:t>
      </w:r>
      <w:r>
        <w:rPr>
          <w:rFonts w:asciiTheme="majorBidi" w:hAnsiTheme="majorBidi" w:cstheme="majorBidi"/>
          <w:sz w:val="24"/>
          <w:szCs w:val="24"/>
        </w:rPr>
        <w:t xml:space="preserve"> </w:t>
      </w:r>
      <w:r w:rsidRPr="003F7C52">
        <w:rPr>
          <w:rFonts w:asciiTheme="majorBidi" w:hAnsiTheme="majorBidi" w:cstheme="majorBidi"/>
          <w:sz w:val="24"/>
          <w:szCs w:val="24"/>
        </w:rPr>
        <w:t>Hammurabi, ship-owners used to raise</w:t>
      </w:r>
      <w:r>
        <w:rPr>
          <w:rFonts w:asciiTheme="majorBidi" w:hAnsiTheme="majorBidi" w:cstheme="majorBidi"/>
          <w:sz w:val="24"/>
          <w:szCs w:val="24"/>
        </w:rPr>
        <w:t xml:space="preserve"> </w:t>
      </w:r>
      <w:r w:rsidRPr="003F7C52">
        <w:rPr>
          <w:rFonts w:asciiTheme="majorBidi" w:hAnsiTheme="majorBidi" w:cstheme="majorBidi"/>
          <w:sz w:val="24"/>
          <w:szCs w:val="24"/>
        </w:rPr>
        <w:t>money for vessel construction</w:t>
      </w:r>
      <w:r w:rsidR="00AF071E">
        <w:rPr>
          <w:rFonts w:asciiTheme="majorBidi" w:hAnsiTheme="majorBidi" w:cstheme="majorBidi"/>
          <w:sz w:val="24"/>
          <w:szCs w:val="24"/>
        </w:rPr>
        <w:t>,</w:t>
      </w:r>
      <w:r w:rsidRPr="003F7C52">
        <w:rPr>
          <w:rFonts w:asciiTheme="majorBidi" w:hAnsiTheme="majorBidi" w:cstheme="majorBidi"/>
          <w:sz w:val="24"/>
          <w:szCs w:val="24"/>
        </w:rPr>
        <w:t xml:space="preserve"> </w:t>
      </w:r>
      <w:r w:rsidR="008423DA">
        <w:rPr>
          <w:rFonts w:asciiTheme="majorBidi" w:hAnsiTheme="majorBidi" w:cstheme="majorBidi"/>
          <w:sz w:val="24"/>
          <w:szCs w:val="24"/>
        </w:rPr>
        <w:t>applying</w:t>
      </w:r>
      <w:r w:rsidRPr="003F7C52">
        <w:rPr>
          <w:rFonts w:asciiTheme="majorBidi" w:hAnsiTheme="majorBidi" w:cstheme="majorBidi"/>
          <w:sz w:val="24"/>
          <w:szCs w:val="24"/>
        </w:rPr>
        <w:t xml:space="preserve"> a form of mortgage finance known as</w:t>
      </w:r>
      <w:r>
        <w:rPr>
          <w:rFonts w:asciiTheme="majorBidi" w:hAnsiTheme="majorBidi" w:cstheme="majorBidi"/>
          <w:sz w:val="24"/>
          <w:szCs w:val="24"/>
        </w:rPr>
        <w:t xml:space="preserve"> </w:t>
      </w:r>
      <w:r w:rsidR="003531FD">
        <w:rPr>
          <w:rFonts w:asciiTheme="majorBidi" w:hAnsiTheme="majorBidi" w:cstheme="majorBidi"/>
          <w:sz w:val="24"/>
          <w:szCs w:val="24"/>
        </w:rPr>
        <w:t>“</w:t>
      </w:r>
      <w:r w:rsidRPr="003F7C52">
        <w:rPr>
          <w:rFonts w:asciiTheme="majorBidi" w:hAnsiTheme="majorBidi" w:cstheme="majorBidi"/>
          <w:sz w:val="24"/>
          <w:szCs w:val="24"/>
        </w:rPr>
        <w:t>bottomry</w:t>
      </w:r>
      <w:r w:rsidR="003531FD">
        <w:rPr>
          <w:rFonts w:asciiTheme="majorBidi" w:hAnsiTheme="majorBidi" w:cstheme="majorBidi"/>
          <w:sz w:val="24"/>
          <w:szCs w:val="24"/>
        </w:rPr>
        <w:t>”,</w:t>
      </w:r>
      <w:r w:rsidRPr="003F7C52">
        <w:rPr>
          <w:rFonts w:asciiTheme="majorBidi" w:hAnsiTheme="majorBidi" w:cstheme="majorBidi"/>
          <w:sz w:val="24"/>
          <w:szCs w:val="24"/>
        </w:rPr>
        <w:t xml:space="preserve"> loans were paid back from </w:t>
      </w:r>
      <w:r w:rsidRPr="003F7C52">
        <w:rPr>
          <w:rFonts w:asciiTheme="majorBidi" w:hAnsiTheme="majorBidi" w:cstheme="majorBidi"/>
          <w:sz w:val="24"/>
          <w:szCs w:val="24"/>
        </w:rPr>
        <w:lastRenderedPageBreak/>
        <w:t>the revenues derived from commercial</w:t>
      </w:r>
      <w:r>
        <w:rPr>
          <w:rFonts w:asciiTheme="majorBidi" w:hAnsiTheme="majorBidi" w:cstheme="majorBidi"/>
          <w:sz w:val="24"/>
          <w:szCs w:val="24"/>
        </w:rPr>
        <w:t xml:space="preserve"> </w:t>
      </w:r>
      <w:r w:rsidRPr="003F7C52">
        <w:rPr>
          <w:rFonts w:asciiTheme="majorBidi" w:hAnsiTheme="majorBidi" w:cstheme="majorBidi"/>
          <w:sz w:val="24"/>
          <w:szCs w:val="24"/>
        </w:rPr>
        <w:t xml:space="preserve">trading. If the ship </w:t>
      </w:r>
      <w:r>
        <w:rPr>
          <w:rFonts w:asciiTheme="majorBidi" w:hAnsiTheme="majorBidi" w:cstheme="majorBidi"/>
          <w:sz w:val="24"/>
          <w:szCs w:val="24"/>
        </w:rPr>
        <w:t>was</w:t>
      </w:r>
      <w:r w:rsidRPr="003F7C52">
        <w:rPr>
          <w:rFonts w:asciiTheme="majorBidi" w:hAnsiTheme="majorBidi" w:cstheme="majorBidi"/>
          <w:sz w:val="24"/>
          <w:szCs w:val="24"/>
        </w:rPr>
        <w:t xml:space="preserve"> lost during a voyage, </w:t>
      </w:r>
      <w:r w:rsidR="00823D51">
        <w:rPr>
          <w:rFonts w:asciiTheme="majorBidi" w:hAnsiTheme="majorBidi" w:cstheme="majorBidi"/>
          <w:sz w:val="24"/>
          <w:szCs w:val="24"/>
        </w:rPr>
        <w:t>before</w:t>
      </w:r>
      <w:r w:rsidRPr="003F7C52">
        <w:rPr>
          <w:rFonts w:asciiTheme="majorBidi" w:hAnsiTheme="majorBidi" w:cstheme="majorBidi"/>
          <w:sz w:val="24"/>
          <w:szCs w:val="24"/>
        </w:rPr>
        <w:t xml:space="preserve"> the full</w:t>
      </w:r>
      <w:r>
        <w:rPr>
          <w:rFonts w:asciiTheme="majorBidi" w:hAnsiTheme="majorBidi" w:cstheme="majorBidi"/>
          <w:sz w:val="24"/>
          <w:szCs w:val="24"/>
        </w:rPr>
        <w:t xml:space="preserve"> </w:t>
      </w:r>
      <w:r w:rsidRPr="003F7C52">
        <w:rPr>
          <w:rFonts w:asciiTheme="majorBidi" w:hAnsiTheme="majorBidi" w:cstheme="majorBidi"/>
          <w:sz w:val="24"/>
          <w:szCs w:val="24"/>
        </w:rPr>
        <w:t>repayment of loans, any remaining balances due to the lender were dis</w:t>
      </w:r>
      <w:r>
        <w:rPr>
          <w:rFonts w:asciiTheme="majorBidi" w:hAnsiTheme="majorBidi" w:cstheme="majorBidi"/>
          <w:sz w:val="24"/>
          <w:szCs w:val="24"/>
        </w:rPr>
        <w:t>c</w:t>
      </w:r>
      <w:r w:rsidRPr="003F7C52">
        <w:rPr>
          <w:rFonts w:asciiTheme="majorBidi" w:hAnsiTheme="majorBidi" w:cstheme="majorBidi"/>
          <w:sz w:val="24"/>
          <w:szCs w:val="24"/>
        </w:rPr>
        <w:t>harge</w:t>
      </w:r>
      <w:r w:rsidR="00C1153E">
        <w:rPr>
          <w:rFonts w:asciiTheme="majorBidi" w:hAnsiTheme="majorBidi" w:cstheme="majorBidi"/>
          <w:sz w:val="24"/>
          <w:szCs w:val="24"/>
        </w:rPr>
        <w:t>.</w:t>
      </w:r>
      <w:r>
        <w:rPr>
          <w:rFonts w:asciiTheme="majorBidi" w:hAnsiTheme="majorBidi" w:cstheme="majorBidi"/>
          <w:sz w:val="24"/>
          <w:szCs w:val="24"/>
        </w:rPr>
        <w:t xml:space="preserve"> </w:t>
      </w:r>
      <w:r w:rsidR="00C1153E">
        <w:rPr>
          <w:rFonts w:asciiTheme="majorBidi" w:hAnsiTheme="majorBidi" w:cstheme="majorBidi"/>
          <w:sz w:val="24"/>
          <w:szCs w:val="24"/>
        </w:rPr>
        <w:t>T</w:t>
      </w:r>
      <w:r>
        <w:rPr>
          <w:rFonts w:asciiTheme="majorBidi" w:hAnsiTheme="majorBidi" w:cstheme="majorBidi"/>
          <w:sz w:val="24"/>
          <w:szCs w:val="24"/>
        </w:rPr>
        <w:t>his</w:t>
      </w:r>
      <w:r w:rsidRPr="00347200">
        <w:rPr>
          <w:rFonts w:asciiTheme="majorBidi" w:hAnsiTheme="majorBidi" w:cstheme="majorBidi"/>
          <w:sz w:val="24"/>
          <w:szCs w:val="24"/>
        </w:rPr>
        <w:t xml:space="preserve"> early evidence of project financing techniques </w:t>
      </w:r>
      <w:r>
        <w:rPr>
          <w:rFonts w:asciiTheme="majorBidi" w:hAnsiTheme="majorBidi" w:cstheme="majorBidi"/>
          <w:sz w:val="24"/>
          <w:szCs w:val="24"/>
        </w:rPr>
        <w:t>was still in use</w:t>
      </w:r>
      <w:r w:rsidRPr="00347200">
        <w:rPr>
          <w:rFonts w:asciiTheme="majorBidi" w:hAnsiTheme="majorBidi" w:cstheme="majorBidi"/>
          <w:sz w:val="24"/>
          <w:szCs w:val="24"/>
        </w:rPr>
        <w:t xml:space="preserve"> during </w:t>
      </w:r>
      <w:r w:rsidR="00C57349">
        <w:rPr>
          <w:rFonts w:asciiTheme="majorBidi" w:hAnsiTheme="majorBidi" w:cstheme="majorBidi"/>
          <w:sz w:val="24"/>
          <w:szCs w:val="24"/>
        </w:rPr>
        <w:t xml:space="preserve">the </w:t>
      </w:r>
      <w:r w:rsidRPr="00347200">
        <w:rPr>
          <w:rFonts w:asciiTheme="majorBidi" w:hAnsiTheme="majorBidi" w:cstheme="majorBidi"/>
          <w:sz w:val="24"/>
          <w:szCs w:val="24"/>
        </w:rPr>
        <w:t xml:space="preserve">Roman </w:t>
      </w:r>
      <w:r>
        <w:rPr>
          <w:rFonts w:asciiTheme="majorBidi" w:hAnsiTheme="majorBidi" w:cstheme="majorBidi"/>
          <w:sz w:val="24"/>
          <w:szCs w:val="24"/>
        </w:rPr>
        <w:t>era</w:t>
      </w:r>
      <w:r w:rsidRPr="00347200">
        <w:rPr>
          <w:rFonts w:asciiTheme="majorBidi" w:hAnsiTheme="majorBidi" w:cstheme="majorBidi"/>
          <w:sz w:val="24"/>
          <w:szCs w:val="24"/>
        </w:rPr>
        <w:t>.</w:t>
      </w:r>
      <w:r>
        <w:rPr>
          <w:rStyle w:val="FootnoteReference"/>
          <w:rFonts w:asciiTheme="majorBidi" w:hAnsiTheme="majorBidi" w:cstheme="majorBidi"/>
          <w:sz w:val="24"/>
          <w:szCs w:val="24"/>
        </w:rPr>
        <w:footnoteReference w:id="13"/>
      </w:r>
      <w:r w:rsidRPr="00347200">
        <w:rPr>
          <w:rFonts w:asciiTheme="majorBidi" w:hAnsiTheme="majorBidi" w:cstheme="majorBidi"/>
          <w:sz w:val="24"/>
          <w:szCs w:val="24"/>
        </w:rPr>
        <w:t xml:space="preserve"> </w:t>
      </w:r>
      <w:r w:rsidRPr="00471A85">
        <w:rPr>
          <w:rFonts w:asciiTheme="majorBidi" w:hAnsiTheme="majorBidi" w:cstheme="majorBidi"/>
          <w:sz w:val="24"/>
          <w:szCs w:val="24"/>
        </w:rPr>
        <w:t>Modern</w:t>
      </w:r>
      <w:r>
        <w:rPr>
          <w:rFonts w:asciiTheme="majorBidi" w:hAnsiTheme="majorBidi" w:cstheme="majorBidi"/>
          <w:sz w:val="24"/>
          <w:szCs w:val="24"/>
        </w:rPr>
        <w:t xml:space="preserve"> </w:t>
      </w:r>
      <w:r w:rsidRPr="00471A85">
        <w:rPr>
          <w:rFonts w:asciiTheme="majorBidi" w:hAnsiTheme="majorBidi" w:cstheme="majorBidi"/>
          <w:sz w:val="24"/>
          <w:szCs w:val="24"/>
        </w:rPr>
        <w:t>project finance dates back to the development of railroads in America from 1840 to 1870.</w:t>
      </w:r>
      <w:r w:rsidRPr="00471A85">
        <w:rPr>
          <w:vertAlign w:val="superscript"/>
        </w:rPr>
        <w:footnoteReference w:id="14"/>
      </w:r>
    </w:p>
    <w:p w14:paraId="25420A1D" w14:textId="7B59A019" w:rsidR="005D5C04" w:rsidRDefault="003A00C5" w:rsidP="00486106">
      <w:pPr>
        <w:suppressAutoHyphens/>
        <w:autoSpaceDE w:val="0"/>
        <w:spacing w:before="240" w:after="0" w:line="360" w:lineRule="auto"/>
        <w:ind w:firstLine="567"/>
        <w:jc w:val="both"/>
      </w:pPr>
      <w:r>
        <w:rPr>
          <w:rFonts w:ascii="Times New Roman" w:hAnsi="Times New Roman" w:cs="Times New Roman"/>
          <w:sz w:val="24"/>
          <w:szCs w:val="24"/>
        </w:rPr>
        <w:t>In the 1970s, project finance spread to Europe, the first event that is well recognized as a modern project financing was the British Petroleum Development funding for the Forties Field of the North Sea Oil find, initiated in 1971.</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2F0E7D">
        <w:rPr>
          <w:rFonts w:ascii="Times New Roman" w:hAnsi="Times New Roman" w:cs="Times New Roman"/>
          <w:sz w:val="24"/>
          <w:szCs w:val="24"/>
        </w:rPr>
        <w:t>B</w:t>
      </w:r>
      <w:r>
        <w:rPr>
          <w:rFonts w:ascii="Times New Roman" w:hAnsi="Times New Roman" w:cs="Times New Roman"/>
          <w:sz w:val="24"/>
          <w:szCs w:val="24"/>
        </w:rPr>
        <w:t>y the late 1970s and early 1980s</w:t>
      </w:r>
      <w:r w:rsidR="00C1153E">
        <w:rPr>
          <w:rFonts w:ascii="Times New Roman" w:hAnsi="Times New Roman" w:cs="Times New Roman"/>
          <w:sz w:val="24"/>
          <w:szCs w:val="24"/>
        </w:rPr>
        <w:t xml:space="preserve">, </w:t>
      </w:r>
      <w:r>
        <w:rPr>
          <w:rFonts w:ascii="Times New Roman" w:hAnsi="Times New Roman" w:cs="Times New Roman"/>
          <w:sz w:val="24"/>
          <w:szCs w:val="24"/>
        </w:rPr>
        <w:t>what had started as a modest number of transactions</w:t>
      </w:r>
      <w:r w:rsidR="00C1153E">
        <w:rPr>
          <w:rFonts w:ascii="Times New Roman" w:hAnsi="Times New Roman" w:cs="Times New Roman"/>
          <w:sz w:val="24"/>
          <w:szCs w:val="24"/>
        </w:rPr>
        <w:t>,</w:t>
      </w:r>
      <w:r>
        <w:rPr>
          <w:rFonts w:ascii="Times New Roman" w:hAnsi="Times New Roman" w:cs="Times New Roman"/>
          <w:sz w:val="24"/>
          <w:szCs w:val="24"/>
        </w:rPr>
        <w:t xml:space="preserve"> had turned into a significant volume of project financing related to oil and gas fields. The 1980s saw</w:t>
      </w:r>
      <w:r w:rsidR="008423DA">
        <w:rPr>
          <w:rFonts w:ascii="Times New Roman" w:hAnsi="Times New Roman" w:cs="Times New Roman"/>
          <w:sz w:val="24"/>
          <w:szCs w:val="24"/>
        </w:rPr>
        <w:t xml:space="preserve"> remarkable</w:t>
      </w:r>
      <w:r>
        <w:rPr>
          <w:rFonts w:ascii="Times New Roman" w:hAnsi="Times New Roman" w:cs="Times New Roman"/>
          <w:sz w:val="24"/>
          <w:szCs w:val="24"/>
        </w:rPr>
        <w:t xml:space="preserve"> growth in project financ</w:t>
      </w:r>
      <w:r w:rsidR="00CE76C5">
        <w:rPr>
          <w:rFonts w:ascii="Times New Roman" w:hAnsi="Times New Roman" w:cs="Times New Roman"/>
          <w:sz w:val="24"/>
          <w:szCs w:val="24"/>
        </w:rPr>
        <w:t>e</w:t>
      </w:r>
      <w:r>
        <w:rPr>
          <w:rFonts w:ascii="Times New Roman" w:hAnsi="Times New Roman" w:cs="Times New Roman"/>
          <w:sz w:val="24"/>
          <w:szCs w:val="24"/>
        </w:rPr>
        <w:t>, with power projects, infrastructure projects, transportation projects</w:t>
      </w:r>
      <w:r w:rsidR="00962D2B">
        <w:rPr>
          <w:rFonts w:ascii="Times New Roman" w:hAnsi="Times New Roman" w:cs="Times New Roman"/>
          <w:sz w:val="24"/>
          <w:szCs w:val="24"/>
        </w:rPr>
        <w:t>,</w:t>
      </w:r>
      <w:r>
        <w:rPr>
          <w:rFonts w:ascii="Times New Roman" w:hAnsi="Times New Roman" w:cs="Times New Roman"/>
          <w:sz w:val="24"/>
          <w:szCs w:val="24"/>
        </w:rPr>
        <w:t xml:space="preserve"> and</w:t>
      </w:r>
      <w:r w:rsidR="00962D2B">
        <w:rPr>
          <w:rFonts w:ascii="Times New Roman" w:hAnsi="Times New Roman" w:cs="Times New Roman"/>
          <w:sz w:val="24"/>
          <w:szCs w:val="24"/>
        </w:rPr>
        <w:t xml:space="preserve"> </w:t>
      </w:r>
      <w:r>
        <w:rPr>
          <w:rFonts w:ascii="Times New Roman" w:hAnsi="Times New Roman" w:cs="Times New Roman"/>
          <w:sz w:val="24"/>
          <w:szCs w:val="24"/>
        </w:rPr>
        <w:t>at the end of that decade, telecommunications projects</w:t>
      </w:r>
      <w:r w:rsidR="00C1153E">
        <w:rPr>
          <w:rFonts w:ascii="Times New Roman" w:hAnsi="Times New Roman" w:cs="Times New Roman"/>
          <w:sz w:val="24"/>
          <w:szCs w:val="24"/>
        </w:rPr>
        <w:t xml:space="preserve"> were</w:t>
      </w:r>
      <w:r>
        <w:rPr>
          <w:rFonts w:ascii="Times New Roman" w:hAnsi="Times New Roman" w:cs="Times New Roman"/>
          <w:sz w:val="24"/>
          <w:szCs w:val="24"/>
        </w:rPr>
        <w:t xml:space="preserve"> leading the way. This </w:t>
      </w:r>
      <w:r w:rsidR="008423DA">
        <w:rPr>
          <w:rFonts w:ascii="Times New Roman" w:hAnsi="Times New Roman" w:cs="Times New Roman"/>
          <w:sz w:val="24"/>
          <w:szCs w:val="24"/>
        </w:rPr>
        <w:t xml:space="preserve">state </w:t>
      </w:r>
      <w:r>
        <w:rPr>
          <w:rFonts w:ascii="Times New Roman" w:hAnsi="Times New Roman" w:cs="Times New Roman"/>
          <w:sz w:val="24"/>
          <w:szCs w:val="24"/>
        </w:rPr>
        <w:t xml:space="preserve">was continued throughout the 1990s until the recent global financial crisis, which saw </w:t>
      </w:r>
      <w:r w:rsidR="008423DA" w:rsidRPr="008423DA">
        <w:rPr>
          <w:rFonts w:ascii="Times New Roman" w:hAnsi="Times New Roman" w:cs="Times New Roman"/>
          <w:sz w:val="24"/>
          <w:szCs w:val="24"/>
        </w:rPr>
        <w:t xml:space="preserve">considerable </w:t>
      </w:r>
      <w:r>
        <w:rPr>
          <w:rFonts w:ascii="Times New Roman" w:hAnsi="Times New Roman" w:cs="Times New Roman"/>
          <w:sz w:val="24"/>
          <w:szCs w:val="24"/>
        </w:rPr>
        <w:t>growth in project financ</w:t>
      </w:r>
      <w:r w:rsidR="006705EE">
        <w:rPr>
          <w:rFonts w:ascii="Times New Roman" w:hAnsi="Times New Roman" w:cs="Times New Roman"/>
          <w:sz w:val="24"/>
          <w:szCs w:val="24"/>
        </w:rPr>
        <w:t>e</w:t>
      </w:r>
      <w:r>
        <w:rPr>
          <w:rFonts w:ascii="Times New Roman" w:hAnsi="Times New Roman" w:cs="Times New Roman"/>
          <w:sz w:val="24"/>
          <w:szCs w:val="24"/>
        </w:rPr>
        <w:t>, not only in Europe and the US</w:t>
      </w:r>
      <w:r w:rsidR="006705EE">
        <w:rPr>
          <w:rFonts w:ascii="Times New Roman" w:hAnsi="Times New Roman" w:cs="Times New Roman"/>
          <w:sz w:val="24"/>
          <w:szCs w:val="24"/>
        </w:rPr>
        <w:t xml:space="preserve"> </w:t>
      </w:r>
      <w:r>
        <w:rPr>
          <w:rFonts w:ascii="Times New Roman" w:hAnsi="Times New Roman" w:cs="Times New Roman"/>
          <w:sz w:val="24"/>
          <w:szCs w:val="24"/>
        </w:rPr>
        <w:t xml:space="preserve">but also throughout Southeast Asia and </w:t>
      </w:r>
      <w:r w:rsidR="00C1153E">
        <w:rPr>
          <w:rFonts w:ascii="Times New Roman" w:hAnsi="Times New Roman" w:cs="Times New Roman"/>
          <w:sz w:val="24"/>
          <w:szCs w:val="24"/>
        </w:rPr>
        <w:t>elsewhere</w:t>
      </w:r>
      <w:r>
        <w:rPr>
          <w:rFonts w:ascii="Times New Roman" w:hAnsi="Times New Roman" w:cs="Times New Roman"/>
          <w:sz w:val="24"/>
          <w:szCs w:val="24"/>
        </w:rPr>
        <w:t>.</w:t>
      </w:r>
    </w:p>
    <w:p w14:paraId="140433BC" w14:textId="1A18351D" w:rsidR="005D5C04" w:rsidRDefault="003A00C5" w:rsidP="00486106">
      <w:pPr>
        <w:suppressAutoHyphens/>
        <w:spacing w:before="240" w:after="0" w:line="360" w:lineRule="auto"/>
        <w:ind w:firstLine="567"/>
        <w:jc w:val="both"/>
      </w:pPr>
      <w:r>
        <w:rPr>
          <w:rFonts w:ascii="Times New Roman" w:eastAsia="Times New Roman" w:hAnsi="Times New Roman" w:cs="Times New Roman"/>
          <w:color w:val="000000"/>
          <w:sz w:val="24"/>
          <w:szCs w:val="24"/>
          <w:lang w:val="en-US"/>
        </w:rPr>
        <w:t xml:space="preserve">Project finance can be more leveraged than traditional financing, resulting in </w:t>
      </w:r>
      <w:r w:rsidR="00C57349">
        <w:rPr>
          <w:rFonts w:ascii="Times New Roman" w:eastAsia="Times New Roman" w:hAnsi="Times New Roman" w:cs="Times New Roman"/>
          <w:color w:val="000000"/>
          <w:sz w:val="24"/>
          <w:szCs w:val="24"/>
          <w:lang w:val="en-US"/>
        </w:rPr>
        <w:t xml:space="preserve">a </w:t>
      </w:r>
      <w:r>
        <w:rPr>
          <w:rFonts w:ascii="Times New Roman" w:eastAsia="Times New Roman" w:hAnsi="Times New Roman" w:cs="Times New Roman"/>
          <w:color w:val="000000"/>
          <w:sz w:val="24"/>
          <w:szCs w:val="24"/>
          <w:lang w:val="en-US"/>
        </w:rPr>
        <w:t xml:space="preserve">lower cost of financing. </w:t>
      </w:r>
      <w:r w:rsidR="003E52DC" w:rsidRPr="003E52DC">
        <w:rPr>
          <w:rFonts w:ascii="Times New Roman" w:eastAsia="Times New Roman" w:hAnsi="Times New Roman" w:cs="Times New Roman"/>
          <w:color w:val="000000"/>
          <w:sz w:val="24"/>
          <w:szCs w:val="24"/>
          <w:lang w:val="en-US"/>
        </w:rPr>
        <w:t xml:space="preserve">In countries with power and other infrastructure needs, project finance allows governments to provide some support without taking on additional direct debt. By using a technique of project finance such as BOT </w:t>
      </w:r>
      <w:r w:rsidR="003E52DC">
        <w:rPr>
          <w:rFonts w:ascii="Times New Roman" w:eastAsia="Times New Roman" w:hAnsi="Times New Roman" w:cs="Times New Roman"/>
          <w:color w:val="000000"/>
          <w:sz w:val="24"/>
          <w:szCs w:val="24"/>
          <w:lang w:val="en-US"/>
        </w:rPr>
        <w:t>“</w:t>
      </w:r>
      <w:r w:rsidR="003E52DC" w:rsidRPr="003E52DC">
        <w:rPr>
          <w:rFonts w:ascii="Times New Roman" w:eastAsia="Times New Roman" w:hAnsi="Times New Roman" w:cs="Times New Roman"/>
          <w:color w:val="000000"/>
          <w:sz w:val="24"/>
          <w:szCs w:val="24"/>
          <w:lang w:val="en-US"/>
        </w:rPr>
        <w:t>Build Operate and Transfer</w:t>
      </w:r>
      <w:r w:rsidR="003E52DC">
        <w:rPr>
          <w:rFonts w:ascii="Times New Roman" w:eastAsia="Times New Roman" w:hAnsi="Times New Roman" w:cs="Times New Roman"/>
          <w:color w:val="000000"/>
          <w:sz w:val="24"/>
          <w:szCs w:val="24"/>
          <w:lang w:val="en-US"/>
        </w:rPr>
        <w:t>”</w:t>
      </w:r>
      <w:r w:rsidR="003E52DC" w:rsidRPr="003E52DC">
        <w:rPr>
          <w:rFonts w:ascii="Times New Roman" w:eastAsia="Times New Roman" w:hAnsi="Times New Roman" w:cs="Times New Roman"/>
          <w:color w:val="000000"/>
          <w:sz w:val="24"/>
          <w:szCs w:val="24"/>
          <w:lang w:val="en-US"/>
        </w:rPr>
        <w:t>, where an organization constructs and operates the project within a specified period after which the project is transferred to the government</w:t>
      </w:r>
      <w:r w:rsidR="00C57349" w:rsidRPr="00C57349">
        <w:rPr>
          <w:rFonts w:ascii="Times New Roman" w:eastAsia="Times New Roman" w:hAnsi="Times New Roman" w:cs="Times New Roman"/>
          <w:color w:val="000000"/>
          <w:sz w:val="24"/>
          <w:szCs w:val="24"/>
          <w:lang w:val="en-US"/>
        </w:rPr>
        <w:t>.</w:t>
      </w:r>
      <w:r w:rsidR="00C57349">
        <w:rPr>
          <w:rFonts w:ascii="Times New Roman" w:eastAsia="Times New Roman" w:hAnsi="Times New Roman" w:cs="Times New Roman"/>
          <w:color w:val="000000"/>
          <w:sz w:val="24"/>
          <w:szCs w:val="24"/>
          <w:lang w:val="en-US"/>
        </w:rPr>
        <w:t xml:space="preserve"> </w:t>
      </w:r>
      <w:r w:rsidRPr="00C57349">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growth of project finance in recent years has coincided with a trend toward privatization.</w:t>
      </w:r>
    </w:p>
    <w:p w14:paraId="00417FA7" w14:textId="0C69BE68" w:rsidR="005D5C04" w:rsidRDefault="002F0E7D" w:rsidP="00486106">
      <w:pPr>
        <w:suppressAutoHyphens/>
        <w:spacing w:before="240" w:line="360" w:lineRule="auto"/>
        <w:ind w:firstLine="567"/>
        <w:jc w:val="both"/>
      </w:pPr>
      <w:r w:rsidRPr="002F0E7D">
        <w:rPr>
          <w:rFonts w:ascii="Times New Roman" w:eastAsia="Times New Roman" w:hAnsi="Times New Roman" w:cs="Times New Roman"/>
          <w:color w:val="000000"/>
          <w:sz w:val="24"/>
          <w:szCs w:val="24"/>
          <w:lang w:val="en-US"/>
        </w:rPr>
        <w:t>Therefore, project finance has many attractions for the host government, including the following</w:t>
      </w:r>
      <w:r w:rsidR="003A00C5">
        <w:rPr>
          <w:rFonts w:ascii="Times New Roman" w:eastAsia="Times New Roman" w:hAnsi="Times New Roman" w:cs="Times New Roman"/>
          <w:color w:val="000000"/>
          <w:sz w:val="24"/>
          <w:szCs w:val="24"/>
          <w:lang w:val="en-US"/>
        </w:rPr>
        <w:t>:</w:t>
      </w:r>
      <w:r w:rsidR="003A00C5">
        <w:rPr>
          <w:rStyle w:val="FootnoteReference"/>
          <w:rFonts w:ascii="Times New Roman" w:eastAsia="Times New Roman" w:hAnsi="Times New Roman" w:cs="Times New Roman"/>
          <w:color w:val="000000"/>
          <w:sz w:val="24"/>
          <w:szCs w:val="24"/>
          <w:lang w:val="en-US"/>
        </w:rPr>
        <w:footnoteReference w:id="16"/>
      </w:r>
    </w:p>
    <w:p w14:paraId="6BCAE0AA" w14:textId="2D5E524E" w:rsidR="005D5C04" w:rsidRDefault="007449D1" w:rsidP="00486106">
      <w:pPr>
        <w:pStyle w:val="ListParagraph"/>
        <w:numPr>
          <w:ilvl w:val="0"/>
          <w:numId w:val="4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a</w:t>
      </w:r>
      <w:r w:rsidR="003A00C5">
        <w:rPr>
          <w:rFonts w:ascii="Times New Roman" w:eastAsia="Times New Roman" w:hAnsi="Times New Roman" w:cs="Times New Roman"/>
          <w:color w:val="000000"/>
          <w:sz w:val="24"/>
          <w:szCs w:val="24"/>
          <w:lang w:val="en-US"/>
        </w:rPr>
        <w:t>ttraction of foreign investment</w:t>
      </w:r>
      <w:r w:rsidR="007B2698">
        <w:rPr>
          <w:rFonts w:ascii="Times New Roman" w:eastAsia="Times New Roman" w:hAnsi="Times New Roman" w:cs="Times New Roman"/>
          <w:color w:val="000000"/>
          <w:sz w:val="24"/>
          <w:szCs w:val="24"/>
          <w:lang w:val="en-US"/>
        </w:rPr>
        <w:t>.</w:t>
      </w:r>
    </w:p>
    <w:p w14:paraId="6119C009" w14:textId="66F01F95" w:rsidR="005D5C04" w:rsidRDefault="003A00C5" w:rsidP="00486106">
      <w:pPr>
        <w:pStyle w:val="ListParagraph"/>
        <w:numPr>
          <w:ilvl w:val="0"/>
          <w:numId w:val="4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Acquisition of foreign skills</w:t>
      </w:r>
      <w:r w:rsidR="007B2698">
        <w:rPr>
          <w:rFonts w:ascii="Times New Roman" w:eastAsia="Times New Roman" w:hAnsi="Times New Roman" w:cs="Times New Roman"/>
          <w:color w:val="000000"/>
          <w:sz w:val="24"/>
          <w:szCs w:val="24"/>
          <w:lang w:val="en-US"/>
        </w:rPr>
        <w:t>.</w:t>
      </w:r>
    </w:p>
    <w:p w14:paraId="7D066361" w14:textId="6BCC5E28" w:rsidR="00521D92" w:rsidRPr="00521D92" w:rsidRDefault="00521D92" w:rsidP="00486106">
      <w:pPr>
        <w:pStyle w:val="ListParagraph"/>
        <w:numPr>
          <w:ilvl w:val="0"/>
          <w:numId w:val="4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sidRPr="00521D92">
        <w:rPr>
          <w:rFonts w:ascii="Times New Roman" w:eastAsia="Times New Roman" w:hAnsi="Times New Roman" w:cs="Times New Roman"/>
          <w:color w:val="000000"/>
          <w:sz w:val="24"/>
          <w:szCs w:val="24"/>
          <w:lang w:val="en-US"/>
        </w:rPr>
        <w:t>Reduce public sector borrowing requirements by relying on foreign or private financing for projects</w:t>
      </w:r>
      <w:r>
        <w:rPr>
          <w:rFonts w:ascii="Times New Roman" w:eastAsia="Times New Roman" w:hAnsi="Times New Roman" w:cs="Times New Roman"/>
          <w:color w:val="000000"/>
          <w:sz w:val="24"/>
          <w:szCs w:val="24"/>
          <w:lang w:val="en-US"/>
        </w:rPr>
        <w:t>.</w:t>
      </w:r>
    </w:p>
    <w:p w14:paraId="0C94F5E5" w14:textId="746A11ED" w:rsidR="005D5C04" w:rsidRDefault="007449D1" w:rsidP="00486106">
      <w:pPr>
        <w:pStyle w:val="ListParagraph"/>
        <w:numPr>
          <w:ilvl w:val="0"/>
          <w:numId w:val="4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sidRPr="007449D1">
        <w:rPr>
          <w:rFonts w:ascii="Times New Roman" w:eastAsia="Times New Roman" w:hAnsi="Times New Roman" w:cs="Times New Roman"/>
          <w:color w:val="000000"/>
          <w:sz w:val="24"/>
          <w:szCs w:val="24"/>
          <w:lang w:val="en-US"/>
        </w:rPr>
        <w:t>The possibility of developing what may not be a priority project</w:t>
      </w:r>
      <w:r w:rsidR="007B2698">
        <w:rPr>
          <w:rFonts w:ascii="Times New Roman" w:eastAsia="Times New Roman" w:hAnsi="Times New Roman" w:cs="Times New Roman"/>
          <w:color w:val="000000"/>
          <w:sz w:val="24"/>
          <w:szCs w:val="24"/>
          <w:lang w:val="en-US"/>
        </w:rPr>
        <w:t>.</w:t>
      </w:r>
      <w:r w:rsidR="003A00C5">
        <w:rPr>
          <w:rFonts w:ascii="Times New Roman" w:eastAsia="Times New Roman" w:hAnsi="Times New Roman" w:cs="Times New Roman"/>
          <w:color w:val="000000"/>
          <w:sz w:val="24"/>
          <w:szCs w:val="24"/>
          <w:lang w:val="en-US"/>
        </w:rPr>
        <w:t xml:space="preserve"> </w:t>
      </w:r>
    </w:p>
    <w:p w14:paraId="1E069BFF" w14:textId="18FBDED9" w:rsidR="005D5C04" w:rsidRPr="00C57349" w:rsidRDefault="007449D1" w:rsidP="00486106">
      <w:pPr>
        <w:pStyle w:val="ListParagraph"/>
        <w:numPr>
          <w:ilvl w:val="0"/>
          <w:numId w:val="4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003A00C5">
        <w:rPr>
          <w:rFonts w:ascii="Times New Roman" w:eastAsia="Times New Roman" w:hAnsi="Times New Roman" w:cs="Times New Roman"/>
          <w:color w:val="000000"/>
          <w:sz w:val="24"/>
          <w:szCs w:val="24"/>
          <w:lang w:val="en-US"/>
        </w:rPr>
        <w:t xml:space="preserve">raining for </w:t>
      </w:r>
      <w:r w:rsidR="00C57349">
        <w:rPr>
          <w:rFonts w:ascii="Times New Roman" w:eastAsia="Times New Roman" w:hAnsi="Times New Roman" w:cs="Times New Roman"/>
          <w:color w:val="000000"/>
          <w:sz w:val="24"/>
          <w:szCs w:val="24"/>
          <w:lang w:val="en-US"/>
        </w:rPr>
        <w:t xml:space="preserve">the </w:t>
      </w:r>
      <w:r w:rsidR="003A00C5">
        <w:rPr>
          <w:rFonts w:ascii="Times New Roman" w:eastAsia="Times New Roman" w:hAnsi="Times New Roman" w:cs="Times New Roman"/>
          <w:color w:val="000000"/>
          <w:sz w:val="24"/>
          <w:szCs w:val="24"/>
          <w:lang w:val="en-US"/>
        </w:rPr>
        <w:t>local workforce.</w:t>
      </w:r>
    </w:p>
    <w:p w14:paraId="7E9B5655" w14:textId="5FFE5857" w:rsidR="005D5C04" w:rsidRDefault="003A00C5" w:rsidP="00486106">
      <w:pPr>
        <w:suppressAutoHyphens/>
        <w:spacing w:before="240" w:line="36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For sponsor</w:t>
      </w:r>
      <w:r w:rsidR="00823D51">
        <w:rPr>
          <w:rFonts w:ascii="Times New Roman" w:eastAsia="Times New Roman" w:hAnsi="Times New Roman" w:cs="Times New Roman"/>
          <w:color w:val="000000"/>
          <w:sz w:val="24"/>
          <w:szCs w:val="24"/>
          <w:lang w:val="en-US"/>
        </w:rPr>
        <w:t>s</w:t>
      </w:r>
      <w:r w:rsidR="00C57349">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001D52BB">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lang w:val="en-US"/>
        </w:rPr>
        <w:t xml:space="preserve">roject finance is invariably much more costly than raising corporate funding. </w:t>
      </w:r>
      <w:r w:rsidR="007B2698">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lang w:val="en-US"/>
        </w:rPr>
        <w:t>t takes considerably more time to organize and involves a considerable dedication of management time and expertise in implementing, monitoring</w:t>
      </w:r>
      <w:r w:rsidR="00521D9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and administering the loan during the </w:t>
      </w:r>
      <w:r w:rsidR="00643D9E" w:rsidRPr="00643D9E">
        <w:rPr>
          <w:rFonts w:ascii="Times New Roman" w:eastAsia="Times New Roman" w:hAnsi="Times New Roman" w:cs="Times New Roman"/>
          <w:color w:val="000000"/>
          <w:sz w:val="24"/>
          <w:szCs w:val="24"/>
          <w:lang w:val="en-US"/>
        </w:rPr>
        <w:t>project's life</w:t>
      </w:r>
      <w:r>
        <w:rPr>
          <w:rFonts w:ascii="Times New Roman" w:eastAsia="Times New Roman" w:hAnsi="Times New Roman" w:cs="Times New Roman"/>
          <w:color w:val="000000"/>
          <w:sz w:val="24"/>
          <w:szCs w:val="24"/>
          <w:lang w:val="en-US"/>
        </w:rPr>
        <w:t>. But project finance may accomplish one or more of the following objectives:</w:t>
      </w:r>
    </w:p>
    <w:p w14:paraId="284BECC6" w14:textId="0D057D26" w:rsidR="005D5C04" w:rsidRDefault="003A00C5"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Financ</w:t>
      </w:r>
      <w:r w:rsidR="007449D1">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 xml:space="preserve"> a joint venture</w:t>
      </w:r>
      <w:r w:rsidR="004867C3">
        <w:rPr>
          <w:rFonts w:ascii="Times New Roman" w:eastAsia="Times New Roman" w:hAnsi="Times New Roman" w:cs="Times New Roman"/>
          <w:color w:val="000000"/>
          <w:sz w:val="24"/>
          <w:szCs w:val="24"/>
          <w:lang w:val="en-US"/>
        </w:rPr>
        <w:t>.</w:t>
      </w:r>
    </w:p>
    <w:p w14:paraId="03C71F02" w14:textId="2EA363FE" w:rsidR="005D5C04" w:rsidRDefault="003A00C5"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Undertak</w:t>
      </w:r>
      <w:r w:rsidR="007449D1">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 xml:space="preserve"> a project that is too big for one sponsor</w:t>
      </w:r>
      <w:r w:rsidR="004867C3">
        <w:rPr>
          <w:rFonts w:ascii="Times New Roman" w:eastAsia="Times New Roman" w:hAnsi="Times New Roman" w:cs="Times New Roman"/>
          <w:color w:val="000000"/>
          <w:sz w:val="24"/>
          <w:szCs w:val="24"/>
          <w:lang w:val="en-US"/>
        </w:rPr>
        <w:t>.</w:t>
      </w:r>
    </w:p>
    <w:p w14:paraId="08FD3040" w14:textId="22285B33"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003A00C5">
        <w:rPr>
          <w:rFonts w:ascii="Times New Roman" w:eastAsia="Times New Roman" w:hAnsi="Times New Roman" w:cs="Times New Roman"/>
          <w:color w:val="000000"/>
          <w:sz w:val="24"/>
          <w:szCs w:val="24"/>
          <w:lang w:val="en-US"/>
        </w:rPr>
        <w:t>llow a high level of risk allocation among participants in the transaction</w:t>
      </w:r>
      <w:r w:rsidR="004867C3">
        <w:rPr>
          <w:rFonts w:ascii="Times New Roman" w:eastAsia="Times New Roman" w:hAnsi="Times New Roman" w:cs="Times New Roman"/>
          <w:color w:val="000000"/>
          <w:sz w:val="24"/>
          <w:szCs w:val="24"/>
          <w:lang w:val="en-US"/>
        </w:rPr>
        <w:t>.</w:t>
      </w:r>
    </w:p>
    <w:p w14:paraId="7430B447" w14:textId="298CBB38"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w:t>
      </w:r>
      <w:r w:rsidRPr="006E4774">
        <w:rPr>
          <w:rFonts w:ascii="Times New Roman" w:eastAsia="Times New Roman" w:hAnsi="Times New Roman" w:cs="Times New Roman"/>
          <w:color w:val="000000"/>
          <w:sz w:val="24"/>
          <w:szCs w:val="24"/>
          <w:lang w:val="en-US"/>
        </w:rPr>
        <w:t xml:space="preserve">egitimately </w:t>
      </w:r>
      <w:r>
        <w:rPr>
          <w:rFonts w:ascii="Times New Roman" w:eastAsia="Times New Roman" w:hAnsi="Times New Roman" w:cs="Times New Roman"/>
          <w:color w:val="000000"/>
          <w:sz w:val="24"/>
          <w:szCs w:val="24"/>
          <w:lang w:val="en-US"/>
        </w:rPr>
        <w:t xml:space="preserve">avoid </w:t>
      </w:r>
      <w:r w:rsidR="003A00C5">
        <w:rPr>
          <w:rFonts w:ascii="Times New Roman" w:eastAsia="Times New Roman" w:hAnsi="Times New Roman" w:cs="Times New Roman"/>
          <w:color w:val="000000"/>
          <w:sz w:val="24"/>
          <w:szCs w:val="24"/>
          <w:lang w:val="en-US"/>
        </w:rPr>
        <w:t>the tax, the more the debt is, the less the tax is.</w:t>
      </w:r>
    </w:p>
    <w:p w14:paraId="0B810E5E" w14:textId="78F1A413"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w:t>
      </w:r>
      <w:r w:rsidR="003A00C5">
        <w:rPr>
          <w:rFonts w:ascii="Times New Roman" w:eastAsia="Times New Roman" w:hAnsi="Times New Roman" w:cs="Times New Roman"/>
          <w:color w:val="000000"/>
          <w:sz w:val="24"/>
          <w:szCs w:val="24"/>
          <w:lang w:val="en-US"/>
        </w:rPr>
        <w:t>nsulat</w:t>
      </w:r>
      <w:r w:rsidR="007449D1">
        <w:rPr>
          <w:rFonts w:ascii="Times New Roman" w:eastAsia="Times New Roman" w:hAnsi="Times New Roman" w:cs="Times New Roman"/>
          <w:color w:val="000000"/>
          <w:sz w:val="24"/>
          <w:szCs w:val="24"/>
          <w:lang w:val="en-US"/>
        </w:rPr>
        <w:t>e</w:t>
      </w:r>
      <w:r w:rsidR="003A00C5">
        <w:rPr>
          <w:rFonts w:ascii="Times New Roman" w:eastAsia="Times New Roman" w:hAnsi="Times New Roman" w:cs="Times New Roman"/>
          <w:color w:val="000000"/>
          <w:sz w:val="24"/>
          <w:szCs w:val="24"/>
          <w:lang w:val="en-US"/>
        </w:rPr>
        <w:t xml:space="preserve"> corporate assets from project risk</w:t>
      </w:r>
      <w:r w:rsidR="004867C3">
        <w:rPr>
          <w:rFonts w:ascii="Times New Roman" w:eastAsia="Times New Roman" w:hAnsi="Times New Roman" w:cs="Times New Roman"/>
          <w:color w:val="000000"/>
          <w:sz w:val="24"/>
          <w:szCs w:val="24"/>
          <w:lang w:val="en-US"/>
        </w:rPr>
        <w:t>.</w:t>
      </w:r>
    </w:p>
    <w:p w14:paraId="7110E850" w14:textId="0E092395"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003A00C5">
        <w:rPr>
          <w:rFonts w:ascii="Times New Roman" w:eastAsia="Times New Roman" w:hAnsi="Times New Roman" w:cs="Times New Roman"/>
          <w:color w:val="000000"/>
          <w:sz w:val="24"/>
          <w:szCs w:val="24"/>
          <w:lang w:val="en-US"/>
        </w:rPr>
        <w:t>eep</w:t>
      </w:r>
      <w:r w:rsidR="007449D1">
        <w:rPr>
          <w:rFonts w:ascii="Times New Roman" w:eastAsia="Times New Roman" w:hAnsi="Times New Roman" w:cs="Times New Roman"/>
          <w:color w:val="000000"/>
          <w:sz w:val="24"/>
          <w:szCs w:val="24"/>
          <w:lang w:val="en-US"/>
        </w:rPr>
        <w:t xml:space="preserve"> the</w:t>
      </w:r>
      <w:r w:rsidR="003A00C5">
        <w:rPr>
          <w:rFonts w:ascii="Times New Roman" w:eastAsia="Times New Roman" w:hAnsi="Times New Roman" w:cs="Times New Roman"/>
          <w:color w:val="000000"/>
          <w:sz w:val="24"/>
          <w:szCs w:val="24"/>
          <w:lang w:val="en-US"/>
        </w:rPr>
        <w:t xml:space="preserve"> debt off the corporate balance sheet</w:t>
      </w:r>
      <w:r w:rsidR="004867C3">
        <w:rPr>
          <w:rFonts w:ascii="Times New Roman" w:eastAsia="Times New Roman" w:hAnsi="Times New Roman" w:cs="Times New Roman"/>
          <w:color w:val="000000"/>
          <w:sz w:val="24"/>
          <w:szCs w:val="24"/>
          <w:lang w:val="en-US"/>
        </w:rPr>
        <w:t>.</w:t>
      </w:r>
    </w:p>
    <w:p w14:paraId="30AD3FCC" w14:textId="4F9254C2"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003A00C5">
        <w:rPr>
          <w:rFonts w:ascii="Times New Roman" w:eastAsia="Times New Roman" w:hAnsi="Times New Roman" w:cs="Times New Roman"/>
          <w:color w:val="000000"/>
          <w:sz w:val="24"/>
          <w:szCs w:val="24"/>
          <w:lang w:val="en-US"/>
        </w:rPr>
        <w:t>rotect corporate borrowing capacity</w:t>
      </w:r>
      <w:r w:rsidR="004867C3">
        <w:rPr>
          <w:rFonts w:ascii="Times New Roman" w:eastAsia="Times New Roman" w:hAnsi="Times New Roman" w:cs="Times New Roman"/>
          <w:color w:val="000000"/>
          <w:sz w:val="24"/>
          <w:szCs w:val="24"/>
          <w:lang w:val="en-US"/>
        </w:rPr>
        <w:t>.</w:t>
      </w:r>
    </w:p>
    <w:p w14:paraId="01753CF8" w14:textId="4803DCD2"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r w:rsidR="003A00C5">
        <w:rPr>
          <w:rFonts w:ascii="Times New Roman" w:eastAsia="Times New Roman" w:hAnsi="Times New Roman" w:cs="Times New Roman"/>
          <w:color w:val="000000"/>
          <w:sz w:val="24"/>
          <w:szCs w:val="24"/>
          <w:lang w:val="en-US"/>
        </w:rPr>
        <w:t xml:space="preserve">aintain </w:t>
      </w:r>
      <w:r w:rsidR="00325B60">
        <w:rPr>
          <w:rFonts w:ascii="Times New Roman" w:eastAsia="Times New Roman" w:hAnsi="Times New Roman" w:cs="Times New Roman"/>
          <w:color w:val="000000"/>
          <w:sz w:val="24"/>
          <w:szCs w:val="24"/>
          <w:lang w:val="en-US"/>
        </w:rPr>
        <w:t>the</w:t>
      </w:r>
      <w:r w:rsidR="003A00C5">
        <w:rPr>
          <w:rFonts w:ascii="Times New Roman" w:eastAsia="Times New Roman" w:hAnsi="Times New Roman" w:cs="Times New Roman"/>
          <w:color w:val="000000"/>
          <w:sz w:val="24"/>
          <w:szCs w:val="24"/>
          <w:lang w:val="en-US"/>
        </w:rPr>
        <w:t xml:space="preserve"> credit rating</w:t>
      </w:r>
      <w:r w:rsidR="004867C3">
        <w:rPr>
          <w:rFonts w:ascii="Times New Roman" w:eastAsia="Times New Roman" w:hAnsi="Times New Roman" w:cs="Times New Roman"/>
          <w:color w:val="000000"/>
          <w:sz w:val="24"/>
          <w:szCs w:val="24"/>
          <w:lang w:val="en-US"/>
        </w:rPr>
        <w:t>.</w:t>
      </w:r>
    </w:p>
    <w:p w14:paraId="09B0B0FE" w14:textId="2F5F8F0F"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w:t>
      </w:r>
      <w:r w:rsidR="003A00C5">
        <w:rPr>
          <w:rFonts w:ascii="Times New Roman" w:eastAsia="Times New Roman" w:hAnsi="Times New Roman" w:cs="Times New Roman"/>
          <w:color w:val="000000"/>
          <w:sz w:val="24"/>
          <w:szCs w:val="24"/>
          <w:lang w:val="en-US"/>
        </w:rPr>
        <w:t>mprov</w:t>
      </w:r>
      <w:r w:rsidR="00325B60">
        <w:rPr>
          <w:rFonts w:ascii="Times New Roman" w:eastAsia="Times New Roman" w:hAnsi="Times New Roman" w:cs="Times New Roman"/>
          <w:color w:val="000000"/>
          <w:sz w:val="24"/>
          <w:szCs w:val="24"/>
          <w:lang w:val="en-US"/>
        </w:rPr>
        <w:t>e</w:t>
      </w:r>
      <w:r w:rsidR="003A00C5">
        <w:rPr>
          <w:rFonts w:ascii="Times New Roman" w:eastAsia="Times New Roman" w:hAnsi="Times New Roman" w:cs="Times New Roman"/>
          <w:color w:val="000000"/>
          <w:sz w:val="24"/>
          <w:szCs w:val="24"/>
          <w:lang w:val="en-US"/>
        </w:rPr>
        <w:t xml:space="preserve"> corporate return on equity (ROE)</w:t>
      </w:r>
      <w:r w:rsidR="004867C3">
        <w:rPr>
          <w:rFonts w:ascii="Times New Roman" w:eastAsia="Times New Roman" w:hAnsi="Times New Roman" w:cs="Times New Roman"/>
          <w:color w:val="000000"/>
          <w:sz w:val="24"/>
          <w:szCs w:val="24"/>
          <w:lang w:val="en-US"/>
        </w:rPr>
        <w:t>.</w:t>
      </w:r>
    </w:p>
    <w:p w14:paraId="5A82AAE8" w14:textId="66CCF67B"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w:t>
      </w:r>
      <w:r w:rsidR="003A00C5">
        <w:rPr>
          <w:rFonts w:ascii="Times New Roman" w:eastAsia="Times New Roman" w:hAnsi="Times New Roman" w:cs="Times New Roman"/>
          <w:color w:val="000000"/>
          <w:sz w:val="24"/>
          <w:szCs w:val="24"/>
          <w:lang w:val="en-US"/>
        </w:rPr>
        <w:t>estrict proprietary information to a limited number of investors</w:t>
      </w:r>
      <w:r w:rsidR="004867C3">
        <w:rPr>
          <w:rFonts w:ascii="Times New Roman" w:eastAsia="Times New Roman" w:hAnsi="Times New Roman" w:cs="Times New Roman"/>
          <w:color w:val="000000"/>
          <w:sz w:val="24"/>
          <w:szCs w:val="24"/>
          <w:lang w:val="en-US"/>
        </w:rPr>
        <w:t>.</w:t>
      </w:r>
    </w:p>
    <w:p w14:paraId="61E3792F" w14:textId="3772407C"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003A00C5">
        <w:rPr>
          <w:rFonts w:ascii="Times New Roman" w:eastAsia="Times New Roman" w:hAnsi="Times New Roman" w:cs="Times New Roman"/>
          <w:color w:val="000000"/>
          <w:sz w:val="24"/>
          <w:szCs w:val="24"/>
          <w:lang w:val="en-US"/>
        </w:rPr>
        <w:t>ax advantages (e.g.</w:t>
      </w:r>
      <w:r w:rsidR="00325B60">
        <w:rPr>
          <w:rFonts w:ascii="Times New Roman" w:eastAsia="Times New Roman" w:hAnsi="Times New Roman" w:cs="Times New Roman"/>
          <w:color w:val="000000"/>
          <w:sz w:val="24"/>
          <w:szCs w:val="24"/>
          <w:lang w:val="en-US"/>
        </w:rPr>
        <w:t xml:space="preserve">, </w:t>
      </w:r>
      <w:r w:rsidR="003A00C5">
        <w:rPr>
          <w:rFonts w:ascii="Times New Roman" w:eastAsia="Times New Roman" w:hAnsi="Times New Roman" w:cs="Times New Roman"/>
          <w:color w:val="000000"/>
          <w:sz w:val="24"/>
          <w:szCs w:val="24"/>
          <w:lang w:val="en-US"/>
        </w:rPr>
        <w:t>tax holidays</w:t>
      </w:r>
      <w:r w:rsidR="00325B60">
        <w:rPr>
          <w:rFonts w:ascii="Times New Roman" w:eastAsia="Times New Roman" w:hAnsi="Times New Roman" w:cs="Times New Roman"/>
          <w:color w:val="000000"/>
          <w:sz w:val="24"/>
          <w:szCs w:val="24"/>
          <w:lang w:val="en-US"/>
        </w:rPr>
        <w:t>,</w:t>
      </w:r>
      <w:r w:rsidR="003A00C5">
        <w:rPr>
          <w:rFonts w:ascii="Times New Roman" w:eastAsia="Times New Roman" w:hAnsi="Times New Roman" w:cs="Times New Roman"/>
          <w:color w:val="000000"/>
          <w:sz w:val="24"/>
          <w:szCs w:val="24"/>
          <w:lang w:val="en-US"/>
        </w:rPr>
        <w:t xml:space="preserve"> tax concessions)</w:t>
      </w:r>
      <w:r w:rsidR="004867C3">
        <w:rPr>
          <w:rFonts w:ascii="Times New Roman" w:eastAsia="Times New Roman" w:hAnsi="Times New Roman" w:cs="Times New Roman"/>
          <w:color w:val="000000"/>
          <w:sz w:val="24"/>
          <w:szCs w:val="24"/>
          <w:lang w:val="en-US"/>
        </w:rPr>
        <w:t>.</w:t>
      </w:r>
      <w:r w:rsidR="003A00C5">
        <w:rPr>
          <w:rFonts w:ascii="Times New Roman" w:eastAsia="Times New Roman" w:hAnsi="Times New Roman" w:cs="Times New Roman"/>
          <w:color w:val="000000"/>
          <w:sz w:val="24"/>
          <w:szCs w:val="24"/>
          <w:lang w:val="en-US"/>
        </w:rPr>
        <w:t xml:space="preserve"> </w:t>
      </w:r>
    </w:p>
    <w:p w14:paraId="7872D4B4" w14:textId="1C48AD7F" w:rsidR="005D5C04" w:rsidRDefault="006E4774" w:rsidP="00486106">
      <w:pPr>
        <w:pStyle w:val="ListParagraph"/>
        <w:numPr>
          <w:ilvl w:val="0"/>
          <w:numId w:val="3"/>
        </w:numPr>
        <w:suppressAutoHyphens/>
        <w:spacing w:after="0" w:line="360" w:lineRule="auto"/>
        <w:ind w:left="567" w:hanging="357"/>
        <w:jc w:val="both"/>
        <w:textAlignment w:val="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r w:rsidR="003A00C5">
        <w:rPr>
          <w:rFonts w:ascii="Times New Roman" w:eastAsia="Times New Roman" w:hAnsi="Times New Roman" w:cs="Times New Roman"/>
          <w:color w:val="000000"/>
          <w:sz w:val="24"/>
          <w:szCs w:val="24"/>
          <w:lang w:val="en-US"/>
        </w:rPr>
        <w:t>stablish a business venture in a foreign country.</w:t>
      </w:r>
    </w:p>
    <w:p w14:paraId="75D59946" w14:textId="4AEE95D2" w:rsidR="00A234C0" w:rsidRPr="002F14F3" w:rsidRDefault="003A00C5" w:rsidP="00486106">
      <w:pPr>
        <w:suppressAutoHyphens/>
        <w:spacing w:before="240" w:line="36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As a result of this unique feature of project finance, the volume and number of </w:t>
      </w:r>
      <w:r w:rsidR="00242E50">
        <w:rPr>
          <w:rFonts w:ascii="Times New Roman" w:eastAsia="Times New Roman" w:hAnsi="Times New Roman" w:cs="Times New Roman"/>
          <w:color w:val="000000"/>
          <w:sz w:val="24"/>
          <w:szCs w:val="24"/>
          <w:lang w:val="en-US"/>
        </w:rPr>
        <w:t>transactions</w:t>
      </w:r>
      <w:r>
        <w:rPr>
          <w:rFonts w:ascii="Times New Roman" w:eastAsia="Times New Roman" w:hAnsi="Times New Roman" w:cs="Times New Roman"/>
          <w:color w:val="000000"/>
          <w:sz w:val="24"/>
          <w:szCs w:val="24"/>
          <w:lang w:val="en-US"/>
        </w:rPr>
        <w:t xml:space="preserve"> ha</w:t>
      </w:r>
      <w:r w:rsidR="006E4774">
        <w:rPr>
          <w:rFonts w:ascii="Times New Roman" w:eastAsia="Times New Roman" w:hAnsi="Times New Roman" w:cs="Times New Roman"/>
          <w:color w:val="000000"/>
          <w:sz w:val="24"/>
          <w:szCs w:val="24"/>
          <w:lang w:val="en-US"/>
        </w:rPr>
        <w:t>ve</w:t>
      </w:r>
      <w:r>
        <w:rPr>
          <w:rFonts w:ascii="Times New Roman" w:eastAsia="Times New Roman" w:hAnsi="Times New Roman" w:cs="Times New Roman"/>
          <w:color w:val="000000"/>
          <w:sz w:val="24"/>
          <w:szCs w:val="24"/>
          <w:lang w:val="en-US"/>
        </w:rPr>
        <w:t xml:space="preserve"> witnessed </w:t>
      </w:r>
      <w:r w:rsidR="006E4774">
        <w:rPr>
          <w:rFonts w:ascii="Times New Roman" w:eastAsia="Times New Roman" w:hAnsi="Times New Roman" w:cs="Times New Roman"/>
          <w:color w:val="000000"/>
          <w:sz w:val="24"/>
          <w:szCs w:val="24"/>
          <w:lang w:val="en-US"/>
        </w:rPr>
        <w:t xml:space="preserve">a </w:t>
      </w:r>
      <w:r>
        <w:rPr>
          <w:rFonts w:ascii="Times New Roman" w:eastAsia="Times New Roman" w:hAnsi="Times New Roman" w:cs="Times New Roman"/>
          <w:color w:val="000000"/>
          <w:sz w:val="24"/>
          <w:szCs w:val="24"/>
          <w:lang w:val="en-US"/>
        </w:rPr>
        <w:t xml:space="preserve">considerable increase in most emerging and developing economies. </w:t>
      </w:r>
      <w:r w:rsidRPr="00A234C0">
        <w:rPr>
          <w:rFonts w:ascii="Times New Roman" w:eastAsia="Times New Roman" w:hAnsi="Times New Roman" w:cs="Times New Roman"/>
          <w:color w:val="000000"/>
          <w:sz w:val="24"/>
          <w:szCs w:val="24"/>
          <w:lang w:val="en-US"/>
        </w:rPr>
        <w:t>In 2018</w:t>
      </w:r>
      <w:r w:rsidR="006E4774">
        <w:rPr>
          <w:rFonts w:ascii="Times New Roman" w:eastAsia="Times New Roman" w:hAnsi="Times New Roman" w:cs="Times New Roman"/>
          <w:color w:val="000000"/>
          <w:sz w:val="24"/>
          <w:szCs w:val="24"/>
          <w:lang w:val="en-US"/>
        </w:rPr>
        <w:t>,</w:t>
      </w:r>
      <w:r w:rsidRPr="00A234C0">
        <w:rPr>
          <w:rFonts w:ascii="Times New Roman" w:eastAsia="Times New Roman" w:hAnsi="Times New Roman" w:cs="Times New Roman"/>
          <w:color w:val="000000"/>
          <w:sz w:val="24"/>
          <w:szCs w:val="24"/>
          <w:lang w:val="en-US"/>
        </w:rPr>
        <w:t xml:space="preserve"> for example</w:t>
      </w:r>
      <w:r w:rsidR="006E4774">
        <w:rPr>
          <w:rFonts w:ascii="Times New Roman" w:eastAsia="Times New Roman" w:hAnsi="Times New Roman" w:cs="Times New Roman"/>
          <w:color w:val="000000"/>
          <w:sz w:val="24"/>
          <w:szCs w:val="24"/>
          <w:lang w:val="en-US"/>
        </w:rPr>
        <w:t>,</w:t>
      </w:r>
      <w:r w:rsidRPr="00A234C0">
        <w:rPr>
          <w:rFonts w:ascii="Times New Roman" w:eastAsia="Times New Roman" w:hAnsi="Times New Roman" w:cs="Times New Roman"/>
          <w:color w:val="000000"/>
          <w:sz w:val="24"/>
          <w:szCs w:val="24"/>
          <w:lang w:val="en-US"/>
        </w:rPr>
        <w:t xml:space="preserve"> Russia, China, Egypt</w:t>
      </w:r>
      <w:r w:rsidR="006E4774">
        <w:rPr>
          <w:rFonts w:ascii="Times New Roman" w:eastAsia="Times New Roman" w:hAnsi="Times New Roman" w:cs="Times New Roman"/>
          <w:color w:val="000000"/>
          <w:sz w:val="24"/>
          <w:szCs w:val="24"/>
          <w:lang w:val="en-US"/>
        </w:rPr>
        <w:t>,</w:t>
      </w:r>
      <w:r w:rsidRPr="00A234C0">
        <w:rPr>
          <w:rFonts w:ascii="Times New Roman" w:eastAsia="Times New Roman" w:hAnsi="Times New Roman" w:cs="Times New Roman"/>
          <w:color w:val="000000"/>
          <w:sz w:val="24"/>
          <w:szCs w:val="24"/>
          <w:lang w:val="en-US"/>
        </w:rPr>
        <w:t xml:space="preserve"> and India </w:t>
      </w:r>
      <w:r w:rsidR="00325B60">
        <w:rPr>
          <w:rFonts w:ascii="Times New Roman" w:eastAsia="Times New Roman" w:hAnsi="Times New Roman" w:cs="Times New Roman"/>
          <w:color w:val="000000"/>
          <w:sz w:val="24"/>
          <w:szCs w:val="24"/>
          <w:lang w:val="en-US"/>
        </w:rPr>
        <w:t>had</w:t>
      </w:r>
      <w:r w:rsidRPr="00A234C0">
        <w:rPr>
          <w:rFonts w:ascii="Times New Roman" w:eastAsia="Times New Roman" w:hAnsi="Times New Roman" w:cs="Times New Roman"/>
          <w:color w:val="000000"/>
          <w:sz w:val="24"/>
          <w:szCs w:val="24"/>
          <w:lang w:val="en-US"/>
        </w:rPr>
        <w:t xml:space="preserve"> signed 61 finance project deals worth over</w:t>
      </w:r>
      <w:r w:rsidR="00DB6BF8">
        <w:rPr>
          <w:rFonts w:ascii="Times New Roman" w:eastAsia="Times New Roman" w:hAnsi="Times New Roman" w:cs="Times New Roman"/>
          <w:color w:val="000000"/>
          <w:sz w:val="24"/>
          <w:szCs w:val="24"/>
          <w:lang w:val="en-US"/>
        </w:rPr>
        <w:t xml:space="preserve"> $</w:t>
      </w:r>
      <w:r w:rsidRPr="00A234C0">
        <w:rPr>
          <w:rFonts w:ascii="Times New Roman" w:eastAsia="Times New Roman" w:hAnsi="Times New Roman" w:cs="Times New Roman"/>
          <w:color w:val="000000"/>
          <w:sz w:val="24"/>
          <w:szCs w:val="24"/>
          <w:lang w:val="en-US"/>
        </w:rPr>
        <w:t xml:space="preserve">15 </w:t>
      </w:r>
      <w:r w:rsidR="00DB6BF8">
        <w:rPr>
          <w:rFonts w:ascii="Times New Roman" w:eastAsia="Times New Roman" w:hAnsi="Times New Roman" w:cs="Times New Roman"/>
          <w:color w:val="000000"/>
          <w:sz w:val="24"/>
          <w:szCs w:val="24"/>
          <w:lang w:val="en-US"/>
        </w:rPr>
        <w:t>bn</w:t>
      </w:r>
      <w:r w:rsidRPr="00A234C0">
        <w:rPr>
          <w:rFonts w:ascii="Times New Roman" w:eastAsia="Times New Roman" w:hAnsi="Times New Roman" w:cs="Times New Roman"/>
          <w:color w:val="000000"/>
          <w:sz w:val="24"/>
          <w:szCs w:val="24"/>
          <w:lang w:val="en-US"/>
        </w:rPr>
        <w:t>.</w:t>
      </w:r>
      <w:r w:rsidRPr="00A234C0">
        <w:rPr>
          <w:vertAlign w:val="superscript"/>
        </w:rPr>
        <w:footnoteReference w:id="17"/>
      </w:r>
    </w:p>
    <w:p w14:paraId="2B9703DE" w14:textId="3BF490CD" w:rsidR="00A83FEF" w:rsidRPr="00B02901" w:rsidRDefault="00A83FEF" w:rsidP="00465952">
      <w:pPr>
        <w:autoSpaceDE w:val="0"/>
        <w:spacing w:before="240" w:line="360" w:lineRule="auto"/>
        <w:jc w:val="both"/>
        <w:rPr>
          <w:rFonts w:asciiTheme="majorBidi" w:hAnsiTheme="majorBidi" w:cstheme="majorBidi"/>
          <w:sz w:val="28"/>
          <w:szCs w:val="28"/>
        </w:rPr>
      </w:pPr>
      <w:r w:rsidRPr="00B02901">
        <w:rPr>
          <w:rFonts w:asciiTheme="majorBidi" w:hAnsiTheme="majorBidi" w:cstheme="majorBidi"/>
          <w:sz w:val="28"/>
          <w:szCs w:val="28"/>
        </w:rPr>
        <w:t xml:space="preserve">1.2 Finance as an </w:t>
      </w:r>
      <w:r w:rsidR="00E765F0" w:rsidRPr="00B02901">
        <w:rPr>
          <w:rFonts w:asciiTheme="majorBidi" w:hAnsiTheme="majorBidi" w:cstheme="majorBidi"/>
          <w:sz w:val="28"/>
          <w:szCs w:val="28"/>
        </w:rPr>
        <w:t>e</w:t>
      </w:r>
      <w:r w:rsidRPr="00B02901">
        <w:rPr>
          <w:rFonts w:asciiTheme="majorBidi" w:hAnsiTheme="majorBidi" w:cstheme="majorBidi"/>
          <w:sz w:val="28"/>
          <w:szCs w:val="28"/>
        </w:rPr>
        <w:t xml:space="preserve">lement of </w:t>
      </w:r>
      <w:r w:rsidR="00E765F0" w:rsidRPr="00B02901">
        <w:rPr>
          <w:rFonts w:asciiTheme="majorBidi" w:hAnsiTheme="majorBidi" w:cstheme="majorBidi"/>
          <w:sz w:val="28"/>
          <w:szCs w:val="28"/>
        </w:rPr>
        <w:t>c</w:t>
      </w:r>
      <w:r w:rsidRPr="00B02901">
        <w:rPr>
          <w:rFonts w:asciiTheme="majorBidi" w:hAnsiTheme="majorBidi" w:cstheme="majorBidi"/>
          <w:sz w:val="28"/>
          <w:szCs w:val="28"/>
        </w:rPr>
        <w:t xml:space="preserve">omparative </w:t>
      </w:r>
      <w:r w:rsidR="00E765F0" w:rsidRPr="00B02901">
        <w:rPr>
          <w:rFonts w:asciiTheme="majorBidi" w:hAnsiTheme="majorBidi" w:cstheme="majorBidi"/>
          <w:sz w:val="28"/>
          <w:szCs w:val="28"/>
        </w:rPr>
        <w:t>f</w:t>
      </w:r>
      <w:r w:rsidRPr="00B02901">
        <w:rPr>
          <w:rFonts w:asciiTheme="majorBidi" w:hAnsiTheme="majorBidi" w:cstheme="majorBidi"/>
          <w:sz w:val="28"/>
          <w:szCs w:val="28"/>
        </w:rPr>
        <w:t xml:space="preserve">inancial </w:t>
      </w:r>
      <w:r w:rsidR="00E765F0" w:rsidRPr="00B02901">
        <w:rPr>
          <w:rFonts w:asciiTheme="majorBidi" w:hAnsiTheme="majorBidi" w:cstheme="majorBidi"/>
          <w:sz w:val="28"/>
          <w:szCs w:val="28"/>
        </w:rPr>
        <w:t>s</w:t>
      </w:r>
      <w:r w:rsidRPr="00B02901">
        <w:rPr>
          <w:rFonts w:asciiTheme="majorBidi" w:hAnsiTheme="majorBidi" w:cstheme="majorBidi"/>
          <w:sz w:val="28"/>
          <w:szCs w:val="28"/>
        </w:rPr>
        <w:t>tructures</w:t>
      </w:r>
    </w:p>
    <w:p w14:paraId="378DBA7F" w14:textId="79AE1417" w:rsidR="00DB0F14" w:rsidRDefault="00DB0F14" w:rsidP="00486106">
      <w:pPr>
        <w:suppressAutoHyphens/>
        <w:autoSpaceDE w:val="0"/>
        <w:adjustRightInd w:val="0"/>
        <w:spacing w:before="240"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Another </w:t>
      </w:r>
      <w:r w:rsidR="007D6DB9">
        <w:rPr>
          <w:rFonts w:asciiTheme="majorBidi" w:hAnsiTheme="majorBidi" w:cstheme="majorBidi"/>
          <w:sz w:val="24"/>
          <w:szCs w:val="24"/>
        </w:rPr>
        <w:t>way</w:t>
      </w:r>
      <w:r>
        <w:rPr>
          <w:rFonts w:asciiTheme="majorBidi" w:hAnsiTheme="majorBidi" w:cstheme="majorBidi"/>
          <w:sz w:val="24"/>
          <w:szCs w:val="24"/>
        </w:rPr>
        <w:t xml:space="preserve"> </w:t>
      </w:r>
      <w:r w:rsidR="004568F8">
        <w:rPr>
          <w:rFonts w:asciiTheme="majorBidi" w:hAnsiTheme="majorBidi" w:cstheme="majorBidi"/>
          <w:sz w:val="24"/>
          <w:szCs w:val="24"/>
        </w:rPr>
        <w:t>to</w:t>
      </w:r>
      <w:r>
        <w:rPr>
          <w:rFonts w:asciiTheme="majorBidi" w:hAnsiTheme="majorBidi" w:cstheme="majorBidi"/>
          <w:sz w:val="24"/>
          <w:szCs w:val="24"/>
        </w:rPr>
        <w:t xml:space="preserve"> understand project finance is to relate it to corporate finance</w:t>
      </w:r>
      <w:r w:rsidR="00325B60">
        <w:rPr>
          <w:rFonts w:asciiTheme="majorBidi" w:hAnsiTheme="majorBidi" w:cstheme="majorBidi"/>
          <w:sz w:val="24"/>
          <w:szCs w:val="24"/>
        </w:rPr>
        <w:t>.</w:t>
      </w:r>
      <w:r>
        <w:rPr>
          <w:rFonts w:asciiTheme="majorBidi" w:hAnsiTheme="majorBidi" w:cstheme="majorBidi"/>
          <w:sz w:val="24"/>
          <w:szCs w:val="24"/>
        </w:rPr>
        <w:t xml:space="preserve"> </w:t>
      </w:r>
      <w:r w:rsidR="00325B60">
        <w:rPr>
          <w:rFonts w:asciiTheme="majorBidi" w:hAnsiTheme="majorBidi" w:cstheme="majorBidi"/>
          <w:sz w:val="24"/>
          <w:szCs w:val="24"/>
        </w:rPr>
        <w:t>T</w:t>
      </w:r>
      <w:r>
        <w:rPr>
          <w:rFonts w:asciiTheme="majorBidi" w:hAnsiTheme="majorBidi" w:cstheme="majorBidi"/>
          <w:sz w:val="24"/>
          <w:szCs w:val="24"/>
        </w:rPr>
        <w:t>he main difference between corporate finance and project finance is that</w:t>
      </w:r>
      <w:r w:rsidR="004568F8">
        <w:rPr>
          <w:rFonts w:asciiTheme="majorBidi" w:hAnsiTheme="majorBidi" w:cstheme="majorBidi"/>
          <w:sz w:val="24"/>
          <w:szCs w:val="24"/>
        </w:rPr>
        <w:t>,</w:t>
      </w:r>
      <w:r>
        <w:rPr>
          <w:rFonts w:asciiTheme="majorBidi" w:hAnsiTheme="majorBidi" w:cstheme="majorBidi"/>
          <w:sz w:val="24"/>
          <w:szCs w:val="24"/>
        </w:rPr>
        <w:t xml:space="preserve"> while the entire corporate balance sheet is considered when determining debt capacity and defining collateral in the case of corporate financing, only the project itself is responsible for project finance debt. </w:t>
      </w:r>
      <w:r w:rsidRPr="007F3C48">
        <w:rPr>
          <w:rFonts w:asciiTheme="majorBidi" w:hAnsiTheme="majorBidi" w:cstheme="majorBidi"/>
          <w:i/>
          <w:iCs/>
          <w:sz w:val="24"/>
          <w:szCs w:val="24"/>
        </w:rPr>
        <w:t xml:space="preserve">Table </w:t>
      </w:r>
      <w:r w:rsidR="007F3C48" w:rsidRPr="007F3C48">
        <w:rPr>
          <w:rFonts w:asciiTheme="majorBidi" w:hAnsiTheme="majorBidi" w:cstheme="majorBidi"/>
          <w:i/>
          <w:iCs/>
          <w:sz w:val="24"/>
          <w:szCs w:val="24"/>
        </w:rPr>
        <w:t>1</w:t>
      </w:r>
      <w:r w:rsidR="000716AE">
        <w:rPr>
          <w:rFonts w:asciiTheme="majorBidi" w:hAnsiTheme="majorBidi" w:cstheme="majorBidi"/>
          <w:i/>
          <w:iCs/>
          <w:sz w:val="24"/>
          <w:szCs w:val="24"/>
        </w:rPr>
        <w:t>.1</w:t>
      </w:r>
      <w:r w:rsidR="00372931">
        <w:rPr>
          <w:rFonts w:asciiTheme="majorBidi" w:hAnsiTheme="majorBidi" w:cstheme="majorBidi"/>
          <w:sz w:val="24"/>
          <w:szCs w:val="24"/>
        </w:rPr>
        <w:t xml:space="preserve"> </w:t>
      </w:r>
      <w:r>
        <w:rPr>
          <w:rFonts w:asciiTheme="majorBidi" w:hAnsiTheme="majorBidi" w:cstheme="majorBidi"/>
          <w:sz w:val="24"/>
          <w:szCs w:val="24"/>
          <w:lang w:val="en-US"/>
        </w:rPr>
        <w:t xml:space="preserve">summarizes the key differences between the two types of </w:t>
      </w:r>
      <w:r>
        <w:rPr>
          <w:rFonts w:asciiTheme="majorBidi" w:hAnsiTheme="majorBidi" w:cstheme="majorBidi"/>
          <w:sz w:val="24"/>
          <w:szCs w:val="24"/>
        </w:rPr>
        <w:t>financing.</w:t>
      </w:r>
    </w:p>
    <w:p w14:paraId="6FD5BF79" w14:textId="3B8FF765" w:rsidR="000716AE" w:rsidRDefault="000716AE" w:rsidP="00486106">
      <w:pPr>
        <w:suppressAutoHyphens/>
        <w:spacing w:before="24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addition to differences in collateral, the accounting treatment differs between the two structures. Corporate finance debt is presented on-balance-sheet, while project finance under certain conditions is an off-balance-sheet for the sponsor. In comparison, corporate debt capacity is affected by the soundness of the company, its relations to customers, profitability of all activities, and its assets. Control and monitoring differ in corporate finance and project finance, in a conventional </w:t>
      </w:r>
      <w:r>
        <w:rPr>
          <w:rFonts w:asciiTheme="majorBidi" w:hAnsiTheme="majorBidi" w:cstheme="majorBidi"/>
          <w:sz w:val="24"/>
          <w:szCs w:val="24"/>
        </w:rPr>
        <w:lastRenderedPageBreak/>
        <w:t xml:space="preserve">organisation, the management is in control, and monitoring is done by the board of directors, rarely by the investors directly. In project financed ventures, management control is limited, and monitoring increased. The transparent nature of project companies and the covenants imposed by project debt enables the creditors to perform closer monitoring. Financial flexibility is another area where the two structures </w:t>
      </w:r>
      <w:r w:rsidRPr="002D60FA">
        <w:rPr>
          <w:rFonts w:asciiTheme="majorBidi" w:hAnsiTheme="majorBidi" w:cstheme="majorBidi"/>
          <w:sz w:val="24"/>
          <w:szCs w:val="24"/>
        </w:rPr>
        <w:t>differ</w:t>
      </w:r>
      <w:r>
        <w:rPr>
          <w:rFonts w:asciiTheme="majorBidi" w:hAnsiTheme="majorBidi" w:cstheme="majorBidi"/>
          <w:sz w:val="24"/>
          <w:szCs w:val="24"/>
        </w:rPr>
        <w:t>; financing can be arranged quicker in corporate finance compared to project finance, where the process is more time-consuming due to a thorough due diligence process and contractual negotiations.</w:t>
      </w:r>
    </w:p>
    <w:p w14:paraId="5485B4C4" w14:textId="08CCCBC8" w:rsidR="00476356" w:rsidRPr="000716AE" w:rsidRDefault="00476356" w:rsidP="00454CA4">
      <w:pPr>
        <w:autoSpaceDE w:val="0"/>
        <w:adjustRightInd w:val="0"/>
        <w:spacing w:after="0" w:line="360" w:lineRule="auto"/>
        <w:jc w:val="right"/>
        <w:rPr>
          <w:rFonts w:asciiTheme="majorBidi" w:hAnsiTheme="majorBidi" w:cstheme="majorBidi"/>
          <w:i/>
          <w:iCs/>
          <w:sz w:val="24"/>
          <w:szCs w:val="24"/>
        </w:rPr>
      </w:pPr>
      <w:r w:rsidRPr="000716AE">
        <w:rPr>
          <w:rFonts w:asciiTheme="majorBidi" w:hAnsiTheme="majorBidi" w:cstheme="majorBidi"/>
          <w:i/>
          <w:iCs/>
          <w:sz w:val="24"/>
          <w:szCs w:val="24"/>
        </w:rPr>
        <w:t xml:space="preserve">Table </w:t>
      </w:r>
      <w:r w:rsidR="00697D02" w:rsidRPr="000716AE">
        <w:rPr>
          <w:rFonts w:asciiTheme="majorBidi" w:hAnsiTheme="majorBidi" w:cstheme="majorBidi"/>
          <w:i/>
          <w:iCs/>
          <w:sz w:val="24"/>
          <w:szCs w:val="24"/>
        </w:rPr>
        <w:fldChar w:fldCharType="begin"/>
      </w:r>
      <w:r w:rsidR="00697D02" w:rsidRPr="000716AE">
        <w:rPr>
          <w:rFonts w:asciiTheme="majorBidi" w:hAnsiTheme="majorBidi" w:cstheme="majorBidi"/>
          <w:i/>
          <w:iCs/>
          <w:sz w:val="24"/>
          <w:szCs w:val="24"/>
        </w:rPr>
        <w:instrText xml:space="preserve"> SEQ Table \* ARABIC </w:instrText>
      </w:r>
      <w:r w:rsidR="00697D02" w:rsidRPr="000716AE">
        <w:rPr>
          <w:rFonts w:asciiTheme="majorBidi" w:hAnsiTheme="majorBidi" w:cstheme="majorBidi"/>
          <w:i/>
          <w:iCs/>
          <w:sz w:val="24"/>
          <w:szCs w:val="24"/>
        </w:rPr>
        <w:fldChar w:fldCharType="separate"/>
      </w:r>
      <w:r w:rsidR="0071318D">
        <w:rPr>
          <w:rFonts w:asciiTheme="majorBidi" w:hAnsiTheme="majorBidi" w:cstheme="majorBidi"/>
          <w:i/>
          <w:iCs/>
          <w:noProof/>
          <w:sz w:val="24"/>
          <w:szCs w:val="24"/>
        </w:rPr>
        <w:t>1</w:t>
      </w:r>
      <w:r w:rsidR="00697D02" w:rsidRPr="000716AE">
        <w:rPr>
          <w:rFonts w:asciiTheme="majorBidi" w:hAnsiTheme="majorBidi" w:cstheme="majorBidi"/>
          <w:i/>
          <w:iCs/>
          <w:sz w:val="24"/>
          <w:szCs w:val="24"/>
        </w:rPr>
        <w:fldChar w:fldCharType="end"/>
      </w:r>
      <w:r w:rsidR="000716AE">
        <w:rPr>
          <w:rFonts w:asciiTheme="majorBidi" w:hAnsiTheme="majorBidi" w:cstheme="majorBidi"/>
          <w:i/>
          <w:iCs/>
          <w:sz w:val="24"/>
          <w:szCs w:val="24"/>
        </w:rPr>
        <w:t>.1</w:t>
      </w:r>
    </w:p>
    <w:p w14:paraId="579D44D7" w14:textId="7E70E7FF" w:rsidR="007F3C48" w:rsidRPr="00454CA4" w:rsidRDefault="007F3C48" w:rsidP="00F35661">
      <w:pPr>
        <w:autoSpaceDE w:val="0"/>
        <w:adjustRightInd w:val="0"/>
        <w:spacing w:line="360" w:lineRule="auto"/>
        <w:jc w:val="center"/>
        <w:rPr>
          <w:rFonts w:asciiTheme="majorBidi" w:hAnsiTheme="majorBidi" w:cstheme="majorBidi"/>
          <w:sz w:val="24"/>
          <w:szCs w:val="24"/>
        </w:rPr>
      </w:pPr>
      <w:r w:rsidRPr="00454CA4">
        <w:rPr>
          <w:rFonts w:asciiTheme="majorBidi" w:hAnsiTheme="majorBidi" w:cstheme="majorBidi"/>
          <w:sz w:val="24"/>
          <w:szCs w:val="24"/>
        </w:rPr>
        <w:t xml:space="preserve">Main </w:t>
      </w:r>
      <w:r w:rsidR="000A4432" w:rsidRPr="00454CA4">
        <w:rPr>
          <w:rFonts w:asciiTheme="majorBidi" w:hAnsiTheme="majorBidi" w:cstheme="majorBidi"/>
          <w:sz w:val="24"/>
          <w:szCs w:val="24"/>
        </w:rPr>
        <w:t>d</w:t>
      </w:r>
      <w:r w:rsidRPr="00454CA4">
        <w:rPr>
          <w:rFonts w:asciiTheme="majorBidi" w:hAnsiTheme="majorBidi" w:cstheme="majorBidi"/>
          <w:sz w:val="24"/>
          <w:szCs w:val="24"/>
        </w:rPr>
        <w:t xml:space="preserve">ifferences between </w:t>
      </w:r>
      <w:r w:rsidR="000A4432" w:rsidRPr="00454CA4">
        <w:rPr>
          <w:rFonts w:asciiTheme="majorBidi" w:hAnsiTheme="majorBidi" w:cstheme="majorBidi"/>
          <w:sz w:val="24"/>
          <w:szCs w:val="24"/>
        </w:rPr>
        <w:t>p</w:t>
      </w:r>
      <w:r w:rsidRPr="00454CA4">
        <w:rPr>
          <w:rFonts w:asciiTheme="majorBidi" w:hAnsiTheme="majorBidi" w:cstheme="majorBidi"/>
          <w:sz w:val="24"/>
          <w:szCs w:val="24"/>
        </w:rPr>
        <w:t xml:space="preserve">roject </w:t>
      </w:r>
      <w:r w:rsidR="000A4432" w:rsidRPr="00454CA4">
        <w:rPr>
          <w:rFonts w:asciiTheme="majorBidi" w:hAnsiTheme="majorBidi" w:cstheme="majorBidi"/>
          <w:sz w:val="24"/>
          <w:szCs w:val="24"/>
        </w:rPr>
        <w:t>f</w:t>
      </w:r>
      <w:r w:rsidRPr="00454CA4">
        <w:rPr>
          <w:rFonts w:asciiTheme="majorBidi" w:hAnsiTheme="majorBidi" w:cstheme="majorBidi"/>
          <w:sz w:val="24"/>
          <w:szCs w:val="24"/>
        </w:rPr>
        <w:t xml:space="preserve">inance and </w:t>
      </w:r>
      <w:r w:rsidR="000A4432" w:rsidRPr="00454CA4">
        <w:rPr>
          <w:rFonts w:asciiTheme="majorBidi" w:hAnsiTheme="majorBidi" w:cstheme="majorBidi"/>
          <w:sz w:val="24"/>
          <w:szCs w:val="24"/>
        </w:rPr>
        <w:t>c</w:t>
      </w:r>
      <w:r w:rsidRPr="00454CA4">
        <w:rPr>
          <w:rFonts w:asciiTheme="majorBidi" w:hAnsiTheme="majorBidi" w:cstheme="majorBidi"/>
          <w:sz w:val="24"/>
          <w:szCs w:val="24"/>
        </w:rPr>
        <w:t xml:space="preserve">orporate </w:t>
      </w:r>
      <w:r w:rsidR="000A4432" w:rsidRPr="00454CA4">
        <w:rPr>
          <w:rFonts w:asciiTheme="majorBidi" w:hAnsiTheme="majorBidi" w:cstheme="majorBidi"/>
          <w:sz w:val="24"/>
          <w:szCs w:val="24"/>
        </w:rPr>
        <w:t>fi</w:t>
      </w:r>
      <w:r w:rsidRPr="00454CA4">
        <w:rPr>
          <w:rFonts w:asciiTheme="majorBidi" w:hAnsiTheme="majorBidi" w:cstheme="majorBidi"/>
          <w:sz w:val="24"/>
          <w:szCs w:val="24"/>
        </w:rPr>
        <w:t>nance</w:t>
      </w:r>
    </w:p>
    <w:tbl>
      <w:tblPr>
        <w:tblStyle w:val="TableGrid"/>
        <w:tblW w:w="0" w:type="auto"/>
        <w:jc w:val="center"/>
        <w:tblInd w:w="0" w:type="dxa"/>
        <w:tblLook w:val="04A0" w:firstRow="1" w:lastRow="0" w:firstColumn="1" w:lastColumn="0" w:noHBand="0" w:noVBand="1"/>
      </w:tblPr>
      <w:tblGrid>
        <w:gridCol w:w="3114"/>
        <w:gridCol w:w="3260"/>
        <w:gridCol w:w="3214"/>
      </w:tblGrid>
      <w:tr w:rsidR="00DB0F14" w14:paraId="6B5BDA07" w14:textId="77777777" w:rsidTr="00F35661">
        <w:trPr>
          <w:trHeight w:val="467"/>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D85F2D4" w14:textId="4569D242" w:rsidR="00DB0F14" w:rsidRPr="00862411" w:rsidRDefault="00840DA5" w:rsidP="00486106">
            <w:pPr>
              <w:suppressAutoHyphens/>
              <w:jc w:val="center"/>
              <w:rPr>
                <w:rFonts w:asciiTheme="majorBidi" w:hAnsiTheme="majorBidi" w:cstheme="majorBidi"/>
                <w:b/>
                <w:bCs/>
                <w:sz w:val="20"/>
                <w:szCs w:val="20"/>
                <w:lang w:val="en-US"/>
              </w:rPr>
            </w:pPr>
            <w:r w:rsidRPr="00862411">
              <w:rPr>
                <w:rFonts w:asciiTheme="majorBidi" w:hAnsiTheme="majorBidi" w:cstheme="majorBidi"/>
                <w:b/>
                <w:bCs/>
                <w:sz w:val="20"/>
                <w:szCs w:val="20"/>
                <w:lang w:val="en-US"/>
              </w:rPr>
              <w:t>Point of comparison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C1B31E" w14:textId="77777777" w:rsidR="00DB0F14" w:rsidRPr="00862411" w:rsidRDefault="00DB0F14" w:rsidP="00486106">
            <w:pPr>
              <w:suppressAutoHyphens/>
              <w:jc w:val="center"/>
              <w:rPr>
                <w:rFonts w:asciiTheme="majorBidi" w:hAnsiTheme="majorBidi" w:cstheme="majorBidi"/>
                <w:sz w:val="20"/>
                <w:szCs w:val="20"/>
              </w:rPr>
            </w:pPr>
            <w:r w:rsidRPr="00862411">
              <w:rPr>
                <w:rFonts w:asciiTheme="majorBidi" w:hAnsiTheme="majorBidi" w:cstheme="majorBidi"/>
                <w:b/>
                <w:bCs/>
                <w:sz w:val="20"/>
                <w:szCs w:val="20"/>
                <w:lang w:val="en-US"/>
              </w:rPr>
              <w:t>Corporate finance</w:t>
            </w:r>
          </w:p>
        </w:tc>
        <w:tc>
          <w:tcPr>
            <w:tcW w:w="3214" w:type="dxa"/>
            <w:tcBorders>
              <w:top w:val="single" w:sz="4" w:space="0" w:color="auto"/>
              <w:left w:val="single" w:sz="4" w:space="0" w:color="auto"/>
              <w:bottom w:val="single" w:sz="4" w:space="0" w:color="auto"/>
              <w:right w:val="single" w:sz="4" w:space="0" w:color="auto"/>
            </w:tcBorders>
            <w:vAlign w:val="center"/>
            <w:hideMark/>
          </w:tcPr>
          <w:p w14:paraId="2001425E" w14:textId="77777777" w:rsidR="00DB0F14" w:rsidRPr="00862411" w:rsidRDefault="00DB0F14" w:rsidP="00486106">
            <w:pPr>
              <w:suppressAutoHyphens/>
              <w:jc w:val="center"/>
              <w:rPr>
                <w:rFonts w:asciiTheme="majorBidi" w:hAnsiTheme="majorBidi" w:cstheme="majorBidi"/>
                <w:sz w:val="20"/>
                <w:szCs w:val="20"/>
              </w:rPr>
            </w:pPr>
            <w:r w:rsidRPr="00862411">
              <w:rPr>
                <w:rFonts w:asciiTheme="majorBidi" w:hAnsiTheme="majorBidi" w:cstheme="majorBidi"/>
                <w:b/>
                <w:bCs/>
                <w:sz w:val="20"/>
                <w:szCs w:val="20"/>
                <w:lang w:val="en-US"/>
              </w:rPr>
              <w:t>Project finance</w:t>
            </w:r>
          </w:p>
        </w:tc>
      </w:tr>
      <w:tr w:rsidR="00DB0F14" w14:paraId="2216598C" w14:textId="77777777" w:rsidTr="00F35661">
        <w:trPr>
          <w:trHeight w:val="431"/>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3DC81C21" w14:textId="77777777"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Financing vehicle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0EBF2E2" w14:textId="77777777" w:rsidR="00DB0F14" w:rsidRPr="00862411" w:rsidRDefault="00DB0F14" w:rsidP="00486106">
            <w:pPr>
              <w:suppressAutoHyphens/>
              <w:autoSpaceDE w:val="0"/>
              <w:autoSpaceDN w:val="0"/>
              <w:adjustRightInd w:val="0"/>
              <w:jc w:val="center"/>
              <w:rPr>
                <w:rFonts w:asciiTheme="majorBidi" w:hAnsiTheme="majorBidi" w:cstheme="majorBidi"/>
                <w:sz w:val="20"/>
                <w:szCs w:val="20"/>
                <w:lang w:val="en-US"/>
              </w:rPr>
            </w:pPr>
            <w:r w:rsidRPr="00862411">
              <w:rPr>
                <w:rFonts w:asciiTheme="majorBidi" w:hAnsiTheme="majorBidi" w:cstheme="majorBidi"/>
                <w:sz w:val="20"/>
                <w:szCs w:val="20"/>
                <w:lang w:val="en-US"/>
              </w:rPr>
              <w:t>Multi-purpose organization</w:t>
            </w:r>
          </w:p>
        </w:tc>
        <w:tc>
          <w:tcPr>
            <w:tcW w:w="3214" w:type="dxa"/>
            <w:tcBorders>
              <w:top w:val="single" w:sz="4" w:space="0" w:color="auto"/>
              <w:left w:val="single" w:sz="4" w:space="0" w:color="auto"/>
              <w:bottom w:val="single" w:sz="4" w:space="0" w:color="auto"/>
              <w:right w:val="single" w:sz="4" w:space="0" w:color="auto"/>
            </w:tcBorders>
            <w:vAlign w:val="center"/>
            <w:hideMark/>
          </w:tcPr>
          <w:p w14:paraId="36D19A39" w14:textId="77777777" w:rsidR="00DB0F14" w:rsidRPr="00862411" w:rsidRDefault="00DB0F14" w:rsidP="00486106">
            <w:pPr>
              <w:tabs>
                <w:tab w:val="left" w:pos="924"/>
              </w:tabs>
              <w:suppressAutoHyphens/>
              <w:autoSpaceDE w:val="0"/>
              <w:autoSpaceDN w:val="0"/>
              <w:adjustRightInd w:val="0"/>
              <w:jc w:val="center"/>
              <w:rPr>
                <w:rFonts w:asciiTheme="majorBidi" w:hAnsiTheme="majorBidi" w:cstheme="majorBidi"/>
                <w:sz w:val="20"/>
                <w:szCs w:val="20"/>
                <w:lang w:val="en-US"/>
              </w:rPr>
            </w:pPr>
            <w:r w:rsidRPr="00862411">
              <w:rPr>
                <w:rFonts w:asciiTheme="majorBidi" w:hAnsiTheme="majorBidi" w:cstheme="majorBidi"/>
                <w:sz w:val="20"/>
                <w:szCs w:val="20"/>
                <w:lang w:val="en-US"/>
              </w:rPr>
              <w:t>Single-purpose entity</w:t>
            </w:r>
          </w:p>
        </w:tc>
      </w:tr>
      <w:tr w:rsidR="00DB0F14" w14:paraId="3204F1C1" w14:textId="77777777" w:rsidTr="00F35661">
        <w:trPr>
          <w:trHeight w:val="665"/>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E76055C" w14:textId="7AD2B4B9"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Type of capital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B8686D" w14:textId="77777777" w:rsidR="00DB0F14" w:rsidRPr="00862411" w:rsidRDefault="00DB0F14" w:rsidP="00486106">
            <w:pPr>
              <w:suppressAutoHyphens/>
              <w:autoSpaceDE w:val="0"/>
              <w:autoSpaceDN w:val="0"/>
              <w:adjustRightInd w:val="0"/>
              <w:jc w:val="center"/>
              <w:rPr>
                <w:rFonts w:asciiTheme="majorBidi" w:hAnsiTheme="majorBidi" w:cstheme="majorBidi"/>
                <w:sz w:val="20"/>
                <w:szCs w:val="20"/>
              </w:rPr>
            </w:pPr>
            <w:r w:rsidRPr="00862411">
              <w:rPr>
                <w:rFonts w:asciiTheme="majorBidi" w:hAnsiTheme="majorBidi" w:cstheme="majorBidi"/>
                <w:sz w:val="20"/>
                <w:szCs w:val="20"/>
                <w:lang w:val="en-US"/>
              </w:rPr>
              <w:t>Permanent - an indefinite time horizon for equity</w:t>
            </w:r>
          </w:p>
        </w:tc>
        <w:tc>
          <w:tcPr>
            <w:tcW w:w="3214" w:type="dxa"/>
            <w:tcBorders>
              <w:top w:val="single" w:sz="4" w:space="0" w:color="auto"/>
              <w:left w:val="single" w:sz="4" w:space="0" w:color="auto"/>
              <w:bottom w:val="single" w:sz="4" w:space="0" w:color="auto"/>
              <w:right w:val="single" w:sz="4" w:space="0" w:color="auto"/>
            </w:tcBorders>
            <w:vAlign w:val="center"/>
            <w:hideMark/>
          </w:tcPr>
          <w:p w14:paraId="5D8AD472" w14:textId="1DA05833" w:rsidR="00DB0F14" w:rsidRPr="00862411" w:rsidRDefault="00DB0F14" w:rsidP="00486106">
            <w:pPr>
              <w:suppressAutoHyphens/>
              <w:autoSpaceDE w:val="0"/>
              <w:autoSpaceDN w:val="0"/>
              <w:adjustRightInd w:val="0"/>
              <w:jc w:val="center"/>
              <w:rPr>
                <w:rFonts w:asciiTheme="majorBidi" w:hAnsiTheme="majorBidi" w:cstheme="majorBidi"/>
                <w:sz w:val="20"/>
                <w:szCs w:val="20"/>
              </w:rPr>
            </w:pPr>
            <w:r w:rsidRPr="00862411">
              <w:rPr>
                <w:rFonts w:asciiTheme="majorBidi" w:hAnsiTheme="majorBidi" w:cstheme="majorBidi"/>
                <w:sz w:val="20"/>
                <w:szCs w:val="20"/>
                <w:lang w:val="en-US"/>
              </w:rPr>
              <w:t xml:space="preserve">Finite-time horizon matches </w:t>
            </w:r>
            <w:r w:rsidR="006E4774" w:rsidRPr="00862411">
              <w:rPr>
                <w:rFonts w:asciiTheme="majorBidi" w:hAnsiTheme="majorBidi" w:cstheme="majorBidi"/>
                <w:sz w:val="20"/>
                <w:szCs w:val="20"/>
                <w:lang w:val="en-US"/>
              </w:rPr>
              <w:t xml:space="preserve">the </w:t>
            </w:r>
            <w:r w:rsidRPr="00862411">
              <w:rPr>
                <w:rFonts w:asciiTheme="majorBidi" w:hAnsiTheme="majorBidi" w:cstheme="majorBidi"/>
                <w:sz w:val="20"/>
                <w:szCs w:val="20"/>
                <w:lang w:val="en-US"/>
              </w:rPr>
              <w:t xml:space="preserve">life of </w:t>
            </w:r>
            <w:r w:rsidR="006E4774" w:rsidRPr="00862411">
              <w:rPr>
                <w:rFonts w:asciiTheme="majorBidi" w:hAnsiTheme="majorBidi" w:cstheme="majorBidi"/>
                <w:sz w:val="20"/>
                <w:szCs w:val="20"/>
                <w:lang w:val="en-US"/>
              </w:rPr>
              <w:t xml:space="preserve">the </w:t>
            </w:r>
            <w:r w:rsidRPr="00862411">
              <w:rPr>
                <w:rFonts w:asciiTheme="majorBidi" w:hAnsiTheme="majorBidi" w:cstheme="majorBidi"/>
                <w:sz w:val="20"/>
                <w:szCs w:val="20"/>
                <w:lang w:val="en-US"/>
              </w:rPr>
              <w:t>project</w:t>
            </w:r>
          </w:p>
        </w:tc>
      </w:tr>
      <w:tr w:rsidR="00DB0F14" w14:paraId="104D5164" w14:textId="77777777" w:rsidTr="00F35661">
        <w:trPr>
          <w:trHeight w:val="521"/>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2BB58E0" w14:textId="006C05A9"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Collateral for financing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4D4218" w14:textId="0E904871" w:rsidR="00DB0F14" w:rsidRPr="00862411" w:rsidRDefault="00DB0F14" w:rsidP="00486106">
            <w:pPr>
              <w:suppressAutoHyphens/>
              <w:autoSpaceDE w:val="0"/>
              <w:autoSpaceDN w:val="0"/>
              <w:adjustRightInd w:val="0"/>
              <w:jc w:val="center"/>
              <w:rPr>
                <w:rFonts w:asciiTheme="majorBidi" w:hAnsiTheme="majorBidi" w:cstheme="majorBidi"/>
                <w:sz w:val="20"/>
                <w:szCs w:val="20"/>
                <w:lang w:val="en-US"/>
              </w:rPr>
            </w:pPr>
            <w:r w:rsidRPr="00862411">
              <w:rPr>
                <w:rFonts w:asciiTheme="majorBidi" w:hAnsiTheme="majorBidi" w:cstheme="majorBidi"/>
                <w:sz w:val="20"/>
                <w:szCs w:val="20"/>
                <w:lang w:val="en-US"/>
              </w:rPr>
              <w:t>Borrower</w:t>
            </w:r>
            <w:r w:rsidR="00810EC1" w:rsidRPr="00810EC1">
              <w:rPr>
                <w:rFonts w:asciiTheme="majorBidi" w:hAnsiTheme="majorBidi" w:cstheme="majorBidi"/>
                <w:sz w:val="20"/>
                <w:szCs w:val="20"/>
                <w:lang w:val="en-US"/>
              </w:rPr>
              <w:t>'</w:t>
            </w:r>
            <w:r w:rsidRPr="00862411">
              <w:rPr>
                <w:rFonts w:asciiTheme="majorBidi" w:hAnsiTheme="majorBidi" w:cstheme="majorBidi"/>
                <w:sz w:val="20"/>
                <w:szCs w:val="20"/>
                <w:lang w:val="en-US"/>
              </w:rPr>
              <w:t>s assets</w:t>
            </w:r>
          </w:p>
        </w:tc>
        <w:tc>
          <w:tcPr>
            <w:tcW w:w="3214" w:type="dxa"/>
            <w:tcBorders>
              <w:top w:val="single" w:sz="4" w:space="0" w:color="auto"/>
              <w:left w:val="single" w:sz="4" w:space="0" w:color="auto"/>
              <w:bottom w:val="single" w:sz="4" w:space="0" w:color="auto"/>
              <w:right w:val="single" w:sz="4" w:space="0" w:color="auto"/>
            </w:tcBorders>
            <w:vAlign w:val="center"/>
            <w:hideMark/>
          </w:tcPr>
          <w:p w14:paraId="76ED7FD0" w14:textId="08EE1CDF" w:rsidR="00DB0F14" w:rsidRPr="00862411" w:rsidRDefault="00DB0F14" w:rsidP="00486106">
            <w:pPr>
              <w:suppressAutoHyphens/>
              <w:autoSpaceDE w:val="0"/>
              <w:autoSpaceDN w:val="0"/>
              <w:adjustRightInd w:val="0"/>
              <w:jc w:val="center"/>
              <w:rPr>
                <w:rFonts w:asciiTheme="majorBidi" w:hAnsiTheme="majorBidi" w:cstheme="majorBidi"/>
                <w:sz w:val="20"/>
                <w:szCs w:val="20"/>
                <w:lang w:val="en-US"/>
              </w:rPr>
            </w:pPr>
            <w:r w:rsidRPr="00862411">
              <w:rPr>
                <w:rFonts w:asciiTheme="majorBidi" w:hAnsiTheme="majorBidi" w:cstheme="majorBidi"/>
                <w:sz w:val="20"/>
                <w:szCs w:val="20"/>
                <w:lang w:val="en-US"/>
              </w:rPr>
              <w:t>Project</w:t>
            </w:r>
            <w:r w:rsidR="00810EC1" w:rsidRPr="00810EC1">
              <w:rPr>
                <w:rFonts w:asciiTheme="majorBidi" w:hAnsiTheme="majorBidi" w:cstheme="majorBidi"/>
                <w:sz w:val="20"/>
                <w:szCs w:val="20"/>
                <w:lang w:val="en-US"/>
              </w:rPr>
              <w:t>'</w:t>
            </w:r>
            <w:r w:rsidRPr="00862411">
              <w:rPr>
                <w:rFonts w:asciiTheme="majorBidi" w:hAnsiTheme="majorBidi" w:cstheme="majorBidi"/>
                <w:sz w:val="20"/>
                <w:szCs w:val="20"/>
                <w:lang w:val="en-US"/>
              </w:rPr>
              <w:t>s assets</w:t>
            </w:r>
          </w:p>
        </w:tc>
      </w:tr>
      <w:tr w:rsidR="00DB0F14" w14:paraId="13389680" w14:textId="77777777" w:rsidTr="00F35661">
        <w:trPr>
          <w:trHeight w:val="521"/>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1382281" w14:textId="77777777"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Capital investment decisions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9052AD" w14:textId="77777777" w:rsidR="00DB0F14" w:rsidRPr="00862411" w:rsidRDefault="00DB0F14" w:rsidP="00486106">
            <w:pPr>
              <w:suppressAutoHyphens/>
              <w:autoSpaceDE w:val="0"/>
              <w:autoSpaceDN w:val="0"/>
              <w:adjustRightInd w:val="0"/>
              <w:jc w:val="center"/>
              <w:rPr>
                <w:rFonts w:asciiTheme="majorBidi" w:hAnsiTheme="majorBidi" w:cstheme="majorBidi"/>
                <w:sz w:val="20"/>
                <w:szCs w:val="20"/>
                <w:lang w:val="en-US"/>
              </w:rPr>
            </w:pPr>
            <w:r w:rsidRPr="00862411">
              <w:rPr>
                <w:rFonts w:asciiTheme="majorBidi" w:hAnsiTheme="majorBidi" w:cstheme="majorBidi"/>
                <w:sz w:val="20"/>
                <w:szCs w:val="20"/>
                <w:lang w:val="en-US"/>
              </w:rPr>
              <w:t>Opaque to creditors</w:t>
            </w:r>
          </w:p>
        </w:tc>
        <w:tc>
          <w:tcPr>
            <w:tcW w:w="3214" w:type="dxa"/>
            <w:tcBorders>
              <w:top w:val="single" w:sz="4" w:space="0" w:color="auto"/>
              <w:left w:val="single" w:sz="4" w:space="0" w:color="auto"/>
              <w:bottom w:val="single" w:sz="4" w:space="0" w:color="auto"/>
              <w:right w:val="single" w:sz="4" w:space="0" w:color="auto"/>
            </w:tcBorders>
            <w:vAlign w:val="center"/>
            <w:hideMark/>
          </w:tcPr>
          <w:p w14:paraId="78C0B04E" w14:textId="777FD2AB" w:rsidR="00DB0F14" w:rsidRPr="00862411" w:rsidRDefault="00DB0F14" w:rsidP="00486106">
            <w:pPr>
              <w:suppressAutoHyphens/>
              <w:autoSpaceDE w:val="0"/>
              <w:autoSpaceDN w:val="0"/>
              <w:adjustRightInd w:val="0"/>
              <w:jc w:val="center"/>
              <w:rPr>
                <w:rFonts w:asciiTheme="majorBidi" w:hAnsiTheme="majorBidi" w:cstheme="majorBidi"/>
                <w:sz w:val="20"/>
                <w:szCs w:val="20"/>
                <w:lang w:val="en-US"/>
              </w:rPr>
            </w:pPr>
            <w:r w:rsidRPr="00862411">
              <w:rPr>
                <w:rFonts w:asciiTheme="majorBidi" w:hAnsiTheme="majorBidi" w:cstheme="majorBidi"/>
                <w:sz w:val="20"/>
                <w:szCs w:val="20"/>
                <w:lang w:val="en-US"/>
              </w:rPr>
              <w:t>Highly transparent to</w:t>
            </w:r>
            <w:r w:rsidR="00A03364" w:rsidRPr="00862411">
              <w:rPr>
                <w:rFonts w:asciiTheme="majorBidi" w:hAnsiTheme="majorBidi" w:cstheme="majorBidi"/>
                <w:sz w:val="20"/>
                <w:szCs w:val="20"/>
                <w:lang w:val="en-US"/>
              </w:rPr>
              <w:t xml:space="preserve"> creditors</w:t>
            </w:r>
          </w:p>
        </w:tc>
      </w:tr>
      <w:tr w:rsidR="00DB0F14" w14:paraId="6B827A31" w14:textId="77777777" w:rsidTr="00F35661">
        <w:trPr>
          <w:trHeight w:val="62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CF27135" w14:textId="425292A0"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 xml:space="preserve">Accounting treatment of equity at </w:t>
            </w:r>
            <w:r w:rsidR="00325B60">
              <w:rPr>
                <w:rFonts w:asciiTheme="majorBidi" w:hAnsiTheme="majorBidi" w:cstheme="majorBidi"/>
                <w:b/>
                <w:bCs/>
                <w:sz w:val="20"/>
                <w:szCs w:val="20"/>
                <w:lang w:val="en-GB"/>
              </w:rPr>
              <w:t xml:space="preserve">the </w:t>
            </w:r>
            <w:r w:rsidRPr="00862411">
              <w:rPr>
                <w:rFonts w:asciiTheme="majorBidi" w:hAnsiTheme="majorBidi" w:cstheme="majorBidi"/>
                <w:b/>
                <w:bCs/>
                <w:sz w:val="20"/>
                <w:szCs w:val="20"/>
                <w:lang w:val="en-GB"/>
              </w:rPr>
              <w:t>sponsor level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EDEDBE" w14:textId="32B8D45B"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On-balance sheet</w:t>
            </w:r>
          </w:p>
        </w:tc>
        <w:tc>
          <w:tcPr>
            <w:tcW w:w="3214" w:type="dxa"/>
            <w:tcBorders>
              <w:top w:val="single" w:sz="4" w:space="0" w:color="auto"/>
              <w:left w:val="single" w:sz="4" w:space="0" w:color="auto"/>
              <w:bottom w:val="single" w:sz="4" w:space="0" w:color="auto"/>
              <w:right w:val="single" w:sz="4" w:space="0" w:color="auto"/>
            </w:tcBorders>
            <w:vAlign w:val="center"/>
            <w:hideMark/>
          </w:tcPr>
          <w:p w14:paraId="71C69D03" w14:textId="77777777" w:rsidR="00DB0F14" w:rsidRPr="00862411" w:rsidRDefault="00DB0F14" w:rsidP="00486106">
            <w:pPr>
              <w:suppressAutoHyphens/>
              <w:jc w:val="center"/>
              <w:rPr>
                <w:rFonts w:asciiTheme="majorBidi" w:hAnsiTheme="majorBidi" w:cstheme="majorBidi"/>
                <w:sz w:val="20"/>
                <w:szCs w:val="20"/>
              </w:rPr>
            </w:pPr>
            <w:r w:rsidRPr="00862411">
              <w:rPr>
                <w:rFonts w:asciiTheme="majorBidi" w:hAnsiTheme="majorBidi" w:cstheme="majorBidi"/>
                <w:sz w:val="20"/>
                <w:szCs w:val="20"/>
                <w:lang w:val="en-US"/>
              </w:rPr>
              <w:t>Off-balance sheet</w:t>
            </w:r>
          </w:p>
        </w:tc>
      </w:tr>
      <w:tr w:rsidR="00DB0F14" w14:paraId="54B920B0" w14:textId="77777777" w:rsidTr="00F35661">
        <w:trPr>
          <w:trHeight w:val="89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7969E9E" w14:textId="6D99C9B7"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Main variables considered when granting credit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4FCDC5" w14:textId="77B772CF"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Customer relations, financial soundness, profitability, company assets</w:t>
            </w:r>
          </w:p>
        </w:tc>
        <w:tc>
          <w:tcPr>
            <w:tcW w:w="3214" w:type="dxa"/>
            <w:tcBorders>
              <w:top w:val="single" w:sz="4" w:space="0" w:color="auto"/>
              <w:left w:val="single" w:sz="4" w:space="0" w:color="auto"/>
              <w:bottom w:val="single" w:sz="4" w:space="0" w:color="auto"/>
              <w:right w:val="single" w:sz="4" w:space="0" w:color="auto"/>
            </w:tcBorders>
            <w:vAlign w:val="center"/>
            <w:hideMark/>
          </w:tcPr>
          <w:p w14:paraId="6895C526" w14:textId="7CF6CC29"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Future cash flows</w:t>
            </w:r>
          </w:p>
        </w:tc>
      </w:tr>
      <w:tr w:rsidR="00DB0F14" w14:paraId="0B088256" w14:textId="77777777" w:rsidTr="00F35661">
        <w:trPr>
          <w:trHeight w:val="44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5D27F0A1" w14:textId="3FDC659F"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Cost of capital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473185" w14:textId="693DAFCC"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Relatively lower</w:t>
            </w:r>
          </w:p>
        </w:tc>
        <w:tc>
          <w:tcPr>
            <w:tcW w:w="3214" w:type="dxa"/>
            <w:tcBorders>
              <w:top w:val="single" w:sz="4" w:space="0" w:color="auto"/>
              <w:left w:val="single" w:sz="4" w:space="0" w:color="auto"/>
              <w:bottom w:val="single" w:sz="4" w:space="0" w:color="auto"/>
              <w:right w:val="single" w:sz="4" w:space="0" w:color="auto"/>
            </w:tcBorders>
            <w:vAlign w:val="center"/>
            <w:hideMark/>
          </w:tcPr>
          <w:p w14:paraId="26439DC6" w14:textId="77777777"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Relatively higher</w:t>
            </w:r>
          </w:p>
        </w:tc>
      </w:tr>
      <w:tr w:rsidR="00DB0F14" w14:paraId="7A967946" w14:textId="77777777" w:rsidTr="00F35661">
        <w:trPr>
          <w:trHeight w:val="701"/>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07CC2B4" w14:textId="77777777"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Investor/lender base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466CB3" w14:textId="3ECF294C" w:rsidR="00DB0F14" w:rsidRPr="00862411" w:rsidRDefault="00DB0F14" w:rsidP="00486106">
            <w:pPr>
              <w:suppressAutoHyphens/>
              <w:autoSpaceDE w:val="0"/>
              <w:autoSpaceDN w:val="0"/>
              <w:adjustRightInd w:val="0"/>
              <w:jc w:val="center"/>
              <w:rPr>
                <w:rFonts w:asciiTheme="majorBidi" w:hAnsiTheme="majorBidi" w:cstheme="majorBidi"/>
                <w:sz w:val="20"/>
                <w:szCs w:val="20"/>
              </w:rPr>
            </w:pPr>
            <w:r w:rsidRPr="00862411">
              <w:rPr>
                <w:rFonts w:asciiTheme="majorBidi" w:hAnsiTheme="majorBidi" w:cstheme="majorBidi"/>
                <w:sz w:val="20"/>
                <w:szCs w:val="20"/>
                <w:lang w:val="en-US"/>
              </w:rPr>
              <w:t>Typically, broader participation</w:t>
            </w:r>
            <w:r w:rsidR="004867C3">
              <w:rPr>
                <w:rFonts w:asciiTheme="majorBidi" w:hAnsiTheme="majorBidi" w:cstheme="majorBidi"/>
                <w:sz w:val="20"/>
                <w:szCs w:val="20"/>
                <w:lang w:val="en-US"/>
              </w:rPr>
              <w:t>,</w:t>
            </w:r>
            <w:r w:rsidRPr="00862411">
              <w:rPr>
                <w:rFonts w:asciiTheme="majorBidi" w:hAnsiTheme="majorBidi" w:cstheme="majorBidi"/>
                <w:sz w:val="20"/>
                <w:szCs w:val="20"/>
                <w:lang w:val="en-US"/>
              </w:rPr>
              <w:t xml:space="preserve"> deep secondary markets</w:t>
            </w:r>
          </w:p>
        </w:tc>
        <w:tc>
          <w:tcPr>
            <w:tcW w:w="3214" w:type="dxa"/>
            <w:tcBorders>
              <w:top w:val="single" w:sz="4" w:space="0" w:color="auto"/>
              <w:left w:val="single" w:sz="4" w:space="0" w:color="auto"/>
              <w:bottom w:val="single" w:sz="4" w:space="0" w:color="auto"/>
              <w:right w:val="single" w:sz="4" w:space="0" w:color="auto"/>
            </w:tcBorders>
            <w:vAlign w:val="center"/>
            <w:hideMark/>
          </w:tcPr>
          <w:p w14:paraId="01C4EBCB" w14:textId="6495EB12" w:rsidR="00DB0F14" w:rsidRPr="00862411" w:rsidRDefault="00DB0F14" w:rsidP="00486106">
            <w:pPr>
              <w:suppressAutoHyphens/>
              <w:autoSpaceDE w:val="0"/>
              <w:autoSpaceDN w:val="0"/>
              <w:adjustRightInd w:val="0"/>
              <w:jc w:val="center"/>
              <w:rPr>
                <w:rFonts w:asciiTheme="majorBidi" w:hAnsiTheme="majorBidi" w:cstheme="majorBidi"/>
                <w:sz w:val="20"/>
                <w:szCs w:val="20"/>
              </w:rPr>
            </w:pPr>
            <w:r w:rsidRPr="00862411">
              <w:rPr>
                <w:rFonts w:asciiTheme="majorBidi" w:hAnsiTheme="majorBidi" w:cstheme="majorBidi"/>
                <w:sz w:val="20"/>
                <w:szCs w:val="20"/>
                <w:lang w:val="en-US"/>
              </w:rPr>
              <w:t xml:space="preserve">Typically, </w:t>
            </w:r>
            <w:r w:rsidR="006E4774" w:rsidRPr="00862411">
              <w:rPr>
                <w:rFonts w:asciiTheme="majorBidi" w:hAnsiTheme="majorBidi" w:cstheme="majorBidi"/>
                <w:sz w:val="20"/>
                <w:szCs w:val="20"/>
                <w:lang w:val="en-US"/>
              </w:rPr>
              <w:t xml:space="preserve">a </w:t>
            </w:r>
            <w:r w:rsidRPr="00862411">
              <w:rPr>
                <w:rFonts w:asciiTheme="majorBidi" w:hAnsiTheme="majorBidi" w:cstheme="majorBidi"/>
                <w:sz w:val="20"/>
                <w:szCs w:val="20"/>
                <w:lang w:val="en-US"/>
              </w:rPr>
              <w:t>smaller group</w:t>
            </w:r>
            <w:r w:rsidR="004867C3">
              <w:rPr>
                <w:rFonts w:asciiTheme="majorBidi" w:hAnsiTheme="majorBidi" w:cstheme="majorBidi"/>
                <w:sz w:val="20"/>
                <w:szCs w:val="20"/>
                <w:lang w:val="en-US"/>
              </w:rPr>
              <w:t>,</w:t>
            </w:r>
            <w:r w:rsidRPr="00862411">
              <w:rPr>
                <w:rFonts w:asciiTheme="majorBidi" w:hAnsiTheme="majorBidi" w:cstheme="majorBidi"/>
                <w:sz w:val="20"/>
                <w:szCs w:val="20"/>
                <w:lang w:val="en-US"/>
              </w:rPr>
              <w:t xml:space="preserve"> limited secondary markets</w:t>
            </w:r>
          </w:p>
        </w:tc>
      </w:tr>
      <w:tr w:rsidR="00DB0F14" w14:paraId="5ED8544A" w14:textId="77777777" w:rsidTr="00F35661">
        <w:trPr>
          <w:trHeight w:val="98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9B76AEA" w14:textId="05334D39"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Control and monitoring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7DE593" w14:textId="20B6CCEF" w:rsidR="00DB0F14" w:rsidRPr="00862411" w:rsidRDefault="006E4774" w:rsidP="00486106">
            <w:pPr>
              <w:pStyle w:val="Default"/>
              <w:suppressAutoHyphens/>
              <w:jc w:val="center"/>
              <w:rPr>
                <w:rFonts w:asciiTheme="majorBidi" w:hAnsiTheme="majorBidi" w:cstheme="majorBidi"/>
                <w:sz w:val="20"/>
                <w:szCs w:val="20"/>
              </w:rPr>
            </w:pPr>
            <w:r w:rsidRPr="004568F8">
              <w:rPr>
                <w:rFonts w:asciiTheme="majorBidi" w:hAnsiTheme="majorBidi" w:cstheme="majorBidi"/>
                <w:sz w:val="20"/>
                <w:szCs w:val="20"/>
                <w:lang w:val="en-GB"/>
              </w:rPr>
              <w:t>C</w:t>
            </w:r>
            <w:r w:rsidR="00DB0F14" w:rsidRPr="004568F8">
              <w:rPr>
                <w:rFonts w:asciiTheme="majorBidi" w:hAnsiTheme="majorBidi" w:cstheme="majorBidi"/>
                <w:sz w:val="20"/>
                <w:szCs w:val="20"/>
                <w:lang w:val="en-GB"/>
              </w:rPr>
              <w:t xml:space="preserve">orporate performance monitored by the board of directors </w:t>
            </w:r>
            <w:r w:rsidRPr="004568F8">
              <w:rPr>
                <w:rFonts w:asciiTheme="majorBidi" w:hAnsiTheme="majorBidi" w:cstheme="majorBidi"/>
                <w:sz w:val="20"/>
                <w:szCs w:val="20"/>
                <w:lang w:val="en-GB"/>
              </w:rPr>
              <w:t>on</w:t>
            </w:r>
            <w:r w:rsidR="00DB0F14" w:rsidRPr="004568F8">
              <w:rPr>
                <w:rFonts w:asciiTheme="majorBidi" w:hAnsiTheme="majorBidi" w:cstheme="majorBidi"/>
                <w:sz w:val="20"/>
                <w:szCs w:val="20"/>
                <w:lang w:val="en-GB"/>
              </w:rPr>
              <w:t xml:space="preserve"> behalf of the shareholders</w:t>
            </w:r>
          </w:p>
        </w:tc>
        <w:tc>
          <w:tcPr>
            <w:tcW w:w="3214" w:type="dxa"/>
            <w:tcBorders>
              <w:top w:val="single" w:sz="4" w:space="0" w:color="auto"/>
              <w:left w:val="single" w:sz="4" w:space="0" w:color="auto"/>
              <w:bottom w:val="single" w:sz="4" w:space="0" w:color="auto"/>
              <w:right w:val="single" w:sz="4" w:space="0" w:color="auto"/>
            </w:tcBorders>
            <w:vAlign w:val="center"/>
            <w:hideMark/>
          </w:tcPr>
          <w:p w14:paraId="74DD0A12" w14:textId="5F31513C" w:rsidR="00DB0F14" w:rsidRPr="00862411" w:rsidRDefault="0013791B" w:rsidP="00486106">
            <w:pPr>
              <w:suppressAutoHyphens/>
              <w:autoSpaceDE w:val="0"/>
              <w:autoSpaceDN w:val="0"/>
              <w:adjustRightInd w:val="0"/>
              <w:jc w:val="center"/>
              <w:rPr>
                <w:rFonts w:asciiTheme="majorBidi" w:hAnsiTheme="majorBidi" w:cstheme="majorBidi"/>
                <w:sz w:val="20"/>
                <w:szCs w:val="20"/>
                <w:lang w:val="en-US"/>
              </w:rPr>
            </w:pPr>
            <w:r>
              <w:rPr>
                <w:rFonts w:asciiTheme="majorBidi" w:hAnsiTheme="majorBidi" w:cstheme="majorBidi"/>
                <w:sz w:val="20"/>
                <w:szCs w:val="20"/>
                <w:lang w:val="en-US"/>
              </w:rPr>
              <w:t>C</w:t>
            </w:r>
            <w:r w:rsidR="00DB0F14" w:rsidRPr="00862411">
              <w:rPr>
                <w:rFonts w:asciiTheme="majorBidi" w:hAnsiTheme="majorBidi" w:cstheme="majorBidi"/>
                <w:sz w:val="20"/>
                <w:szCs w:val="20"/>
                <w:lang w:val="en-US"/>
              </w:rPr>
              <w:t>ontrol by management but bound by contractual arrangements that facilitate monitoring by investors</w:t>
            </w:r>
          </w:p>
        </w:tc>
      </w:tr>
      <w:tr w:rsidR="00DB0F14" w14:paraId="3B5133CE" w14:textId="77777777" w:rsidTr="00F35661">
        <w:trPr>
          <w:trHeight w:val="683"/>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2C268F8C" w14:textId="1C2629A0" w:rsidR="00DB0F14" w:rsidRPr="00862411" w:rsidRDefault="00DB0F14" w:rsidP="00486106">
            <w:pPr>
              <w:pStyle w:val="Default"/>
              <w:suppressAutoHyphens/>
              <w:jc w:val="center"/>
              <w:rPr>
                <w:rFonts w:asciiTheme="majorBidi" w:hAnsiTheme="majorBidi" w:cstheme="majorBidi"/>
                <w:b/>
                <w:bCs/>
                <w:sz w:val="20"/>
                <w:szCs w:val="20"/>
                <w:lang w:val="en-GB"/>
              </w:rPr>
            </w:pPr>
            <w:r w:rsidRPr="00862411">
              <w:rPr>
                <w:rFonts w:asciiTheme="majorBidi" w:hAnsiTheme="majorBidi" w:cstheme="majorBidi"/>
                <w:b/>
                <w:bCs/>
                <w:sz w:val="20"/>
                <w:szCs w:val="20"/>
                <w:lang w:val="en-GB"/>
              </w:rPr>
              <w:t>Financial flexibility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5DC094" w14:textId="7E8E24A2"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Financing can typically be arranged quickly</w:t>
            </w:r>
          </w:p>
        </w:tc>
        <w:tc>
          <w:tcPr>
            <w:tcW w:w="3214" w:type="dxa"/>
            <w:tcBorders>
              <w:top w:val="single" w:sz="4" w:space="0" w:color="auto"/>
              <w:left w:val="single" w:sz="4" w:space="0" w:color="auto"/>
              <w:bottom w:val="single" w:sz="4" w:space="0" w:color="auto"/>
              <w:right w:val="single" w:sz="4" w:space="0" w:color="auto"/>
            </w:tcBorders>
            <w:vAlign w:val="center"/>
            <w:hideMark/>
          </w:tcPr>
          <w:p w14:paraId="4DB1DBFC" w14:textId="502FBF08" w:rsidR="00DB0F14" w:rsidRPr="00862411" w:rsidRDefault="00DB0F14" w:rsidP="00486106">
            <w:pPr>
              <w:pStyle w:val="Default"/>
              <w:suppressAutoHyphens/>
              <w:jc w:val="center"/>
              <w:rPr>
                <w:rFonts w:asciiTheme="majorBidi" w:hAnsiTheme="majorBidi" w:cstheme="majorBidi"/>
                <w:sz w:val="20"/>
                <w:szCs w:val="20"/>
                <w:lang w:val="en-GB"/>
              </w:rPr>
            </w:pPr>
            <w:r w:rsidRPr="00862411">
              <w:rPr>
                <w:rFonts w:asciiTheme="majorBidi" w:hAnsiTheme="majorBidi" w:cstheme="majorBidi"/>
                <w:sz w:val="20"/>
                <w:szCs w:val="20"/>
                <w:lang w:val="en-GB"/>
              </w:rPr>
              <w:t>Higher information, contracting, and transaction costs are involved</w:t>
            </w:r>
          </w:p>
        </w:tc>
      </w:tr>
    </w:tbl>
    <w:p w14:paraId="0E94DAD6" w14:textId="26C9E09B" w:rsidR="007F3C48" w:rsidRPr="007F3C48" w:rsidRDefault="007F3C48" w:rsidP="000716AE">
      <w:pPr>
        <w:spacing w:before="240" w:after="0" w:line="360" w:lineRule="auto"/>
        <w:jc w:val="both"/>
        <w:rPr>
          <w:rFonts w:asciiTheme="majorBidi" w:hAnsiTheme="majorBidi" w:cstheme="majorBidi"/>
        </w:rPr>
      </w:pPr>
      <w:r w:rsidRPr="00345605">
        <w:rPr>
          <w:rFonts w:asciiTheme="majorBidi" w:hAnsiTheme="majorBidi" w:cstheme="majorBidi"/>
          <w:i/>
          <w:iCs/>
          <w:lang w:val="en-US"/>
        </w:rPr>
        <w:t xml:space="preserve">Sources: </w:t>
      </w:r>
      <w:r w:rsidR="00950FC7" w:rsidRPr="009738BC">
        <w:rPr>
          <w:rFonts w:ascii="Times New Roman" w:hAnsi="Times New Roman" w:cs="Times New Roman"/>
          <w:lang w:val="en-US"/>
        </w:rPr>
        <w:t xml:space="preserve">compiled by </w:t>
      </w:r>
      <w:r w:rsidR="00950FC7">
        <w:rPr>
          <w:rFonts w:ascii="Times New Roman" w:hAnsi="Times New Roman" w:cs="Times New Roman"/>
          <w:lang w:val="en-US"/>
        </w:rPr>
        <w:t xml:space="preserve">the </w:t>
      </w:r>
      <w:r w:rsidR="00950FC7" w:rsidRPr="009738BC">
        <w:rPr>
          <w:rFonts w:ascii="Times New Roman" w:hAnsi="Times New Roman" w:cs="Times New Roman"/>
          <w:lang w:val="en-US"/>
        </w:rPr>
        <w:t>author based on</w:t>
      </w:r>
      <w:r w:rsidR="00950FC7" w:rsidRPr="00345605">
        <w:rPr>
          <w:rFonts w:ascii="Times New Roman" w:hAnsi="Times New Roman" w:cs="Times New Roman"/>
          <w:lang w:val="en-US"/>
        </w:rPr>
        <w:t xml:space="preserve"> </w:t>
      </w:r>
      <w:r w:rsidRPr="00345605">
        <w:rPr>
          <w:rFonts w:asciiTheme="majorBidi" w:hAnsiTheme="majorBidi" w:cstheme="majorBidi"/>
          <w:lang w:val="en-US"/>
        </w:rPr>
        <w:t xml:space="preserve">Caselli and </w:t>
      </w:r>
      <w:r w:rsidR="00345605" w:rsidRPr="00345605">
        <w:rPr>
          <w:rFonts w:asciiTheme="majorBidi" w:hAnsiTheme="majorBidi" w:cstheme="majorBidi"/>
          <w:lang w:val="en-US"/>
        </w:rPr>
        <w:t>Gatti</w:t>
      </w:r>
      <w:r w:rsidR="00950FC7">
        <w:rPr>
          <w:rFonts w:asciiTheme="majorBidi" w:hAnsiTheme="majorBidi" w:cstheme="majorBidi"/>
          <w:lang w:val="en-US"/>
        </w:rPr>
        <w:t>.</w:t>
      </w:r>
      <w:r w:rsidR="00AF1F72">
        <w:rPr>
          <w:rStyle w:val="FootnoteReference"/>
          <w:rFonts w:asciiTheme="majorBidi" w:hAnsiTheme="majorBidi" w:cstheme="majorBidi"/>
          <w:lang w:val="en-US"/>
        </w:rPr>
        <w:footnoteReference w:id="18"/>
      </w:r>
    </w:p>
    <w:p w14:paraId="0FA4B7D5" w14:textId="01E740F9" w:rsidR="00595D27" w:rsidRDefault="00317813" w:rsidP="00486106">
      <w:pPr>
        <w:suppressAutoHyphens/>
        <w:spacing w:before="240" w:line="360" w:lineRule="auto"/>
        <w:ind w:firstLine="567"/>
        <w:jc w:val="both"/>
        <w:rPr>
          <w:rFonts w:asciiTheme="majorBidi" w:hAnsiTheme="majorBidi" w:cstheme="majorBidi"/>
          <w:sz w:val="24"/>
          <w:szCs w:val="24"/>
        </w:rPr>
      </w:pPr>
      <w:r w:rsidRPr="00317813">
        <w:rPr>
          <w:rFonts w:asciiTheme="majorBidi" w:hAnsiTheme="majorBidi" w:cstheme="majorBidi"/>
          <w:sz w:val="24"/>
          <w:szCs w:val="24"/>
        </w:rPr>
        <w:t>Forfaiting, which is the sale of claims (namely the private contractor</w:t>
      </w:r>
      <w:r w:rsidR="00810EC1" w:rsidRPr="00810EC1">
        <w:rPr>
          <w:rFonts w:ascii="Times New Roman" w:hAnsi="Times New Roman" w:cs="Times New Roman"/>
          <w:sz w:val="24"/>
          <w:szCs w:val="24"/>
        </w:rPr>
        <w:t>'</w:t>
      </w:r>
      <w:r w:rsidRPr="00317813">
        <w:rPr>
          <w:rFonts w:asciiTheme="majorBidi" w:hAnsiTheme="majorBidi" w:cstheme="majorBidi"/>
          <w:sz w:val="24"/>
          <w:szCs w:val="24"/>
        </w:rPr>
        <w:t>s receivables from the PPP contract with the public procurer) to a bank which consequently</w:t>
      </w:r>
      <w:r w:rsidR="00374A9E">
        <w:rPr>
          <w:rFonts w:asciiTheme="majorBidi" w:hAnsiTheme="majorBidi" w:cstheme="majorBidi"/>
          <w:sz w:val="24"/>
          <w:szCs w:val="24"/>
        </w:rPr>
        <w:t xml:space="preserve"> </w:t>
      </w:r>
      <w:r w:rsidRPr="00317813">
        <w:rPr>
          <w:rFonts w:asciiTheme="majorBidi" w:hAnsiTheme="majorBidi" w:cstheme="majorBidi"/>
          <w:sz w:val="24"/>
          <w:szCs w:val="24"/>
        </w:rPr>
        <w:t xml:space="preserve">has to collect unitary payments from the public partner. Forfaiting in PPPs is combined with a waiver of claims (also called a waiver of </w:t>
      </w:r>
      <w:r w:rsidRPr="00317813">
        <w:rPr>
          <w:rFonts w:asciiTheme="majorBidi" w:hAnsiTheme="majorBidi" w:cstheme="majorBidi"/>
          <w:sz w:val="24"/>
          <w:szCs w:val="24"/>
        </w:rPr>
        <w:lastRenderedPageBreak/>
        <w:t>objection), which is an agreement specifying that the public procurer waives its right to reduce or suspend the unitary payments in case of deficient performance by the private contractor</w:t>
      </w:r>
      <w:r w:rsidR="00595D27">
        <w:rPr>
          <w:rFonts w:asciiTheme="majorBidi" w:hAnsiTheme="majorBidi" w:cstheme="majorBidi"/>
          <w:sz w:val="24"/>
          <w:szCs w:val="24"/>
        </w:rPr>
        <w:t>.</w:t>
      </w:r>
    </w:p>
    <w:p w14:paraId="1FF4758D" w14:textId="79DE7DAB" w:rsidR="00766F8F" w:rsidRPr="00595D27" w:rsidRDefault="00595D27" w:rsidP="00486106">
      <w:pPr>
        <w:suppressAutoHyphens/>
        <w:spacing w:line="360" w:lineRule="auto"/>
        <w:ind w:firstLine="567"/>
        <w:jc w:val="both"/>
        <w:rPr>
          <w:rFonts w:asciiTheme="majorBidi" w:hAnsiTheme="majorBidi" w:cstheme="majorBidi"/>
          <w:sz w:val="24"/>
          <w:szCs w:val="24"/>
        </w:rPr>
      </w:pPr>
      <w:r w:rsidRPr="00595D27">
        <w:rPr>
          <w:rFonts w:asciiTheme="majorBidi" w:hAnsiTheme="majorBidi" w:cstheme="majorBidi"/>
          <w:sz w:val="24"/>
          <w:szCs w:val="24"/>
        </w:rPr>
        <w:t>Under project finance and Forfaiting</w:t>
      </w:r>
      <w:r>
        <w:rPr>
          <w:rFonts w:asciiTheme="majorBidi" w:hAnsiTheme="majorBidi" w:cstheme="majorBidi"/>
          <w:sz w:val="24"/>
          <w:szCs w:val="24"/>
        </w:rPr>
        <w:t xml:space="preserve">, </w:t>
      </w:r>
      <w:r w:rsidRPr="00595D27">
        <w:rPr>
          <w:rFonts w:asciiTheme="majorBidi" w:hAnsiTheme="majorBidi" w:cstheme="majorBidi"/>
          <w:sz w:val="24"/>
          <w:szCs w:val="24"/>
        </w:rPr>
        <w:t>the high capital investment phase is mostly financed with debt “highly leveraged projects”</w:t>
      </w:r>
      <w:r>
        <w:rPr>
          <w:rFonts w:asciiTheme="majorBidi" w:hAnsiTheme="majorBidi" w:cstheme="majorBidi"/>
          <w:sz w:val="24"/>
          <w:szCs w:val="24"/>
        </w:rPr>
        <w:t xml:space="preserve">, </w:t>
      </w:r>
      <w:r w:rsidRPr="00595D27">
        <w:rPr>
          <w:rFonts w:asciiTheme="majorBidi" w:hAnsiTheme="majorBidi" w:cstheme="majorBidi"/>
          <w:i/>
          <w:iCs/>
          <w:sz w:val="24"/>
          <w:szCs w:val="24"/>
        </w:rPr>
        <w:t xml:space="preserve">Table </w:t>
      </w:r>
      <w:r w:rsidR="00D571FA">
        <w:rPr>
          <w:rFonts w:asciiTheme="majorBidi" w:hAnsiTheme="majorBidi" w:cstheme="majorBidi"/>
          <w:i/>
          <w:iCs/>
          <w:sz w:val="24"/>
          <w:szCs w:val="24"/>
        </w:rPr>
        <w:t>1.</w:t>
      </w:r>
      <w:r w:rsidRPr="00595D27">
        <w:rPr>
          <w:rFonts w:asciiTheme="majorBidi" w:hAnsiTheme="majorBidi" w:cstheme="majorBidi"/>
          <w:i/>
          <w:iCs/>
          <w:sz w:val="24"/>
          <w:szCs w:val="24"/>
        </w:rPr>
        <w:t>2</w:t>
      </w:r>
      <w:r>
        <w:rPr>
          <w:rFonts w:asciiTheme="majorBidi" w:hAnsiTheme="majorBidi" w:cstheme="majorBidi"/>
          <w:sz w:val="24"/>
          <w:szCs w:val="24"/>
        </w:rPr>
        <w:t xml:space="preserve"> </w:t>
      </w:r>
      <w:r>
        <w:rPr>
          <w:rFonts w:ascii="Times New Roman" w:hAnsi="Times New Roman" w:cs="Times New Roman"/>
          <w:sz w:val="24"/>
          <w:szCs w:val="24"/>
          <w:lang w:val="en-US"/>
        </w:rPr>
        <w:t xml:space="preserve">provides an overview </w:t>
      </w:r>
      <w:r w:rsidR="00317813">
        <w:rPr>
          <w:rFonts w:ascii="Times New Roman" w:hAnsi="Times New Roman" w:cs="Times New Roman"/>
          <w:sz w:val="24"/>
          <w:szCs w:val="24"/>
          <w:lang w:val="en-US"/>
        </w:rPr>
        <w:t>of</w:t>
      </w:r>
      <w:r>
        <w:rPr>
          <w:rFonts w:ascii="Times New Roman" w:hAnsi="Times New Roman" w:cs="Times New Roman"/>
          <w:sz w:val="24"/>
          <w:szCs w:val="24"/>
          <w:lang w:val="en-US"/>
        </w:rPr>
        <w:t xml:space="preserve"> the differences between project finance and forfaiting.</w:t>
      </w:r>
    </w:p>
    <w:p w14:paraId="5CEA4CF6" w14:textId="047E8204" w:rsidR="00BF71E8" w:rsidRPr="000716AE" w:rsidRDefault="00BF71E8" w:rsidP="00486106">
      <w:pPr>
        <w:suppressAutoHyphens/>
        <w:spacing w:after="0" w:line="360" w:lineRule="auto"/>
        <w:jc w:val="right"/>
        <w:rPr>
          <w:rFonts w:asciiTheme="majorBidi" w:hAnsiTheme="majorBidi" w:cstheme="majorBidi"/>
          <w:i/>
          <w:iCs/>
          <w:sz w:val="24"/>
          <w:szCs w:val="24"/>
        </w:rPr>
      </w:pPr>
      <w:r w:rsidRPr="000716AE">
        <w:rPr>
          <w:rFonts w:asciiTheme="majorBidi" w:hAnsiTheme="majorBidi" w:cstheme="majorBidi"/>
          <w:i/>
          <w:iCs/>
          <w:sz w:val="24"/>
          <w:szCs w:val="24"/>
        </w:rPr>
        <w:t xml:space="preserve">Table </w:t>
      </w:r>
      <w:r w:rsidR="000716AE" w:rsidRPr="000716AE">
        <w:rPr>
          <w:rFonts w:asciiTheme="majorBidi" w:hAnsiTheme="majorBidi" w:cstheme="majorBidi"/>
          <w:i/>
          <w:iCs/>
          <w:sz w:val="24"/>
          <w:szCs w:val="24"/>
        </w:rPr>
        <w:t>1.</w:t>
      </w:r>
      <w:r w:rsidR="00697D02" w:rsidRPr="000716AE">
        <w:rPr>
          <w:rFonts w:asciiTheme="majorBidi" w:hAnsiTheme="majorBidi" w:cstheme="majorBidi"/>
          <w:i/>
          <w:iCs/>
          <w:sz w:val="24"/>
          <w:szCs w:val="24"/>
        </w:rPr>
        <w:fldChar w:fldCharType="begin"/>
      </w:r>
      <w:r w:rsidR="00697D02" w:rsidRPr="000716AE">
        <w:rPr>
          <w:rFonts w:asciiTheme="majorBidi" w:hAnsiTheme="majorBidi" w:cstheme="majorBidi"/>
          <w:i/>
          <w:iCs/>
          <w:sz w:val="24"/>
          <w:szCs w:val="24"/>
        </w:rPr>
        <w:instrText xml:space="preserve"> SEQ Table \* ARABIC </w:instrText>
      </w:r>
      <w:r w:rsidR="00697D02" w:rsidRPr="000716AE">
        <w:rPr>
          <w:rFonts w:asciiTheme="majorBidi" w:hAnsiTheme="majorBidi" w:cstheme="majorBidi"/>
          <w:i/>
          <w:iCs/>
          <w:sz w:val="24"/>
          <w:szCs w:val="24"/>
        </w:rPr>
        <w:fldChar w:fldCharType="separate"/>
      </w:r>
      <w:r w:rsidR="0071318D">
        <w:rPr>
          <w:rFonts w:asciiTheme="majorBidi" w:hAnsiTheme="majorBidi" w:cstheme="majorBidi"/>
          <w:i/>
          <w:iCs/>
          <w:noProof/>
          <w:sz w:val="24"/>
          <w:szCs w:val="24"/>
        </w:rPr>
        <w:t>2</w:t>
      </w:r>
      <w:r w:rsidR="00697D02" w:rsidRPr="000716AE">
        <w:rPr>
          <w:rFonts w:asciiTheme="majorBidi" w:hAnsiTheme="majorBidi" w:cstheme="majorBidi"/>
          <w:i/>
          <w:iCs/>
          <w:sz w:val="24"/>
          <w:szCs w:val="24"/>
        </w:rPr>
        <w:fldChar w:fldCharType="end"/>
      </w:r>
    </w:p>
    <w:p w14:paraId="4D169208" w14:textId="77777777" w:rsidR="00BF71E8" w:rsidRPr="00454CA4" w:rsidRDefault="00BF71E8" w:rsidP="00486106">
      <w:pPr>
        <w:suppressAutoHyphens/>
        <w:spacing w:line="360" w:lineRule="auto"/>
        <w:jc w:val="center"/>
        <w:rPr>
          <w:rFonts w:asciiTheme="majorBidi" w:hAnsiTheme="majorBidi" w:cstheme="majorBidi"/>
          <w:sz w:val="24"/>
          <w:szCs w:val="24"/>
        </w:rPr>
      </w:pPr>
      <w:r w:rsidRPr="00454CA4">
        <w:rPr>
          <w:rFonts w:asciiTheme="majorBidi" w:hAnsiTheme="majorBidi" w:cstheme="majorBidi"/>
          <w:sz w:val="24"/>
          <w:szCs w:val="24"/>
        </w:rPr>
        <w:t>Main differences between project finance and corporate finance forfaiting</w:t>
      </w:r>
    </w:p>
    <w:tbl>
      <w:tblPr>
        <w:tblStyle w:val="TableGrid"/>
        <w:tblW w:w="0" w:type="auto"/>
        <w:jc w:val="center"/>
        <w:tblInd w:w="0" w:type="dxa"/>
        <w:tblLook w:val="04A0" w:firstRow="1" w:lastRow="0" w:firstColumn="1" w:lastColumn="0" w:noHBand="0" w:noVBand="1"/>
      </w:tblPr>
      <w:tblGrid>
        <w:gridCol w:w="2913"/>
        <w:gridCol w:w="3330"/>
        <w:gridCol w:w="3351"/>
      </w:tblGrid>
      <w:tr w:rsidR="00766F8F" w:rsidRPr="00862411" w14:paraId="5DC620C9" w14:textId="77777777" w:rsidTr="000716AE">
        <w:trPr>
          <w:trHeight w:val="413"/>
          <w:jc w:val="center"/>
        </w:trPr>
        <w:tc>
          <w:tcPr>
            <w:tcW w:w="2913" w:type="dxa"/>
            <w:vAlign w:val="center"/>
          </w:tcPr>
          <w:p w14:paraId="65BB8156" w14:textId="1EAD7158" w:rsidR="00766F8F" w:rsidRPr="00862411" w:rsidRDefault="00766F8F" w:rsidP="00486106">
            <w:pPr>
              <w:suppressAutoHyphens/>
              <w:autoSpaceDE w:val="0"/>
              <w:autoSpaceDN w:val="0"/>
              <w:adjustRightInd w:val="0"/>
              <w:jc w:val="center"/>
              <w:rPr>
                <w:sz w:val="20"/>
                <w:szCs w:val="20"/>
              </w:rPr>
            </w:pPr>
            <w:r w:rsidRPr="00862411">
              <w:rPr>
                <w:rFonts w:ascii="Times New Roman" w:hAnsi="Times New Roman" w:cs="Times New Roman"/>
                <w:b/>
                <w:bCs/>
                <w:sz w:val="20"/>
                <w:szCs w:val="20"/>
                <w:lang w:val="en-US"/>
              </w:rPr>
              <w:t>Point of comparison</w:t>
            </w:r>
          </w:p>
        </w:tc>
        <w:tc>
          <w:tcPr>
            <w:tcW w:w="3330" w:type="dxa"/>
            <w:vAlign w:val="center"/>
          </w:tcPr>
          <w:p w14:paraId="655D9DE7" w14:textId="01E1AB95" w:rsidR="00766F8F" w:rsidRPr="00862411" w:rsidRDefault="00766F8F" w:rsidP="00486106">
            <w:pPr>
              <w:suppressAutoHyphens/>
              <w:autoSpaceDE w:val="0"/>
              <w:autoSpaceDN w:val="0"/>
              <w:adjustRightInd w:val="0"/>
              <w:jc w:val="center"/>
              <w:rPr>
                <w:sz w:val="20"/>
                <w:szCs w:val="20"/>
              </w:rPr>
            </w:pPr>
            <w:r w:rsidRPr="00862411">
              <w:rPr>
                <w:rFonts w:ascii="Times New Roman" w:hAnsi="Times New Roman" w:cs="Times New Roman"/>
                <w:b/>
                <w:bCs/>
                <w:sz w:val="20"/>
                <w:szCs w:val="20"/>
                <w:lang w:val="en-US"/>
              </w:rPr>
              <w:t xml:space="preserve">Project </w:t>
            </w:r>
            <w:r w:rsidR="002D60FA">
              <w:rPr>
                <w:rFonts w:ascii="Times New Roman" w:hAnsi="Times New Roman" w:cs="Times New Roman"/>
                <w:b/>
                <w:bCs/>
                <w:sz w:val="20"/>
                <w:szCs w:val="20"/>
                <w:lang w:val="en-US"/>
              </w:rPr>
              <w:t>f</w:t>
            </w:r>
            <w:r w:rsidRPr="00862411">
              <w:rPr>
                <w:rFonts w:ascii="Times New Roman" w:hAnsi="Times New Roman" w:cs="Times New Roman"/>
                <w:b/>
                <w:bCs/>
                <w:sz w:val="20"/>
                <w:szCs w:val="20"/>
                <w:lang w:val="en-US"/>
              </w:rPr>
              <w:t>inance</w:t>
            </w:r>
          </w:p>
        </w:tc>
        <w:tc>
          <w:tcPr>
            <w:tcW w:w="3351" w:type="dxa"/>
            <w:vAlign w:val="center"/>
          </w:tcPr>
          <w:p w14:paraId="537F82B4" w14:textId="77777777" w:rsidR="00766F8F" w:rsidRPr="00862411" w:rsidRDefault="00766F8F" w:rsidP="00486106">
            <w:pPr>
              <w:suppressAutoHyphens/>
              <w:autoSpaceDE w:val="0"/>
              <w:autoSpaceDN w:val="0"/>
              <w:adjustRightInd w:val="0"/>
              <w:jc w:val="center"/>
              <w:rPr>
                <w:sz w:val="20"/>
                <w:szCs w:val="20"/>
              </w:rPr>
            </w:pPr>
            <w:r w:rsidRPr="00862411">
              <w:rPr>
                <w:rFonts w:ascii="Times New Roman" w:hAnsi="Times New Roman" w:cs="Times New Roman"/>
                <w:b/>
                <w:bCs/>
                <w:sz w:val="20"/>
                <w:szCs w:val="20"/>
                <w:lang w:val="en-US"/>
              </w:rPr>
              <w:t>Forfaiting</w:t>
            </w:r>
          </w:p>
        </w:tc>
      </w:tr>
      <w:tr w:rsidR="00766F8F" w:rsidRPr="00862411" w14:paraId="6D336C2C" w14:textId="77777777" w:rsidTr="000716AE">
        <w:trPr>
          <w:trHeight w:val="431"/>
          <w:jc w:val="center"/>
        </w:trPr>
        <w:tc>
          <w:tcPr>
            <w:tcW w:w="2913" w:type="dxa"/>
            <w:vAlign w:val="center"/>
          </w:tcPr>
          <w:p w14:paraId="14E4A05B" w14:textId="3F981725" w:rsidR="00766F8F" w:rsidRPr="00862411" w:rsidRDefault="00766F8F" w:rsidP="00486106">
            <w:pPr>
              <w:suppressAutoHyphens/>
              <w:autoSpaceDE w:val="0"/>
              <w:autoSpaceDN w:val="0"/>
              <w:adjustRightInd w:val="0"/>
              <w:jc w:val="center"/>
              <w:rPr>
                <w:sz w:val="20"/>
                <w:szCs w:val="20"/>
              </w:rPr>
            </w:pPr>
            <w:r w:rsidRPr="00862411">
              <w:rPr>
                <w:rFonts w:ascii="Times New Roman" w:hAnsi="Times New Roman" w:cs="Times New Roman"/>
                <w:b/>
                <w:bCs/>
                <w:sz w:val="20"/>
                <w:szCs w:val="20"/>
                <w:lang w:val="en-US"/>
              </w:rPr>
              <w:t>Risk allocation</w:t>
            </w:r>
          </w:p>
        </w:tc>
        <w:tc>
          <w:tcPr>
            <w:tcW w:w="3330" w:type="dxa"/>
            <w:vAlign w:val="center"/>
          </w:tcPr>
          <w:p w14:paraId="21E874AA" w14:textId="01A43EDD" w:rsidR="00766F8F" w:rsidRPr="00862411" w:rsidRDefault="00AF1F72" w:rsidP="00486106">
            <w:pPr>
              <w:suppressAutoHyphens/>
              <w:autoSpaceDE w:val="0"/>
              <w:autoSpaceDN w:val="0"/>
              <w:adjustRightInd w:val="0"/>
              <w:jc w:val="center"/>
              <w:rPr>
                <w:sz w:val="20"/>
                <w:szCs w:val="20"/>
              </w:rPr>
            </w:pPr>
            <w:r>
              <w:rPr>
                <w:rFonts w:ascii="Times New Roman" w:hAnsi="Times New Roman" w:cs="Times New Roman"/>
                <w:sz w:val="20"/>
                <w:szCs w:val="20"/>
                <w:lang w:val="en-US"/>
              </w:rPr>
              <w:t>H</w:t>
            </w:r>
            <w:r w:rsidR="00766F8F" w:rsidRPr="00862411">
              <w:rPr>
                <w:rFonts w:ascii="Times New Roman" w:hAnsi="Times New Roman" w:cs="Times New Roman"/>
                <w:sz w:val="20"/>
                <w:szCs w:val="20"/>
                <w:lang w:val="en-US"/>
              </w:rPr>
              <w:t>igh level of risk allocation</w:t>
            </w:r>
          </w:p>
        </w:tc>
        <w:tc>
          <w:tcPr>
            <w:tcW w:w="3351" w:type="dxa"/>
            <w:vAlign w:val="center"/>
          </w:tcPr>
          <w:p w14:paraId="6DD05AAC" w14:textId="148A1149" w:rsidR="00766F8F" w:rsidRPr="00862411" w:rsidRDefault="00AF1F72" w:rsidP="00486106">
            <w:pPr>
              <w:suppressAutoHyphens/>
              <w:autoSpaceDE w:val="0"/>
              <w:autoSpaceDN w:val="0"/>
              <w:adjustRightInd w:val="0"/>
              <w:jc w:val="center"/>
              <w:rPr>
                <w:sz w:val="20"/>
                <w:szCs w:val="20"/>
              </w:rPr>
            </w:pPr>
            <w:r>
              <w:rPr>
                <w:rFonts w:ascii="Times New Roman" w:hAnsi="Times New Roman" w:cs="Times New Roman"/>
                <w:sz w:val="20"/>
                <w:szCs w:val="20"/>
                <w:lang w:val="en-US"/>
              </w:rPr>
              <w:t>L</w:t>
            </w:r>
            <w:r w:rsidR="00766F8F" w:rsidRPr="00862411">
              <w:rPr>
                <w:rFonts w:ascii="Times New Roman" w:hAnsi="Times New Roman" w:cs="Times New Roman"/>
                <w:sz w:val="20"/>
                <w:szCs w:val="20"/>
                <w:lang w:val="en-US"/>
              </w:rPr>
              <w:t>ow level of risk allocation</w:t>
            </w:r>
          </w:p>
        </w:tc>
      </w:tr>
      <w:tr w:rsidR="00766F8F" w:rsidRPr="00862411" w14:paraId="0EEC624D" w14:textId="77777777" w:rsidTr="000716AE">
        <w:trPr>
          <w:trHeight w:val="989"/>
          <w:jc w:val="center"/>
        </w:trPr>
        <w:tc>
          <w:tcPr>
            <w:tcW w:w="2913" w:type="dxa"/>
            <w:vAlign w:val="center"/>
          </w:tcPr>
          <w:p w14:paraId="1EB92B66" w14:textId="10E2D2F4" w:rsidR="00766F8F" w:rsidRPr="00862411" w:rsidRDefault="00800B97" w:rsidP="00486106">
            <w:pPr>
              <w:suppressAutoHyphens/>
              <w:autoSpaceDE w:val="0"/>
              <w:autoSpaceDN w:val="0"/>
              <w:adjustRightInd w:val="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The r</w:t>
            </w:r>
            <w:r w:rsidR="00766F8F" w:rsidRPr="00862411">
              <w:rPr>
                <w:rFonts w:ascii="Times New Roman" w:hAnsi="Times New Roman" w:cs="Times New Roman"/>
                <w:b/>
                <w:bCs/>
                <w:sz w:val="20"/>
                <w:szCs w:val="20"/>
                <w:lang w:val="en-US"/>
              </w:rPr>
              <w:t>isk for</w:t>
            </w:r>
            <w:r w:rsidR="00364F58" w:rsidRPr="00862411">
              <w:rPr>
                <w:rFonts w:ascii="Times New Roman" w:hAnsi="Times New Roman" w:cs="Times New Roman"/>
                <w:b/>
                <w:bCs/>
                <w:sz w:val="20"/>
                <w:szCs w:val="20"/>
                <w:lang w:val="en-US"/>
              </w:rPr>
              <w:t xml:space="preserve"> </w:t>
            </w:r>
            <w:r w:rsidR="00766F8F" w:rsidRPr="00862411">
              <w:rPr>
                <w:rFonts w:ascii="Times New Roman" w:hAnsi="Times New Roman" w:cs="Times New Roman"/>
                <w:b/>
                <w:bCs/>
                <w:sz w:val="20"/>
                <w:szCs w:val="20"/>
                <w:lang w:val="en-US"/>
              </w:rPr>
              <w:t>the banks,</w:t>
            </w:r>
          </w:p>
          <w:p w14:paraId="0A93D898" w14:textId="5AC9F4C1" w:rsidR="00766F8F" w:rsidRPr="00862411" w:rsidRDefault="002D60FA"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 xml:space="preserve">private </w:t>
            </w:r>
            <w:r w:rsidR="00766F8F" w:rsidRPr="00862411">
              <w:rPr>
                <w:rFonts w:ascii="Times New Roman" w:hAnsi="Times New Roman" w:cs="Times New Roman"/>
                <w:b/>
                <w:bCs/>
                <w:sz w:val="20"/>
                <w:szCs w:val="20"/>
                <w:lang w:val="en-US"/>
              </w:rPr>
              <w:t>and</w:t>
            </w:r>
            <w:r w:rsidR="00364F58" w:rsidRPr="00862411">
              <w:rPr>
                <w:rFonts w:ascii="Times New Roman" w:hAnsi="Times New Roman" w:cs="Times New Roman"/>
                <w:b/>
                <w:bCs/>
                <w:sz w:val="20"/>
                <w:szCs w:val="20"/>
                <w:lang w:val="en-US"/>
              </w:rPr>
              <w:t xml:space="preserve"> </w:t>
            </w:r>
            <w:r w:rsidRPr="00862411">
              <w:rPr>
                <w:rFonts w:ascii="Times New Roman" w:hAnsi="Times New Roman" w:cs="Times New Roman"/>
                <w:b/>
                <w:bCs/>
                <w:sz w:val="20"/>
                <w:szCs w:val="20"/>
                <w:lang w:val="en-US"/>
              </w:rPr>
              <w:t xml:space="preserve">public </w:t>
            </w:r>
            <w:r w:rsidR="00766F8F" w:rsidRPr="00862411">
              <w:rPr>
                <w:rFonts w:ascii="Times New Roman" w:hAnsi="Times New Roman" w:cs="Times New Roman"/>
                <w:b/>
                <w:bCs/>
                <w:sz w:val="20"/>
                <w:szCs w:val="20"/>
                <w:lang w:val="en-US"/>
              </w:rPr>
              <w:t>partner</w:t>
            </w:r>
          </w:p>
        </w:tc>
        <w:tc>
          <w:tcPr>
            <w:tcW w:w="3330" w:type="dxa"/>
            <w:vAlign w:val="center"/>
          </w:tcPr>
          <w:p w14:paraId="64E90307" w14:textId="334D041B"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00766F8F" w:rsidRPr="00862411">
              <w:rPr>
                <w:rFonts w:ascii="Times New Roman" w:hAnsi="Times New Roman" w:cs="Times New Roman"/>
                <w:sz w:val="20"/>
                <w:szCs w:val="20"/>
                <w:lang w:val="en-US"/>
              </w:rPr>
              <w:t>anks: high</w:t>
            </w:r>
          </w:p>
          <w:p w14:paraId="5A260C24" w14:textId="11AEB72C"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00766F8F" w:rsidRPr="00862411">
              <w:rPr>
                <w:rFonts w:ascii="Times New Roman" w:hAnsi="Times New Roman" w:cs="Times New Roman"/>
                <w:sz w:val="20"/>
                <w:szCs w:val="20"/>
                <w:lang w:val="en-US"/>
              </w:rPr>
              <w:t>rivate partner: moderate</w:t>
            </w:r>
          </w:p>
          <w:p w14:paraId="7C075547" w14:textId="3A47338A" w:rsidR="00766F8F" w:rsidRPr="00C31E22"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00766F8F" w:rsidRPr="00862411">
              <w:rPr>
                <w:rFonts w:ascii="Times New Roman" w:hAnsi="Times New Roman" w:cs="Times New Roman"/>
                <w:sz w:val="20"/>
                <w:szCs w:val="20"/>
                <w:lang w:val="en-US"/>
              </w:rPr>
              <w:t>ublic partner: low</w:t>
            </w:r>
          </w:p>
        </w:tc>
        <w:tc>
          <w:tcPr>
            <w:tcW w:w="3351" w:type="dxa"/>
            <w:vAlign w:val="center"/>
          </w:tcPr>
          <w:p w14:paraId="405F7676" w14:textId="138FDF69"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B</w:t>
            </w:r>
            <w:r w:rsidR="00766F8F" w:rsidRPr="00862411">
              <w:rPr>
                <w:rFonts w:ascii="Times New Roman" w:hAnsi="Times New Roman" w:cs="Times New Roman"/>
                <w:sz w:val="20"/>
                <w:szCs w:val="20"/>
                <w:lang w:val="en-US"/>
              </w:rPr>
              <w:t>anks: low</w:t>
            </w:r>
          </w:p>
          <w:p w14:paraId="29506103" w14:textId="21C86CB8"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00766F8F" w:rsidRPr="00862411">
              <w:rPr>
                <w:rFonts w:ascii="Times New Roman" w:hAnsi="Times New Roman" w:cs="Times New Roman"/>
                <w:sz w:val="20"/>
                <w:szCs w:val="20"/>
                <w:lang w:val="en-US"/>
              </w:rPr>
              <w:t>rivate partner: low to moderate</w:t>
            </w:r>
          </w:p>
          <w:p w14:paraId="0BA68942" w14:textId="096D44F8" w:rsidR="00766F8F" w:rsidRPr="00862411" w:rsidRDefault="00AF1F72" w:rsidP="00486106">
            <w:pPr>
              <w:suppressAutoHyphens/>
              <w:autoSpaceDE w:val="0"/>
              <w:autoSpaceDN w:val="0"/>
              <w:adjustRightInd w:val="0"/>
              <w:jc w:val="center"/>
              <w:rPr>
                <w:sz w:val="20"/>
                <w:szCs w:val="20"/>
              </w:rPr>
            </w:pPr>
            <w:r>
              <w:rPr>
                <w:rFonts w:ascii="Times New Roman" w:hAnsi="Times New Roman" w:cs="Times New Roman"/>
                <w:sz w:val="20"/>
                <w:szCs w:val="20"/>
                <w:lang w:val="en-US"/>
              </w:rPr>
              <w:t>P</w:t>
            </w:r>
            <w:r w:rsidR="00766F8F" w:rsidRPr="00862411">
              <w:rPr>
                <w:rFonts w:ascii="Times New Roman" w:hAnsi="Times New Roman" w:cs="Times New Roman"/>
                <w:sz w:val="20"/>
                <w:szCs w:val="20"/>
                <w:lang w:val="en-US"/>
              </w:rPr>
              <w:t>ublic partner: high</w:t>
            </w:r>
          </w:p>
        </w:tc>
      </w:tr>
      <w:tr w:rsidR="00766F8F" w:rsidRPr="00862411" w14:paraId="6242B3CC" w14:textId="77777777" w:rsidTr="000716AE">
        <w:trPr>
          <w:trHeight w:val="728"/>
          <w:jc w:val="center"/>
        </w:trPr>
        <w:tc>
          <w:tcPr>
            <w:tcW w:w="2913" w:type="dxa"/>
            <w:vAlign w:val="center"/>
          </w:tcPr>
          <w:p w14:paraId="65AB0B6C" w14:textId="493CAFDF" w:rsidR="00766F8F" w:rsidRPr="00C31E22"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Leverage</w:t>
            </w:r>
          </w:p>
        </w:tc>
        <w:tc>
          <w:tcPr>
            <w:tcW w:w="3330" w:type="dxa"/>
            <w:vAlign w:val="center"/>
          </w:tcPr>
          <w:p w14:paraId="249FBB7E" w14:textId="2F5A533E"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766F8F" w:rsidRPr="00862411">
              <w:rPr>
                <w:rFonts w:ascii="Times New Roman" w:hAnsi="Times New Roman" w:cs="Times New Roman"/>
                <w:sz w:val="20"/>
                <w:szCs w:val="20"/>
                <w:lang w:val="en-US"/>
              </w:rPr>
              <w:t>igh level:</w:t>
            </w:r>
            <w:r w:rsidR="00BA2ACC">
              <w:rPr>
                <w:rFonts w:ascii="Times New Roman" w:hAnsi="Times New Roman" w:cs="Times New Roman"/>
                <w:sz w:val="20"/>
                <w:szCs w:val="20"/>
                <w:lang w:val="en-US"/>
              </w:rPr>
              <w:t xml:space="preserve"> 7</w:t>
            </w:r>
            <w:r w:rsidR="00766F8F" w:rsidRPr="00862411">
              <w:rPr>
                <w:rFonts w:ascii="Times New Roman" w:hAnsi="Times New Roman" w:cs="Times New Roman"/>
                <w:sz w:val="20"/>
                <w:szCs w:val="20"/>
                <w:lang w:val="en-US"/>
              </w:rPr>
              <w:t xml:space="preserve">0-90% </w:t>
            </w:r>
          </w:p>
        </w:tc>
        <w:tc>
          <w:tcPr>
            <w:tcW w:w="3351" w:type="dxa"/>
            <w:vAlign w:val="center"/>
          </w:tcPr>
          <w:p w14:paraId="1EE8A8D1" w14:textId="10BF6F0D"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Pr="00862411">
              <w:rPr>
                <w:rFonts w:ascii="Times New Roman" w:hAnsi="Times New Roman" w:cs="Times New Roman"/>
                <w:sz w:val="20"/>
                <w:szCs w:val="20"/>
                <w:lang w:val="en-US"/>
              </w:rPr>
              <w:t>igh level:</w:t>
            </w:r>
            <w:r>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70-90%</w:t>
            </w:r>
            <w:r w:rsidR="002D60FA">
              <w:rPr>
                <w:rFonts w:ascii="Times New Roman" w:hAnsi="Times New Roman" w:cs="Times New Roman"/>
                <w:sz w:val="20"/>
                <w:szCs w:val="20"/>
                <w:lang w:val="en-US"/>
              </w:rPr>
              <w:t>,</w:t>
            </w:r>
            <w:r w:rsidR="00766F8F" w:rsidRPr="00862411">
              <w:rPr>
                <w:rFonts w:ascii="Times New Roman" w:hAnsi="Times New Roman" w:cs="Times New Roman"/>
                <w:sz w:val="20"/>
                <w:szCs w:val="20"/>
                <w:lang w:val="en-US"/>
              </w:rPr>
              <w:t xml:space="preserve"> </w:t>
            </w:r>
            <w:r w:rsidR="00BA2ACC">
              <w:rPr>
                <w:rFonts w:ascii="Times New Roman" w:hAnsi="Times New Roman" w:cs="Times New Roman"/>
                <w:sz w:val="20"/>
                <w:szCs w:val="20"/>
                <w:lang w:val="en-US"/>
              </w:rPr>
              <w:t>and in some cases</w:t>
            </w:r>
          </w:p>
          <w:p w14:paraId="66017DC4" w14:textId="5F2C768D" w:rsidR="00766F8F" w:rsidRPr="00862411" w:rsidRDefault="00766F8F" w:rsidP="00486106">
            <w:pPr>
              <w:suppressAutoHyphens/>
              <w:autoSpaceDE w:val="0"/>
              <w:autoSpaceDN w:val="0"/>
              <w:adjustRightInd w:val="0"/>
              <w:jc w:val="center"/>
              <w:rPr>
                <w:sz w:val="20"/>
                <w:szCs w:val="20"/>
              </w:rPr>
            </w:pPr>
            <w:r w:rsidRPr="00862411">
              <w:rPr>
                <w:rFonts w:ascii="Times New Roman" w:hAnsi="Times New Roman" w:cs="Times New Roman"/>
                <w:sz w:val="20"/>
                <w:szCs w:val="20"/>
                <w:lang w:val="en-US"/>
              </w:rPr>
              <w:t>extremely high level:</w:t>
            </w:r>
            <w:r w:rsidR="00BA2ACC">
              <w:rPr>
                <w:rFonts w:ascii="Times New Roman" w:hAnsi="Times New Roman" w:cs="Times New Roman"/>
                <w:sz w:val="20"/>
                <w:szCs w:val="20"/>
                <w:lang w:val="en-US"/>
              </w:rPr>
              <w:t xml:space="preserve"> </w:t>
            </w:r>
            <w:r w:rsidRPr="00862411">
              <w:rPr>
                <w:rFonts w:ascii="Times New Roman" w:hAnsi="Times New Roman" w:cs="Times New Roman"/>
                <w:sz w:val="20"/>
                <w:szCs w:val="20"/>
                <w:lang w:val="en-US"/>
              </w:rPr>
              <w:t xml:space="preserve">&gt; 90% </w:t>
            </w:r>
          </w:p>
        </w:tc>
      </w:tr>
      <w:tr w:rsidR="00766F8F" w:rsidRPr="00862411" w14:paraId="4DEAAFED" w14:textId="77777777" w:rsidTr="000716AE">
        <w:trPr>
          <w:trHeight w:val="881"/>
          <w:jc w:val="center"/>
        </w:trPr>
        <w:tc>
          <w:tcPr>
            <w:tcW w:w="2913" w:type="dxa"/>
            <w:vAlign w:val="center"/>
          </w:tcPr>
          <w:p w14:paraId="622CEE99" w14:textId="4C75E2A0" w:rsidR="00766F8F" w:rsidRPr="00C31E22"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Debt guarantees</w:t>
            </w:r>
          </w:p>
        </w:tc>
        <w:tc>
          <w:tcPr>
            <w:tcW w:w="3330" w:type="dxa"/>
            <w:vAlign w:val="center"/>
          </w:tcPr>
          <w:p w14:paraId="19B46922" w14:textId="045D98E6" w:rsidR="00766F8F" w:rsidRPr="00C31E22"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766F8F" w:rsidRPr="00862411">
              <w:rPr>
                <w:rFonts w:ascii="Times New Roman" w:hAnsi="Times New Roman" w:cs="Times New Roman"/>
                <w:sz w:val="20"/>
                <w:szCs w:val="20"/>
                <w:lang w:val="en-US"/>
              </w:rPr>
              <w:t>omplex security system using different instruments such as</w:t>
            </w:r>
            <w:r w:rsidR="00862411" w:rsidRPr="00862411">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Step-in-Rights, reserve accounts</w:t>
            </w:r>
          </w:p>
        </w:tc>
        <w:tc>
          <w:tcPr>
            <w:tcW w:w="3351" w:type="dxa"/>
            <w:vAlign w:val="center"/>
          </w:tcPr>
          <w:p w14:paraId="3931FE04" w14:textId="6C0D2724" w:rsidR="00766F8F" w:rsidRPr="00862411" w:rsidRDefault="00AF1F72" w:rsidP="00486106">
            <w:pPr>
              <w:suppressAutoHyphens/>
              <w:autoSpaceDE w:val="0"/>
              <w:autoSpaceDN w:val="0"/>
              <w:adjustRightInd w:val="0"/>
              <w:jc w:val="center"/>
              <w:rPr>
                <w:sz w:val="20"/>
                <w:szCs w:val="20"/>
              </w:rPr>
            </w:pPr>
            <w:r>
              <w:rPr>
                <w:rFonts w:ascii="Times New Roman" w:hAnsi="Times New Roman" w:cs="Times New Roman"/>
                <w:sz w:val="20"/>
                <w:szCs w:val="20"/>
                <w:lang w:val="en-US"/>
              </w:rPr>
              <w:t>L</w:t>
            </w:r>
            <w:r w:rsidR="00766F8F" w:rsidRPr="00862411">
              <w:rPr>
                <w:rFonts w:ascii="Times New Roman" w:hAnsi="Times New Roman" w:cs="Times New Roman"/>
                <w:sz w:val="20"/>
                <w:szCs w:val="20"/>
                <w:lang w:val="en-US"/>
              </w:rPr>
              <w:t>ess complex security system, no</w:t>
            </w:r>
            <w:r w:rsidR="00862411" w:rsidRPr="00862411">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reserve accounts</w:t>
            </w:r>
          </w:p>
        </w:tc>
      </w:tr>
      <w:tr w:rsidR="00766F8F" w:rsidRPr="00862411" w14:paraId="6D213D43" w14:textId="77777777" w:rsidTr="000716AE">
        <w:trPr>
          <w:trHeight w:val="629"/>
          <w:jc w:val="center"/>
        </w:trPr>
        <w:tc>
          <w:tcPr>
            <w:tcW w:w="2913" w:type="dxa"/>
            <w:vAlign w:val="center"/>
          </w:tcPr>
          <w:p w14:paraId="2B7FB36E" w14:textId="559B937C" w:rsidR="00766F8F" w:rsidRPr="00C31E22" w:rsidRDefault="00766F8F" w:rsidP="00486106">
            <w:pPr>
              <w:suppressAutoHyphens/>
              <w:autoSpaceDE w:val="0"/>
              <w:autoSpaceDN w:val="0"/>
              <w:adjustRightInd w:val="0"/>
              <w:jc w:val="center"/>
              <w:rPr>
                <w:rFonts w:ascii="Times New Roman" w:hAnsi="Times New Roman" w:cs="Times New Roman"/>
                <w:sz w:val="20"/>
                <w:szCs w:val="20"/>
                <w:lang w:val="en-US"/>
              </w:rPr>
            </w:pPr>
            <w:r w:rsidRPr="00862411">
              <w:rPr>
                <w:rFonts w:ascii="Times New Roman" w:hAnsi="Times New Roman" w:cs="Times New Roman"/>
                <w:b/>
                <w:bCs/>
                <w:sz w:val="20"/>
                <w:szCs w:val="20"/>
                <w:lang w:val="en-US"/>
              </w:rPr>
              <w:t>Due diligence</w:t>
            </w:r>
          </w:p>
        </w:tc>
        <w:tc>
          <w:tcPr>
            <w:tcW w:w="3330" w:type="dxa"/>
            <w:vAlign w:val="center"/>
          </w:tcPr>
          <w:p w14:paraId="5D1348B8" w14:textId="50F9EADE" w:rsidR="00766F8F" w:rsidRPr="00862411" w:rsidRDefault="00AF1F72" w:rsidP="00486106">
            <w:pPr>
              <w:suppressAutoHyphens/>
              <w:autoSpaceDE w:val="0"/>
              <w:autoSpaceDN w:val="0"/>
              <w:adjustRightInd w:val="0"/>
              <w:jc w:val="center"/>
              <w:rPr>
                <w:sz w:val="20"/>
                <w:szCs w:val="20"/>
              </w:rPr>
            </w:pPr>
            <w:r>
              <w:rPr>
                <w:rFonts w:ascii="Times New Roman" w:hAnsi="Times New Roman" w:cs="Times New Roman"/>
                <w:sz w:val="20"/>
                <w:szCs w:val="20"/>
                <w:lang w:val="en-US"/>
              </w:rPr>
              <w:t>E</w:t>
            </w:r>
            <w:r w:rsidR="00766F8F" w:rsidRPr="00862411">
              <w:rPr>
                <w:rFonts w:ascii="Times New Roman" w:hAnsi="Times New Roman" w:cs="Times New Roman"/>
                <w:sz w:val="20"/>
                <w:szCs w:val="20"/>
                <w:lang w:val="en-US"/>
              </w:rPr>
              <w:t>xtensive due diligence by banks</w:t>
            </w:r>
          </w:p>
        </w:tc>
        <w:tc>
          <w:tcPr>
            <w:tcW w:w="3351" w:type="dxa"/>
            <w:vAlign w:val="center"/>
          </w:tcPr>
          <w:p w14:paraId="01C7E823" w14:textId="0259842B" w:rsidR="00766F8F" w:rsidRPr="004E714A"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L</w:t>
            </w:r>
            <w:r w:rsidR="00766F8F" w:rsidRPr="00862411">
              <w:rPr>
                <w:rFonts w:ascii="Times New Roman" w:hAnsi="Times New Roman" w:cs="Times New Roman"/>
                <w:sz w:val="20"/>
                <w:szCs w:val="20"/>
                <w:lang w:val="en-US"/>
              </w:rPr>
              <w:t>ow degree of due diligence by</w:t>
            </w:r>
            <w:r w:rsidR="004E714A">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banks</w:t>
            </w:r>
          </w:p>
        </w:tc>
      </w:tr>
      <w:tr w:rsidR="00766F8F" w:rsidRPr="00862411" w14:paraId="43D5F25F" w14:textId="77777777" w:rsidTr="000716AE">
        <w:trPr>
          <w:trHeight w:val="701"/>
          <w:jc w:val="center"/>
        </w:trPr>
        <w:tc>
          <w:tcPr>
            <w:tcW w:w="2913" w:type="dxa"/>
            <w:vAlign w:val="center"/>
          </w:tcPr>
          <w:p w14:paraId="3A57F72B" w14:textId="3C95B05C" w:rsidR="00766F8F" w:rsidRPr="00C31E22"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Transaction costs and</w:t>
            </w:r>
            <w:r w:rsidR="00862411" w:rsidRPr="00862411">
              <w:rPr>
                <w:rFonts w:ascii="Times New Roman" w:hAnsi="Times New Roman" w:cs="Times New Roman"/>
                <w:b/>
                <w:bCs/>
                <w:sz w:val="20"/>
                <w:szCs w:val="20"/>
                <w:lang w:val="en-US"/>
              </w:rPr>
              <w:t xml:space="preserve"> </w:t>
            </w:r>
            <w:r w:rsidRPr="00862411">
              <w:rPr>
                <w:rFonts w:ascii="Times New Roman" w:hAnsi="Times New Roman" w:cs="Times New Roman"/>
                <w:b/>
                <w:bCs/>
                <w:sz w:val="20"/>
                <w:szCs w:val="20"/>
                <w:lang w:val="en-US"/>
              </w:rPr>
              <w:t>time</w:t>
            </w:r>
          </w:p>
        </w:tc>
        <w:tc>
          <w:tcPr>
            <w:tcW w:w="3330" w:type="dxa"/>
            <w:vAlign w:val="center"/>
          </w:tcPr>
          <w:p w14:paraId="570DB5C8" w14:textId="456486D7" w:rsidR="00766F8F" w:rsidRPr="00C31E22" w:rsidRDefault="00766F8F" w:rsidP="00486106">
            <w:pPr>
              <w:suppressAutoHyphens/>
              <w:autoSpaceDE w:val="0"/>
              <w:autoSpaceDN w:val="0"/>
              <w:adjustRightInd w:val="0"/>
              <w:jc w:val="center"/>
              <w:rPr>
                <w:rFonts w:ascii="Times New Roman" w:hAnsi="Times New Roman" w:cs="Times New Roman"/>
                <w:sz w:val="20"/>
                <w:szCs w:val="20"/>
                <w:lang w:val="en-US"/>
              </w:rPr>
            </w:pPr>
            <w:r w:rsidRPr="00862411">
              <w:rPr>
                <w:rFonts w:ascii="Times New Roman" w:hAnsi="Times New Roman" w:cs="Times New Roman"/>
                <w:sz w:val="20"/>
                <w:szCs w:val="20"/>
                <w:lang w:val="en-US"/>
              </w:rPr>
              <w:t>high due to extensive screening of project by banks</w:t>
            </w:r>
          </w:p>
        </w:tc>
        <w:tc>
          <w:tcPr>
            <w:tcW w:w="3351" w:type="dxa"/>
            <w:vAlign w:val="center"/>
          </w:tcPr>
          <w:p w14:paraId="5844008C" w14:textId="3BAD84E0" w:rsidR="00766F8F" w:rsidRPr="004E714A"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L</w:t>
            </w:r>
            <w:r w:rsidRPr="00862411">
              <w:rPr>
                <w:rFonts w:ascii="Times New Roman" w:hAnsi="Times New Roman" w:cs="Times New Roman"/>
                <w:sz w:val="20"/>
                <w:szCs w:val="20"/>
                <w:lang w:val="en-US"/>
              </w:rPr>
              <w:t xml:space="preserve">ow </w:t>
            </w:r>
            <w:r w:rsidR="00766F8F" w:rsidRPr="00862411">
              <w:rPr>
                <w:rFonts w:ascii="Times New Roman" w:hAnsi="Times New Roman" w:cs="Times New Roman"/>
                <w:sz w:val="20"/>
                <w:szCs w:val="20"/>
                <w:lang w:val="en-US"/>
              </w:rPr>
              <w:t xml:space="preserve">due to </w:t>
            </w:r>
            <w:r w:rsidR="004E714A">
              <w:rPr>
                <w:rFonts w:ascii="Times New Roman" w:hAnsi="Times New Roman" w:cs="Times New Roman"/>
                <w:sz w:val="20"/>
                <w:szCs w:val="20"/>
                <w:lang w:val="en-US"/>
              </w:rPr>
              <w:t xml:space="preserve">the </w:t>
            </w:r>
            <w:r w:rsidR="00766F8F" w:rsidRPr="00862411">
              <w:rPr>
                <w:rFonts w:ascii="Times New Roman" w:hAnsi="Times New Roman" w:cs="Times New Roman"/>
                <w:sz w:val="20"/>
                <w:szCs w:val="20"/>
                <w:lang w:val="en-US"/>
              </w:rPr>
              <w:t>low degree of due</w:t>
            </w:r>
            <w:r w:rsidR="004E714A">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diligence by banks</w:t>
            </w:r>
          </w:p>
        </w:tc>
      </w:tr>
      <w:tr w:rsidR="00766F8F" w:rsidRPr="00862411" w14:paraId="483FC784" w14:textId="77777777" w:rsidTr="000716AE">
        <w:trPr>
          <w:trHeight w:val="809"/>
          <w:jc w:val="center"/>
        </w:trPr>
        <w:tc>
          <w:tcPr>
            <w:tcW w:w="2913" w:type="dxa"/>
            <w:vAlign w:val="center"/>
          </w:tcPr>
          <w:p w14:paraId="3C39811F" w14:textId="4658B1B5" w:rsidR="00766F8F" w:rsidRPr="00C31E22"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Equity investors</w:t>
            </w:r>
          </w:p>
        </w:tc>
        <w:tc>
          <w:tcPr>
            <w:tcW w:w="3330" w:type="dxa"/>
            <w:vAlign w:val="center"/>
          </w:tcPr>
          <w:p w14:paraId="38D149F8" w14:textId="0F14CFE0" w:rsidR="00766F8F" w:rsidRPr="00C31E22" w:rsidRDefault="00800B97"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A l</w:t>
            </w:r>
            <w:r w:rsidR="00AF1F72" w:rsidRPr="00862411">
              <w:rPr>
                <w:rFonts w:ascii="Times New Roman" w:hAnsi="Times New Roman" w:cs="Times New Roman"/>
                <w:sz w:val="20"/>
                <w:szCs w:val="20"/>
                <w:lang w:val="en-US"/>
              </w:rPr>
              <w:t xml:space="preserve">ow </w:t>
            </w:r>
            <w:r w:rsidR="00766F8F" w:rsidRPr="00862411">
              <w:rPr>
                <w:rFonts w:ascii="Times New Roman" w:hAnsi="Times New Roman" w:cs="Times New Roman"/>
                <w:sz w:val="20"/>
                <w:szCs w:val="20"/>
                <w:lang w:val="en-US"/>
              </w:rPr>
              <w:t>number of sponsors</w:t>
            </w:r>
            <w:r w:rsidR="00AF1F7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financial investors</w:t>
            </w:r>
          </w:p>
        </w:tc>
        <w:tc>
          <w:tcPr>
            <w:tcW w:w="3351" w:type="dxa"/>
            <w:vAlign w:val="center"/>
          </w:tcPr>
          <w:p w14:paraId="7C619FE3" w14:textId="57C34EAD" w:rsidR="00766F8F" w:rsidRPr="004E714A" w:rsidRDefault="00800B97"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A l</w:t>
            </w:r>
            <w:r w:rsidR="00AF1F72" w:rsidRPr="00862411">
              <w:rPr>
                <w:rFonts w:ascii="Times New Roman" w:hAnsi="Times New Roman" w:cs="Times New Roman"/>
                <w:sz w:val="20"/>
                <w:szCs w:val="20"/>
                <w:lang w:val="en-US"/>
              </w:rPr>
              <w:t xml:space="preserve">ow </w:t>
            </w:r>
            <w:r w:rsidR="00766F8F" w:rsidRPr="00862411">
              <w:rPr>
                <w:rFonts w:ascii="Times New Roman" w:hAnsi="Times New Roman" w:cs="Times New Roman"/>
                <w:sz w:val="20"/>
                <w:szCs w:val="20"/>
                <w:lang w:val="en-US"/>
              </w:rPr>
              <w:t>number of sponsors, no</w:t>
            </w:r>
            <w:r w:rsidR="004E714A">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financial investors</w:t>
            </w:r>
          </w:p>
        </w:tc>
      </w:tr>
      <w:tr w:rsidR="00766F8F" w:rsidRPr="00862411" w14:paraId="133EB9BF" w14:textId="77777777" w:rsidTr="000716AE">
        <w:trPr>
          <w:trHeight w:val="971"/>
          <w:jc w:val="center"/>
        </w:trPr>
        <w:tc>
          <w:tcPr>
            <w:tcW w:w="2913" w:type="dxa"/>
            <w:vAlign w:val="center"/>
          </w:tcPr>
          <w:p w14:paraId="195C9D3A" w14:textId="53A656B4" w:rsidR="00766F8F" w:rsidRPr="00862411"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Financing costs</w:t>
            </w:r>
          </w:p>
        </w:tc>
        <w:tc>
          <w:tcPr>
            <w:tcW w:w="3330" w:type="dxa"/>
            <w:vAlign w:val="center"/>
          </w:tcPr>
          <w:p w14:paraId="0EA6BFC5" w14:textId="22B823EE"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Pr="00862411">
              <w:rPr>
                <w:rFonts w:ascii="Times New Roman" w:hAnsi="Times New Roman" w:cs="Times New Roman"/>
                <w:sz w:val="20"/>
                <w:szCs w:val="20"/>
                <w:lang w:val="en-US"/>
              </w:rPr>
              <w:t xml:space="preserve">igh </w:t>
            </w:r>
            <w:r w:rsidR="00766F8F" w:rsidRPr="00862411">
              <w:rPr>
                <w:rFonts w:ascii="Times New Roman" w:hAnsi="Times New Roman" w:cs="Times New Roman"/>
                <w:sz w:val="20"/>
                <w:szCs w:val="20"/>
                <w:lang w:val="en-US"/>
              </w:rPr>
              <w:t>including interest, commitment and arrangement fee, documentation and processing fee</w:t>
            </w:r>
          </w:p>
        </w:tc>
        <w:tc>
          <w:tcPr>
            <w:tcW w:w="3351" w:type="dxa"/>
            <w:vAlign w:val="center"/>
          </w:tcPr>
          <w:p w14:paraId="5E5C3A8A" w14:textId="3EAE42D7"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L</w:t>
            </w:r>
            <w:r w:rsidRPr="00862411">
              <w:rPr>
                <w:rFonts w:ascii="Times New Roman" w:hAnsi="Times New Roman" w:cs="Times New Roman"/>
                <w:sz w:val="20"/>
                <w:szCs w:val="20"/>
                <w:lang w:val="en-US"/>
              </w:rPr>
              <w:t xml:space="preserve">ow </w:t>
            </w:r>
            <w:r w:rsidR="00766F8F" w:rsidRPr="00862411">
              <w:rPr>
                <w:rFonts w:ascii="Times New Roman" w:hAnsi="Times New Roman" w:cs="Times New Roman"/>
                <w:sz w:val="20"/>
                <w:szCs w:val="20"/>
                <w:lang w:val="en-US"/>
              </w:rPr>
              <w:t>including interest, cost of</w:t>
            </w:r>
            <w:r w:rsidR="00800B97">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hedging</w:t>
            </w:r>
            <w:r w:rsidR="004E714A">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and a structuring fee</w:t>
            </w:r>
          </w:p>
        </w:tc>
      </w:tr>
      <w:tr w:rsidR="00766F8F" w:rsidRPr="00862411" w14:paraId="789432B9" w14:textId="77777777" w:rsidTr="000716AE">
        <w:trPr>
          <w:trHeight w:val="989"/>
          <w:jc w:val="center"/>
        </w:trPr>
        <w:tc>
          <w:tcPr>
            <w:tcW w:w="2913" w:type="dxa"/>
            <w:vAlign w:val="center"/>
          </w:tcPr>
          <w:p w14:paraId="4C7B1393" w14:textId="0144D680" w:rsidR="00766F8F" w:rsidRPr="00862411"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Financing conditions</w:t>
            </w:r>
          </w:p>
        </w:tc>
        <w:tc>
          <w:tcPr>
            <w:tcW w:w="3330" w:type="dxa"/>
            <w:vAlign w:val="center"/>
          </w:tcPr>
          <w:p w14:paraId="2735AEC4" w14:textId="3338C0F2"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I</w:t>
            </w:r>
            <w:r w:rsidR="00766F8F" w:rsidRPr="00862411">
              <w:rPr>
                <w:rFonts w:ascii="Times New Roman" w:hAnsi="Times New Roman" w:cs="Times New Roman"/>
                <w:sz w:val="20"/>
                <w:szCs w:val="20"/>
                <w:lang w:val="en-US"/>
              </w:rPr>
              <w:t>nferior financing conditions</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(floating</w:t>
            </w:r>
            <w:r>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interest rate, no match of</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debt maturity</w:t>
            </w:r>
            <w:r>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and project duration)</w:t>
            </w:r>
          </w:p>
        </w:tc>
        <w:tc>
          <w:tcPr>
            <w:tcW w:w="3351" w:type="dxa"/>
            <w:vAlign w:val="center"/>
          </w:tcPr>
          <w:p w14:paraId="61C90A12" w14:textId="53C8BD88" w:rsidR="00766F8F" w:rsidRPr="00862411" w:rsidRDefault="00AF1F72"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G</w:t>
            </w:r>
            <w:r w:rsidR="00766F8F" w:rsidRPr="00862411">
              <w:rPr>
                <w:rFonts w:ascii="Times New Roman" w:hAnsi="Times New Roman" w:cs="Times New Roman"/>
                <w:sz w:val="20"/>
                <w:szCs w:val="20"/>
                <w:lang w:val="en-US"/>
              </w:rPr>
              <w:t>ood financing conditions (rather</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 xml:space="preserve">fixed interest rate, </w:t>
            </w:r>
            <w:r w:rsidR="00800B97">
              <w:rPr>
                <w:rFonts w:ascii="Times New Roman" w:hAnsi="Times New Roman" w:cs="Times New Roman"/>
                <w:sz w:val="20"/>
                <w:szCs w:val="20"/>
                <w:lang w:val="en-US"/>
              </w:rPr>
              <w:t xml:space="preserve">the </w:t>
            </w:r>
            <w:r w:rsidR="00800B97" w:rsidRPr="00862411">
              <w:rPr>
                <w:rFonts w:ascii="Times New Roman" w:hAnsi="Times New Roman" w:cs="Times New Roman"/>
                <w:sz w:val="20"/>
                <w:szCs w:val="20"/>
                <w:lang w:val="en-US"/>
              </w:rPr>
              <w:t>match</w:t>
            </w:r>
            <w:r w:rsidR="00800B97">
              <w:t xml:space="preserve"> </w:t>
            </w:r>
            <w:r w:rsidR="00800B97" w:rsidRPr="00800B97">
              <w:rPr>
                <w:rFonts w:ascii="Times New Roman" w:hAnsi="Times New Roman" w:cs="Times New Roman"/>
                <w:sz w:val="20"/>
                <w:szCs w:val="20"/>
                <w:lang w:val="en-US"/>
              </w:rPr>
              <w:t>between</w:t>
            </w:r>
            <w:r w:rsidR="00800B97" w:rsidRPr="00862411">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debt</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maturity and project duration)</w:t>
            </w:r>
          </w:p>
        </w:tc>
      </w:tr>
      <w:tr w:rsidR="00766F8F" w:rsidRPr="00862411" w14:paraId="142A56EE" w14:textId="77777777" w:rsidTr="000716AE">
        <w:trPr>
          <w:trHeight w:val="1061"/>
          <w:jc w:val="center"/>
        </w:trPr>
        <w:tc>
          <w:tcPr>
            <w:tcW w:w="2913" w:type="dxa"/>
            <w:vAlign w:val="center"/>
          </w:tcPr>
          <w:p w14:paraId="4507FE4A" w14:textId="7751BE79" w:rsidR="00766F8F" w:rsidRPr="00862411"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Payments by the public</w:t>
            </w:r>
            <w:r w:rsidR="00364F58" w:rsidRPr="00862411">
              <w:rPr>
                <w:rFonts w:ascii="Times New Roman" w:hAnsi="Times New Roman" w:cs="Times New Roman"/>
                <w:b/>
                <w:bCs/>
                <w:sz w:val="20"/>
                <w:szCs w:val="20"/>
                <w:lang w:val="en-US"/>
              </w:rPr>
              <w:t xml:space="preserve"> </w:t>
            </w:r>
            <w:r w:rsidRPr="00862411">
              <w:rPr>
                <w:rFonts w:ascii="Times New Roman" w:hAnsi="Times New Roman" w:cs="Times New Roman"/>
                <w:b/>
                <w:bCs/>
                <w:sz w:val="20"/>
                <w:szCs w:val="20"/>
                <w:lang w:val="en-US"/>
              </w:rPr>
              <w:t>partner in case of non-performance</w:t>
            </w:r>
          </w:p>
        </w:tc>
        <w:tc>
          <w:tcPr>
            <w:tcW w:w="3330" w:type="dxa"/>
            <w:vAlign w:val="center"/>
          </w:tcPr>
          <w:p w14:paraId="1F15C88D" w14:textId="227DF9AE" w:rsidR="00766F8F" w:rsidRPr="00862411" w:rsidRDefault="00800B97"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766F8F" w:rsidRPr="00862411">
              <w:rPr>
                <w:rFonts w:ascii="Times New Roman" w:hAnsi="Times New Roman" w:cs="Times New Roman"/>
                <w:sz w:val="20"/>
                <w:szCs w:val="20"/>
                <w:lang w:val="en-US"/>
              </w:rPr>
              <w:t>an be cut according to bonus/malus</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agreements in the contract</w:t>
            </w:r>
          </w:p>
          <w:p w14:paraId="21BB81CC" w14:textId="77777777" w:rsidR="00766F8F" w:rsidRPr="00862411" w:rsidRDefault="00766F8F" w:rsidP="00486106">
            <w:pPr>
              <w:suppressAutoHyphens/>
              <w:autoSpaceDE w:val="0"/>
              <w:autoSpaceDN w:val="0"/>
              <w:adjustRightInd w:val="0"/>
              <w:jc w:val="center"/>
              <w:rPr>
                <w:rFonts w:ascii="Times New Roman" w:hAnsi="Times New Roman" w:cs="Times New Roman"/>
                <w:sz w:val="20"/>
                <w:szCs w:val="20"/>
                <w:lang w:val="en-US"/>
              </w:rPr>
            </w:pPr>
          </w:p>
        </w:tc>
        <w:tc>
          <w:tcPr>
            <w:tcW w:w="3351" w:type="dxa"/>
            <w:vAlign w:val="center"/>
          </w:tcPr>
          <w:p w14:paraId="0410D0E3" w14:textId="1A63B250" w:rsidR="00766F8F" w:rsidRPr="00862411" w:rsidRDefault="00800B97"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766F8F" w:rsidRPr="00862411">
              <w:rPr>
                <w:rFonts w:ascii="Times New Roman" w:hAnsi="Times New Roman" w:cs="Times New Roman"/>
                <w:sz w:val="20"/>
                <w:szCs w:val="20"/>
                <w:lang w:val="en-US"/>
              </w:rPr>
              <w:t>annot be cut for construction</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services but for other receivables</w:t>
            </w:r>
            <w:r w:rsidR="00920892">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which are not sold to the bank</w:t>
            </w:r>
          </w:p>
        </w:tc>
      </w:tr>
      <w:tr w:rsidR="00766F8F" w:rsidRPr="00862411" w14:paraId="60EE23CD" w14:textId="77777777" w:rsidTr="000716AE">
        <w:trPr>
          <w:trHeight w:val="809"/>
          <w:jc w:val="center"/>
        </w:trPr>
        <w:tc>
          <w:tcPr>
            <w:tcW w:w="2913" w:type="dxa"/>
            <w:vAlign w:val="center"/>
          </w:tcPr>
          <w:p w14:paraId="6E7693DC" w14:textId="3AB7E535" w:rsidR="00766F8F" w:rsidRPr="00862411" w:rsidRDefault="00766F8F" w:rsidP="00486106">
            <w:pPr>
              <w:suppressAutoHyphens/>
              <w:autoSpaceDE w:val="0"/>
              <w:autoSpaceDN w:val="0"/>
              <w:adjustRightInd w:val="0"/>
              <w:jc w:val="center"/>
              <w:rPr>
                <w:rFonts w:ascii="Times New Roman" w:hAnsi="Times New Roman" w:cs="Times New Roman"/>
                <w:b/>
                <w:bCs/>
                <w:sz w:val="20"/>
                <w:szCs w:val="20"/>
                <w:lang w:val="en-US"/>
              </w:rPr>
            </w:pPr>
            <w:r w:rsidRPr="00862411">
              <w:rPr>
                <w:rFonts w:ascii="Times New Roman" w:hAnsi="Times New Roman" w:cs="Times New Roman"/>
                <w:b/>
                <w:bCs/>
                <w:sz w:val="20"/>
                <w:szCs w:val="20"/>
                <w:lang w:val="en-US"/>
              </w:rPr>
              <w:t>Impact of the financial</w:t>
            </w:r>
            <w:r w:rsidR="00364F58" w:rsidRPr="00862411">
              <w:rPr>
                <w:rFonts w:ascii="Times New Roman" w:hAnsi="Times New Roman" w:cs="Times New Roman"/>
                <w:b/>
                <w:bCs/>
                <w:sz w:val="20"/>
                <w:szCs w:val="20"/>
                <w:lang w:val="en-US"/>
              </w:rPr>
              <w:t xml:space="preserve"> </w:t>
            </w:r>
            <w:r w:rsidRPr="00862411">
              <w:rPr>
                <w:rFonts w:ascii="Times New Roman" w:hAnsi="Times New Roman" w:cs="Times New Roman"/>
                <w:b/>
                <w:bCs/>
                <w:sz w:val="20"/>
                <w:szCs w:val="20"/>
                <w:lang w:val="en-US"/>
              </w:rPr>
              <w:t>crisis</w:t>
            </w:r>
          </w:p>
        </w:tc>
        <w:tc>
          <w:tcPr>
            <w:tcW w:w="3330" w:type="dxa"/>
            <w:vAlign w:val="center"/>
          </w:tcPr>
          <w:p w14:paraId="12D5DD8C" w14:textId="3E0ACE76" w:rsidR="00766F8F" w:rsidRPr="00862411" w:rsidRDefault="00800B97"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High </w:t>
            </w:r>
            <w:r w:rsidR="00766F8F" w:rsidRPr="00862411">
              <w:rPr>
                <w:rFonts w:ascii="Times New Roman" w:hAnsi="Times New Roman" w:cs="Times New Roman"/>
                <w:sz w:val="20"/>
                <w:szCs w:val="20"/>
                <w:lang w:val="en-US"/>
              </w:rPr>
              <w:t>impact on financing conditions,</w:t>
            </w:r>
            <w:r w:rsidR="004E714A">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projects often</w:t>
            </w:r>
            <w:r>
              <w:rPr>
                <w:rFonts w:ascii="Times New Roman" w:hAnsi="Times New Roman" w:cs="Times New Roman"/>
                <w:sz w:val="20"/>
                <w:szCs w:val="20"/>
                <w:lang w:val="en-US"/>
              </w:rPr>
              <w:t xml:space="preserve"> are</w:t>
            </w:r>
            <w:r w:rsidR="00766F8F" w:rsidRPr="00862411">
              <w:rPr>
                <w:rFonts w:ascii="Times New Roman" w:hAnsi="Times New Roman" w:cs="Times New Roman"/>
                <w:sz w:val="20"/>
                <w:szCs w:val="20"/>
                <w:lang w:val="en-US"/>
              </w:rPr>
              <w:t xml:space="preserve"> not feasible</w:t>
            </w:r>
          </w:p>
        </w:tc>
        <w:tc>
          <w:tcPr>
            <w:tcW w:w="3351" w:type="dxa"/>
            <w:vAlign w:val="center"/>
          </w:tcPr>
          <w:p w14:paraId="06FE32C3" w14:textId="611ACAC0" w:rsidR="00766F8F" w:rsidRPr="00862411" w:rsidRDefault="00A0626A" w:rsidP="00486106">
            <w:pPr>
              <w:suppressAutoHyphens/>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L</w:t>
            </w:r>
            <w:r w:rsidR="00766F8F" w:rsidRPr="00862411">
              <w:rPr>
                <w:rFonts w:ascii="Times New Roman" w:hAnsi="Times New Roman" w:cs="Times New Roman"/>
                <w:sz w:val="20"/>
                <w:szCs w:val="20"/>
                <w:lang w:val="en-US"/>
              </w:rPr>
              <w:t>ow impact on financing</w:t>
            </w:r>
            <w:r w:rsidR="00800B97">
              <w:rPr>
                <w:rFonts w:ascii="Times New Roman" w:hAnsi="Times New Roman" w:cs="Times New Roman"/>
                <w:sz w:val="20"/>
                <w:szCs w:val="20"/>
                <w:lang w:val="en-US"/>
              </w:rPr>
              <w:t xml:space="preserve"> </w:t>
            </w:r>
            <w:r w:rsidR="00766F8F" w:rsidRPr="00862411">
              <w:rPr>
                <w:rFonts w:ascii="Times New Roman" w:hAnsi="Times New Roman" w:cs="Times New Roman"/>
                <w:sz w:val="20"/>
                <w:szCs w:val="20"/>
                <w:lang w:val="en-US"/>
              </w:rPr>
              <w:t>conditions, projects</w:t>
            </w:r>
            <w:r w:rsidR="00800B97">
              <w:rPr>
                <w:rFonts w:ascii="Times New Roman" w:hAnsi="Times New Roman" w:cs="Times New Roman"/>
                <w:sz w:val="20"/>
                <w:szCs w:val="20"/>
                <w:lang w:val="en-US"/>
              </w:rPr>
              <w:t xml:space="preserve"> are</w:t>
            </w:r>
            <w:r w:rsidR="00766F8F" w:rsidRPr="00862411">
              <w:rPr>
                <w:rFonts w:ascii="Times New Roman" w:hAnsi="Times New Roman" w:cs="Times New Roman"/>
                <w:sz w:val="20"/>
                <w:szCs w:val="20"/>
                <w:lang w:val="en-US"/>
              </w:rPr>
              <w:t xml:space="preserve"> still feasible</w:t>
            </w:r>
          </w:p>
        </w:tc>
      </w:tr>
    </w:tbl>
    <w:p w14:paraId="1D9484E8" w14:textId="2588496F" w:rsidR="00766F8F" w:rsidRDefault="00C31E22" w:rsidP="00486106">
      <w:pPr>
        <w:suppressAutoHyphens/>
        <w:spacing w:before="240" w:line="360" w:lineRule="auto"/>
        <w:jc w:val="both"/>
        <w:rPr>
          <w:rFonts w:asciiTheme="majorBidi" w:hAnsiTheme="majorBidi" w:cstheme="majorBidi"/>
          <w:lang w:val="en-US"/>
        </w:rPr>
      </w:pPr>
      <w:r w:rsidRPr="00345605">
        <w:rPr>
          <w:rFonts w:asciiTheme="majorBidi" w:hAnsiTheme="majorBidi" w:cstheme="majorBidi"/>
          <w:i/>
          <w:iCs/>
          <w:lang w:val="en-US"/>
        </w:rPr>
        <w:t xml:space="preserve">Sources: </w:t>
      </w:r>
      <w:r w:rsidR="00950FC7" w:rsidRPr="009738BC">
        <w:rPr>
          <w:rFonts w:ascii="Times New Roman" w:hAnsi="Times New Roman" w:cs="Times New Roman"/>
          <w:lang w:val="en-US"/>
        </w:rPr>
        <w:t xml:space="preserve">compiled by </w:t>
      </w:r>
      <w:r w:rsidR="00950FC7">
        <w:rPr>
          <w:rFonts w:ascii="Times New Roman" w:hAnsi="Times New Roman" w:cs="Times New Roman"/>
          <w:lang w:val="en-US"/>
        </w:rPr>
        <w:t xml:space="preserve">the </w:t>
      </w:r>
      <w:r w:rsidR="00950FC7" w:rsidRPr="009738BC">
        <w:rPr>
          <w:rFonts w:ascii="Times New Roman" w:hAnsi="Times New Roman" w:cs="Times New Roman"/>
          <w:lang w:val="en-US"/>
        </w:rPr>
        <w:t>author based on</w:t>
      </w:r>
      <w:r w:rsidR="00950FC7" w:rsidRPr="00345605">
        <w:rPr>
          <w:rFonts w:ascii="Times New Roman" w:hAnsi="Times New Roman" w:cs="Times New Roman"/>
          <w:lang w:val="en-US"/>
        </w:rPr>
        <w:t xml:space="preserve"> </w:t>
      </w:r>
      <w:r w:rsidR="00364F58" w:rsidRPr="00C31E22">
        <w:rPr>
          <w:rFonts w:asciiTheme="majorBidi" w:hAnsiTheme="majorBidi" w:cstheme="majorBidi"/>
          <w:lang w:val="en-US"/>
        </w:rPr>
        <w:t>Busse.</w:t>
      </w:r>
      <w:r w:rsidR="00BA2ACC">
        <w:rPr>
          <w:rStyle w:val="FootnoteReference"/>
          <w:rFonts w:ascii="TimesNewRomanPSMT" w:hAnsi="TimesNewRomanPSMT" w:cs="TimesNewRomanPSMT"/>
          <w:sz w:val="20"/>
          <w:szCs w:val="20"/>
          <w:lang w:val="en-US"/>
        </w:rPr>
        <w:footnoteReference w:id="19"/>
      </w:r>
    </w:p>
    <w:p w14:paraId="53FCBDE2" w14:textId="30CC3500" w:rsidR="000716AE" w:rsidRDefault="000716AE" w:rsidP="00486106">
      <w:pPr>
        <w:suppressAutoHyphens/>
        <w:spacing w:line="360" w:lineRule="auto"/>
        <w:ind w:firstLine="567"/>
        <w:jc w:val="both"/>
        <w:rPr>
          <w:rFonts w:asciiTheme="majorBidi" w:hAnsiTheme="majorBidi" w:cstheme="majorBidi"/>
          <w:sz w:val="24"/>
          <w:szCs w:val="24"/>
        </w:rPr>
      </w:pPr>
      <w:r w:rsidRPr="00BF30F9">
        <w:rPr>
          <w:rFonts w:asciiTheme="majorBidi" w:hAnsiTheme="majorBidi" w:cstheme="majorBidi"/>
          <w:sz w:val="24"/>
          <w:szCs w:val="24"/>
        </w:rPr>
        <w:lastRenderedPageBreak/>
        <w:t>One of the main advantages and fundamental characteristics of Project Finance is the transfer of risks to the party, who can manage it better, leading to improved risk allocation</w:t>
      </w:r>
      <w:r w:rsidRPr="00317813">
        <w:rPr>
          <w:rFonts w:asciiTheme="majorBidi" w:hAnsiTheme="majorBidi" w:cstheme="majorBidi"/>
          <w:sz w:val="24"/>
          <w:szCs w:val="24"/>
        </w:rPr>
        <w:t xml:space="preserve">. </w:t>
      </w:r>
      <w:r w:rsidRPr="009D1846">
        <w:rPr>
          <w:rFonts w:asciiTheme="majorBidi" w:hAnsiTheme="majorBidi" w:cstheme="majorBidi"/>
          <w:sz w:val="24"/>
          <w:szCs w:val="24"/>
        </w:rPr>
        <w:t>Consequently</w:t>
      </w:r>
      <w:r w:rsidRPr="00317813">
        <w:rPr>
          <w:rFonts w:asciiTheme="majorBidi" w:hAnsiTheme="majorBidi" w:cstheme="majorBidi"/>
          <w:sz w:val="24"/>
          <w:szCs w:val="24"/>
        </w:rPr>
        <w:t>, most of the risks are transferred to</w:t>
      </w:r>
      <w:r>
        <w:rPr>
          <w:rFonts w:asciiTheme="majorBidi" w:hAnsiTheme="majorBidi" w:cstheme="majorBidi"/>
          <w:sz w:val="24"/>
          <w:szCs w:val="24"/>
        </w:rPr>
        <w:t xml:space="preserve"> the</w:t>
      </w:r>
      <w:r w:rsidRPr="00317813">
        <w:rPr>
          <w:rFonts w:asciiTheme="majorBidi" w:hAnsiTheme="majorBidi" w:cstheme="majorBidi"/>
          <w:sz w:val="24"/>
          <w:szCs w:val="24"/>
        </w:rPr>
        <w:t xml:space="preserve"> lenders and the private party, </w:t>
      </w:r>
      <w:r>
        <w:rPr>
          <w:rFonts w:asciiTheme="majorBidi" w:hAnsiTheme="majorBidi" w:cstheme="majorBidi"/>
          <w:sz w:val="24"/>
          <w:szCs w:val="24"/>
        </w:rPr>
        <w:t>where</w:t>
      </w:r>
      <w:r w:rsidRPr="00317813">
        <w:rPr>
          <w:rFonts w:asciiTheme="majorBidi" w:hAnsiTheme="majorBidi" w:cstheme="majorBidi"/>
          <w:sz w:val="24"/>
          <w:szCs w:val="24"/>
        </w:rPr>
        <w:t xml:space="preserve"> the debt </w:t>
      </w:r>
      <w:r>
        <w:rPr>
          <w:rFonts w:asciiTheme="majorBidi" w:hAnsiTheme="majorBidi" w:cstheme="majorBidi"/>
          <w:sz w:val="24"/>
          <w:szCs w:val="24"/>
        </w:rPr>
        <w:t>must</w:t>
      </w:r>
      <w:r w:rsidRPr="00317813">
        <w:rPr>
          <w:rFonts w:asciiTheme="majorBidi" w:hAnsiTheme="majorBidi" w:cstheme="majorBidi"/>
          <w:sz w:val="24"/>
          <w:szCs w:val="24"/>
        </w:rPr>
        <w:t xml:space="preserve"> be repaid with the</w:t>
      </w:r>
      <w:r>
        <w:rPr>
          <w:rFonts w:asciiTheme="majorBidi" w:hAnsiTheme="majorBidi" w:cstheme="majorBidi"/>
          <w:sz w:val="24"/>
          <w:szCs w:val="24"/>
        </w:rPr>
        <w:t xml:space="preserve"> </w:t>
      </w:r>
      <w:r w:rsidRPr="00317813">
        <w:rPr>
          <w:rFonts w:asciiTheme="majorBidi" w:hAnsiTheme="majorBidi" w:cstheme="majorBidi"/>
          <w:sz w:val="24"/>
          <w:szCs w:val="24"/>
        </w:rPr>
        <w:t>cash flows</w:t>
      </w:r>
      <w:r>
        <w:rPr>
          <w:rFonts w:asciiTheme="majorBidi" w:hAnsiTheme="majorBidi" w:cstheme="majorBidi"/>
          <w:sz w:val="24"/>
          <w:szCs w:val="24"/>
        </w:rPr>
        <w:t xml:space="preserve"> </w:t>
      </w:r>
      <w:r w:rsidRPr="00317813">
        <w:rPr>
          <w:rFonts w:asciiTheme="majorBidi" w:hAnsiTheme="majorBidi" w:cstheme="majorBidi"/>
          <w:sz w:val="24"/>
          <w:szCs w:val="24"/>
        </w:rPr>
        <w:t xml:space="preserve">generated </w:t>
      </w:r>
      <w:r>
        <w:rPr>
          <w:rFonts w:asciiTheme="majorBidi" w:hAnsiTheme="majorBidi" w:cstheme="majorBidi"/>
          <w:sz w:val="24"/>
          <w:szCs w:val="24"/>
        </w:rPr>
        <w:t>by</w:t>
      </w:r>
      <w:r w:rsidRPr="00317813">
        <w:rPr>
          <w:rFonts w:asciiTheme="majorBidi" w:hAnsiTheme="majorBidi" w:cstheme="majorBidi"/>
          <w:sz w:val="24"/>
          <w:szCs w:val="24"/>
        </w:rPr>
        <w:t xml:space="preserve"> the project company. However, the main disadvantage of P</w:t>
      </w:r>
      <w:r>
        <w:rPr>
          <w:rFonts w:asciiTheme="majorBidi" w:hAnsiTheme="majorBidi" w:cstheme="majorBidi"/>
          <w:sz w:val="24"/>
          <w:szCs w:val="24"/>
        </w:rPr>
        <w:t xml:space="preserve">roject finance </w:t>
      </w:r>
      <w:r w:rsidRPr="00317813">
        <w:rPr>
          <w:rFonts w:asciiTheme="majorBidi" w:hAnsiTheme="majorBidi" w:cstheme="majorBidi"/>
          <w:sz w:val="24"/>
          <w:szCs w:val="24"/>
        </w:rPr>
        <w:t xml:space="preserve">over forfaiting is </w:t>
      </w:r>
      <w:r w:rsidR="00C75484">
        <w:rPr>
          <w:rFonts w:asciiTheme="majorBidi" w:hAnsiTheme="majorBidi" w:cstheme="majorBidi"/>
          <w:sz w:val="24"/>
          <w:szCs w:val="24"/>
        </w:rPr>
        <w:t xml:space="preserve">its </w:t>
      </w:r>
      <w:r w:rsidRPr="00317813">
        <w:rPr>
          <w:rFonts w:asciiTheme="majorBidi" w:hAnsiTheme="majorBidi" w:cstheme="majorBidi"/>
          <w:sz w:val="24"/>
          <w:szCs w:val="24"/>
        </w:rPr>
        <w:t>worse financing conditions, including higher financing costs. Moreover, extensive due diligence involves high transaction cost</w:t>
      </w:r>
      <w:r w:rsidR="00884B75">
        <w:rPr>
          <w:rFonts w:asciiTheme="majorBidi" w:hAnsiTheme="majorBidi" w:cstheme="majorBidi"/>
          <w:sz w:val="24"/>
          <w:szCs w:val="24"/>
        </w:rPr>
        <w:t>s</w:t>
      </w:r>
      <w:r w:rsidRPr="00317813">
        <w:rPr>
          <w:rFonts w:asciiTheme="majorBidi" w:hAnsiTheme="majorBidi" w:cstheme="majorBidi"/>
          <w:sz w:val="24"/>
          <w:szCs w:val="24"/>
        </w:rPr>
        <w:t xml:space="preserve"> and time.</w:t>
      </w:r>
    </w:p>
    <w:p w14:paraId="672ACC9B" w14:textId="3733021C" w:rsidR="00C10A46" w:rsidRPr="00C10A46" w:rsidRDefault="00C10A46" w:rsidP="00486106">
      <w:pPr>
        <w:suppressAutoHyphens/>
        <w:autoSpaceDN/>
        <w:spacing w:line="360" w:lineRule="auto"/>
        <w:ind w:firstLine="567"/>
        <w:contextualSpacing/>
        <w:jc w:val="both"/>
        <w:textAlignment w:val="auto"/>
        <w:rPr>
          <w:rFonts w:asciiTheme="majorBidi" w:hAnsiTheme="majorBidi" w:cstheme="majorBidi"/>
          <w:sz w:val="24"/>
          <w:szCs w:val="24"/>
        </w:rPr>
      </w:pPr>
      <w:r w:rsidRPr="00C10A46">
        <w:rPr>
          <w:rFonts w:asciiTheme="majorBidi" w:hAnsiTheme="majorBidi" w:cstheme="majorBidi"/>
          <w:sz w:val="24"/>
          <w:szCs w:val="24"/>
        </w:rPr>
        <w:t>One area of modern innovation is the use of Islamic or Sharia finance-compliant finance, Islamic financial sector showed double growth during the crisis of 2008 compared to the traditional sector.</w:t>
      </w:r>
      <w:r>
        <w:rPr>
          <w:rStyle w:val="FootnoteReference"/>
          <w:rFonts w:asciiTheme="majorBidi" w:hAnsiTheme="majorBidi" w:cstheme="majorBidi"/>
        </w:rPr>
        <w:footnoteReference w:id="20"/>
      </w:r>
      <w:r>
        <w:rPr>
          <w:rFonts w:asciiTheme="majorBidi" w:hAnsiTheme="majorBidi" w:cstheme="majorBidi"/>
          <w:sz w:val="24"/>
          <w:szCs w:val="24"/>
        </w:rPr>
        <w:t xml:space="preserve"> </w:t>
      </w:r>
      <w:r w:rsidRPr="00C10A46">
        <w:rPr>
          <w:rFonts w:asciiTheme="majorBidi" w:hAnsiTheme="majorBidi" w:cstheme="majorBidi"/>
          <w:sz w:val="24"/>
          <w:szCs w:val="24"/>
        </w:rPr>
        <w:t>The basic principles of Islamic finance are:</w:t>
      </w:r>
    </w:p>
    <w:p w14:paraId="6ABE4226" w14:textId="2C1A3129" w:rsidR="002A2BDD" w:rsidRPr="005209A1" w:rsidRDefault="002A2BDD" w:rsidP="00486106">
      <w:pPr>
        <w:pStyle w:val="ListParagraph"/>
        <w:numPr>
          <w:ilvl w:val="0"/>
          <w:numId w:val="27"/>
        </w:numPr>
        <w:suppressAutoHyphens/>
        <w:autoSpaceDN/>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Pr</w:t>
      </w:r>
      <w:r w:rsidRPr="005209A1">
        <w:rPr>
          <w:rFonts w:asciiTheme="majorBidi" w:hAnsiTheme="majorBidi" w:cstheme="majorBidi"/>
          <w:sz w:val="24"/>
          <w:szCs w:val="24"/>
        </w:rPr>
        <w:t>ohibition of Riba</w:t>
      </w:r>
      <w:r w:rsidR="00C17E1F">
        <w:rPr>
          <w:rFonts w:asciiTheme="majorBidi" w:hAnsiTheme="majorBidi" w:cstheme="majorBidi"/>
          <w:sz w:val="24"/>
          <w:szCs w:val="24"/>
          <w:lang w:val="en-US"/>
        </w:rPr>
        <w:t>.</w:t>
      </w:r>
      <w:r w:rsidRPr="004A28C1">
        <w:rPr>
          <w:rFonts w:asciiTheme="majorBidi" w:hAnsiTheme="majorBidi" w:cstheme="majorBidi"/>
          <w:sz w:val="24"/>
          <w:szCs w:val="24"/>
          <w:lang w:val="en-US"/>
        </w:rPr>
        <w:t xml:space="preserve"> </w:t>
      </w:r>
      <w:r w:rsidR="00C17E1F">
        <w:rPr>
          <w:rFonts w:asciiTheme="majorBidi" w:hAnsiTheme="majorBidi" w:cstheme="majorBidi"/>
          <w:sz w:val="24"/>
          <w:szCs w:val="24"/>
        </w:rPr>
        <w:t>Riba</w:t>
      </w:r>
      <w:r w:rsidR="00C10A46">
        <w:rPr>
          <w:rFonts w:asciiTheme="majorBidi" w:hAnsiTheme="majorBidi" w:cstheme="majorBidi"/>
          <w:sz w:val="24"/>
          <w:szCs w:val="24"/>
        </w:rPr>
        <w:t xml:space="preserve"> is</w:t>
      </w:r>
      <w:r w:rsidRPr="004A28C1">
        <w:rPr>
          <w:rFonts w:asciiTheme="majorBidi" w:hAnsiTheme="majorBidi" w:cstheme="majorBidi"/>
          <w:sz w:val="24"/>
          <w:szCs w:val="24"/>
          <w:lang w:val="en-US"/>
        </w:rPr>
        <w:t xml:space="preserve"> the increase in a transaction on a loan or sale</w:t>
      </w:r>
      <w:r w:rsidR="00C10A46">
        <w:rPr>
          <w:rFonts w:asciiTheme="majorBidi" w:hAnsiTheme="majorBidi" w:cstheme="majorBidi"/>
          <w:sz w:val="24"/>
          <w:szCs w:val="24"/>
          <w:lang w:val="en-US"/>
        </w:rPr>
        <w:t>,</w:t>
      </w:r>
      <w:r w:rsidRPr="004A28C1">
        <w:rPr>
          <w:rFonts w:asciiTheme="majorBidi" w:hAnsiTheme="majorBidi" w:cstheme="majorBidi"/>
          <w:sz w:val="24"/>
          <w:szCs w:val="24"/>
          <w:lang w:val="en-US"/>
        </w:rPr>
        <w:t xml:space="preserve"> that accrues to the lender</w:t>
      </w:r>
      <w:r w:rsidR="00C10A46">
        <w:rPr>
          <w:rFonts w:asciiTheme="majorBidi" w:hAnsiTheme="majorBidi" w:cstheme="majorBidi"/>
          <w:sz w:val="24"/>
          <w:szCs w:val="24"/>
          <w:lang w:val="en-US"/>
        </w:rPr>
        <w:t xml:space="preserve"> or</w:t>
      </w:r>
      <w:r w:rsidRPr="004A28C1">
        <w:rPr>
          <w:rFonts w:asciiTheme="majorBidi" w:hAnsiTheme="majorBidi" w:cstheme="majorBidi"/>
          <w:sz w:val="24"/>
          <w:szCs w:val="24"/>
          <w:lang w:val="en-US"/>
        </w:rPr>
        <w:t xml:space="preserve"> seller</w:t>
      </w:r>
      <w:r w:rsidR="00C10A46">
        <w:rPr>
          <w:rFonts w:asciiTheme="majorBidi" w:hAnsiTheme="majorBidi" w:cstheme="majorBidi"/>
          <w:sz w:val="24"/>
          <w:szCs w:val="24"/>
          <w:lang w:val="en-US"/>
        </w:rPr>
        <w:t>,</w:t>
      </w:r>
      <w:r w:rsidRPr="004A28C1">
        <w:rPr>
          <w:rFonts w:asciiTheme="majorBidi" w:hAnsiTheme="majorBidi" w:cstheme="majorBidi"/>
          <w:sz w:val="24"/>
          <w:szCs w:val="24"/>
          <w:lang w:val="en-US"/>
        </w:rPr>
        <w:t xml:space="preserve"> without providing an equivalent counter value to the other party.</w:t>
      </w:r>
    </w:p>
    <w:p w14:paraId="1FFC8B57" w14:textId="249D9490" w:rsidR="002A2BDD" w:rsidRPr="005209A1" w:rsidRDefault="002A2BDD" w:rsidP="00486106">
      <w:pPr>
        <w:pStyle w:val="ListParagraph"/>
        <w:numPr>
          <w:ilvl w:val="0"/>
          <w:numId w:val="27"/>
        </w:numPr>
        <w:suppressAutoHyphens/>
        <w:autoSpaceDN/>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P</w:t>
      </w:r>
      <w:r w:rsidRPr="005209A1">
        <w:rPr>
          <w:rFonts w:asciiTheme="majorBidi" w:hAnsiTheme="majorBidi" w:cstheme="majorBidi"/>
          <w:sz w:val="24"/>
          <w:szCs w:val="24"/>
        </w:rPr>
        <w:t>rohibition of Gharar</w:t>
      </w:r>
      <w:r>
        <w:rPr>
          <w:rFonts w:asciiTheme="majorBidi" w:hAnsiTheme="majorBidi" w:cstheme="majorBidi"/>
          <w:sz w:val="24"/>
          <w:szCs w:val="24"/>
        </w:rPr>
        <w:t>,</w:t>
      </w:r>
      <w:r w:rsidR="00056CEA">
        <w:rPr>
          <w:rFonts w:asciiTheme="majorBidi" w:hAnsiTheme="majorBidi" w:cstheme="majorBidi"/>
          <w:sz w:val="24"/>
          <w:szCs w:val="24"/>
        </w:rPr>
        <w:t xml:space="preserve"> which</w:t>
      </w:r>
      <w:r>
        <w:rPr>
          <w:rFonts w:asciiTheme="majorBidi" w:hAnsiTheme="majorBidi" w:cstheme="majorBidi"/>
          <w:sz w:val="24"/>
          <w:szCs w:val="24"/>
        </w:rPr>
        <w:t xml:space="preserve"> </w:t>
      </w:r>
      <w:r w:rsidRPr="00B53523">
        <w:rPr>
          <w:rFonts w:asciiTheme="majorBidi" w:hAnsiTheme="majorBidi" w:cstheme="majorBidi"/>
          <w:sz w:val="24"/>
          <w:szCs w:val="24"/>
        </w:rPr>
        <w:t>is usually due to the uncertainty, ignorance</w:t>
      </w:r>
      <w:r w:rsidR="006E4774">
        <w:rPr>
          <w:rFonts w:asciiTheme="majorBidi" w:hAnsiTheme="majorBidi" w:cstheme="majorBidi"/>
          <w:sz w:val="24"/>
          <w:szCs w:val="24"/>
        </w:rPr>
        <w:t>,</w:t>
      </w:r>
      <w:r w:rsidRPr="00B53523">
        <w:rPr>
          <w:rFonts w:asciiTheme="majorBidi" w:hAnsiTheme="majorBidi" w:cstheme="majorBidi"/>
          <w:sz w:val="24"/>
          <w:szCs w:val="24"/>
        </w:rPr>
        <w:t xml:space="preserve"> and lack of transparency</w:t>
      </w:r>
      <w:r w:rsidR="00BF30F9">
        <w:rPr>
          <w:rFonts w:asciiTheme="majorBidi" w:hAnsiTheme="majorBidi" w:cstheme="majorBidi"/>
          <w:sz w:val="24"/>
          <w:szCs w:val="24"/>
        </w:rPr>
        <w:t xml:space="preserve">, </w:t>
      </w:r>
      <w:r w:rsidRPr="00B53523">
        <w:rPr>
          <w:rFonts w:asciiTheme="majorBidi" w:hAnsiTheme="majorBidi" w:cstheme="majorBidi"/>
          <w:sz w:val="24"/>
          <w:szCs w:val="24"/>
        </w:rPr>
        <w:t>inadvertently leads to deception</w:t>
      </w:r>
      <w:r>
        <w:rPr>
          <w:rFonts w:asciiTheme="majorBidi" w:hAnsiTheme="majorBidi" w:cstheme="majorBidi"/>
          <w:sz w:val="24"/>
          <w:szCs w:val="24"/>
        </w:rPr>
        <w:t xml:space="preserve"> i</w:t>
      </w:r>
      <w:r w:rsidRPr="00B53523">
        <w:rPr>
          <w:rFonts w:asciiTheme="majorBidi" w:hAnsiTheme="majorBidi" w:cstheme="majorBidi"/>
          <w:sz w:val="24"/>
          <w:szCs w:val="24"/>
        </w:rPr>
        <w:t>n a commercial transaction</w:t>
      </w:r>
      <w:r w:rsidR="00BF30F9">
        <w:rPr>
          <w:rFonts w:asciiTheme="majorBidi" w:hAnsiTheme="majorBidi" w:cstheme="majorBidi"/>
          <w:sz w:val="24"/>
          <w:szCs w:val="24"/>
        </w:rPr>
        <w:t xml:space="preserve"> and </w:t>
      </w:r>
      <w:r w:rsidRPr="00B53523">
        <w:rPr>
          <w:rFonts w:asciiTheme="majorBidi" w:hAnsiTheme="majorBidi" w:cstheme="majorBidi"/>
          <w:sz w:val="24"/>
          <w:szCs w:val="24"/>
        </w:rPr>
        <w:t>fraud.</w:t>
      </w:r>
    </w:p>
    <w:p w14:paraId="367A52C9" w14:textId="564FA95A" w:rsidR="002A2BDD" w:rsidRDefault="002A2BDD" w:rsidP="00486106">
      <w:pPr>
        <w:pStyle w:val="ListParagraph"/>
        <w:numPr>
          <w:ilvl w:val="0"/>
          <w:numId w:val="27"/>
        </w:numPr>
        <w:suppressAutoHyphens/>
        <w:autoSpaceDN/>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P</w:t>
      </w:r>
      <w:r w:rsidRPr="005209A1">
        <w:rPr>
          <w:rFonts w:asciiTheme="majorBidi" w:hAnsiTheme="majorBidi" w:cstheme="majorBidi"/>
          <w:sz w:val="24"/>
          <w:szCs w:val="24"/>
        </w:rPr>
        <w:t>rohibition of Maysir</w:t>
      </w:r>
      <w:r>
        <w:rPr>
          <w:rFonts w:asciiTheme="majorBidi" w:hAnsiTheme="majorBidi" w:cstheme="majorBidi"/>
          <w:sz w:val="24"/>
          <w:szCs w:val="24"/>
        </w:rPr>
        <w:t xml:space="preserve">, </w:t>
      </w:r>
      <w:r w:rsidR="006A138A">
        <w:rPr>
          <w:rFonts w:asciiTheme="majorBidi" w:hAnsiTheme="majorBidi" w:cstheme="majorBidi"/>
          <w:sz w:val="24"/>
          <w:szCs w:val="24"/>
        </w:rPr>
        <w:t>it</w:t>
      </w:r>
      <w:r>
        <w:rPr>
          <w:rFonts w:asciiTheme="majorBidi" w:hAnsiTheme="majorBidi" w:cstheme="majorBidi"/>
          <w:sz w:val="24"/>
          <w:szCs w:val="24"/>
        </w:rPr>
        <w:t xml:space="preserve"> means </w:t>
      </w:r>
      <w:r w:rsidRPr="00B53523">
        <w:rPr>
          <w:rFonts w:asciiTheme="majorBidi" w:hAnsiTheme="majorBidi" w:cstheme="majorBidi"/>
          <w:sz w:val="24"/>
          <w:szCs w:val="24"/>
        </w:rPr>
        <w:t>the exclusion of financing and dealing in gambling activities (casino</w:t>
      </w:r>
      <w:r>
        <w:rPr>
          <w:rFonts w:asciiTheme="majorBidi" w:hAnsiTheme="majorBidi" w:cstheme="majorBidi"/>
          <w:sz w:val="24"/>
          <w:szCs w:val="24"/>
        </w:rPr>
        <w:t xml:space="preserve"> </w:t>
      </w:r>
      <w:r w:rsidRPr="00B53523">
        <w:rPr>
          <w:rFonts w:asciiTheme="majorBidi" w:hAnsiTheme="majorBidi" w:cstheme="majorBidi"/>
          <w:sz w:val="24"/>
          <w:szCs w:val="24"/>
        </w:rPr>
        <w:t>games, lotteries)</w:t>
      </w:r>
      <w:r w:rsidR="004867C3">
        <w:rPr>
          <w:rFonts w:asciiTheme="majorBidi" w:hAnsiTheme="majorBidi" w:cstheme="majorBidi"/>
          <w:sz w:val="24"/>
          <w:szCs w:val="24"/>
        </w:rPr>
        <w:t>.</w:t>
      </w:r>
    </w:p>
    <w:p w14:paraId="0DC6BC1E" w14:textId="2E0D5A86" w:rsidR="002A2BDD" w:rsidRPr="00A03A4A" w:rsidRDefault="002A2BDD" w:rsidP="00486106">
      <w:pPr>
        <w:pStyle w:val="ListParagraph"/>
        <w:numPr>
          <w:ilvl w:val="0"/>
          <w:numId w:val="27"/>
        </w:numPr>
        <w:suppressAutoHyphens/>
        <w:autoSpaceDN/>
        <w:spacing w:line="360" w:lineRule="auto"/>
        <w:ind w:left="567" w:hanging="357"/>
        <w:contextualSpacing/>
        <w:jc w:val="both"/>
        <w:textAlignment w:val="auto"/>
        <w:rPr>
          <w:rFonts w:asciiTheme="majorBidi" w:hAnsiTheme="majorBidi" w:cstheme="majorBidi"/>
          <w:sz w:val="24"/>
          <w:szCs w:val="24"/>
          <w:lang w:val="en-US"/>
        </w:rPr>
      </w:pPr>
      <w:r w:rsidRPr="00A03A4A">
        <w:rPr>
          <w:rFonts w:asciiTheme="majorBidi" w:hAnsiTheme="majorBidi" w:cstheme="majorBidi"/>
          <w:sz w:val="24"/>
          <w:szCs w:val="24"/>
          <w:lang w:val="en-US"/>
        </w:rPr>
        <w:t>Money in an Islamic economy has no intrinsic value</w:t>
      </w:r>
      <w:r w:rsidR="00E8699F">
        <w:rPr>
          <w:rFonts w:asciiTheme="majorBidi" w:hAnsiTheme="majorBidi" w:cstheme="majorBidi"/>
          <w:sz w:val="24"/>
          <w:szCs w:val="24"/>
          <w:lang w:val="en-US"/>
        </w:rPr>
        <w:t>;</w:t>
      </w:r>
      <w:r w:rsidRPr="00A03A4A">
        <w:rPr>
          <w:rFonts w:asciiTheme="majorBidi" w:hAnsiTheme="majorBidi" w:cstheme="majorBidi"/>
          <w:sz w:val="24"/>
          <w:szCs w:val="24"/>
          <w:lang w:val="en-US"/>
        </w:rPr>
        <w:t xml:space="preserve"> its princip</w:t>
      </w:r>
      <w:r w:rsidR="00056CEA">
        <w:rPr>
          <w:rFonts w:asciiTheme="majorBidi" w:hAnsiTheme="majorBidi" w:cstheme="majorBidi"/>
          <w:sz w:val="24"/>
          <w:szCs w:val="24"/>
          <w:lang w:val="en-US"/>
        </w:rPr>
        <w:t>al</w:t>
      </w:r>
      <w:r w:rsidRPr="00A03A4A">
        <w:rPr>
          <w:rFonts w:asciiTheme="majorBidi" w:hAnsiTheme="majorBidi" w:cstheme="majorBidi"/>
          <w:sz w:val="24"/>
          <w:szCs w:val="24"/>
          <w:lang w:val="en-US"/>
        </w:rPr>
        <w:t xml:space="preserve"> purpose is as a medium of exchange.</w:t>
      </w:r>
      <w:r w:rsidRPr="00A03A4A">
        <w:rPr>
          <w:rFonts w:asciiTheme="majorBidi" w:hAnsiTheme="majorBidi" w:cstheme="majorBidi"/>
          <w:sz w:val="24"/>
          <w:szCs w:val="24"/>
          <w:vertAlign w:val="superscript"/>
        </w:rPr>
        <w:footnoteReference w:id="21"/>
      </w:r>
    </w:p>
    <w:p w14:paraId="1C2B8F3C" w14:textId="77777777" w:rsidR="002A2BDD" w:rsidRPr="00A03A4A" w:rsidRDefault="002A2BDD" w:rsidP="00486106">
      <w:pPr>
        <w:pStyle w:val="ListParagraph"/>
        <w:numPr>
          <w:ilvl w:val="0"/>
          <w:numId w:val="27"/>
        </w:numPr>
        <w:suppressAutoHyphens/>
        <w:autoSpaceDN/>
        <w:spacing w:line="360" w:lineRule="auto"/>
        <w:ind w:left="567" w:hanging="357"/>
        <w:contextualSpacing/>
        <w:jc w:val="both"/>
        <w:textAlignment w:val="auto"/>
        <w:rPr>
          <w:rFonts w:asciiTheme="majorBidi" w:hAnsiTheme="majorBidi" w:cstheme="majorBidi"/>
          <w:sz w:val="24"/>
          <w:szCs w:val="24"/>
          <w:lang w:val="en-US"/>
        </w:rPr>
      </w:pPr>
      <w:r>
        <w:rPr>
          <w:rFonts w:asciiTheme="majorBidi" w:hAnsiTheme="majorBidi" w:cstheme="majorBidi"/>
          <w:sz w:val="24"/>
          <w:szCs w:val="24"/>
          <w:lang w:val="en-US"/>
        </w:rPr>
        <w:t xml:space="preserve">Materiality, </w:t>
      </w:r>
      <w:r w:rsidRPr="00A03A4A">
        <w:rPr>
          <w:rFonts w:asciiTheme="majorBidi" w:hAnsiTheme="majorBidi" w:cstheme="majorBidi"/>
          <w:sz w:val="24"/>
          <w:szCs w:val="24"/>
          <w:lang w:val="en-US"/>
        </w:rPr>
        <w:t xml:space="preserve">Islamic finance </w:t>
      </w:r>
      <w:r>
        <w:rPr>
          <w:rFonts w:asciiTheme="majorBidi" w:hAnsiTheme="majorBidi" w:cstheme="majorBidi"/>
          <w:sz w:val="24"/>
          <w:szCs w:val="24"/>
          <w:lang w:val="en-US"/>
        </w:rPr>
        <w:t>is</w:t>
      </w:r>
      <w:r w:rsidRPr="00A03A4A">
        <w:rPr>
          <w:rFonts w:asciiTheme="majorBidi" w:hAnsiTheme="majorBidi" w:cstheme="majorBidi"/>
          <w:sz w:val="24"/>
          <w:szCs w:val="24"/>
          <w:lang w:val="en-US"/>
        </w:rPr>
        <w:t xml:space="preserve"> real-economy-oriented, as all transactions must be asset-linked (asset-backed or asset</w:t>
      </w:r>
      <w:r>
        <w:rPr>
          <w:rFonts w:asciiTheme="majorBidi" w:hAnsiTheme="majorBidi" w:cstheme="majorBidi"/>
          <w:sz w:val="24"/>
          <w:szCs w:val="24"/>
          <w:lang w:val="en-US"/>
        </w:rPr>
        <w:t>-</w:t>
      </w:r>
      <w:r w:rsidRPr="00A03A4A">
        <w:rPr>
          <w:rFonts w:asciiTheme="majorBidi" w:hAnsiTheme="majorBidi" w:cstheme="majorBidi"/>
          <w:sz w:val="24"/>
          <w:szCs w:val="24"/>
          <w:lang w:val="en-US"/>
        </w:rPr>
        <w:t>based).</w:t>
      </w:r>
      <w:r w:rsidRPr="00A03A4A">
        <w:rPr>
          <w:vertAlign w:val="superscript"/>
        </w:rPr>
        <w:footnoteReference w:id="22"/>
      </w:r>
    </w:p>
    <w:p w14:paraId="3A7BC043" w14:textId="7EF6AADD" w:rsidR="008B1D39" w:rsidRDefault="008B1D39" w:rsidP="00486106">
      <w:pPr>
        <w:suppressAutoHyphens/>
        <w:spacing w:line="360" w:lineRule="auto"/>
        <w:ind w:firstLine="567"/>
        <w:jc w:val="both"/>
        <w:rPr>
          <w:rFonts w:asciiTheme="majorBidi" w:hAnsiTheme="majorBidi" w:cstheme="majorBidi"/>
          <w:sz w:val="24"/>
          <w:szCs w:val="24"/>
        </w:rPr>
      </w:pPr>
      <w:r w:rsidRPr="008B1D39">
        <w:rPr>
          <w:rFonts w:asciiTheme="majorBidi" w:hAnsiTheme="majorBidi" w:cstheme="majorBidi"/>
          <w:sz w:val="24"/>
          <w:szCs w:val="24"/>
        </w:rPr>
        <w:t>Islamic financing operations differ from traditional in many respects, unlike traditional financing that operates based on borrowing and lending at predetermined interest rates. Islamic financing comes with loan holders receiving a return to be determined later by profitability. The Islamic financial system requires transactions to be linked to the real sector, leading to fruitful activities that produce income and wealth. Moreover, the Islamic finance operations also use several contracts such as</w:t>
      </w:r>
      <w:r>
        <w:rPr>
          <w:rFonts w:asciiTheme="majorBidi" w:hAnsiTheme="majorBidi" w:cstheme="majorBidi"/>
          <w:sz w:val="24"/>
          <w:szCs w:val="24"/>
        </w:rPr>
        <w:t>:</w:t>
      </w:r>
      <w:r w:rsidRPr="008B1D39">
        <w:rPr>
          <w:rFonts w:asciiTheme="majorBidi" w:hAnsiTheme="majorBidi" w:cstheme="majorBidi"/>
          <w:sz w:val="24"/>
          <w:szCs w:val="24"/>
        </w:rPr>
        <w:t xml:space="preserve"> “Murabaha”</w:t>
      </w:r>
      <w:r>
        <w:rPr>
          <w:rFonts w:asciiTheme="majorBidi" w:hAnsiTheme="majorBidi" w:cstheme="majorBidi"/>
          <w:sz w:val="24"/>
          <w:szCs w:val="24"/>
        </w:rPr>
        <w:t>-</w:t>
      </w:r>
      <w:r w:rsidRPr="008B1D39">
        <w:rPr>
          <w:rFonts w:asciiTheme="majorBidi" w:hAnsiTheme="majorBidi" w:cstheme="majorBidi"/>
          <w:sz w:val="24"/>
          <w:szCs w:val="24"/>
        </w:rPr>
        <w:t xml:space="preserve"> sales contracts with profit margin; “Istisna</w:t>
      </w:r>
      <w:r w:rsidR="00810EC1" w:rsidRPr="00810EC1">
        <w:rPr>
          <w:rFonts w:ascii="Times New Roman" w:hAnsi="Times New Roman" w:cs="Times New Roman"/>
          <w:sz w:val="24"/>
          <w:szCs w:val="24"/>
        </w:rPr>
        <w:t>'</w:t>
      </w:r>
      <w:r w:rsidRPr="008B1D39">
        <w:rPr>
          <w:rFonts w:asciiTheme="majorBidi" w:hAnsiTheme="majorBidi" w:cstheme="majorBidi"/>
          <w:sz w:val="24"/>
          <w:szCs w:val="24"/>
        </w:rPr>
        <w:t>a”</w:t>
      </w:r>
      <w:r>
        <w:rPr>
          <w:rFonts w:asciiTheme="majorBidi" w:hAnsiTheme="majorBidi" w:cstheme="majorBidi"/>
          <w:sz w:val="24"/>
          <w:szCs w:val="24"/>
        </w:rPr>
        <w:t>-</w:t>
      </w:r>
      <w:r w:rsidRPr="008B1D39">
        <w:rPr>
          <w:rFonts w:asciiTheme="majorBidi" w:hAnsiTheme="majorBidi" w:cstheme="majorBidi"/>
          <w:sz w:val="24"/>
          <w:szCs w:val="24"/>
        </w:rPr>
        <w:t xml:space="preserve"> an agreement to manufacture; “Ijara”</w:t>
      </w:r>
      <w:r>
        <w:rPr>
          <w:rFonts w:asciiTheme="majorBidi" w:hAnsiTheme="majorBidi" w:cstheme="majorBidi"/>
          <w:sz w:val="24"/>
          <w:szCs w:val="24"/>
        </w:rPr>
        <w:t>-</w:t>
      </w:r>
      <w:r w:rsidRPr="008B1D39">
        <w:rPr>
          <w:rFonts w:asciiTheme="majorBidi" w:hAnsiTheme="majorBidi" w:cstheme="majorBidi"/>
          <w:sz w:val="24"/>
          <w:szCs w:val="24"/>
        </w:rPr>
        <w:t xml:space="preserve"> a financial lease, “Musharaka”</w:t>
      </w:r>
      <w:r>
        <w:rPr>
          <w:rFonts w:asciiTheme="majorBidi" w:hAnsiTheme="majorBidi" w:cstheme="majorBidi"/>
          <w:sz w:val="24"/>
          <w:szCs w:val="24"/>
        </w:rPr>
        <w:t>-</w:t>
      </w:r>
      <w:r w:rsidRPr="008B1D39">
        <w:rPr>
          <w:rFonts w:asciiTheme="majorBidi" w:hAnsiTheme="majorBidi" w:cstheme="majorBidi"/>
          <w:sz w:val="24"/>
          <w:szCs w:val="24"/>
        </w:rPr>
        <w:t xml:space="preserve"> participation in the profits and losses; “Mudaraba”</w:t>
      </w:r>
      <w:r>
        <w:rPr>
          <w:rFonts w:asciiTheme="majorBidi" w:hAnsiTheme="majorBidi" w:cstheme="majorBidi"/>
          <w:sz w:val="24"/>
          <w:szCs w:val="24"/>
        </w:rPr>
        <w:t>-</w:t>
      </w:r>
      <w:r w:rsidRPr="008B1D39">
        <w:rPr>
          <w:rFonts w:asciiTheme="majorBidi" w:hAnsiTheme="majorBidi" w:cstheme="majorBidi"/>
          <w:sz w:val="24"/>
          <w:szCs w:val="24"/>
        </w:rPr>
        <w:t xml:space="preserve"> participation in the profits and bear the losses; “Wakala”</w:t>
      </w:r>
      <w:r>
        <w:rPr>
          <w:rFonts w:asciiTheme="majorBidi" w:hAnsiTheme="majorBidi" w:cstheme="majorBidi"/>
          <w:sz w:val="24"/>
          <w:szCs w:val="24"/>
        </w:rPr>
        <w:t>-</w:t>
      </w:r>
      <w:r w:rsidRPr="008B1D39">
        <w:rPr>
          <w:rFonts w:asciiTheme="majorBidi" w:hAnsiTheme="majorBidi" w:cstheme="majorBidi"/>
          <w:sz w:val="24"/>
          <w:szCs w:val="24"/>
        </w:rPr>
        <w:t xml:space="preserve"> Fee-based services; and “Sukuk”</w:t>
      </w:r>
      <w:r>
        <w:rPr>
          <w:rFonts w:asciiTheme="majorBidi" w:hAnsiTheme="majorBidi" w:cstheme="majorBidi"/>
          <w:sz w:val="24"/>
          <w:szCs w:val="24"/>
        </w:rPr>
        <w:t>-</w:t>
      </w:r>
      <w:r w:rsidRPr="008B1D39">
        <w:rPr>
          <w:rFonts w:asciiTheme="majorBidi" w:hAnsiTheme="majorBidi" w:cstheme="majorBidi"/>
          <w:sz w:val="24"/>
          <w:szCs w:val="24"/>
        </w:rPr>
        <w:t xml:space="preserve"> Islamic bonds. </w:t>
      </w:r>
    </w:p>
    <w:p w14:paraId="25CAB7A6" w14:textId="2C732057" w:rsidR="002A2BDD" w:rsidRPr="00B514EF" w:rsidRDefault="002A2BDD" w:rsidP="00486106">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S</w:t>
      </w:r>
      <w:r w:rsidRPr="00B514EF">
        <w:rPr>
          <w:rFonts w:asciiTheme="majorBidi" w:hAnsiTheme="majorBidi" w:cstheme="majorBidi"/>
          <w:sz w:val="24"/>
          <w:szCs w:val="24"/>
        </w:rPr>
        <w:t xml:space="preserve">ukuk is an asset-backed instrument </w:t>
      </w:r>
      <w:r w:rsidR="00884B75" w:rsidRPr="00884B75">
        <w:rPr>
          <w:rFonts w:asciiTheme="majorBidi" w:hAnsiTheme="majorBidi" w:cstheme="majorBidi"/>
          <w:sz w:val="24"/>
          <w:szCs w:val="24"/>
        </w:rPr>
        <w:t xml:space="preserve">representing </w:t>
      </w:r>
      <w:r w:rsidRPr="00B514EF">
        <w:rPr>
          <w:rFonts w:asciiTheme="majorBidi" w:hAnsiTheme="majorBidi" w:cstheme="majorBidi"/>
          <w:sz w:val="24"/>
          <w:szCs w:val="24"/>
        </w:rPr>
        <w:t>a beneficial ownership interest in an underlying asset</w:t>
      </w:r>
      <w:r w:rsidR="00884B75">
        <w:rPr>
          <w:rFonts w:asciiTheme="majorBidi" w:hAnsiTheme="majorBidi" w:cstheme="majorBidi"/>
          <w:sz w:val="24"/>
          <w:szCs w:val="24"/>
        </w:rPr>
        <w:t>;</w:t>
      </w:r>
      <w:r w:rsidRPr="00B514EF">
        <w:rPr>
          <w:rFonts w:asciiTheme="majorBidi" w:hAnsiTheme="majorBidi" w:cstheme="majorBidi"/>
          <w:sz w:val="24"/>
          <w:szCs w:val="24"/>
        </w:rPr>
        <w:t xml:space="preserve"> </w:t>
      </w:r>
      <w:r w:rsidR="0003647A">
        <w:rPr>
          <w:rFonts w:asciiTheme="majorBidi" w:hAnsiTheme="majorBidi" w:cstheme="majorBidi"/>
          <w:sz w:val="24"/>
          <w:szCs w:val="24"/>
        </w:rPr>
        <w:t>it</w:t>
      </w:r>
      <w:r w:rsidRPr="00B514EF">
        <w:rPr>
          <w:rFonts w:asciiTheme="majorBidi" w:hAnsiTheme="majorBidi" w:cstheme="majorBidi"/>
          <w:sz w:val="24"/>
          <w:szCs w:val="24"/>
        </w:rPr>
        <w:t xml:space="preserve"> is a certificate that appears like a traditional bond or asset-backed security but is technically neither debt nor equity. Sukuk </w:t>
      </w:r>
      <w:r w:rsidR="009D0A51">
        <w:rPr>
          <w:rFonts w:asciiTheme="majorBidi" w:hAnsiTheme="majorBidi" w:cstheme="majorBidi"/>
          <w:sz w:val="24"/>
          <w:szCs w:val="24"/>
        </w:rPr>
        <w:t>is</w:t>
      </w:r>
      <w:r w:rsidRPr="00B514EF">
        <w:rPr>
          <w:rFonts w:asciiTheme="majorBidi" w:hAnsiTheme="majorBidi" w:cstheme="majorBidi"/>
          <w:sz w:val="24"/>
          <w:szCs w:val="24"/>
        </w:rPr>
        <w:t xml:space="preserve"> </w:t>
      </w:r>
      <w:r w:rsidR="00851B1B" w:rsidRPr="00851B1B">
        <w:rPr>
          <w:rFonts w:asciiTheme="majorBidi" w:hAnsiTheme="majorBidi" w:cstheme="majorBidi"/>
          <w:sz w:val="24"/>
          <w:szCs w:val="24"/>
        </w:rPr>
        <w:t xml:space="preserve">typically </w:t>
      </w:r>
      <w:r w:rsidRPr="00B514EF">
        <w:rPr>
          <w:rFonts w:asciiTheme="majorBidi" w:hAnsiTheme="majorBidi" w:cstheme="majorBidi"/>
          <w:sz w:val="24"/>
          <w:szCs w:val="24"/>
        </w:rPr>
        <w:t>combined with other forms of Islamic finance</w:t>
      </w:r>
      <w:r>
        <w:rPr>
          <w:rFonts w:asciiTheme="majorBidi" w:hAnsiTheme="majorBidi" w:cstheme="majorBidi"/>
          <w:sz w:val="24"/>
          <w:szCs w:val="24"/>
        </w:rPr>
        <w:t>.</w:t>
      </w:r>
    </w:p>
    <w:p w14:paraId="6CF43118" w14:textId="1880F345" w:rsidR="002A2BDD" w:rsidRDefault="002A2BDD" w:rsidP="00486106">
      <w:pPr>
        <w:suppressAutoHyphens/>
        <w:spacing w:line="360" w:lineRule="auto"/>
        <w:ind w:firstLine="567"/>
        <w:jc w:val="both"/>
        <w:rPr>
          <w:rFonts w:asciiTheme="majorBidi" w:hAnsiTheme="majorBidi" w:cstheme="majorBidi"/>
          <w:sz w:val="24"/>
          <w:szCs w:val="24"/>
        </w:rPr>
      </w:pPr>
      <w:r w:rsidRPr="005209A1">
        <w:rPr>
          <w:rFonts w:asciiTheme="majorBidi" w:hAnsiTheme="majorBidi" w:cstheme="majorBidi"/>
          <w:sz w:val="24"/>
          <w:szCs w:val="24"/>
        </w:rPr>
        <w:t xml:space="preserve">Therefore, Islamic project financing can be considered as project </w:t>
      </w:r>
      <w:r w:rsidR="00F207C7">
        <w:rPr>
          <w:rFonts w:asciiTheme="majorBidi" w:hAnsiTheme="majorBidi" w:cstheme="majorBidi"/>
          <w:sz w:val="24"/>
          <w:szCs w:val="24"/>
        </w:rPr>
        <w:t>finance</w:t>
      </w:r>
      <w:r w:rsidRPr="005209A1">
        <w:rPr>
          <w:rFonts w:asciiTheme="majorBidi" w:hAnsiTheme="majorBidi" w:cstheme="majorBidi"/>
          <w:sz w:val="24"/>
          <w:szCs w:val="24"/>
        </w:rPr>
        <w:t xml:space="preserve"> </w:t>
      </w:r>
      <w:r w:rsidR="005A2E9D">
        <w:rPr>
          <w:rFonts w:asciiTheme="majorBidi" w:hAnsiTheme="majorBidi" w:cstheme="majorBidi"/>
          <w:sz w:val="24"/>
          <w:szCs w:val="24"/>
        </w:rPr>
        <w:t>by</w:t>
      </w:r>
      <w:r w:rsidRPr="005209A1">
        <w:rPr>
          <w:rFonts w:asciiTheme="majorBidi" w:hAnsiTheme="majorBidi" w:cstheme="majorBidi"/>
          <w:sz w:val="24"/>
          <w:szCs w:val="24"/>
        </w:rPr>
        <w:t xml:space="preserve"> </w:t>
      </w:r>
      <w:r w:rsidR="00AC294F">
        <w:rPr>
          <w:rFonts w:asciiTheme="majorBidi" w:hAnsiTheme="majorBidi" w:cstheme="majorBidi"/>
          <w:sz w:val="24"/>
          <w:szCs w:val="24"/>
        </w:rPr>
        <w:t>S</w:t>
      </w:r>
      <w:r w:rsidRPr="005209A1">
        <w:rPr>
          <w:rFonts w:asciiTheme="majorBidi" w:hAnsiTheme="majorBidi" w:cstheme="majorBidi"/>
          <w:sz w:val="24"/>
          <w:szCs w:val="24"/>
        </w:rPr>
        <w:t>haria principles.</w:t>
      </w:r>
      <w:r w:rsidRPr="00C1150E">
        <w:rPr>
          <w:rFonts w:asciiTheme="majorBidi" w:hAnsiTheme="majorBidi" w:cstheme="majorBidi"/>
          <w:sz w:val="24"/>
          <w:szCs w:val="24"/>
        </w:rPr>
        <w:t xml:space="preserve"> Islamic project finance has grown in significance and is now widely used to finance large, longer-term infrastructure and power generation projects, especially in the Middle East region with </w:t>
      </w:r>
      <w:r w:rsidR="005A2E9D">
        <w:rPr>
          <w:rFonts w:asciiTheme="majorBidi" w:hAnsiTheme="majorBidi" w:cstheme="majorBidi"/>
          <w:sz w:val="24"/>
          <w:szCs w:val="24"/>
        </w:rPr>
        <w:t>the</w:t>
      </w:r>
      <w:r w:rsidRPr="00C1150E">
        <w:rPr>
          <w:rFonts w:asciiTheme="majorBidi" w:hAnsiTheme="majorBidi" w:cstheme="majorBidi"/>
          <w:sz w:val="24"/>
          <w:szCs w:val="24"/>
        </w:rPr>
        <w:t xml:space="preserve"> main focus on the Gulf Cooperation Council (GCC) countri</w:t>
      </w:r>
      <w:r w:rsidRPr="003A61CB">
        <w:rPr>
          <w:rFonts w:asciiTheme="majorBidi" w:hAnsiTheme="majorBidi" w:cstheme="majorBidi"/>
          <w:sz w:val="24"/>
          <w:szCs w:val="24"/>
        </w:rPr>
        <w:t>es.</w:t>
      </w:r>
      <w:r w:rsidRPr="003A61CB">
        <w:rPr>
          <w:rFonts w:asciiTheme="majorBidi" w:hAnsiTheme="majorBidi" w:cstheme="majorBidi"/>
          <w:sz w:val="24"/>
          <w:szCs w:val="24"/>
          <w:vertAlign w:val="superscript"/>
        </w:rPr>
        <w:footnoteReference w:id="23"/>
      </w:r>
      <w:r>
        <w:rPr>
          <w:rFonts w:asciiTheme="majorBidi" w:hAnsiTheme="majorBidi" w:cstheme="majorBidi"/>
          <w:sz w:val="24"/>
          <w:szCs w:val="24"/>
        </w:rPr>
        <w:t xml:space="preserve"> </w:t>
      </w:r>
      <w:r w:rsidRPr="00EF5986">
        <w:rPr>
          <w:rFonts w:asciiTheme="majorBidi" w:hAnsiTheme="majorBidi" w:cstheme="majorBidi"/>
          <w:sz w:val="24"/>
          <w:szCs w:val="24"/>
        </w:rPr>
        <w:t>Several factors contributed to the growth of Islamic finance projects, including:</w:t>
      </w:r>
      <w:r>
        <w:rPr>
          <w:rFonts w:asciiTheme="majorBidi" w:hAnsiTheme="majorBidi" w:cstheme="majorBidi"/>
          <w:sz w:val="24"/>
          <w:szCs w:val="24"/>
        </w:rPr>
        <w:t xml:space="preserve"> </w:t>
      </w:r>
    </w:p>
    <w:p w14:paraId="6F0C6518" w14:textId="028644E9" w:rsidR="002A2BDD" w:rsidRDefault="002A2BDD" w:rsidP="00486106">
      <w:pPr>
        <w:pStyle w:val="ListParagraph"/>
        <w:numPr>
          <w:ilvl w:val="0"/>
          <w:numId w:val="28"/>
        </w:numPr>
        <w:suppressAutoHyphens/>
        <w:autoSpaceDN/>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G</w:t>
      </w:r>
      <w:r w:rsidRPr="00EF5986">
        <w:rPr>
          <w:rFonts w:asciiTheme="majorBidi" w:hAnsiTheme="majorBidi" w:cstheme="majorBidi"/>
          <w:sz w:val="24"/>
          <w:szCs w:val="24"/>
        </w:rPr>
        <w:t xml:space="preserve">rowth in Islamic </w:t>
      </w:r>
      <w:r w:rsidR="009A7B60" w:rsidRPr="00EF5986">
        <w:rPr>
          <w:rFonts w:asciiTheme="majorBidi" w:hAnsiTheme="majorBidi" w:cstheme="majorBidi"/>
          <w:sz w:val="24"/>
          <w:szCs w:val="24"/>
        </w:rPr>
        <w:t>financi</w:t>
      </w:r>
      <w:r w:rsidR="009A7B60">
        <w:rPr>
          <w:rFonts w:asciiTheme="majorBidi" w:hAnsiTheme="majorBidi" w:cstheme="majorBidi"/>
          <w:sz w:val="24"/>
          <w:szCs w:val="24"/>
        </w:rPr>
        <w:t>al</w:t>
      </w:r>
      <w:r w:rsidRPr="00EF5986">
        <w:rPr>
          <w:rFonts w:asciiTheme="majorBidi" w:hAnsiTheme="majorBidi" w:cstheme="majorBidi"/>
          <w:sz w:val="24"/>
          <w:szCs w:val="24"/>
        </w:rPr>
        <w:t xml:space="preserve"> institutions that provide financial services </w:t>
      </w:r>
      <w:r w:rsidR="005A2E9D">
        <w:rPr>
          <w:rFonts w:asciiTheme="majorBidi" w:hAnsiTheme="majorBidi" w:cstheme="majorBidi"/>
          <w:sz w:val="24"/>
          <w:szCs w:val="24"/>
        </w:rPr>
        <w:t>under</w:t>
      </w:r>
      <w:r w:rsidRPr="00EF5986">
        <w:rPr>
          <w:rFonts w:asciiTheme="majorBidi" w:hAnsiTheme="majorBidi" w:cstheme="majorBidi"/>
          <w:sz w:val="24"/>
          <w:szCs w:val="24"/>
        </w:rPr>
        <w:t xml:space="preserve"> the principles of Islamic Sharia</w:t>
      </w:r>
      <w:r>
        <w:rPr>
          <w:rFonts w:asciiTheme="majorBidi" w:hAnsiTheme="majorBidi" w:cstheme="majorBidi"/>
          <w:sz w:val="24"/>
          <w:szCs w:val="24"/>
        </w:rPr>
        <w:t>.</w:t>
      </w:r>
      <w:r w:rsidRPr="00EF5986">
        <w:rPr>
          <w:rFonts w:asciiTheme="majorBidi" w:hAnsiTheme="majorBidi" w:cstheme="majorBidi"/>
          <w:sz w:val="24"/>
          <w:szCs w:val="24"/>
        </w:rPr>
        <w:t xml:space="preserve"> </w:t>
      </w:r>
    </w:p>
    <w:p w14:paraId="498F41D4" w14:textId="77777777" w:rsidR="002A2BDD" w:rsidRDefault="002A2BDD" w:rsidP="00486106">
      <w:pPr>
        <w:pStyle w:val="ListParagraph"/>
        <w:numPr>
          <w:ilvl w:val="0"/>
          <w:numId w:val="28"/>
        </w:numPr>
        <w:suppressAutoHyphens/>
        <w:autoSpaceDN/>
        <w:spacing w:line="360" w:lineRule="auto"/>
        <w:ind w:left="567" w:hanging="357"/>
        <w:contextualSpacing/>
        <w:jc w:val="both"/>
        <w:textAlignment w:val="auto"/>
        <w:rPr>
          <w:rFonts w:asciiTheme="majorBidi" w:hAnsiTheme="majorBidi" w:cstheme="majorBidi"/>
          <w:sz w:val="24"/>
          <w:szCs w:val="24"/>
        </w:rPr>
      </w:pPr>
      <w:r w:rsidRPr="00EF5986">
        <w:rPr>
          <w:rFonts w:asciiTheme="majorBidi" w:hAnsiTheme="majorBidi" w:cstheme="majorBidi"/>
          <w:sz w:val="24"/>
          <w:szCs w:val="24"/>
        </w:rPr>
        <w:t>High liquidity of Islamic financial institutions, which allows them to participate in long-term projects</w:t>
      </w:r>
      <w:r>
        <w:rPr>
          <w:rFonts w:asciiTheme="majorBidi" w:hAnsiTheme="majorBidi" w:cstheme="majorBidi"/>
          <w:sz w:val="24"/>
          <w:szCs w:val="24"/>
        </w:rPr>
        <w:t>.</w:t>
      </w:r>
    </w:p>
    <w:p w14:paraId="17DD4273" w14:textId="0153E415" w:rsidR="002A2BDD" w:rsidRDefault="004D244A" w:rsidP="00486106">
      <w:pPr>
        <w:pStyle w:val="ListParagraph"/>
        <w:numPr>
          <w:ilvl w:val="0"/>
          <w:numId w:val="28"/>
        </w:numPr>
        <w:suppressAutoHyphens/>
        <w:autoSpaceDN/>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Increasing</w:t>
      </w:r>
      <w:r w:rsidR="002A2BDD" w:rsidRPr="00EF5986">
        <w:rPr>
          <w:rFonts w:asciiTheme="majorBidi" w:hAnsiTheme="majorBidi" w:cstheme="majorBidi"/>
          <w:sz w:val="24"/>
          <w:szCs w:val="24"/>
        </w:rPr>
        <w:t xml:space="preserve"> consumer demand for Sharia-compliant financial services and products.</w:t>
      </w:r>
    </w:p>
    <w:p w14:paraId="1E4B06DA" w14:textId="77777777" w:rsidR="002A2BDD" w:rsidRDefault="002A2BDD" w:rsidP="00486106">
      <w:pPr>
        <w:pStyle w:val="ListParagraph"/>
        <w:numPr>
          <w:ilvl w:val="0"/>
          <w:numId w:val="28"/>
        </w:numPr>
        <w:suppressAutoHyphens/>
        <w:autoSpaceDN/>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T</w:t>
      </w:r>
      <w:r w:rsidRPr="00EF5986">
        <w:rPr>
          <w:rFonts w:asciiTheme="majorBidi" w:hAnsiTheme="majorBidi" w:cstheme="majorBidi"/>
          <w:sz w:val="24"/>
          <w:szCs w:val="24"/>
        </w:rPr>
        <w:t>he nature of capital-intensive projects in the Middle East</w:t>
      </w:r>
      <w:r>
        <w:rPr>
          <w:rFonts w:asciiTheme="majorBidi" w:hAnsiTheme="majorBidi" w:cstheme="majorBidi"/>
          <w:sz w:val="24"/>
          <w:szCs w:val="24"/>
        </w:rPr>
        <w:t>.</w:t>
      </w:r>
      <w:r w:rsidRPr="00EF5986">
        <w:rPr>
          <w:rFonts w:asciiTheme="majorBidi" w:hAnsiTheme="majorBidi" w:cstheme="majorBidi"/>
          <w:sz w:val="24"/>
          <w:szCs w:val="24"/>
        </w:rPr>
        <w:t xml:space="preserve"> </w:t>
      </w:r>
    </w:p>
    <w:p w14:paraId="463FBA10" w14:textId="4A5F3DA6" w:rsidR="009212D7" w:rsidRDefault="00EE3121"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EE3121">
        <w:rPr>
          <w:rFonts w:asciiTheme="majorBidi" w:hAnsiTheme="majorBidi" w:cstheme="majorBidi"/>
          <w:sz w:val="24"/>
          <w:szCs w:val="24"/>
          <w:lang w:val="en-US"/>
        </w:rPr>
        <w:t>Despite the complexity inherent in the financing nature, some contend that every project financing can be fitted into the same basic structure and essentially has the same components</w:t>
      </w:r>
      <w:r w:rsidR="009212D7" w:rsidRPr="00841B92">
        <w:rPr>
          <w:rFonts w:asciiTheme="majorBidi" w:hAnsiTheme="majorBidi" w:cstheme="majorBidi"/>
          <w:sz w:val="24"/>
          <w:szCs w:val="24"/>
          <w:lang w:val="en-US"/>
        </w:rPr>
        <w:t>.</w:t>
      </w:r>
    </w:p>
    <w:p w14:paraId="15D1CA89" w14:textId="0A61AD55" w:rsidR="009212D7" w:rsidRPr="00841B92" w:rsidRDefault="009212D7"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Pr>
          <w:rFonts w:ascii="Times New Roman" w:hAnsi="Times New Roman" w:cs="Times New Roman"/>
          <w:sz w:val="24"/>
          <w:szCs w:val="24"/>
          <w:lang w:val="en-US"/>
        </w:rPr>
        <w:t xml:space="preserve">It is possible to identify the following </w:t>
      </w:r>
      <w:r w:rsidRPr="00841B92">
        <w:rPr>
          <w:rFonts w:asciiTheme="majorBidi" w:hAnsiTheme="majorBidi" w:cstheme="majorBidi"/>
          <w:sz w:val="24"/>
          <w:szCs w:val="24"/>
          <w:lang w:val="en-US"/>
        </w:rPr>
        <w:t>participants</w:t>
      </w:r>
      <w:r>
        <w:rPr>
          <w:rFonts w:asciiTheme="majorBidi" w:hAnsiTheme="majorBidi" w:cstheme="majorBidi"/>
          <w:sz w:val="24"/>
          <w:szCs w:val="24"/>
          <w:lang w:val="en-US"/>
        </w:rPr>
        <w:t xml:space="preserve"> </w:t>
      </w:r>
      <w:r>
        <w:rPr>
          <w:rFonts w:ascii="Times New Roman" w:hAnsi="Times New Roman" w:cs="Times New Roman"/>
          <w:sz w:val="24"/>
          <w:szCs w:val="24"/>
          <w:lang w:val="en-US"/>
        </w:rPr>
        <w:t>in project finance</w:t>
      </w:r>
      <w:r w:rsidR="00C916DA">
        <w:rPr>
          <w:rFonts w:ascii="Times New Roman" w:hAnsi="Times New Roman" w:cs="Times New Roman"/>
          <w:sz w:val="24"/>
          <w:szCs w:val="24"/>
          <w:lang w:val="en-US"/>
        </w:rPr>
        <w:t>:</w:t>
      </w:r>
      <w:r>
        <w:rPr>
          <w:rStyle w:val="FootnoteReference"/>
          <w:rFonts w:asciiTheme="majorBidi" w:hAnsiTheme="majorBidi" w:cstheme="majorBidi"/>
          <w:sz w:val="24"/>
          <w:szCs w:val="24"/>
          <w:lang w:val="en-US"/>
        </w:rPr>
        <w:footnoteReference w:id="24"/>
      </w:r>
    </w:p>
    <w:p w14:paraId="21D22862" w14:textId="4CB759DF" w:rsidR="009212D7" w:rsidRPr="000253A0" w:rsidRDefault="009212D7" w:rsidP="00486106">
      <w:pPr>
        <w:suppressAutoHyphens/>
        <w:autoSpaceDE w:val="0"/>
        <w:adjustRightInd w:val="0"/>
        <w:spacing w:before="240" w:after="0" w:line="360" w:lineRule="auto"/>
        <w:ind w:firstLine="567"/>
        <w:jc w:val="both"/>
        <w:rPr>
          <w:rFonts w:ascii="Times New Roman" w:hAnsi="Times New Roman" w:cs="Times New Roman"/>
          <w:sz w:val="24"/>
          <w:szCs w:val="24"/>
          <w:lang w:val="en-US"/>
        </w:rPr>
      </w:pPr>
      <w:r w:rsidRPr="000253A0">
        <w:rPr>
          <w:rFonts w:asciiTheme="majorBidi" w:hAnsiTheme="majorBidi" w:cstheme="majorBidi"/>
          <w:b/>
          <w:bCs/>
          <w:sz w:val="24"/>
          <w:szCs w:val="24"/>
          <w:lang w:val="en-US"/>
        </w:rPr>
        <w:t>Project company</w:t>
      </w:r>
      <w:r w:rsidR="00465952">
        <w:rPr>
          <w:rFonts w:asciiTheme="majorBidi" w:hAnsiTheme="majorBidi" w:cstheme="majorBidi"/>
          <w:b/>
          <w:bCs/>
          <w:sz w:val="24"/>
          <w:szCs w:val="24"/>
          <w:lang w:val="en-US"/>
        </w:rPr>
        <w:t>.</w:t>
      </w:r>
      <w:r w:rsidRPr="000253A0">
        <w:rPr>
          <w:rFonts w:asciiTheme="majorBidi" w:hAnsiTheme="majorBidi" w:cstheme="majorBidi"/>
          <w:b/>
          <w:bCs/>
          <w:sz w:val="24"/>
          <w:szCs w:val="24"/>
          <w:lang w:val="en-US"/>
        </w:rPr>
        <w:t xml:space="preserve"> </w:t>
      </w:r>
      <w:r w:rsidR="004D244A">
        <w:rPr>
          <w:rFonts w:ascii="Times New Roman" w:hAnsi="Times New Roman" w:cs="Times New Roman"/>
          <w:sz w:val="24"/>
          <w:szCs w:val="24"/>
          <w:lang w:val="en-US"/>
        </w:rPr>
        <w:t>It</w:t>
      </w:r>
      <w:r w:rsidRPr="000253A0">
        <w:rPr>
          <w:rFonts w:ascii="Times New Roman" w:hAnsi="Times New Roman" w:cs="Times New Roman"/>
          <w:sz w:val="24"/>
          <w:szCs w:val="24"/>
          <w:lang w:val="en-US"/>
        </w:rPr>
        <w:t xml:space="preserve"> is the legal entity that will own, develop, construct,</w:t>
      </w:r>
      <w:r>
        <w:rPr>
          <w:rFonts w:ascii="Times New Roman" w:hAnsi="Times New Roman" w:cs="Times New Roman"/>
          <w:sz w:val="24"/>
          <w:szCs w:val="24"/>
          <w:lang w:val="en-US"/>
        </w:rPr>
        <w:t xml:space="preserve"> </w:t>
      </w:r>
      <w:r w:rsidRPr="000253A0">
        <w:rPr>
          <w:rFonts w:ascii="Times New Roman" w:hAnsi="Times New Roman" w:cs="Times New Roman"/>
          <w:sz w:val="24"/>
          <w:szCs w:val="24"/>
          <w:lang w:val="en-US"/>
        </w:rPr>
        <w:t>operate</w:t>
      </w:r>
      <w:r w:rsidR="004D244A">
        <w:rPr>
          <w:rFonts w:ascii="Times New Roman" w:hAnsi="Times New Roman" w:cs="Times New Roman"/>
          <w:sz w:val="24"/>
          <w:szCs w:val="24"/>
          <w:lang w:val="en-US"/>
        </w:rPr>
        <w:t>,</w:t>
      </w:r>
      <w:r w:rsidRPr="000253A0">
        <w:rPr>
          <w:rFonts w:ascii="Times New Roman" w:hAnsi="Times New Roman" w:cs="Times New Roman"/>
          <w:sz w:val="24"/>
          <w:szCs w:val="24"/>
          <w:lang w:val="en-US"/>
        </w:rPr>
        <w:t xml:space="preserve"> and maintain the project. </w:t>
      </w:r>
      <w:r w:rsidR="00176FC7">
        <w:rPr>
          <w:rFonts w:ascii="Times New Roman" w:hAnsi="Times New Roman" w:cs="Times New Roman"/>
          <w:sz w:val="24"/>
          <w:szCs w:val="24"/>
          <w:lang w:val="en-US"/>
        </w:rPr>
        <w:t>It is c</w:t>
      </w:r>
      <w:r w:rsidRPr="000253A0">
        <w:rPr>
          <w:rFonts w:ascii="Times New Roman" w:hAnsi="Times New Roman" w:cs="Times New Roman"/>
          <w:sz w:val="24"/>
          <w:szCs w:val="24"/>
          <w:lang w:val="en-US"/>
        </w:rPr>
        <w:t xml:space="preserve">ontrolled by project sponsors, </w:t>
      </w:r>
      <w:r w:rsidR="00176FC7">
        <w:rPr>
          <w:rFonts w:ascii="Times New Roman" w:hAnsi="Times New Roman" w:cs="Times New Roman"/>
          <w:sz w:val="24"/>
          <w:szCs w:val="24"/>
          <w:lang w:val="en-US"/>
        </w:rPr>
        <w:t>as</w:t>
      </w:r>
      <w:r w:rsidRPr="000253A0">
        <w:rPr>
          <w:rFonts w:ascii="Times New Roman" w:hAnsi="Times New Roman" w:cs="Times New Roman"/>
          <w:sz w:val="24"/>
          <w:szCs w:val="24"/>
          <w:lang w:val="en-US"/>
        </w:rPr>
        <w:t xml:space="preserve"> the center of the project through its contractual arrangements with operators, contractors, suppliers</w:t>
      </w:r>
      <w:r w:rsidR="003275FC">
        <w:rPr>
          <w:rFonts w:ascii="Times New Roman" w:hAnsi="Times New Roman" w:cs="Times New Roman"/>
          <w:sz w:val="24"/>
          <w:szCs w:val="24"/>
          <w:lang w:val="en-US"/>
        </w:rPr>
        <w:t>,</w:t>
      </w:r>
      <w:r w:rsidRPr="000253A0">
        <w:rPr>
          <w:rFonts w:ascii="Times New Roman" w:hAnsi="Times New Roman" w:cs="Times New Roman"/>
          <w:sz w:val="24"/>
          <w:szCs w:val="24"/>
          <w:lang w:val="en-US"/>
        </w:rPr>
        <w:t xml:space="preserve"> and customers.</w:t>
      </w:r>
    </w:p>
    <w:p w14:paraId="1664089A" w14:textId="0EFA5928" w:rsidR="009212D7" w:rsidRDefault="009212D7" w:rsidP="00486106">
      <w:pPr>
        <w:suppressAutoHyphens/>
        <w:autoSpaceDE w:val="0"/>
        <w:adjustRightInd w:val="0"/>
        <w:spacing w:before="240" w:after="0" w:line="360" w:lineRule="auto"/>
        <w:ind w:firstLine="567"/>
        <w:jc w:val="both"/>
        <w:rPr>
          <w:rFonts w:ascii="Times New Roman" w:hAnsi="Times New Roman" w:cs="Times New Roman"/>
          <w:sz w:val="24"/>
          <w:szCs w:val="24"/>
          <w:lang w:val="en-US"/>
        </w:rPr>
      </w:pPr>
      <w:r w:rsidRPr="000253A0">
        <w:rPr>
          <w:rFonts w:asciiTheme="majorBidi" w:hAnsiTheme="majorBidi" w:cstheme="majorBidi"/>
          <w:b/>
          <w:bCs/>
          <w:sz w:val="24"/>
          <w:szCs w:val="24"/>
          <w:lang w:val="en-US"/>
        </w:rPr>
        <w:t>Project sponsors</w:t>
      </w:r>
      <w:r w:rsidR="00465952">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004D244A">
        <w:rPr>
          <w:rFonts w:ascii="Times New Roman" w:hAnsi="Times New Roman" w:cs="Times New Roman"/>
          <w:sz w:val="24"/>
          <w:szCs w:val="24"/>
          <w:lang w:val="en-US"/>
        </w:rPr>
        <w:t>They are</w:t>
      </w:r>
      <w:r w:rsidRPr="00B27347">
        <w:rPr>
          <w:rFonts w:ascii="Times New Roman" w:hAnsi="Times New Roman" w:cs="Times New Roman"/>
          <w:sz w:val="24"/>
          <w:szCs w:val="24"/>
          <w:lang w:val="en-US"/>
        </w:rPr>
        <w:t xml:space="preserve"> generally the project</w:t>
      </w:r>
      <w:r w:rsidR="00810EC1" w:rsidRPr="00810EC1">
        <w:rPr>
          <w:rFonts w:ascii="Times New Roman" w:hAnsi="Times New Roman" w:cs="Times New Roman"/>
          <w:sz w:val="24"/>
          <w:szCs w:val="24"/>
        </w:rPr>
        <w:t>'</w:t>
      </w:r>
      <w:r w:rsidR="004D244A">
        <w:rPr>
          <w:rFonts w:ascii="Times New Roman" w:hAnsi="Times New Roman" w:cs="Times New Roman"/>
          <w:sz w:val="24"/>
          <w:szCs w:val="24"/>
          <w:lang w:val="en-US"/>
        </w:rPr>
        <w:t>s</w:t>
      </w:r>
      <w:r w:rsidRPr="00B27347">
        <w:rPr>
          <w:rFonts w:ascii="Times New Roman" w:hAnsi="Times New Roman" w:cs="Times New Roman"/>
          <w:sz w:val="24"/>
          <w:szCs w:val="24"/>
          <w:lang w:val="en-US"/>
        </w:rPr>
        <w:t xml:space="preserve"> owners with an equity stake in </w:t>
      </w:r>
      <w:r>
        <w:rPr>
          <w:rFonts w:ascii="Times New Roman" w:hAnsi="Times New Roman" w:cs="Times New Roman"/>
          <w:sz w:val="24"/>
          <w:szCs w:val="24"/>
          <w:lang w:val="en-US"/>
        </w:rPr>
        <w:t>the</w:t>
      </w:r>
      <w:r w:rsidRPr="00B27347">
        <w:rPr>
          <w:rFonts w:ascii="Times New Roman" w:hAnsi="Times New Roman" w:cs="Times New Roman"/>
          <w:sz w:val="24"/>
          <w:szCs w:val="24"/>
          <w:lang w:val="en-US"/>
        </w:rPr>
        <w:t xml:space="preserve"> project, </w:t>
      </w:r>
      <w:r w:rsidR="008B1D39">
        <w:rPr>
          <w:rFonts w:ascii="Times New Roman" w:hAnsi="Times New Roman" w:cs="Times New Roman"/>
          <w:sz w:val="24"/>
          <w:szCs w:val="24"/>
          <w:lang w:val="en-US"/>
        </w:rPr>
        <w:t>receiving</w:t>
      </w:r>
      <w:r w:rsidRPr="00B27347">
        <w:rPr>
          <w:rFonts w:ascii="Times New Roman" w:hAnsi="Times New Roman" w:cs="Times New Roman"/>
          <w:sz w:val="24"/>
          <w:szCs w:val="24"/>
          <w:lang w:val="en-US"/>
        </w:rPr>
        <w:t xml:space="preserve"> profit either via equity ownership (dividend streams) or </w:t>
      </w:r>
      <w:r>
        <w:rPr>
          <w:rFonts w:ascii="Times New Roman" w:hAnsi="Times New Roman" w:cs="Times New Roman"/>
          <w:sz w:val="24"/>
          <w:szCs w:val="24"/>
          <w:lang w:val="en-US"/>
        </w:rPr>
        <w:t>management</w:t>
      </w:r>
      <w:r w:rsidRPr="00B27347">
        <w:rPr>
          <w:rFonts w:ascii="Times New Roman" w:hAnsi="Times New Roman" w:cs="Times New Roman"/>
          <w:sz w:val="24"/>
          <w:szCs w:val="24"/>
          <w:lang w:val="en-US"/>
        </w:rPr>
        <w:t xml:space="preserve"> contracts (fees). Typical sponsors include foreign multinationals, local companies, </w:t>
      </w:r>
      <w:r>
        <w:rPr>
          <w:rFonts w:ascii="Times New Roman" w:hAnsi="Times New Roman" w:cs="Times New Roman"/>
          <w:sz w:val="24"/>
          <w:szCs w:val="24"/>
          <w:lang w:val="en-US"/>
        </w:rPr>
        <w:t>contractors</w:t>
      </w:r>
      <w:r w:rsidRPr="00B27347">
        <w:rPr>
          <w:rFonts w:ascii="Times New Roman" w:hAnsi="Times New Roman" w:cs="Times New Roman"/>
          <w:sz w:val="24"/>
          <w:szCs w:val="24"/>
          <w:lang w:val="en-US"/>
        </w:rPr>
        <w:t>, operators, suppliers</w:t>
      </w:r>
      <w:r w:rsidR="00DC5861">
        <w:rPr>
          <w:rFonts w:ascii="Times New Roman" w:hAnsi="Times New Roman" w:cs="Times New Roman"/>
          <w:sz w:val="24"/>
          <w:szCs w:val="24"/>
          <w:lang w:val="en-US"/>
        </w:rPr>
        <w:t xml:space="preserve">, </w:t>
      </w:r>
      <w:r w:rsidRPr="00B27347">
        <w:rPr>
          <w:rFonts w:ascii="Times New Roman" w:hAnsi="Times New Roman" w:cs="Times New Roman"/>
          <w:sz w:val="24"/>
          <w:szCs w:val="24"/>
          <w:lang w:val="en-US"/>
        </w:rPr>
        <w:t>or other participants. The World Bank estimates that the equity</w:t>
      </w:r>
      <w:r>
        <w:rPr>
          <w:rFonts w:ascii="Times New Roman" w:hAnsi="Times New Roman" w:cs="Times New Roman"/>
          <w:sz w:val="24"/>
          <w:szCs w:val="24"/>
          <w:lang w:val="en-US"/>
        </w:rPr>
        <w:t xml:space="preserve"> </w:t>
      </w:r>
      <w:r w:rsidRPr="00B27347">
        <w:rPr>
          <w:rFonts w:ascii="Times New Roman" w:hAnsi="Times New Roman" w:cs="Times New Roman"/>
          <w:sz w:val="24"/>
          <w:szCs w:val="24"/>
          <w:lang w:val="en-US"/>
        </w:rPr>
        <w:t>stake of sponsors is typically about 30 per</w:t>
      </w:r>
      <w:r w:rsidR="00985C2D">
        <w:rPr>
          <w:rFonts w:ascii="Times New Roman" w:hAnsi="Times New Roman" w:cs="Times New Roman"/>
          <w:sz w:val="24"/>
          <w:szCs w:val="24"/>
          <w:lang w:val="en-US"/>
        </w:rPr>
        <w:t xml:space="preserve"> </w:t>
      </w:r>
      <w:r w:rsidRPr="00B27347">
        <w:rPr>
          <w:rFonts w:ascii="Times New Roman" w:hAnsi="Times New Roman" w:cs="Times New Roman"/>
          <w:sz w:val="24"/>
          <w:szCs w:val="24"/>
          <w:lang w:val="en-US"/>
        </w:rPr>
        <w:t>cent of project costs.</w:t>
      </w:r>
      <w:r w:rsidRPr="00B27347">
        <w:rPr>
          <w:rFonts w:ascii="Times New Roman" w:hAnsi="Times New Roman" w:cs="Times New Roman"/>
          <w:vertAlign w:val="superscript"/>
        </w:rPr>
        <w:footnoteReference w:id="25"/>
      </w:r>
      <w:r w:rsidRPr="00B27347">
        <w:rPr>
          <w:rFonts w:ascii="Times New Roman" w:hAnsi="Times New Roman" w:cs="Times New Roman"/>
          <w:sz w:val="24"/>
          <w:szCs w:val="24"/>
          <w:vertAlign w:val="superscript"/>
          <w:lang w:val="en-US"/>
        </w:rPr>
        <w:t xml:space="preserve"> </w:t>
      </w:r>
      <w:r w:rsidRPr="00B27347">
        <w:rPr>
          <w:rFonts w:ascii="Times New Roman" w:hAnsi="Times New Roman" w:cs="Times New Roman"/>
          <w:sz w:val="24"/>
          <w:szCs w:val="24"/>
          <w:lang w:val="en-US"/>
        </w:rPr>
        <w:t>Because project financings use</w:t>
      </w:r>
      <w:r>
        <w:rPr>
          <w:rFonts w:ascii="Times New Roman" w:hAnsi="Times New Roman" w:cs="Times New Roman"/>
          <w:sz w:val="24"/>
          <w:szCs w:val="24"/>
          <w:lang w:val="en-US"/>
        </w:rPr>
        <w:t xml:space="preserve"> </w:t>
      </w:r>
      <w:r w:rsidRPr="00B27347">
        <w:rPr>
          <w:rFonts w:ascii="Times New Roman" w:hAnsi="Times New Roman" w:cs="Times New Roman"/>
          <w:sz w:val="24"/>
          <w:szCs w:val="24"/>
          <w:lang w:val="en-US"/>
        </w:rPr>
        <w:t>the project company as the financing vehicle and raise nonrecourse debt, the project sponsors</w:t>
      </w:r>
      <w:r>
        <w:rPr>
          <w:rFonts w:ascii="Times New Roman" w:hAnsi="Times New Roman" w:cs="Times New Roman"/>
          <w:sz w:val="24"/>
          <w:szCs w:val="24"/>
          <w:lang w:val="en-US"/>
        </w:rPr>
        <w:t xml:space="preserve"> </w:t>
      </w:r>
      <w:r w:rsidRPr="00B27347">
        <w:rPr>
          <w:rFonts w:ascii="Times New Roman" w:hAnsi="Times New Roman" w:cs="Times New Roman"/>
          <w:sz w:val="24"/>
          <w:szCs w:val="24"/>
          <w:lang w:val="en-US"/>
        </w:rPr>
        <w:t>do not put their corporate balance sheets directly at risk</w:t>
      </w:r>
      <w:r w:rsidR="004D244A">
        <w:rPr>
          <w:rFonts w:ascii="Times New Roman" w:hAnsi="Times New Roman" w:cs="Times New Roman"/>
          <w:sz w:val="24"/>
          <w:szCs w:val="24"/>
          <w:lang w:val="en-US"/>
        </w:rPr>
        <w:t xml:space="preserve"> in</w:t>
      </w:r>
      <w:r w:rsidRPr="00B27347">
        <w:rPr>
          <w:rFonts w:ascii="Times New Roman" w:hAnsi="Times New Roman" w:cs="Times New Roman"/>
          <w:sz w:val="24"/>
          <w:szCs w:val="24"/>
          <w:lang w:val="en-US"/>
        </w:rPr>
        <w:t xml:space="preserve"> these projects. However, some project</w:t>
      </w:r>
      <w:r>
        <w:rPr>
          <w:rFonts w:ascii="Times New Roman" w:hAnsi="Times New Roman" w:cs="Times New Roman"/>
          <w:sz w:val="24"/>
          <w:szCs w:val="24"/>
          <w:lang w:val="en-US"/>
        </w:rPr>
        <w:t xml:space="preserve"> </w:t>
      </w:r>
      <w:r w:rsidRPr="00B27347">
        <w:rPr>
          <w:rFonts w:ascii="Times New Roman" w:hAnsi="Times New Roman" w:cs="Times New Roman"/>
          <w:sz w:val="24"/>
          <w:szCs w:val="24"/>
          <w:lang w:val="en-US"/>
        </w:rPr>
        <w:t xml:space="preserve">sponsors incur indirect risk by financing their equity or debt contributions through corporate balance sheets. </w:t>
      </w:r>
    </w:p>
    <w:p w14:paraId="16AABCFC" w14:textId="7CCE73E7" w:rsidR="009212D7" w:rsidRPr="00356F9F" w:rsidRDefault="009212D7" w:rsidP="00486106">
      <w:pPr>
        <w:suppressAutoHyphens/>
        <w:autoSpaceDE w:val="0"/>
        <w:adjustRightInd w:val="0"/>
        <w:spacing w:before="240" w:after="0" w:line="360" w:lineRule="auto"/>
        <w:ind w:firstLine="567"/>
        <w:jc w:val="both"/>
        <w:rPr>
          <w:rFonts w:ascii="Times New Roman" w:hAnsi="Times New Roman" w:cs="Times New Roman"/>
          <w:sz w:val="24"/>
          <w:szCs w:val="24"/>
          <w:lang w:val="en-US"/>
        </w:rPr>
      </w:pPr>
      <w:r w:rsidRPr="006349ED">
        <w:rPr>
          <w:rFonts w:asciiTheme="majorBidi" w:hAnsiTheme="majorBidi" w:cstheme="majorBidi"/>
          <w:b/>
          <w:bCs/>
          <w:sz w:val="24"/>
          <w:szCs w:val="24"/>
          <w:lang w:val="en-US"/>
        </w:rPr>
        <w:lastRenderedPageBreak/>
        <w:t>Equity investors</w:t>
      </w:r>
      <w:r w:rsidR="00465952">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00DC5861" w:rsidRPr="00DC5861">
        <w:rPr>
          <w:rFonts w:ascii="Times New Roman" w:hAnsi="Times New Roman" w:cs="Times New Roman"/>
          <w:sz w:val="24"/>
          <w:szCs w:val="24"/>
          <w:lang w:val="en-US"/>
        </w:rPr>
        <w:t xml:space="preserve">They may be lenders or project sponsors. In the case of lenders, they are putting equity alongside their debt to obtain an enhanced return if the project is successful. Most of the investors are development or equity funds, </w:t>
      </w:r>
      <w:r w:rsidR="008830FE" w:rsidRPr="008830FE">
        <w:rPr>
          <w:rFonts w:ascii="Times New Roman" w:hAnsi="Times New Roman" w:cs="Times New Roman"/>
          <w:sz w:val="24"/>
          <w:szCs w:val="24"/>
          <w:lang w:val="en-US"/>
        </w:rPr>
        <w:t xml:space="preserve">diversifying </w:t>
      </w:r>
      <w:r w:rsidR="00DC5861" w:rsidRPr="00DC5861">
        <w:rPr>
          <w:rFonts w:ascii="Times New Roman" w:hAnsi="Times New Roman" w:cs="Times New Roman"/>
          <w:sz w:val="24"/>
          <w:szCs w:val="24"/>
          <w:lang w:val="en-US"/>
        </w:rPr>
        <w:t>their portfolios by investing in many projects.</w:t>
      </w:r>
    </w:p>
    <w:p w14:paraId="2F20DC80" w14:textId="05233ED2" w:rsidR="009212D7" w:rsidRDefault="009212D7" w:rsidP="00486106">
      <w:pPr>
        <w:suppressAutoHyphens/>
        <w:autoSpaceDE w:val="0"/>
        <w:adjustRightInd w:val="0"/>
        <w:spacing w:before="240" w:after="0" w:line="360" w:lineRule="auto"/>
        <w:ind w:firstLine="567"/>
        <w:jc w:val="both"/>
        <w:rPr>
          <w:rFonts w:ascii="Book Antiqua" w:hAnsi="Book Antiqua" w:cs="Book Antiqua"/>
          <w:sz w:val="24"/>
          <w:szCs w:val="24"/>
          <w:lang w:val="en-US"/>
        </w:rPr>
      </w:pPr>
      <w:r w:rsidRPr="00356F9F">
        <w:rPr>
          <w:rFonts w:asciiTheme="majorBidi" w:hAnsiTheme="majorBidi" w:cstheme="majorBidi"/>
          <w:b/>
          <w:bCs/>
          <w:sz w:val="24"/>
          <w:szCs w:val="24"/>
          <w:lang w:val="en-US"/>
        </w:rPr>
        <w:t>Contractor</w:t>
      </w:r>
      <w:r w:rsidR="00465952">
        <w:rPr>
          <w:rFonts w:asciiTheme="majorBidi" w:hAnsiTheme="majorBidi" w:cstheme="majorBidi"/>
          <w:b/>
          <w:bCs/>
          <w:sz w:val="24"/>
          <w:szCs w:val="24"/>
          <w:lang w:val="en-US"/>
        </w:rPr>
        <w:t>.</w:t>
      </w:r>
      <w:r>
        <w:rPr>
          <w:rFonts w:ascii="Book Antiqua" w:hAnsi="Book Antiqua" w:cs="Book Antiqua"/>
          <w:b/>
          <w:bCs/>
          <w:i/>
          <w:iCs/>
          <w:sz w:val="24"/>
          <w:szCs w:val="24"/>
          <w:lang w:val="en-US"/>
        </w:rPr>
        <w:t xml:space="preserve"> </w:t>
      </w:r>
      <w:r w:rsidRPr="00356F9F">
        <w:rPr>
          <w:rFonts w:ascii="Times New Roman" w:hAnsi="Times New Roman" w:cs="Times New Roman"/>
          <w:sz w:val="24"/>
          <w:szCs w:val="24"/>
          <w:lang w:val="en-US"/>
        </w:rPr>
        <w:t>The contractor is</w:t>
      </w:r>
      <w:r>
        <w:rPr>
          <w:rFonts w:ascii="Times New Roman" w:hAnsi="Times New Roman" w:cs="Times New Roman"/>
          <w:sz w:val="24"/>
          <w:szCs w:val="24"/>
          <w:lang w:val="en-US"/>
        </w:rPr>
        <w:t xml:space="preserve"> </w:t>
      </w:r>
      <w:r w:rsidRPr="00356F9F">
        <w:rPr>
          <w:rFonts w:ascii="Times New Roman" w:hAnsi="Times New Roman" w:cs="Times New Roman"/>
          <w:sz w:val="24"/>
          <w:szCs w:val="24"/>
          <w:lang w:val="en-US"/>
        </w:rPr>
        <w:t xml:space="preserve">responsible for constructing the project to the technical specifications outlined in the contract with the project company. In many large projects, consortia of constructors may become involved either for sheer economies of scale or for </w:t>
      </w:r>
      <w:r>
        <w:rPr>
          <w:rFonts w:ascii="Times New Roman" w:hAnsi="Times New Roman" w:cs="Times New Roman"/>
          <w:sz w:val="24"/>
          <w:szCs w:val="24"/>
          <w:lang w:val="en-US"/>
        </w:rPr>
        <w:t>other</w:t>
      </w:r>
      <w:r w:rsidRPr="00356F9F">
        <w:rPr>
          <w:rFonts w:ascii="Times New Roman" w:hAnsi="Times New Roman" w:cs="Times New Roman"/>
          <w:sz w:val="24"/>
          <w:szCs w:val="24"/>
          <w:lang w:val="en-US"/>
        </w:rPr>
        <w:t xml:space="preserve"> reasons. In such cases, lenders prefer members of the consortia to undertake joint and liability since the risk of </w:t>
      </w:r>
      <w:r w:rsidR="00845C8B" w:rsidRPr="00845C8B">
        <w:rPr>
          <w:rFonts w:ascii="Times New Roman" w:hAnsi="Times New Roman" w:cs="Times New Roman"/>
          <w:sz w:val="24"/>
          <w:szCs w:val="24"/>
          <w:lang w:val="en-US"/>
        </w:rPr>
        <w:t>failure of performance is the responsibility of each consortium member</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6"/>
      </w:r>
    </w:p>
    <w:p w14:paraId="1AB7E2E2" w14:textId="65C4126E" w:rsidR="009212D7" w:rsidRDefault="009212D7"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7D32BA">
        <w:rPr>
          <w:rFonts w:asciiTheme="majorBidi" w:hAnsiTheme="majorBidi" w:cstheme="majorBidi"/>
          <w:b/>
          <w:bCs/>
          <w:sz w:val="24"/>
          <w:szCs w:val="24"/>
          <w:lang w:val="en-US"/>
        </w:rPr>
        <w:t>Host governments</w:t>
      </w:r>
      <w:r w:rsidR="00465952">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004D244A">
        <w:rPr>
          <w:rFonts w:asciiTheme="majorBidi" w:hAnsiTheme="majorBidi" w:cstheme="majorBidi"/>
          <w:sz w:val="24"/>
          <w:szCs w:val="24"/>
          <w:lang w:val="en-US"/>
        </w:rPr>
        <w:t>It</w:t>
      </w:r>
      <w:r w:rsidRPr="007D32BA">
        <w:rPr>
          <w:rFonts w:asciiTheme="majorBidi" w:hAnsiTheme="majorBidi" w:cstheme="majorBidi"/>
          <w:sz w:val="24"/>
          <w:szCs w:val="24"/>
          <w:lang w:val="en-US"/>
        </w:rPr>
        <w:t xml:space="preserve"> is the government of the country in which the project is located</w:t>
      </w:r>
      <w:r w:rsidR="00DC5861">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DC5861">
        <w:rPr>
          <w:rFonts w:asciiTheme="majorBidi" w:hAnsiTheme="majorBidi" w:cstheme="majorBidi"/>
          <w:sz w:val="24"/>
          <w:szCs w:val="24"/>
          <w:lang w:val="en-US"/>
        </w:rPr>
        <w:t>T</w:t>
      </w:r>
      <w:r w:rsidR="007F3C48" w:rsidRPr="007D32BA">
        <w:rPr>
          <w:rFonts w:asciiTheme="majorBidi" w:hAnsiTheme="majorBidi" w:cstheme="majorBidi"/>
          <w:sz w:val="24"/>
          <w:szCs w:val="24"/>
          <w:lang w:val="en-US"/>
        </w:rPr>
        <w:t>he</w:t>
      </w:r>
      <w:r w:rsidRPr="007D32BA">
        <w:rPr>
          <w:rFonts w:asciiTheme="majorBidi" w:hAnsiTheme="majorBidi" w:cstheme="majorBidi"/>
          <w:sz w:val="24"/>
          <w:szCs w:val="24"/>
          <w:lang w:val="en-US"/>
        </w:rPr>
        <w:t xml:space="preserve"> host government is typically involved as an issuer of permits, </w:t>
      </w:r>
      <w:r w:rsidR="007F3C48" w:rsidRPr="007D32BA">
        <w:rPr>
          <w:rFonts w:asciiTheme="majorBidi" w:hAnsiTheme="majorBidi" w:cstheme="majorBidi"/>
          <w:sz w:val="24"/>
          <w:szCs w:val="24"/>
          <w:lang w:val="en-US"/>
        </w:rPr>
        <w:t>licenses</w:t>
      </w:r>
      <w:r w:rsidRPr="007D32BA">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authorizations</w:t>
      </w:r>
      <w:r w:rsidR="00DC5861">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environmental licenses, tax holidays, supply</w:t>
      </w:r>
      <w:r>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guarantees, and concessions.</w:t>
      </w:r>
      <w:r>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In some projects, the host government is an owner of the project</w:t>
      </w:r>
      <w:r w:rsidR="00DC5861">
        <w:rPr>
          <w:rFonts w:asciiTheme="majorBidi" w:hAnsiTheme="majorBidi" w:cstheme="majorBidi"/>
          <w:sz w:val="24"/>
          <w:szCs w:val="24"/>
          <w:lang w:val="en-US"/>
        </w:rPr>
        <w:t>,</w:t>
      </w:r>
      <w:r w:rsidR="003275FC">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or</w:t>
      </w:r>
      <w:r w:rsidR="00DC5861">
        <w:rPr>
          <w:rFonts w:asciiTheme="majorBidi" w:hAnsiTheme="majorBidi" w:cstheme="majorBidi"/>
          <w:sz w:val="24"/>
          <w:szCs w:val="24"/>
          <w:lang w:val="en-US"/>
        </w:rPr>
        <w:t xml:space="preserve"> it</w:t>
      </w:r>
      <w:r w:rsidRPr="007D32BA">
        <w:rPr>
          <w:rFonts w:asciiTheme="majorBidi" w:hAnsiTheme="majorBidi" w:cstheme="majorBidi"/>
          <w:sz w:val="24"/>
          <w:szCs w:val="24"/>
          <w:lang w:val="en-US"/>
        </w:rPr>
        <w:t xml:space="preserve"> will become the owner of the project at the end of a specified period, such as in a build-own</w:t>
      </w:r>
      <w:r>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transfer (BOT) structure. It might also be involved as an off-take purchaser or as a supplier of</w:t>
      </w:r>
      <w:r>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raw materials or fuel.</w:t>
      </w:r>
    </w:p>
    <w:p w14:paraId="1B87BD6A" w14:textId="39AEB45E" w:rsidR="009212D7" w:rsidRPr="007D32BA" w:rsidRDefault="009212D7"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7D32BA">
        <w:rPr>
          <w:rFonts w:asciiTheme="majorBidi" w:hAnsiTheme="majorBidi" w:cstheme="majorBidi"/>
          <w:b/>
          <w:bCs/>
          <w:sz w:val="24"/>
          <w:szCs w:val="24"/>
          <w:lang w:val="en-US"/>
        </w:rPr>
        <w:t>Suppliers</w:t>
      </w:r>
      <w:r w:rsidR="00465952">
        <w:rPr>
          <w:rFonts w:asciiTheme="majorBidi" w:hAnsiTheme="majorBidi" w:cstheme="majorBidi"/>
          <w:b/>
          <w:bCs/>
          <w:sz w:val="24"/>
          <w:szCs w:val="24"/>
          <w:lang w:val="en-US"/>
        </w:rPr>
        <w:t>.</w:t>
      </w:r>
      <w:r w:rsidRPr="007D32BA">
        <w:rPr>
          <w:rFonts w:asciiTheme="majorBidi" w:hAnsiTheme="majorBidi" w:cstheme="majorBidi"/>
          <w:sz w:val="24"/>
          <w:szCs w:val="24"/>
          <w:lang w:val="en-US"/>
        </w:rPr>
        <w:t xml:space="preserve"> </w:t>
      </w:r>
      <w:r w:rsidR="004D244A">
        <w:rPr>
          <w:rFonts w:asciiTheme="majorBidi" w:hAnsiTheme="majorBidi" w:cstheme="majorBidi"/>
          <w:sz w:val="24"/>
          <w:szCs w:val="24"/>
          <w:lang w:val="en-US"/>
        </w:rPr>
        <w:t>They</w:t>
      </w:r>
      <w:r w:rsidRPr="007D32BA">
        <w:rPr>
          <w:rFonts w:asciiTheme="majorBidi" w:hAnsiTheme="majorBidi" w:cstheme="majorBidi"/>
          <w:sz w:val="24"/>
          <w:szCs w:val="24"/>
          <w:lang w:val="en-US"/>
        </w:rPr>
        <w:t xml:space="preserve"> provide raw materials and the critical input to the project</w:t>
      </w:r>
      <w:r w:rsidR="003275FC">
        <w:rPr>
          <w:rFonts w:asciiTheme="majorBidi" w:hAnsiTheme="majorBidi" w:cstheme="majorBidi"/>
          <w:sz w:val="24"/>
          <w:szCs w:val="24"/>
          <w:lang w:val="en-US"/>
        </w:rPr>
        <w:t xml:space="preserve"> </w:t>
      </w:r>
      <w:r w:rsidRPr="007D32BA">
        <w:rPr>
          <w:rFonts w:asciiTheme="majorBidi" w:hAnsiTheme="majorBidi" w:cstheme="majorBidi"/>
          <w:sz w:val="24"/>
          <w:szCs w:val="24"/>
          <w:lang w:val="en-US"/>
        </w:rPr>
        <w:t>since supply arrangements are key to project success, project sponsors and lenders are concerned with the underlying economic feasibility of supply arrangements. But the supplier does not necessarily have to supply a tangible commodity</w:t>
      </w:r>
      <w:r w:rsidR="00C84142">
        <w:rPr>
          <w:rFonts w:asciiTheme="majorBidi" w:hAnsiTheme="majorBidi" w:cstheme="majorBidi"/>
          <w:sz w:val="24"/>
          <w:szCs w:val="24"/>
          <w:lang w:val="en-US"/>
        </w:rPr>
        <w:t>;</w:t>
      </w:r>
      <w:r w:rsidRPr="007D32BA">
        <w:rPr>
          <w:rFonts w:asciiTheme="majorBidi" w:hAnsiTheme="majorBidi" w:cstheme="majorBidi"/>
          <w:sz w:val="24"/>
          <w:szCs w:val="24"/>
          <w:lang w:val="en-US"/>
        </w:rPr>
        <w:t xml:space="preserve"> </w:t>
      </w:r>
      <w:r w:rsidR="004D244A">
        <w:rPr>
          <w:rFonts w:asciiTheme="majorBidi" w:hAnsiTheme="majorBidi" w:cstheme="majorBidi"/>
          <w:sz w:val="24"/>
          <w:szCs w:val="24"/>
          <w:lang w:val="en-US"/>
        </w:rPr>
        <w:t>i</w:t>
      </w:r>
      <w:r w:rsidRPr="007D32BA">
        <w:rPr>
          <w:rFonts w:asciiTheme="majorBidi" w:hAnsiTheme="majorBidi" w:cstheme="majorBidi"/>
          <w:sz w:val="24"/>
          <w:szCs w:val="24"/>
          <w:lang w:val="en-US"/>
        </w:rPr>
        <w:t>n the case of a mine, the supplier might be the government through a mining concession. For toll roads or pipeline</w:t>
      </w:r>
      <w:r w:rsidR="00D72812">
        <w:rPr>
          <w:rFonts w:asciiTheme="majorBidi" w:hAnsiTheme="majorBidi" w:cstheme="majorBidi"/>
          <w:sz w:val="24"/>
          <w:szCs w:val="24"/>
          <w:lang w:val="en-US"/>
        </w:rPr>
        <w:t>s</w:t>
      </w:r>
      <w:r w:rsidRPr="007D32BA">
        <w:rPr>
          <w:rFonts w:asciiTheme="majorBidi" w:hAnsiTheme="majorBidi" w:cstheme="majorBidi"/>
          <w:sz w:val="24"/>
          <w:szCs w:val="24"/>
          <w:lang w:val="en-US"/>
        </w:rPr>
        <w:t>, the critical input is the right-of-way for construction</w:t>
      </w:r>
      <w:r w:rsidR="00C84142">
        <w:rPr>
          <w:rFonts w:asciiTheme="majorBidi" w:hAnsiTheme="majorBidi" w:cstheme="majorBidi"/>
          <w:sz w:val="24"/>
          <w:szCs w:val="24"/>
          <w:lang w:val="en-US"/>
        </w:rPr>
        <w:t xml:space="preserve">, </w:t>
      </w:r>
      <w:r w:rsidR="004214DE" w:rsidRPr="004214DE">
        <w:rPr>
          <w:rFonts w:asciiTheme="majorBidi" w:hAnsiTheme="majorBidi" w:cstheme="majorBidi"/>
          <w:sz w:val="24"/>
          <w:szCs w:val="24"/>
          <w:lang w:val="en-US"/>
        </w:rPr>
        <w:t>which the host government grants</w:t>
      </w:r>
      <w:r w:rsidRPr="007D32BA">
        <w:rPr>
          <w:rFonts w:asciiTheme="majorBidi" w:hAnsiTheme="majorBidi" w:cstheme="majorBidi"/>
          <w:sz w:val="24"/>
          <w:szCs w:val="24"/>
          <w:lang w:val="en-US"/>
        </w:rPr>
        <w:t>.</w:t>
      </w:r>
    </w:p>
    <w:p w14:paraId="417A3FA8" w14:textId="0454C24F" w:rsidR="009212D7" w:rsidRPr="006D5272" w:rsidRDefault="009212D7" w:rsidP="00486106">
      <w:pPr>
        <w:suppressAutoHyphens/>
        <w:autoSpaceDE w:val="0"/>
        <w:adjustRightInd w:val="0"/>
        <w:spacing w:before="240" w:after="0" w:line="360" w:lineRule="auto"/>
        <w:ind w:firstLine="567"/>
        <w:jc w:val="both"/>
        <w:rPr>
          <w:rFonts w:asciiTheme="majorBidi" w:hAnsiTheme="majorBidi" w:cstheme="majorBidi"/>
          <w:b/>
          <w:bCs/>
          <w:sz w:val="24"/>
          <w:szCs w:val="24"/>
          <w:lang w:val="en-US"/>
        </w:rPr>
      </w:pPr>
      <w:r w:rsidRPr="006D5272">
        <w:rPr>
          <w:rFonts w:asciiTheme="majorBidi" w:hAnsiTheme="majorBidi" w:cstheme="majorBidi"/>
          <w:b/>
          <w:bCs/>
          <w:sz w:val="24"/>
          <w:szCs w:val="24"/>
          <w:lang w:val="en-US"/>
        </w:rPr>
        <w:t>Customer</w:t>
      </w:r>
      <w:r>
        <w:rPr>
          <w:rFonts w:asciiTheme="majorBidi" w:hAnsiTheme="majorBidi" w:cstheme="majorBidi"/>
          <w:b/>
          <w:bCs/>
          <w:sz w:val="24"/>
          <w:szCs w:val="24"/>
          <w:lang w:val="en-US"/>
        </w:rPr>
        <w:t xml:space="preserve">s or </w:t>
      </w:r>
      <w:r w:rsidR="00B67F14">
        <w:rPr>
          <w:rFonts w:asciiTheme="majorBidi" w:hAnsiTheme="majorBidi" w:cstheme="majorBidi"/>
          <w:b/>
          <w:bCs/>
          <w:sz w:val="24"/>
          <w:szCs w:val="24"/>
          <w:lang w:val="en-US"/>
        </w:rPr>
        <w:t>p</w:t>
      </w:r>
      <w:r w:rsidRPr="006D5272">
        <w:rPr>
          <w:rFonts w:asciiTheme="majorBidi" w:hAnsiTheme="majorBidi" w:cstheme="majorBidi"/>
          <w:b/>
          <w:bCs/>
          <w:sz w:val="24"/>
          <w:szCs w:val="24"/>
          <w:lang w:val="en-US"/>
        </w:rPr>
        <w:t>urchasers</w:t>
      </w:r>
      <w:r w:rsidR="00465952">
        <w:rPr>
          <w:rFonts w:asciiTheme="majorBidi" w:hAnsiTheme="majorBidi" w:cstheme="majorBidi"/>
          <w:b/>
          <w:bCs/>
          <w:sz w:val="24"/>
          <w:szCs w:val="24"/>
          <w:lang w:val="en-US"/>
        </w:rPr>
        <w:t>.</w:t>
      </w:r>
      <w:r w:rsidRPr="006D5272">
        <w:rPr>
          <w:rFonts w:asciiTheme="majorBidi" w:hAnsiTheme="majorBidi" w:cstheme="majorBidi"/>
          <w:b/>
          <w:bCs/>
          <w:sz w:val="24"/>
          <w:szCs w:val="24"/>
          <w:lang w:val="en-US"/>
        </w:rPr>
        <w:t xml:space="preserve"> </w:t>
      </w:r>
      <w:r w:rsidR="00C84142" w:rsidRPr="00C84142">
        <w:rPr>
          <w:rFonts w:asciiTheme="majorBidi" w:hAnsiTheme="majorBidi" w:cstheme="majorBidi"/>
          <w:sz w:val="24"/>
          <w:szCs w:val="24"/>
          <w:lang w:val="en-US"/>
        </w:rPr>
        <w:t>In large projects, the project company will seek in advance to conclude long term agreements to sell goods or services being produced by the project (e.g., selling coal to electric power plants). It is known as an “off-take agreement.” the output purchaser provides a crucial element of the credit support for the underlying financing by seeking to stabilize the raw materials</w:t>
      </w:r>
      <w:r w:rsidR="00810EC1" w:rsidRPr="00810EC1">
        <w:rPr>
          <w:rFonts w:ascii="Times New Roman" w:hAnsi="Times New Roman" w:cs="Times New Roman"/>
          <w:sz w:val="24"/>
          <w:szCs w:val="24"/>
        </w:rPr>
        <w:t>'</w:t>
      </w:r>
      <w:r w:rsidR="00C84142" w:rsidRPr="00C84142">
        <w:rPr>
          <w:rFonts w:asciiTheme="majorBidi" w:hAnsiTheme="majorBidi" w:cstheme="majorBidi"/>
          <w:sz w:val="24"/>
          <w:szCs w:val="24"/>
          <w:lang w:val="en-US"/>
        </w:rPr>
        <w:t xml:space="preserve"> acquisition over time and protect itself from market volatility. Such support can be seen as a credit enhancement (such as guarantees) to make the project more attractive to the financing banks</w:t>
      </w:r>
      <w:r w:rsidRPr="006D5272">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7"/>
      </w:r>
    </w:p>
    <w:p w14:paraId="49CDC5C0" w14:textId="778A6E6A" w:rsidR="009212D7" w:rsidRPr="00734E13" w:rsidRDefault="009212D7"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9212D7">
        <w:rPr>
          <w:rFonts w:asciiTheme="majorBidi" w:hAnsiTheme="majorBidi" w:cstheme="majorBidi"/>
          <w:b/>
          <w:bCs/>
          <w:sz w:val="24"/>
          <w:szCs w:val="24"/>
          <w:lang w:val="en-US"/>
        </w:rPr>
        <w:t>Commercial banks</w:t>
      </w:r>
      <w:r w:rsidR="00465952">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734E13">
        <w:rPr>
          <w:rFonts w:asciiTheme="majorBidi" w:hAnsiTheme="majorBidi" w:cstheme="majorBidi"/>
          <w:sz w:val="24"/>
          <w:szCs w:val="24"/>
          <w:lang w:val="en-US"/>
        </w:rPr>
        <w:t xml:space="preserve">Commercial banks represent a primary source of funds for project financings. In arranging these large loans, the banks often form syndicates to sell-down their interests. The syndicate is </w:t>
      </w:r>
      <w:r w:rsidR="00C84142" w:rsidRPr="00C84142">
        <w:rPr>
          <w:rFonts w:asciiTheme="majorBidi" w:hAnsiTheme="majorBidi" w:cstheme="majorBidi"/>
          <w:sz w:val="24"/>
          <w:szCs w:val="24"/>
          <w:lang w:val="en-US"/>
        </w:rPr>
        <w:t xml:space="preserve">essential </w:t>
      </w:r>
      <w:r w:rsidRPr="00734E13">
        <w:rPr>
          <w:rFonts w:asciiTheme="majorBidi" w:hAnsiTheme="majorBidi" w:cstheme="majorBidi"/>
          <w:sz w:val="24"/>
          <w:szCs w:val="24"/>
          <w:lang w:val="en-US"/>
        </w:rPr>
        <w:t xml:space="preserve">for raising the large amounts of capital required. Even though commercial </w:t>
      </w:r>
      <w:r w:rsidRPr="00734E13">
        <w:rPr>
          <w:rFonts w:asciiTheme="majorBidi" w:hAnsiTheme="majorBidi" w:cstheme="majorBidi"/>
          <w:sz w:val="24"/>
          <w:szCs w:val="24"/>
          <w:lang w:val="en-US"/>
        </w:rPr>
        <w:lastRenderedPageBreak/>
        <w:t>banks are not generally very comfortable with taking long term project finance risk, they are very comfortable with financing projects through the construction period.</w:t>
      </w:r>
      <w:r w:rsidR="00D72812">
        <w:rPr>
          <w:rFonts w:asciiTheme="majorBidi" w:hAnsiTheme="majorBidi" w:cstheme="majorBidi"/>
          <w:sz w:val="24"/>
          <w:szCs w:val="24"/>
          <w:lang w:val="en-US"/>
        </w:rPr>
        <w:t xml:space="preserve"> </w:t>
      </w:r>
      <w:r w:rsidR="00D72812" w:rsidRPr="00D72812">
        <w:rPr>
          <w:rFonts w:asciiTheme="majorBidi" w:hAnsiTheme="majorBidi" w:cstheme="majorBidi"/>
          <w:sz w:val="24"/>
          <w:szCs w:val="24"/>
          <w:lang w:val="en-US"/>
        </w:rPr>
        <w:t>Besides</w:t>
      </w:r>
      <w:r w:rsidRPr="00734E13">
        <w:rPr>
          <w:rFonts w:asciiTheme="majorBidi" w:hAnsiTheme="majorBidi" w:cstheme="majorBidi"/>
          <w:sz w:val="24"/>
          <w:szCs w:val="24"/>
          <w:lang w:val="en-US"/>
        </w:rPr>
        <w:t>, a project might be better served by having commercial banks finance the construction phase because banks have expertise in loan monitoring on a month-to-month basis.</w:t>
      </w:r>
      <w:r>
        <w:rPr>
          <w:rStyle w:val="FootnoteReference"/>
          <w:rFonts w:asciiTheme="majorBidi" w:hAnsiTheme="majorBidi" w:cstheme="majorBidi"/>
          <w:sz w:val="24"/>
          <w:szCs w:val="24"/>
          <w:lang w:val="en-US"/>
        </w:rPr>
        <w:footnoteReference w:id="28"/>
      </w:r>
    </w:p>
    <w:p w14:paraId="76282858" w14:textId="77777777" w:rsidR="009212D7" w:rsidRDefault="009212D7" w:rsidP="00486106">
      <w:pPr>
        <w:suppressAutoHyphens/>
        <w:autoSpaceDE w:val="0"/>
        <w:adjustRightInd w:val="0"/>
        <w:spacing w:after="0" w:line="240" w:lineRule="auto"/>
        <w:rPr>
          <w:rFonts w:ascii="Book Antiqua" w:hAnsi="Book Antiqua" w:cs="Book Antiqua"/>
          <w:sz w:val="15"/>
          <w:szCs w:val="15"/>
          <w:lang w:val="en-US"/>
        </w:rPr>
      </w:pPr>
    </w:p>
    <w:p w14:paraId="7DA0B0C0" w14:textId="25D0C24A" w:rsidR="009212D7" w:rsidRPr="00841B92" w:rsidRDefault="009212D7" w:rsidP="00486106">
      <w:pPr>
        <w:suppressAutoHyphens/>
        <w:autoSpaceDE w:val="0"/>
        <w:adjustRightInd w:val="0"/>
        <w:spacing w:after="0" w:line="360" w:lineRule="auto"/>
        <w:ind w:firstLine="567"/>
        <w:jc w:val="both"/>
        <w:rPr>
          <w:rFonts w:asciiTheme="majorBidi" w:hAnsiTheme="majorBidi" w:cstheme="majorBidi"/>
          <w:sz w:val="24"/>
          <w:szCs w:val="24"/>
          <w:lang w:val="en-US"/>
        </w:rPr>
      </w:pPr>
      <w:r w:rsidRPr="009212D7">
        <w:rPr>
          <w:rFonts w:asciiTheme="majorBidi" w:hAnsiTheme="majorBidi" w:cstheme="majorBidi"/>
          <w:b/>
          <w:bCs/>
          <w:sz w:val="24"/>
          <w:szCs w:val="24"/>
          <w:lang w:val="en-US"/>
        </w:rPr>
        <w:t>Capital markets</w:t>
      </w:r>
      <w:r w:rsidR="00465952">
        <w:rPr>
          <w:rFonts w:asciiTheme="majorBidi" w:hAnsiTheme="majorBidi" w:cstheme="majorBidi"/>
          <w:b/>
          <w:bCs/>
          <w:sz w:val="24"/>
          <w:szCs w:val="24"/>
          <w:lang w:val="en-US"/>
        </w:rPr>
        <w:t>.</w:t>
      </w:r>
      <w:r w:rsidRPr="009212D7">
        <w:rPr>
          <w:rFonts w:asciiTheme="majorBidi" w:hAnsiTheme="majorBidi" w:cstheme="majorBidi"/>
          <w:sz w:val="24"/>
          <w:szCs w:val="24"/>
          <w:lang w:val="en-US"/>
        </w:rPr>
        <w:t xml:space="preserve"> Major investment banks have recently completed </w:t>
      </w:r>
      <w:r w:rsidR="00D72812">
        <w:rPr>
          <w:rFonts w:asciiTheme="majorBidi" w:hAnsiTheme="majorBidi" w:cstheme="majorBidi"/>
          <w:sz w:val="24"/>
          <w:szCs w:val="24"/>
          <w:lang w:val="en-US"/>
        </w:rPr>
        <w:t>many</w:t>
      </w:r>
      <w:r w:rsidRPr="009212D7">
        <w:rPr>
          <w:rFonts w:asciiTheme="majorBidi" w:hAnsiTheme="majorBidi" w:cstheme="majorBidi"/>
          <w:sz w:val="24"/>
          <w:szCs w:val="24"/>
          <w:lang w:val="en-US"/>
        </w:rPr>
        <w:t xml:space="preserve"> capital </w:t>
      </w:r>
      <w:r w:rsidR="00D72812" w:rsidRPr="009212D7">
        <w:rPr>
          <w:rFonts w:asciiTheme="majorBidi" w:hAnsiTheme="majorBidi" w:cstheme="majorBidi"/>
          <w:sz w:val="24"/>
          <w:szCs w:val="24"/>
          <w:lang w:val="en-US"/>
        </w:rPr>
        <w:t>markets</w:t>
      </w:r>
      <w:r w:rsidRPr="009212D7">
        <w:rPr>
          <w:rFonts w:asciiTheme="majorBidi" w:hAnsiTheme="majorBidi" w:cstheme="majorBidi"/>
          <w:sz w:val="24"/>
          <w:szCs w:val="24"/>
          <w:lang w:val="en-US"/>
        </w:rPr>
        <w:t xml:space="preserve"> issues for international infrastructure projects</w:t>
      </w:r>
      <w:r w:rsidR="000B2573">
        <w:rPr>
          <w:rFonts w:asciiTheme="majorBidi" w:hAnsiTheme="majorBidi" w:cstheme="majorBidi"/>
          <w:sz w:val="24"/>
          <w:szCs w:val="24"/>
          <w:lang w:val="en-US"/>
        </w:rPr>
        <w:t>;</w:t>
      </w:r>
      <w:r w:rsidRPr="009212D7">
        <w:rPr>
          <w:rFonts w:asciiTheme="majorBidi" w:hAnsiTheme="majorBidi" w:cstheme="majorBidi"/>
          <w:sz w:val="24"/>
          <w:szCs w:val="24"/>
          <w:lang w:val="en-US"/>
        </w:rPr>
        <w:t xml:space="preserve"> the banks have successfully raised capital from institutional investors. The capital market route can be cheaper and quicker than arranging a bank loan. </w:t>
      </w:r>
      <w:r w:rsidR="00D72812">
        <w:rPr>
          <w:rFonts w:asciiTheme="majorBidi" w:hAnsiTheme="majorBidi" w:cstheme="majorBidi"/>
          <w:sz w:val="24"/>
          <w:szCs w:val="24"/>
          <w:lang w:val="en-US"/>
        </w:rPr>
        <w:t>Also</w:t>
      </w:r>
      <w:r w:rsidRPr="009212D7">
        <w:rPr>
          <w:rFonts w:asciiTheme="majorBidi" w:hAnsiTheme="majorBidi" w:cstheme="majorBidi"/>
          <w:sz w:val="24"/>
          <w:szCs w:val="24"/>
          <w:lang w:val="en-US"/>
        </w:rPr>
        <w:t xml:space="preserve">, the credit agreement under a capital market is often less restrictive than that in a bank loan. </w:t>
      </w:r>
      <w:r w:rsidR="006A138A" w:rsidRPr="006A138A">
        <w:rPr>
          <w:rFonts w:asciiTheme="majorBidi" w:hAnsiTheme="majorBidi" w:cstheme="majorBidi"/>
          <w:sz w:val="24"/>
          <w:szCs w:val="24"/>
          <w:lang w:val="en-US"/>
        </w:rPr>
        <w:t>Furthermore, these financing might be for longer periods than commercial bank lending; they might offer fixed interest rates and access</w:t>
      </w:r>
      <w:r w:rsidR="00B82985">
        <w:rPr>
          <w:rFonts w:asciiTheme="majorBidi" w:hAnsiTheme="majorBidi" w:cstheme="majorBidi"/>
          <w:sz w:val="24"/>
          <w:szCs w:val="24"/>
          <w:lang w:val="en-US"/>
        </w:rPr>
        <w:t xml:space="preserve"> to</w:t>
      </w:r>
      <w:r w:rsidR="006A138A" w:rsidRPr="006A138A">
        <w:rPr>
          <w:rFonts w:asciiTheme="majorBidi" w:hAnsiTheme="majorBidi" w:cstheme="majorBidi"/>
          <w:sz w:val="24"/>
          <w:szCs w:val="24"/>
          <w:lang w:val="en-US"/>
        </w:rPr>
        <w:t xml:space="preserve"> a wider pool of available capital and investors, such as pension funds</w:t>
      </w:r>
      <w:r>
        <w:rPr>
          <w:rFonts w:ascii="Book Antiqua" w:hAnsi="Book Antiqua" w:cs="Book Antiqua"/>
          <w:sz w:val="24"/>
          <w:szCs w:val="24"/>
          <w:lang w:val="en-US"/>
        </w:rPr>
        <w:t>.</w:t>
      </w:r>
      <w:r>
        <w:rPr>
          <w:rStyle w:val="FootnoteReference"/>
          <w:rFonts w:ascii="Book Antiqua" w:hAnsi="Book Antiqua" w:cs="Book Antiqua"/>
          <w:sz w:val="24"/>
          <w:szCs w:val="24"/>
          <w:lang w:val="en-US"/>
        </w:rPr>
        <w:footnoteReference w:id="29"/>
      </w:r>
    </w:p>
    <w:p w14:paraId="40F8E234" w14:textId="4B2E17F9" w:rsidR="007A2412" w:rsidRDefault="007A2412" w:rsidP="00486106">
      <w:pPr>
        <w:suppressAutoHyphens/>
        <w:autoSpaceDE w:val="0"/>
        <w:adjustRightInd w:val="0"/>
        <w:spacing w:after="0" w:line="240" w:lineRule="auto"/>
        <w:textAlignment w:val="auto"/>
        <w:rPr>
          <w:rFonts w:ascii="Arial" w:hAnsi="Arial"/>
          <w:sz w:val="18"/>
          <w:szCs w:val="18"/>
          <w:lang w:val="en-US"/>
        </w:rPr>
      </w:pPr>
    </w:p>
    <w:p w14:paraId="270AB13F" w14:textId="47907357" w:rsidR="007A2412" w:rsidRPr="007A2412" w:rsidRDefault="007A2412" w:rsidP="00486106">
      <w:pPr>
        <w:suppressAutoHyphens/>
        <w:autoSpaceDE w:val="0"/>
        <w:adjustRightInd w:val="0"/>
        <w:spacing w:after="0" w:line="360" w:lineRule="auto"/>
        <w:ind w:firstLine="567"/>
        <w:jc w:val="both"/>
        <w:textAlignment w:val="auto"/>
        <w:rPr>
          <w:rFonts w:asciiTheme="majorBidi" w:hAnsiTheme="majorBidi" w:cstheme="majorBidi"/>
          <w:sz w:val="24"/>
          <w:szCs w:val="24"/>
          <w:lang w:val="en-US"/>
        </w:rPr>
      </w:pPr>
      <w:r w:rsidRPr="007A2412">
        <w:rPr>
          <w:rFonts w:asciiTheme="majorBidi" w:hAnsiTheme="majorBidi" w:cstheme="majorBidi"/>
          <w:sz w:val="24"/>
          <w:szCs w:val="24"/>
          <w:lang w:val="en-US"/>
        </w:rPr>
        <w:t xml:space="preserve">The </w:t>
      </w:r>
      <w:r w:rsidR="00995C9C">
        <w:rPr>
          <w:rFonts w:asciiTheme="majorBidi" w:hAnsiTheme="majorBidi" w:cstheme="majorBidi"/>
          <w:sz w:val="24"/>
          <w:szCs w:val="24"/>
          <w:lang w:val="en-US"/>
        </w:rPr>
        <w:t>p</w:t>
      </w:r>
      <w:r w:rsidRPr="007A2412">
        <w:rPr>
          <w:rFonts w:asciiTheme="majorBidi" w:hAnsiTheme="majorBidi" w:cstheme="majorBidi"/>
          <w:sz w:val="24"/>
          <w:szCs w:val="24"/>
          <w:lang w:val="en-US"/>
        </w:rPr>
        <w:t>roject may include the following</w:t>
      </w:r>
      <w:r w:rsidR="00995C9C">
        <w:rPr>
          <w:rFonts w:asciiTheme="majorBidi" w:hAnsiTheme="majorBidi" w:cstheme="majorBidi"/>
          <w:sz w:val="24"/>
          <w:szCs w:val="24"/>
          <w:lang w:val="en-US"/>
        </w:rPr>
        <w:t xml:space="preserve"> c</w:t>
      </w:r>
      <w:r w:rsidR="00995C9C" w:rsidRPr="007A2412">
        <w:rPr>
          <w:rFonts w:asciiTheme="majorBidi" w:hAnsiTheme="majorBidi" w:cstheme="majorBidi"/>
          <w:sz w:val="24"/>
          <w:szCs w:val="24"/>
          <w:lang w:val="en-US"/>
        </w:rPr>
        <w:t>ontracts</w:t>
      </w:r>
      <w:r w:rsidRPr="007A2412">
        <w:rPr>
          <w:rFonts w:asciiTheme="majorBidi" w:hAnsiTheme="majorBidi" w:cstheme="majorBidi"/>
          <w:sz w:val="24"/>
          <w:szCs w:val="24"/>
          <w:lang w:val="en-US"/>
        </w:rPr>
        <w:t>:</w:t>
      </w:r>
      <w:r w:rsidR="00AE629A">
        <w:rPr>
          <w:rStyle w:val="FootnoteReference"/>
          <w:rFonts w:asciiTheme="majorBidi" w:hAnsiTheme="majorBidi" w:cstheme="majorBidi"/>
          <w:sz w:val="24"/>
          <w:szCs w:val="24"/>
          <w:lang w:val="en-US"/>
        </w:rPr>
        <w:footnoteReference w:id="30"/>
      </w:r>
    </w:p>
    <w:p w14:paraId="4A59B869" w14:textId="39174117" w:rsidR="007A2412" w:rsidRPr="007A2412" w:rsidRDefault="007A2412" w:rsidP="00486106">
      <w:pPr>
        <w:pStyle w:val="ListParagraph"/>
        <w:numPr>
          <w:ilvl w:val="0"/>
          <w:numId w:val="4"/>
        </w:numPr>
        <w:suppressAutoHyphens/>
        <w:autoSpaceDE w:val="0"/>
        <w:adjustRightInd w:val="0"/>
        <w:spacing w:before="240" w:after="0" w:line="360" w:lineRule="auto"/>
        <w:ind w:left="567" w:hanging="357"/>
        <w:jc w:val="both"/>
        <w:textAlignment w:val="auto"/>
        <w:rPr>
          <w:rFonts w:asciiTheme="majorBidi" w:hAnsiTheme="majorBidi" w:cstheme="majorBidi"/>
          <w:sz w:val="24"/>
          <w:szCs w:val="24"/>
          <w:lang w:val="en-US"/>
        </w:rPr>
      </w:pPr>
      <w:r w:rsidRPr="007A2412">
        <w:rPr>
          <w:rFonts w:asciiTheme="majorBidi" w:hAnsiTheme="majorBidi" w:cstheme="majorBidi"/>
          <w:b/>
          <w:bCs/>
          <w:sz w:val="24"/>
          <w:szCs w:val="24"/>
          <w:lang w:val="en-US"/>
        </w:rPr>
        <w:t>A Project Agreement</w:t>
      </w:r>
      <w:r>
        <w:rPr>
          <w:rFonts w:asciiTheme="majorBidi" w:hAnsiTheme="majorBidi" w:cstheme="majorBidi"/>
          <w:sz w:val="24"/>
          <w:szCs w:val="24"/>
          <w:lang w:val="en-US"/>
        </w:rPr>
        <w:t xml:space="preserve">: </w:t>
      </w:r>
      <w:r w:rsidR="000B2573">
        <w:rPr>
          <w:rFonts w:asciiTheme="majorBidi" w:hAnsiTheme="majorBidi" w:cstheme="majorBidi"/>
          <w:sz w:val="24"/>
          <w:szCs w:val="24"/>
          <w:lang w:val="en-US"/>
        </w:rPr>
        <w:t>This</w:t>
      </w:r>
      <w:r w:rsidRPr="007A2412">
        <w:rPr>
          <w:rFonts w:asciiTheme="majorBidi" w:hAnsiTheme="majorBidi" w:cstheme="majorBidi"/>
          <w:sz w:val="24"/>
          <w:szCs w:val="24"/>
          <w:lang w:val="en-US"/>
        </w:rPr>
        <w:t xml:space="preserve"> may be either an </w:t>
      </w:r>
      <w:r w:rsidRPr="007A2412">
        <w:rPr>
          <w:rFonts w:asciiTheme="majorBidi" w:hAnsiTheme="majorBidi" w:cstheme="majorBidi"/>
          <w:b/>
          <w:bCs/>
          <w:sz w:val="24"/>
          <w:szCs w:val="24"/>
          <w:lang w:val="en-US"/>
        </w:rPr>
        <w:t>Off-take Contract</w:t>
      </w:r>
      <w:r w:rsidRPr="007A2412">
        <w:rPr>
          <w:rFonts w:asciiTheme="majorBidi" w:hAnsiTheme="majorBidi" w:cstheme="majorBidi"/>
          <w:sz w:val="24"/>
          <w:szCs w:val="24"/>
          <w:lang w:val="en-US"/>
        </w:rPr>
        <w:t xml:space="preserve"> (e.g., a power purchase agreement), under which the product produced by the project will be sold on a long-term pricing formula</w:t>
      </w:r>
      <w:r w:rsidR="000B2573">
        <w:rPr>
          <w:rFonts w:asciiTheme="majorBidi" w:hAnsiTheme="majorBidi" w:cstheme="majorBidi"/>
          <w:sz w:val="24"/>
          <w:szCs w:val="24"/>
          <w:lang w:val="en-US"/>
        </w:rPr>
        <w:t>.</w:t>
      </w:r>
      <w:r w:rsidRPr="007A2412">
        <w:rPr>
          <w:rFonts w:asciiTheme="majorBidi" w:hAnsiTheme="majorBidi" w:cstheme="majorBidi"/>
          <w:sz w:val="24"/>
          <w:szCs w:val="24"/>
          <w:lang w:val="en-US"/>
        </w:rPr>
        <w:t xml:space="preserve"> </w:t>
      </w:r>
      <w:r w:rsidR="000B2573">
        <w:rPr>
          <w:rFonts w:asciiTheme="majorBidi" w:hAnsiTheme="majorBidi" w:cstheme="majorBidi"/>
          <w:sz w:val="24"/>
          <w:szCs w:val="24"/>
          <w:lang w:val="en-US"/>
        </w:rPr>
        <w:t>Or</w:t>
      </w:r>
      <w:r w:rsidRPr="007A2412">
        <w:rPr>
          <w:rFonts w:asciiTheme="majorBidi" w:hAnsiTheme="majorBidi" w:cstheme="majorBidi"/>
          <w:sz w:val="24"/>
          <w:szCs w:val="24"/>
          <w:lang w:val="en-US"/>
        </w:rPr>
        <w:t xml:space="preserve"> a </w:t>
      </w:r>
      <w:r w:rsidRPr="007A2412">
        <w:rPr>
          <w:rFonts w:asciiTheme="majorBidi" w:hAnsiTheme="majorBidi" w:cstheme="majorBidi"/>
          <w:b/>
          <w:bCs/>
          <w:sz w:val="24"/>
          <w:szCs w:val="24"/>
          <w:lang w:val="en-US"/>
        </w:rPr>
        <w:t>Concession Agreement</w:t>
      </w:r>
      <w:r w:rsidRPr="007A2412">
        <w:rPr>
          <w:rFonts w:asciiTheme="majorBidi" w:hAnsiTheme="majorBidi" w:cstheme="majorBidi"/>
          <w:sz w:val="24"/>
          <w:szCs w:val="24"/>
          <w:lang w:val="en-US"/>
        </w:rPr>
        <w:t xml:space="preserve"> with the government or another public a</w:t>
      </w:r>
      <w:r>
        <w:rPr>
          <w:rFonts w:asciiTheme="majorBidi" w:hAnsiTheme="majorBidi" w:cstheme="majorBidi"/>
          <w:sz w:val="24"/>
          <w:szCs w:val="24"/>
          <w:lang w:val="en-US"/>
        </w:rPr>
        <w:t>ut</w:t>
      </w:r>
      <w:r w:rsidRPr="007A2412">
        <w:rPr>
          <w:rFonts w:asciiTheme="majorBidi" w:hAnsiTheme="majorBidi" w:cstheme="majorBidi"/>
          <w:sz w:val="24"/>
          <w:szCs w:val="24"/>
          <w:lang w:val="en-US"/>
        </w:rPr>
        <w:t xml:space="preserve">hority, which gives the </w:t>
      </w:r>
      <w:r w:rsidR="00995C9C">
        <w:rPr>
          <w:rFonts w:asciiTheme="majorBidi" w:hAnsiTheme="majorBidi" w:cstheme="majorBidi"/>
          <w:sz w:val="24"/>
          <w:szCs w:val="24"/>
          <w:lang w:val="en-US"/>
        </w:rPr>
        <w:t>p</w:t>
      </w:r>
      <w:r w:rsidRPr="007A2412">
        <w:rPr>
          <w:rFonts w:asciiTheme="majorBidi" w:hAnsiTheme="majorBidi" w:cstheme="majorBidi"/>
          <w:sz w:val="24"/>
          <w:szCs w:val="24"/>
          <w:lang w:val="en-US"/>
        </w:rPr>
        <w:t xml:space="preserve">roject </w:t>
      </w:r>
      <w:r w:rsidR="00995C9C">
        <w:rPr>
          <w:rFonts w:asciiTheme="majorBidi" w:hAnsiTheme="majorBidi" w:cstheme="majorBidi"/>
          <w:sz w:val="24"/>
          <w:szCs w:val="24"/>
          <w:lang w:val="en-US"/>
        </w:rPr>
        <w:t>c</w:t>
      </w:r>
      <w:r w:rsidRPr="007A2412">
        <w:rPr>
          <w:rFonts w:asciiTheme="majorBidi" w:hAnsiTheme="majorBidi" w:cstheme="majorBidi"/>
          <w:sz w:val="24"/>
          <w:szCs w:val="24"/>
          <w:lang w:val="en-US"/>
        </w:rPr>
        <w:t>ompany the right to construct the project and earn rev</w:t>
      </w:r>
      <w:r>
        <w:rPr>
          <w:rFonts w:asciiTheme="majorBidi" w:hAnsiTheme="majorBidi" w:cstheme="majorBidi"/>
          <w:sz w:val="24"/>
          <w:szCs w:val="24"/>
          <w:lang w:val="en-US"/>
        </w:rPr>
        <w:t>e</w:t>
      </w:r>
      <w:r w:rsidRPr="007A2412">
        <w:rPr>
          <w:rFonts w:asciiTheme="majorBidi" w:hAnsiTheme="majorBidi" w:cstheme="majorBidi"/>
          <w:sz w:val="24"/>
          <w:szCs w:val="24"/>
          <w:lang w:val="en-US"/>
        </w:rPr>
        <w:t>nues from it by providing a service either to the public sector (e.g., a public building) or directly to the general public (e.g., a toll road)</w:t>
      </w:r>
      <w:r>
        <w:rPr>
          <w:rFonts w:asciiTheme="majorBidi" w:hAnsiTheme="majorBidi" w:cstheme="majorBidi"/>
          <w:sz w:val="24"/>
          <w:szCs w:val="24"/>
          <w:lang w:val="en-US"/>
        </w:rPr>
        <w:t>.</w:t>
      </w:r>
    </w:p>
    <w:p w14:paraId="112CFAB5" w14:textId="77B74EB2" w:rsidR="007A2412" w:rsidRPr="007A2412" w:rsidRDefault="007A2412" w:rsidP="00486106">
      <w:pPr>
        <w:pStyle w:val="ListParagraph"/>
        <w:numPr>
          <w:ilvl w:val="0"/>
          <w:numId w:val="4"/>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7A2412">
        <w:rPr>
          <w:rFonts w:asciiTheme="majorBidi" w:hAnsiTheme="majorBidi" w:cstheme="majorBidi"/>
          <w:sz w:val="24"/>
          <w:szCs w:val="24"/>
          <w:lang w:val="en-US"/>
        </w:rPr>
        <w:t xml:space="preserve">Alternatively, the project company may have a </w:t>
      </w:r>
      <w:r w:rsidRPr="007A2412">
        <w:rPr>
          <w:rFonts w:asciiTheme="majorBidi" w:hAnsiTheme="majorBidi" w:cstheme="majorBidi"/>
          <w:b/>
          <w:bCs/>
          <w:sz w:val="24"/>
          <w:szCs w:val="24"/>
          <w:lang w:val="en-US"/>
        </w:rPr>
        <w:t>license</w:t>
      </w:r>
      <w:r w:rsidRPr="007A2412">
        <w:rPr>
          <w:rFonts w:asciiTheme="majorBidi" w:hAnsiTheme="majorBidi" w:cstheme="majorBidi"/>
          <w:sz w:val="24"/>
          <w:szCs w:val="24"/>
          <w:lang w:val="en-US"/>
        </w:rPr>
        <w:t xml:space="preserve"> to operate under the terms of general legislation for the industry sector (e.g.</w:t>
      </w:r>
      <w:r w:rsidR="000B2573">
        <w:rPr>
          <w:rFonts w:asciiTheme="majorBidi" w:hAnsiTheme="majorBidi" w:cstheme="majorBidi"/>
          <w:sz w:val="24"/>
          <w:szCs w:val="24"/>
          <w:lang w:val="en-US"/>
        </w:rPr>
        <w:t>,</w:t>
      </w:r>
      <w:r w:rsidRPr="007A2412">
        <w:rPr>
          <w:rFonts w:asciiTheme="majorBidi" w:hAnsiTheme="majorBidi" w:cstheme="majorBidi"/>
          <w:sz w:val="24"/>
          <w:szCs w:val="24"/>
          <w:lang w:val="en-US"/>
        </w:rPr>
        <w:t xml:space="preserve"> a mobile phone network).</w:t>
      </w:r>
    </w:p>
    <w:p w14:paraId="2E450CF6" w14:textId="7E078551" w:rsidR="007A2412" w:rsidRPr="007A2412" w:rsidRDefault="007A2412" w:rsidP="00486106">
      <w:pPr>
        <w:pStyle w:val="ListParagraph"/>
        <w:numPr>
          <w:ilvl w:val="0"/>
          <w:numId w:val="4"/>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7A2412">
        <w:rPr>
          <w:rFonts w:asciiTheme="majorBidi" w:hAnsiTheme="majorBidi" w:cstheme="majorBidi"/>
          <w:b/>
          <w:bCs/>
          <w:sz w:val="24"/>
          <w:szCs w:val="24"/>
          <w:lang w:val="en-US"/>
        </w:rPr>
        <w:t xml:space="preserve">A </w:t>
      </w:r>
      <w:r w:rsidR="00D72812">
        <w:rPr>
          <w:rFonts w:asciiTheme="majorBidi" w:hAnsiTheme="majorBidi" w:cstheme="majorBidi"/>
          <w:b/>
          <w:bCs/>
          <w:sz w:val="24"/>
          <w:szCs w:val="24"/>
          <w:lang w:val="en-US"/>
        </w:rPr>
        <w:t>T</w:t>
      </w:r>
      <w:r w:rsidRPr="007A2412">
        <w:rPr>
          <w:rFonts w:asciiTheme="majorBidi" w:hAnsiTheme="majorBidi" w:cstheme="majorBidi"/>
          <w:b/>
          <w:bCs/>
          <w:sz w:val="24"/>
          <w:szCs w:val="24"/>
          <w:lang w:val="en-US"/>
        </w:rPr>
        <w:t>urnkey Engineering</w:t>
      </w:r>
      <w:r>
        <w:rPr>
          <w:rFonts w:asciiTheme="majorBidi" w:hAnsiTheme="majorBidi" w:cstheme="majorBidi"/>
          <w:sz w:val="24"/>
          <w:szCs w:val="24"/>
          <w:lang w:val="en-US"/>
        </w:rPr>
        <w:t>:</w:t>
      </w:r>
      <w:r w:rsidRPr="007A2412">
        <w:rPr>
          <w:rFonts w:asciiTheme="majorBidi" w:hAnsiTheme="majorBidi" w:cstheme="majorBidi"/>
          <w:sz w:val="24"/>
          <w:szCs w:val="24"/>
          <w:lang w:val="en-US"/>
        </w:rPr>
        <w:t xml:space="preserve"> Procurement and Construction (EPC) </w:t>
      </w:r>
      <w:r w:rsidR="00D72812">
        <w:rPr>
          <w:rFonts w:asciiTheme="majorBidi" w:hAnsiTheme="majorBidi" w:cstheme="majorBidi"/>
          <w:sz w:val="24"/>
          <w:szCs w:val="24"/>
          <w:lang w:val="en-US"/>
        </w:rPr>
        <w:t>c</w:t>
      </w:r>
      <w:r w:rsidRPr="007A2412">
        <w:rPr>
          <w:rFonts w:asciiTheme="majorBidi" w:hAnsiTheme="majorBidi" w:cstheme="majorBidi"/>
          <w:sz w:val="24"/>
          <w:szCs w:val="24"/>
          <w:lang w:val="en-US"/>
        </w:rPr>
        <w:t xml:space="preserve">ontract, </w:t>
      </w:r>
      <w:r w:rsidR="000B2573">
        <w:rPr>
          <w:rFonts w:asciiTheme="majorBidi" w:hAnsiTheme="majorBidi" w:cstheme="majorBidi"/>
          <w:sz w:val="24"/>
          <w:szCs w:val="24"/>
          <w:lang w:val="en-US"/>
        </w:rPr>
        <w:t>here,</w:t>
      </w:r>
      <w:r w:rsidRPr="007A2412">
        <w:rPr>
          <w:rFonts w:asciiTheme="majorBidi" w:hAnsiTheme="majorBidi" w:cstheme="majorBidi"/>
          <w:sz w:val="24"/>
          <w:szCs w:val="24"/>
          <w:lang w:val="en-US"/>
        </w:rPr>
        <w:t xml:space="preserve"> the project will be designed and built for a fixed </w:t>
      </w:r>
      <w:r w:rsidR="00995C9C">
        <w:rPr>
          <w:rFonts w:asciiTheme="majorBidi" w:hAnsiTheme="majorBidi" w:cstheme="majorBidi"/>
          <w:sz w:val="24"/>
          <w:szCs w:val="24"/>
          <w:lang w:val="en-US"/>
        </w:rPr>
        <w:t>cost</w:t>
      </w:r>
      <w:r w:rsidRPr="007A2412">
        <w:rPr>
          <w:rFonts w:asciiTheme="majorBidi" w:hAnsiTheme="majorBidi" w:cstheme="majorBidi"/>
          <w:sz w:val="24"/>
          <w:szCs w:val="24"/>
          <w:lang w:val="en-US"/>
        </w:rPr>
        <w:t xml:space="preserve"> and </w:t>
      </w:r>
      <w:r w:rsidR="000B2573">
        <w:rPr>
          <w:rFonts w:asciiTheme="majorBidi" w:hAnsiTheme="majorBidi" w:cstheme="majorBidi"/>
          <w:sz w:val="24"/>
          <w:szCs w:val="24"/>
          <w:lang w:val="en-US"/>
        </w:rPr>
        <w:t xml:space="preserve">will be </w:t>
      </w:r>
      <w:r w:rsidRPr="007A2412">
        <w:rPr>
          <w:rFonts w:asciiTheme="majorBidi" w:hAnsiTheme="majorBidi" w:cstheme="majorBidi"/>
          <w:sz w:val="24"/>
          <w:szCs w:val="24"/>
          <w:lang w:val="en-US"/>
        </w:rPr>
        <w:t>completed by a fixed date</w:t>
      </w:r>
      <w:r>
        <w:rPr>
          <w:rFonts w:asciiTheme="majorBidi" w:hAnsiTheme="majorBidi" w:cstheme="majorBidi"/>
          <w:sz w:val="24"/>
          <w:szCs w:val="24"/>
          <w:lang w:val="en-US"/>
        </w:rPr>
        <w:t>.</w:t>
      </w:r>
    </w:p>
    <w:p w14:paraId="48E86697" w14:textId="367DA0D0" w:rsidR="007A2412" w:rsidRPr="007A2412" w:rsidRDefault="007A2412" w:rsidP="00486106">
      <w:pPr>
        <w:pStyle w:val="ListParagraph"/>
        <w:numPr>
          <w:ilvl w:val="0"/>
          <w:numId w:val="4"/>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7A2412">
        <w:rPr>
          <w:rFonts w:asciiTheme="majorBidi" w:hAnsiTheme="majorBidi" w:cstheme="majorBidi"/>
          <w:b/>
          <w:bCs/>
          <w:sz w:val="24"/>
          <w:szCs w:val="24"/>
          <w:lang w:val="en-US"/>
        </w:rPr>
        <w:t>An Input Supply Contract</w:t>
      </w:r>
      <w:r>
        <w:rPr>
          <w:rFonts w:asciiTheme="majorBidi" w:hAnsiTheme="majorBidi" w:cstheme="majorBidi"/>
          <w:sz w:val="24"/>
          <w:szCs w:val="24"/>
          <w:lang w:val="en-US"/>
        </w:rPr>
        <w:t>:</w:t>
      </w:r>
      <w:r w:rsidRPr="007A2412">
        <w:rPr>
          <w:rFonts w:asciiTheme="majorBidi" w:hAnsiTheme="majorBidi" w:cstheme="majorBidi"/>
          <w:sz w:val="24"/>
          <w:szCs w:val="24"/>
          <w:lang w:val="en-US"/>
        </w:rPr>
        <w:t xml:space="preserve"> under which fuel or other raw material for the project will be provided on a long-term pricing formula in agreed quantities</w:t>
      </w:r>
      <w:r>
        <w:rPr>
          <w:rFonts w:asciiTheme="majorBidi" w:hAnsiTheme="majorBidi" w:cstheme="majorBidi"/>
          <w:sz w:val="24"/>
          <w:szCs w:val="24"/>
          <w:lang w:val="en-US"/>
        </w:rPr>
        <w:t>.</w:t>
      </w:r>
    </w:p>
    <w:p w14:paraId="2970C95E" w14:textId="3D2B0578" w:rsidR="007A2412" w:rsidRPr="007A2412" w:rsidRDefault="007A2412" w:rsidP="00486106">
      <w:pPr>
        <w:pStyle w:val="ListParagraph"/>
        <w:numPr>
          <w:ilvl w:val="0"/>
          <w:numId w:val="4"/>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7A2412">
        <w:rPr>
          <w:rFonts w:asciiTheme="majorBidi" w:hAnsiTheme="majorBidi" w:cstheme="majorBidi"/>
          <w:b/>
          <w:bCs/>
          <w:sz w:val="24"/>
          <w:szCs w:val="24"/>
          <w:lang w:val="en-US"/>
        </w:rPr>
        <w:t>An Operating and Maintenance (O&amp;M) Contract</w:t>
      </w:r>
      <w:r>
        <w:rPr>
          <w:rFonts w:asciiTheme="majorBidi" w:hAnsiTheme="majorBidi" w:cstheme="majorBidi"/>
          <w:sz w:val="24"/>
          <w:szCs w:val="24"/>
          <w:lang w:val="en-US"/>
        </w:rPr>
        <w:t>:</w:t>
      </w:r>
      <w:r w:rsidRPr="007A2412">
        <w:rPr>
          <w:rFonts w:asciiTheme="majorBidi" w:hAnsiTheme="majorBidi" w:cstheme="majorBidi"/>
          <w:sz w:val="24"/>
          <w:szCs w:val="24"/>
          <w:lang w:val="en-US"/>
        </w:rPr>
        <w:t xml:space="preserve"> under which a third party will be responsible for the running of the project after it has been built</w:t>
      </w:r>
      <w:r>
        <w:rPr>
          <w:rFonts w:asciiTheme="majorBidi" w:hAnsiTheme="majorBidi" w:cstheme="majorBidi"/>
          <w:sz w:val="24"/>
          <w:szCs w:val="24"/>
          <w:lang w:val="en-US"/>
        </w:rPr>
        <w:t>.</w:t>
      </w:r>
    </w:p>
    <w:p w14:paraId="4A60EFFB" w14:textId="55A7B816" w:rsidR="007705F6" w:rsidRPr="00FB7FF9" w:rsidRDefault="007A2412" w:rsidP="00486106">
      <w:pPr>
        <w:pStyle w:val="ListParagraph"/>
        <w:numPr>
          <w:ilvl w:val="0"/>
          <w:numId w:val="4"/>
        </w:numPr>
        <w:suppressAutoHyphens/>
        <w:autoSpaceDE w:val="0"/>
        <w:adjustRightInd w:val="0"/>
        <w:spacing w:after="0" w:line="360" w:lineRule="auto"/>
        <w:ind w:left="567" w:hanging="357"/>
        <w:jc w:val="both"/>
        <w:textAlignment w:val="auto"/>
        <w:rPr>
          <w:rFonts w:asciiTheme="majorBidi" w:hAnsiTheme="majorBidi" w:cstheme="majorBidi"/>
          <w:sz w:val="24"/>
          <w:szCs w:val="24"/>
          <w:lang w:val="en-US"/>
        </w:rPr>
      </w:pPr>
      <w:r w:rsidRPr="007A2412">
        <w:rPr>
          <w:rFonts w:asciiTheme="majorBidi" w:hAnsiTheme="majorBidi" w:cstheme="majorBidi"/>
          <w:b/>
          <w:bCs/>
          <w:sz w:val="24"/>
          <w:szCs w:val="24"/>
          <w:lang w:val="en-US"/>
        </w:rPr>
        <w:t>A Government Support Agreement</w:t>
      </w:r>
      <w:r w:rsidRPr="007A2412">
        <w:rPr>
          <w:rFonts w:asciiTheme="majorBidi" w:hAnsiTheme="majorBidi" w:cstheme="majorBidi"/>
          <w:sz w:val="24"/>
          <w:szCs w:val="24"/>
          <w:lang w:val="en-US"/>
        </w:rPr>
        <w:t xml:space="preserve">: (usually in a developing country), </w:t>
      </w:r>
      <w:r w:rsidR="000B2573">
        <w:rPr>
          <w:rFonts w:asciiTheme="majorBidi" w:hAnsiTheme="majorBidi" w:cstheme="majorBidi"/>
          <w:sz w:val="24"/>
          <w:szCs w:val="24"/>
          <w:lang w:val="en-US"/>
        </w:rPr>
        <w:t xml:space="preserve">it </w:t>
      </w:r>
      <w:r w:rsidRPr="007A2412">
        <w:rPr>
          <w:rFonts w:asciiTheme="majorBidi" w:hAnsiTheme="majorBidi" w:cstheme="majorBidi"/>
          <w:sz w:val="24"/>
          <w:szCs w:val="24"/>
          <w:lang w:val="en-US"/>
        </w:rPr>
        <w:t xml:space="preserve">may provide various kinds of support, such as guarantees or tax incentives for the investment in the project. </w:t>
      </w:r>
    </w:p>
    <w:p w14:paraId="583D314D" w14:textId="69A4BE96" w:rsidR="007705F6" w:rsidRDefault="007705F6" w:rsidP="00486106">
      <w:pPr>
        <w:suppressAutoHyphens/>
        <w:spacing w:before="240" w:line="360" w:lineRule="auto"/>
        <w:ind w:firstLine="567"/>
        <w:jc w:val="both"/>
        <w:rPr>
          <w:rFonts w:asciiTheme="majorBidi" w:eastAsia="Times New Roman" w:hAnsiTheme="majorBidi" w:cstheme="majorBidi"/>
          <w:sz w:val="24"/>
          <w:szCs w:val="24"/>
          <w:lang w:val="en-US"/>
        </w:rPr>
      </w:pPr>
      <w:r>
        <w:rPr>
          <w:rFonts w:asciiTheme="majorBidi" w:eastAsia="Times New Roman" w:hAnsiTheme="majorBidi" w:cstheme="majorBidi"/>
          <w:color w:val="000000"/>
          <w:sz w:val="24"/>
          <w:szCs w:val="24"/>
          <w:lang w:val="en-US"/>
        </w:rPr>
        <w:t xml:space="preserve">Historically, commercial banks have provided construction financing for projects, while insurance companies have provided </w:t>
      </w:r>
      <w:r w:rsidR="000B2573" w:rsidRPr="000B2573">
        <w:rPr>
          <w:rFonts w:asciiTheme="majorBidi" w:eastAsia="Times New Roman" w:hAnsiTheme="majorBidi" w:cstheme="majorBidi"/>
          <w:color w:val="000000"/>
          <w:sz w:val="24"/>
          <w:szCs w:val="24"/>
          <w:lang w:val="en-US"/>
        </w:rPr>
        <w:t xml:space="preserve">funding </w:t>
      </w:r>
      <w:r>
        <w:rPr>
          <w:rFonts w:asciiTheme="majorBidi" w:eastAsia="Times New Roman" w:hAnsiTheme="majorBidi" w:cstheme="majorBidi"/>
          <w:color w:val="000000"/>
          <w:sz w:val="24"/>
          <w:szCs w:val="24"/>
          <w:lang w:val="en-US"/>
        </w:rPr>
        <w:t xml:space="preserve">with terms of 20 years or more. Banks have been </w:t>
      </w:r>
      <w:r>
        <w:rPr>
          <w:rFonts w:asciiTheme="majorBidi" w:eastAsia="Times New Roman" w:hAnsiTheme="majorBidi" w:cstheme="majorBidi"/>
          <w:color w:val="000000"/>
          <w:sz w:val="24"/>
          <w:szCs w:val="24"/>
          <w:lang w:val="en-US"/>
        </w:rPr>
        <w:lastRenderedPageBreak/>
        <w:t>relatively more comfortable with construction risks and short-term loans</w:t>
      </w:r>
      <w:r w:rsidR="000B2573">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 xml:space="preserve"> </w:t>
      </w:r>
      <w:r w:rsidR="000B2573" w:rsidRPr="000B2573">
        <w:rPr>
          <w:rFonts w:asciiTheme="majorBidi" w:eastAsia="Times New Roman" w:hAnsiTheme="majorBidi" w:cstheme="majorBidi"/>
          <w:color w:val="000000"/>
          <w:sz w:val="24"/>
          <w:szCs w:val="24"/>
          <w:lang w:val="en-US"/>
        </w:rPr>
        <w:t>In contrast,</w:t>
      </w:r>
      <w:r w:rsidR="000B2573">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insurance companies have been more comfortable bearing the long-term operating risks after construc</w:t>
      </w:r>
      <w:r>
        <w:rPr>
          <w:rFonts w:asciiTheme="majorBidi" w:eastAsia="Times New Roman" w:hAnsiTheme="majorBidi" w:cstheme="majorBidi"/>
          <w:color w:val="000000"/>
          <w:sz w:val="24"/>
          <w:szCs w:val="24"/>
          <w:lang w:val="en-US"/>
        </w:rPr>
        <w:softHyphen/>
        <w:t>tion has been completed</w:t>
      </w:r>
      <w:r w:rsidR="000B2573">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and the project has demonstrated its capability to run smoothly.</w:t>
      </w:r>
    </w:p>
    <w:p w14:paraId="16B5E471" w14:textId="592712F4" w:rsidR="007705F6" w:rsidRPr="00B02901" w:rsidRDefault="007705F6" w:rsidP="00486106">
      <w:pPr>
        <w:suppressAutoHyphens/>
        <w:spacing w:line="360" w:lineRule="auto"/>
        <w:ind w:firstLine="567"/>
        <w:jc w:val="both"/>
        <w:rPr>
          <w:rFonts w:asciiTheme="majorBidi" w:eastAsia="Times New Roman" w:hAnsiTheme="majorBidi" w:cstheme="majorBidi"/>
          <w:sz w:val="24"/>
          <w:szCs w:val="24"/>
          <w:lang w:val="en-US"/>
        </w:rPr>
      </w:pPr>
      <w:r>
        <w:rPr>
          <w:rFonts w:asciiTheme="majorBidi" w:eastAsia="Times New Roman" w:hAnsiTheme="majorBidi" w:cstheme="majorBidi"/>
          <w:color w:val="000000"/>
          <w:sz w:val="24"/>
          <w:szCs w:val="24"/>
          <w:lang w:val="en-US"/>
        </w:rPr>
        <w:t xml:space="preserve">In the early 1990s, however, the investor base for project finance began to broaden. It now includes institutional investors, such as pension and mutual funds, and investors in the public bond markets in a growing number of countries </w:t>
      </w:r>
      <w:r w:rsidR="000B2573" w:rsidRPr="000B2573">
        <w:rPr>
          <w:rFonts w:asciiTheme="majorBidi" w:eastAsia="Times New Roman" w:hAnsiTheme="majorBidi" w:cstheme="majorBidi"/>
          <w:color w:val="000000"/>
          <w:sz w:val="24"/>
          <w:szCs w:val="24"/>
          <w:lang w:val="en-US"/>
        </w:rPr>
        <w:t>worldwide</w:t>
      </w:r>
      <w:r>
        <w:rPr>
          <w:rFonts w:asciiTheme="majorBidi" w:eastAsia="Times New Roman" w:hAnsiTheme="majorBidi" w:cstheme="majorBidi"/>
          <w:color w:val="000000"/>
          <w:sz w:val="24"/>
          <w:szCs w:val="24"/>
          <w:lang w:val="en-US"/>
        </w:rPr>
        <w:t>.</w:t>
      </w:r>
      <w:r>
        <w:rPr>
          <w:rStyle w:val="FootnoteReference"/>
          <w:rFonts w:asciiTheme="majorBidi" w:eastAsia="Times New Roman" w:hAnsiTheme="majorBidi" w:cstheme="majorBidi"/>
          <w:color w:val="000000"/>
          <w:sz w:val="24"/>
          <w:szCs w:val="24"/>
          <w:lang w:val="en-US"/>
        </w:rPr>
        <w:footnoteReference w:id="31"/>
      </w:r>
      <w:r w:rsidR="00B02901">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For institutional investors</w:t>
      </w:r>
      <w:r w:rsidR="000B2573">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 xml:space="preserve"> project finance offers a way to diversify and earn </w:t>
      </w:r>
      <w:r w:rsidR="000B2573" w:rsidRPr="000B2573">
        <w:rPr>
          <w:rFonts w:asciiTheme="majorBidi" w:eastAsia="Times New Roman" w:hAnsiTheme="majorBidi" w:cstheme="majorBidi"/>
          <w:color w:val="000000"/>
          <w:sz w:val="24"/>
          <w:szCs w:val="24"/>
          <w:lang w:val="en-US"/>
        </w:rPr>
        <w:t xml:space="preserve">outstanding </w:t>
      </w:r>
      <w:r>
        <w:rPr>
          <w:rFonts w:asciiTheme="majorBidi" w:eastAsia="Times New Roman" w:hAnsiTheme="majorBidi" w:cstheme="majorBidi"/>
          <w:color w:val="000000"/>
          <w:sz w:val="24"/>
          <w:szCs w:val="24"/>
          <w:lang w:val="en-US"/>
        </w:rPr>
        <w:t>returns for the amount of risk taken. As more power and other infrastructure projects are financed and demonstrate a track record, more investors are becoming comfortable with the risk.</w:t>
      </w:r>
    </w:p>
    <w:p w14:paraId="5B0990C0" w14:textId="060F1BBA" w:rsidR="007705F6" w:rsidRDefault="007705F6" w:rsidP="00486106">
      <w:pPr>
        <w:suppressAutoHyphens/>
        <w:autoSpaceDE w:val="0"/>
        <w:adjustRightInd w:val="0"/>
        <w:spacing w:after="0" w:line="360" w:lineRule="auto"/>
        <w:ind w:firstLine="567"/>
        <w:jc w:val="both"/>
        <w:rPr>
          <w:rFonts w:asciiTheme="majorBidi" w:eastAsiaTheme="minorHAnsi" w:hAnsiTheme="majorBidi" w:cstheme="majorBidi"/>
          <w:sz w:val="24"/>
          <w:szCs w:val="24"/>
          <w:lang w:val="en-US"/>
        </w:rPr>
      </w:pPr>
      <w:r>
        <w:rPr>
          <w:rFonts w:asciiTheme="majorBidi" w:hAnsiTheme="majorBidi" w:cstheme="majorBidi"/>
          <w:sz w:val="24"/>
          <w:szCs w:val="24"/>
          <w:lang w:val="en-US"/>
        </w:rPr>
        <w:t xml:space="preserve">There </w:t>
      </w:r>
      <w:r w:rsidR="00087C75">
        <w:rPr>
          <w:rFonts w:asciiTheme="majorBidi" w:hAnsiTheme="majorBidi" w:cstheme="majorBidi"/>
          <w:sz w:val="24"/>
          <w:szCs w:val="24"/>
          <w:lang w:val="en-US"/>
        </w:rPr>
        <w:t>is</w:t>
      </w:r>
      <w:r>
        <w:rPr>
          <w:rFonts w:asciiTheme="majorBidi" w:hAnsiTheme="majorBidi" w:cstheme="majorBidi"/>
          <w:sz w:val="24"/>
          <w:szCs w:val="24"/>
          <w:lang w:val="en-US"/>
        </w:rPr>
        <w:t xml:space="preserve"> a wide range of funding sources for debt and equity in both public and private markets available to a project</w:t>
      </w:r>
      <w:r w:rsidR="00995C9C">
        <w:rPr>
          <w:rFonts w:asciiTheme="majorBidi" w:hAnsiTheme="majorBidi" w:cstheme="majorBidi"/>
          <w:sz w:val="24"/>
          <w:szCs w:val="24"/>
          <w:lang w:val="en-US"/>
        </w:rPr>
        <w:t>:</w:t>
      </w:r>
    </w:p>
    <w:p w14:paraId="22C20D9B" w14:textId="1AEF429D" w:rsidR="007705F6" w:rsidRPr="00866D1F" w:rsidRDefault="007705F6" w:rsidP="00486106">
      <w:pPr>
        <w:pStyle w:val="ListParagraph"/>
        <w:numPr>
          <w:ilvl w:val="0"/>
          <w:numId w:val="10"/>
        </w:numPr>
        <w:suppressAutoHyphens/>
        <w:autoSpaceDE w:val="0"/>
        <w:adjustRightInd w:val="0"/>
        <w:spacing w:before="240" w:line="240" w:lineRule="auto"/>
        <w:ind w:left="567" w:hanging="357"/>
        <w:jc w:val="both"/>
        <w:rPr>
          <w:rFonts w:ascii="Times New Roman" w:hAnsi="Times New Roman" w:cs="Times New Roman"/>
          <w:b/>
          <w:bCs/>
          <w:sz w:val="24"/>
          <w:szCs w:val="24"/>
          <w:lang w:val="en-US"/>
        </w:rPr>
      </w:pPr>
      <w:r w:rsidRPr="00866D1F">
        <w:rPr>
          <w:rFonts w:ascii="Times New Roman" w:hAnsi="Times New Roman" w:cs="Times New Roman"/>
          <w:b/>
          <w:bCs/>
          <w:sz w:val="24"/>
          <w:szCs w:val="24"/>
          <w:lang w:val="en-US"/>
        </w:rPr>
        <w:t>Equity</w:t>
      </w:r>
    </w:p>
    <w:p w14:paraId="0990AB35" w14:textId="4F4D1EB2" w:rsidR="007705F6" w:rsidRDefault="007705F6" w:rsidP="00486106">
      <w:pPr>
        <w:suppressAutoHyphens/>
        <w:autoSpaceDE w:val="0"/>
        <w:adjustRightInd w:val="0"/>
        <w:spacing w:before="24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Equity financing allows organizations to obtain funds without incurring debt</w:t>
      </w:r>
      <w:r w:rsidR="00995C9C">
        <w:rPr>
          <w:rFonts w:ascii="Times New Roman" w:hAnsi="Times New Roman" w:cs="Times New Roman"/>
          <w:sz w:val="24"/>
          <w:szCs w:val="24"/>
          <w:lang w:val="en-US"/>
        </w:rPr>
        <w:t>, in</w:t>
      </w:r>
      <w:r>
        <w:rPr>
          <w:rFonts w:ascii="Times New Roman" w:hAnsi="Times New Roman" w:cs="Times New Roman"/>
          <w:sz w:val="24"/>
          <w:szCs w:val="24"/>
          <w:lang w:val="en-US"/>
        </w:rPr>
        <w:t xml:space="preserve"> other words, without having to repay a specific amount of money at any particular time. A project cannot pay dividends before operations start, and lenders </w:t>
      </w:r>
      <w:r w:rsidR="00087C75" w:rsidRPr="00087C75">
        <w:rPr>
          <w:rFonts w:ascii="Times New Roman" w:hAnsi="Times New Roman" w:cs="Times New Roman"/>
          <w:sz w:val="24"/>
          <w:szCs w:val="24"/>
          <w:lang w:val="en-US"/>
        </w:rPr>
        <w:t xml:space="preserve">typically </w:t>
      </w:r>
      <w:r>
        <w:rPr>
          <w:rFonts w:ascii="Times New Roman" w:hAnsi="Times New Roman" w:cs="Times New Roman"/>
          <w:sz w:val="24"/>
          <w:szCs w:val="24"/>
          <w:lang w:val="en-US"/>
        </w:rPr>
        <w:t>restrict the payment of dividends during the early years of operation, until the debt has been substantially repaid. Lenders demand that all available free cash flow should be applied first to repay project debt</w:t>
      </w:r>
      <w:r w:rsidR="00995C9C">
        <w:rPr>
          <w:rFonts w:ascii="Times New Roman" w:hAnsi="Times New Roman" w:cs="Times New Roman"/>
          <w:sz w:val="24"/>
          <w:szCs w:val="24"/>
          <w:lang w:val="en-US"/>
        </w:rPr>
        <w:t>.</w:t>
      </w:r>
      <w:r>
        <w:rPr>
          <w:rFonts w:ascii="Times New Roman" w:hAnsi="Times New Roman" w:cs="Times New Roman"/>
          <w:sz w:val="24"/>
          <w:szCs w:val="24"/>
          <w:lang w:val="en-US"/>
        </w:rPr>
        <w:t xml:space="preserve"> Consequently, if the project requires a long construction period, equity investors will have to accept delayed dividends.</w:t>
      </w:r>
    </w:p>
    <w:p w14:paraId="6ABB4D3D" w14:textId="582C1250" w:rsidR="007705F6" w:rsidRDefault="007705F6" w:rsidP="00486106">
      <w:pPr>
        <w:suppressAutoHyphens/>
        <w:autoSpaceDE w:val="0"/>
        <w:adjustRightInd w:val="0"/>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Equity may be public or private</w:t>
      </w:r>
      <w:r w:rsidR="00995C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87C75">
        <w:rPr>
          <w:rFonts w:ascii="Times New Roman" w:hAnsi="Times New Roman" w:cs="Times New Roman"/>
          <w:sz w:val="24"/>
          <w:szCs w:val="24"/>
          <w:lang w:val="en-US"/>
        </w:rPr>
        <w:t>as well as</w:t>
      </w:r>
      <w:r>
        <w:rPr>
          <w:rFonts w:ascii="Times New Roman" w:hAnsi="Times New Roman" w:cs="Times New Roman"/>
          <w:sz w:val="24"/>
          <w:szCs w:val="24"/>
          <w:lang w:val="en-US"/>
        </w:rPr>
        <w:t xml:space="preserve"> in the form of preferred stock</w:t>
      </w:r>
      <w:r w:rsidR="006810B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87C75">
        <w:rPr>
          <w:rFonts w:ascii="Times New Roman" w:hAnsi="Times New Roman" w:cs="Times New Roman"/>
          <w:sz w:val="24"/>
          <w:szCs w:val="24"/>
          <w:lang w:val="en-US"/>
        </w:rPr>
        <w:t>and</w:t>
      </w:r>
      <w:r>
        <w:rPr>
          <w:rFonts w:ascii="Times New Roman" w:hAnsi="Times New Roman" w:cs="Times New Roman"/>
          <w:sz w:val="24"/>
          <w:szCs w:val="24"/>
          <w:lang w:val="en-US"/>
        </w:rPr>
        <w:t xml:space="preserve"> common stock</w:t>
      </w:r>
      <w:r w:rsidR="006810BF">
        <w:rPr>
          <w:rFonts w:ascii="Times New Roman" w:hAnsi="Times New Roman" w:cs="Times New Roman"/>
          <w:sz w:val="24"/>
          <w:szCs w:val="24"/>
          <w:lang w:val="en-US"/>
        </w:rPr>
        <w:t>s</w:t>
      </w:r>
      <w:r w:rsidR="00087C75">
        <w:rPr>
          <w:rFonts w:ascii="Times New Roman" w:hAnsi="Times New Roman" w:cs="Times New Roman"/>
          <w:sz w:val="24"/>
          <w:szCs w:val="24"/>
          <w:lang w:val="en-US"/>
        </w:rPr>
        <w:t>. E</w:t>
      </w:r>
      <w:r>
        <w:rPr>
          <w:rFonts w:ascii="Times New Roman" w:hAnsi="Times New Roman" w:cs="Times New Roman"/>
          <w:sz w:val="24"/>
          <w:szCs w:val="24"/>
          <w:lang w:val="en-US"/>
        </w:rPr>
        <w:t xml:space="preserve">quity investors in a project </w:t>
      </w:r>
      <w:r w:rsidR="00087C75">
        <w:rPr>
          <w:rFonts w:ascii="Times New Roman" w:hAnsi="Times New Roman" w:cs="Times New Roman"/>
          <w:sz w:val="24"/>
          <w:szCs w:val="24"/>
          <w:lang w:val="en-US"/>
        </w:rPr>
        <w:t>usually</w:t>
      </w:r>
      <w:r>
        <w:rPr>
          <w:rFonts w:ascii="Times New Roman" w:hAnsi="Times New Roman" w:cs="Times New Roman"/>
          <w:sz w:val="24"/>
          <w:szCs w:val="24"/>
          <w:lang w:val="en-US"/>
        </w:rPr>
        <w:t xml:space="preserve"> are those groups who will benefit directly from the operations of the project: </w:t>
      </w:r>
      <w:r w:rsidR="00087C75">
        <w:rPr>
          <w:rFonts w:ascii="Times New Roman" w:hAnsi="Times New Roman" w:cs="Times New Roman"/>
          <w:sz w:val="24"/>
          <w:szCs w:val="24"/>
          <w:lang w:val="en-US"/>
        </w:rPr>
        <w:t xml:space="preserve">like </w:t>
      </w:r>
      <w:r>
        <w:rPr>
          <w:rFonts w:ascii="Times New Roman" w:hAnsi="Times New Roman" w:cs="Times New Roman"/>
          <w:sz w:val="24"/>
          <w:szCs w:val="24"/>
          <w:lang w:val="en-US"/>
        </w:rPr>
        <w:t>the purchasers of the project</w:t>
      </w:r>
      <w:r w:rsidR="00810EC1" w:rsidRPr="00810EC1">
        <w:rPr>
          <w:rFonts w:ascii="Times New Roman" w:hAnsi="Times New Roman" w:cs="Times New Roman"/>
          <w:sz w:val="24"/>
          <w:szCs w:val="24"/>
        </w:rPr>
        <w:t>'</w:t>
      </w:r>
      <w:r>
        <w:rPr>
          <w:rFonts w:ascii="Times New Roman" w:hAnsi="Times New Roman" w:cs="Times New Roman"/>
          <w:sz w:val="24"/>
          <w:szCs w:val="24"/>
          <w:lang w:val="en-US"/>
        </w:rPr>
        <w:t xml:space="preserve">s output, </w:t>
      </w:r>
      <w:r w:rsidR="00087C75">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the owners of any natural resource </w:t>
      </w:r>
      <w:r w:rsidR="00087C75">
        <w:rPr>
          <w:rFonts w:ascii="Times New Roman" w:hAnsi="Times New Roman" w:cs="Times New Roman"/>
          <w:sz w:val="24"/>
          <w:szCs w:val="24"/>
          <w:lang w:val="en-US"/>
        </w:rPr>
        <w:t>reserve</w:t>
      </w:r>
      <w:r>
        <w:rPr>
          <w:rFonts w:ascii="Times New Roman" w:hAnsi="Times New Roman" w:cs="Times New Roman"/>
          <w:sz w:val="24"/>
          <w:szCs w:val="24"/>
          <w:lang w:val="en-US"/>
        </w:rPr>
        <w:t xml:space="preserve"> the project will utilize.</w:t>
      </w:r>
    </w:p>
    <w:p w14:paraId="2E8F017E" w14:textId="77777777" w:rsidR="007705F6" w:rsidRDefault="007705F6" w:rsidP="00486106">
      <w:pPr>
        <w:suppressAutoHyphens/>
        <w:autoSpaceDE w:val="0"/>
        <w:adjustRightInd w:val="0"/>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Lenders look to the equity investment as providing a margin of safety. They have two primary motivations for requiring equity investments in projects that they finance:</w:t>
      </w:r>
      <w:r>
        <w:rPr>
          <w:rStyle w:val="FootnoteReference"/>
          <w:rFonts w:asciiTheme="majorBidi" w:hAnsiTheme="majorBidi" w:cstheme="majorBidi"/>
          <w:sz w:val="24"/>
          <w:szCs w:val="24"/>
          <w:lang w:val="en-US"/>
        </w:rPr>
        <w:footnoteReference w:id="32"/>
      </w:r>
    </w:p>
    <w:p w14:paraId="3F38FA91" w14:textId="10650917" w:rsidR="007705F6" w:rsidRDefault="007705F6" w:rsidP="00486106">
      <w:pPr>
        <w:pStyle w:val="ListParagraph"/>
        <w:numPr>
          <w:ilvl w:val="0"/>
          <w:numId w:val="29"/>
        </w:numPr>
        <w:suppressAutoHyphens/>
        <w:autoSpaceDE w:val="0"/>
        <w:adjustRightInd w:val="0"/>
        <w:spacing w:after="0" w:line="360" w:lineRule="auto"/>
        <w:ind w:left="567" w:hanging="357"/>
        <w:contextualSpacing/>
        <w:jc w:val="both"/>
        <w:textAlignment w:val="auto"/>
        <w:rPr>
          <w:rFonts w:asciiTheme="majorBidi" w:hAnsiTheme="majorBidi" w:cstheme="majorBidi"/>
          <w:sz w:val="24"/>
          <w:szCs w:val="24"/>
          <w:lang w:val="en-US"/>
        </w:rPr>
      </w:pPr>
      <w:r>
        <w:rPr>
          <w:rFonts w:asciiTheme="majorBidi" w:hAnsiTheme="majorBidi" w:cstheme="majorBidi"/>
          <w:sz w:val="24"/>
          <w:szCs w:val="24"/>
          <w:lang w:val="en-US"/>
        </w:rPr>
        <w:t>The more burden the debt service puts on the project</w:t>
      </w:r>
      <w:r w:rsidR="00810EC1" w:rsidRPr="00810EC1">
        <w:rPr>
          <w:rFonts w:ascii="Times New Roman" w:hAnsi="Times New Roman" w:cs="Times New Roman"/>
          <w:sz w:val="24"/>
          <w:szCs w:val="24"/>
        </w:rPr>
        <w:t>'</w:t>
      </w:r>
      <w:r>
        <w:rPr>
          <w:rFonts w:asciiTheme="majorBidi" w:hAnsiTheme="majorBidi" w:cstheme="majorBidi"/>
          <w:sz w:val="24"/>
          <w:szCs w:val="24"/>
          <w:lang w:val="en-US"/>
        </w:rPr>
        <w:t>s cash flow, the greater the lenders</w:t>
      </w:r>
      <w:r w:rsidR="00810EC1" w:rsidRPr="00810EC1">
        <w:rPr>
          <w:rFonts w:ascii="Times New Roman" w:hAnsi="Times New Roman" w:cs="Times New Roman"/>
          <w:sz w:val="24"/>
          <w:szCs w:val="24"/>
        </w:rPr>
        <w:t>'</w:t>
      </w:r>
      <w:r>
        <w:rPr>
          <w:rFonts w:asciiTheme="majorBidi" w:hAnsiTheme="majorBidi" w:cstheme="majorBidi"/>
          <w:sz w:val="24"/>
          <w:szCs w:val="24"/>
          <w:lang w:val="en-US"/>
        </w:rPr>
        <w:t xml:space="preserve"> risk.</w:t>
      </w:r>
    </w:p>
    <w:p w14:paraId="0FBAE8F8" w14:textId="11D6939F" w:rsidR="00316990" w:rsidRDefault="007705F6" w:rsidP="00486106">
      <w:pPr>
        <w:pStyle w:val="ListParagraph"/>
        <w:numPr>
          <w:ilvl w:val="0"/>
          <w:numId w:val="29"/>
        </w:numPr>
        <w:suppressAutoHyphens/>
        <w:autoSpaceDE w:val="0"/>
        <w:adjustRightInd w:val="0"/>
        <w:spacing w:after="0" w:line="360" w:lineRule="auto"/>
        <w:ind w:left="567" w:hanging="357"/>
        <w:contextualSpacing/>
        <w:jc w:val="both"/>
        <w:textAlignment w:val="auto"/>
        <w:rPr>
          <w:rFonts w:asciiTheme="majorBidi" w:hAnsiTheme="majorBidi" w:cstheme="majorBidi"/>
          <w:sz w:val="24"/>
          <w:szCs w:val="24"/>
          <w:lang w:val="en-US"/>
        </w:rPr>
      </w:pPr>
      <w:r>
        <w:rPr>
          <w:rFonts w:asciiTheme="majorBidi" w:hAnsiTheme="majorBidi" w:cstheme="majorBidi"/>
          <w:sz w:val="24"/>
          <w:szCs w:val="24"/>
          <w:lang w:val="en-US"/>
        </w:rPr>
        <w:t>Lenders want investors to have enough at stake to motivate them to see the project through to a successful conclusion.</w:t>
      </w:r>
    </w:p>
    <w:p w14:paraId="6FE9F19B" w14:textId="3980CABA" w:rsidR="00B02901" w:rsidRDefault="00B02901" w:rsidP="00486106">
      <w:pPr>
        <w:suppressAutoHyphens/>
        <w:autoSpaceDE w:val="0"/>
        <w:adjustRightInd w:val="0"/>
        <w:spacing w:after="0" w:line="360" w:lineRule="auto"/>
        <w:contextualSpacing/>
        <w:jc w:val="both"/>
        <w:textAlignment w:val="auto"/>
        <w:rPr>
          <w:rFonts w:asciiTheme="majorBidi" w:hAnsiTheme="majorBidi" w:cstheme="majorBidi"/>
          <w:sz w:val="24"/>
          <w:szCs w:val="24"/>
          <w:lang w:val="en-US"/>
        </w:rPr>
      </w:pPr>
    </w:p>
    <w:p w14:paraId="1CEE0B3A" w14:textId="733178BF" w:rsidR="00B02901" w:rsidRDefault="00B02901" w:rsidP="00486106">
      <w:pPr>
        <w:suppressAutoHyphens/>
        <w:autoSpaceDE w:val="0"/>
        <w:adjustRightInd w:val="0"/>
        <w:spacing w:after="0" w:line="360" w:lineRule="auto"/>
        <w:contextualSpacing/>
        <w:jc w:val="both"/>
        <w:textAlignment w:val="auto"/>
        <w:rPr>
          <w:rFonts w:asciiTheme="majorBidi" w:hAnsiTheme="majorBidi" w:cstheme="majorBidi"/>
          <w:sz w:val="24"/>
          <w:szCs w:val="24"/>
          <w:lang w:val="en-US"/>
        </w:rPr>
      </w:pPr>
    </w:p>
    <w:p w14:paraId="4BF23EEE" w14:textId="77777777" w:rsidR="00B02901" w:rsidRPr="00B02901" w:rsidRDefault="00B02901" w:rsidP="00486106">
      <w:pPr>
        <w:suppressAutoHyphens/>
        <w:autoSpaceDE w:val="0"/>
        <w:adjustRightInd w:val="0"/>
        <w:spacing w:after="0" w:line="360" w:lineRule="auto"/>
        <w:contextualSpacing/>
        <w:jc w:val="both"/>
        <w:textAlignment w:val="auto"/>
        <w:rPr>
          <w:rFonts w:asciiTheme="majorBidi" w:hAnsiTheme="majorBidi" w:cstheme="majorBidi"/>
          <w:sz w:val="24"/>
          <w:szCs w:val="24"/>
          <w:lang w:val="en-US"/>
        </w:rPr>
      </w:pPr>
    </w:p>
    <w:p w14:paraId="2862BD5C" w14:textId="67DB399B" w:rsidR="007705F6" w:rsidRPr="00866D1F" w:rsidRDefault="007705F6" w:rsidP="00486106">
      <w:pPr>
        <w:pStyle w:val="ListParagraph"/>
        <w:numPr>
          <w:ilvl w:val="0"/>
          <w:numId w:val="10"/>
        </w:numPr>
        <w:suppressAutoHyphens/>
        <w:autoSpaceDE w:val="0"/>
        <w:adjustRightInd w:val="0"/>
        <w:spacing w:before="240" w:line="360" w:lineRule="auto"/>
        <w:ind w:left="567" w:hanging="357"/>
        <w:jc w:val="both"/>
        <w:rPr>
          <w:rFonts w:ascii="Times New Roman" w:hAnsi="Times New Roman" w:cs="Times New Roman"/>
          <w:b/>
          <w:bCs/>
          <w:sz w:val="24"/>
          <w:szCs w:val="24"/>
          <w:lang w:val="en-US"/>
        </w:rPr>
      </w:pPr>
      <w:r w:rsidRPr="00866D1F">
        <w:rPr>
          <w:rFonts w:ascii="Times New Roman" w:hAnsi="Times New Roman" w:cs="Times New Roman"/>
          <w:b/>
          <w:bCs/>
          <w:sz w:val="24"/>
          <w:szCs w:val="24"/>
          <w:lang w:val="en-US"/>
        </w:rPr>
        <w:lastRenderedPageBreak/>
        <w:t>Debt</w:t>
      </w:r>
    </w:p>
    <w:p w14:paraId="6F0736E7" w14:textId="00EE089A" w:rsidR="007705F6" w:rsidRDefault="00087C75" w:rsidP="00486106">
      <w:pPr>
        <w:suppressAutoHyphens/>
        <w:autoSpaceDE w:val="0"/>
        <w:adjustRightInd w:val="0"/>
        <w:spacing w:line="360" w:lineRule="auto"/>
        <w:ind w:firstLine="567"/>
        <w:jc w:val="both"/>
        <w:rPr>
          <w:rFonts w:asciiTheme="majorBidi" w:hAnsiTheme="majorBidi" w:cstheme="majorBidi"/>
          <w:sz w:val="24"/>
          <w:szCs w:val="24"/>
          <w:lang w:val="en-US"/>
        </w:rPr>
      </w:pPr>
      <w:r w:rsidRPr="00087C75">
        <w:rPr>
          <w:rFonts w:asciiTheme="majorBidi" w:hAnsiTheme="majorBidi" w:cstheme="majorBidi"/>
          <w:sz w:val="24"/>
          <w:szCs w:val="24"/>
          <w:lang w:val="en-US"/>
        </w:rPr>
        <w:t xml:space="preserve">Diverse </w:t>
      </w:r>
      <w:r w:rsidR="007705F6">
        <w:rPr>
          <w:rFonts w:asciiTheme="majorBidi" w:hAnsiTheme="majorBidi" w:cstheme="majorBidi"/>
          <w:sz w:val="24"/>
          <w:szCs w:val="24"/>
          <w:lang w:val="en-US"/>
        </w:rPr>
        <w:t>providers of debt might be appropriate for the three different phases of the project. The most important sources of debt are:</w:t>
      </w:r>
    </w:p>
    <w:p w14:paraId="02D23CE0" w14:textId="603DCE77" w:rsidR="007705F6" w:rsidRPr="00866D1F" w:rsidRDefault="007705F6" w:rsidP="00486106">
      <w:pPr>
        <w:pStyle w:val="ListParagraph"/>
        <w:numPr>
          <w:ilvl w:val="0"/>
          <w:numId w:val="9"/>
        </w:numPr>
        <w:suppressAutoHyphens/>
        <w:autoSpaceDE w:val="0"/>
        <w:adjustRightInd w:val="0"/>
        <w:spacing w:line="240" w:lineRule="auto"/>
        <w:ind w:left="567" w:hanging="357"/>
        <w:jc w:val="both"/>
        <w:rPr>
          <w:rFonts w:asciiTheme="majorBidi" w:hAnsiTheme="majorBidi" w:cstheme="majorBidi"/>
          <w:b/>
          <w:bCs/>
          <w:sz w:val="24"/>
          <w:szCs w:val="24"/>
          <w:lang w:val="en-US"/>
        </w:rPr>
      </w:pPr>
      <w:r w:rsidRPr="00866D1F">
        <w:rPr>
          <w:rFonts w:asciiTheme="majorBidi" w:hAnsiTheme="majorBidi" w:cstheme="majorBidi"/>
          <w:b/>
          <w:bCs/>
          <w:sz w:val="24"/>
          <w:szCs w:val="24"/>
          <w:lang w:val="en-US"/>
        </w:rPr>
        <w:t>Commercial banks</w:t>
      </w:r>
    </w:p>
    <w:p w14:paraId="082CA6FF" w14:textId="1E4CDF8E" w:rsidR="007705F6" w:rsidRDefault="007705F6" w:rsidP="00486106">
      <w:pPr>
        <w:suppressAutoHyphens/>
        <w:autoSpaceDE w:val="0"/>
        <w:adjustRightInd w:val="0"/>
        <w:spacing w:before="24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Term loans are a common type of commercial bank loan</w:t>
      </w:r>
      <w:r w:rsidR="00087C75">
        <w:rPr>
          <w:rFonts w:asciiTheme="majorBidi" w:hAnsiTheme="majorBidi" w:cstheme="majorBidi"/>
          <w:sz w:val="24"/>
          <w:szCs w:val="24"/>
          <w:lang w:val="en-US"/>
        </w:rPr>
        <w:t xml:space="preserve">; it is </w:t>
      </w:r>
      <w:r>
        <w:rPr>
          <w:rFonts w:asciiTheme="majorBidi" w:hAnsiTheme="majorBidi" w:cstheme="majorBidi"/>
          <w:sz w:val="24"/>
          <w:szCs w:val="24"/>
          <w:lang w:val="en-US"/>
        </w:rPr>
        <w:t>a business loan with a maturity of more than one year, repayable according to a specified schedule. Syndicates of international commercial banks often make large bank loans</w:t>
      </w:r>
      <w:r w:rsidR="00D72812">
        <w:rPr>
          <w:rFonts w:asciiTheme="majorBidi" w:hAnsiTheme="majorBidi" w:cstheme="majorBidi"/>
          <w:sz w:val="24"/>
          <w:szCs w:val="24"/>
          <w:lang w:val="en-US"/>
        </w:rPr>
        <w:t>,</w:t>
      </w:r>
      <w:r>
        <w:rPr>
          <w:rFonts w:asciiTheme="majorBidi" w:hAnsiTheme="majorBidi" w:cstheme="majorBidi"/>
          <w:sz w:val="24"/>
          <w:szCs w:val="24"/>
          <w:lang w:val="en-US"/>
        </w:rPr>
        <w:t xml:space="preserve"> where </w:t>
      </w:r>
      <w:r w:rsidR="00D72812">
        <w:rPr>
          <w:rFonts w:asciiTheme="majorBidi" w:hAnsiTheme="majorBidi" w:cstheme="majorBidi"/>
          <w:sz w:val="24"/>
          <w:szCs w:val="24"/>
          <w:lang w:val="en-US"/>
        </w:rPr>
        <w:t>several</w:t>
      </w:r>
      <w:r>
        <w:rPr>
          <w:rFonts w:asciiTheme="majorBidi" w:hAnsiTheme="majorBidi" w:cstheme="majorBidi"/>
          <w:sz w:val="24"/>
          <w:szCs w:val="24"/>
          <w:lang w:val="en-US"/>
        </w:rPr>
        <w:t xml:space="preserve"> banks undertake to provide a loan to a customer under identical terms and conditions. The advantage of syndicating a loan is that large amounts of debt can be raised. The disadvantage is that they typically provide floating-rate </w:t>
      </w:r>
      <w:r w:rsidR="00087C75" w:rsidRPr="00087C75">
        <w:rPr>
          <w:rFonts w:asciiTheme="majorBidi" w:hAnsiTheme="majorBidi" w:cstheme="majorBidi"/>
          <w:sz w:val="24"/>
          <w:szCs w:val="24"/>
          <w:lang w:val="en-US"/>
        </w:rPr>
        <w:t>obligation</w:t>
      </w:r>
      <w:r w:rsidR="005F2416">
        <w:rPr>
          <w:rFonts w:asciiTheme="majorBidi" w:hAnsiTheme="majorBidi" w:cstheme="majorBidi"/>
          <w:sz w:val="24"/>
          <w:szCs w:val="24"/>
          <w:lang w:val="en-US"/>
        </w:rPr>
        <w:t>s</w:t>
      </w:r>
      <w:r w:rsidR="00087C75" w:rsidRPr="00087C7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at a higher cost than the fixed-rate alternative </w:t>
      </w:r>
      <w:r w:rsidR="00087C75" w:rsidRPr="00087C75">
        <w:rPr>
          <w:rFonts w:asciiTheme="majorBidi" w:hAnsiTheme="majorBidi" w:cstheme="majorBidi"/>
          <w:sz w:val="24"/>
          <w:szCs w:val="24"/>
          <w:lang w:val="en-US"/>
        </w:rPr>
        <w:t xml:space="preserve">offered </w:t>
      </w:r>
      <w:r>
        <w:rPr>
          <w:rFonts w:asciiTheme="majorBidi" w:hAnsiTheme="majorBidi" w:cstheme="majorBidi"/>
          <w:sz w:val="24"/>
          <w:szCs w:val="24"/>
          <w:lang w:val="en-US"/>
        </w:rPr>
        <w:t>by bonds.</w:t>
      </w:r>
    </w:p>
    <w:p w14:paraId="340F4321" w14:textId="3E269F4B" w:rsidR="007705F6" w:rsidRPr="00866D1F" w:rsidRDefault="007705F6" w:rsidP="00486106">
      <w:pPr>
        <w:pStyle w:val="ListParagraph"/>
        <w:numPr>
          <w:ilvl w:val="0"/>
          <w:numId w:val="9"/>
        </w:numPr>
        <w:suppressAutoHyphens/>
        <w:autoSpaceDE w:val="0"/>
        <w:adjustRightInd w:val="0"/>
        <w:spacing w:line="240" w:lineRule="auto"/>
        <w:ind w:left="567" w:hanging="357"/>
        <w:jc w:val="both"/>
        <w:rPr>
          <w:rFonts w:asciiTheme="majorBidi" w:hAnsiTheme="majorBidi" w:cstheme="majorBidi"/>
          <w:b/>
          <w:bCs/>
          <w:sz w:val="24"/>
          <w:szCs w:val="24"/>
          <w:lang w:val="en-US"/>
        </w:rPr>
      </w:pPr>
      <w:r w:rsidRPr="00866D1F">
        <w:rPr>
          <w:rFonts w:asciiTheme="majorBidi" w:hAnsiTheme="majorBidi" w:cstheme="majorBidi"/>
          <w:b/>
          <w:bCs/>
          <w:sz w:val="24"/>
          <w:szCs w:val="24"/>
          <w:lang w:val="en-US"/>
        </w:rPr>
        <w:t>Fixed-rate debt market</w:t>
      </w:r>
    </w:p>
    <w:p w14:paraId="488F0F32" w14:textId="07937DC9" w:rsidR="007705F6" w:rsidRDefault="007705F6" w:rsidP="00486106">
      <w:pPr>
        <w:suppressAutoHyphens/>
        <w:autoSpaceDE w:val="0"/>
        <w:adjustRightInd w:val="0"/>
        <w:spacing w:after="0" w:line="360" w:lineRule="auto"/>
        <w:ind w:firstLine="567"/>
        <w:jc w:val="both"/>
        <w:rPr>
          <w:rFonts w:asciiTheme="majorBidi" w:hAnsiTheme="majorBidi" w:cstheme="majorBidi"/>
          <w:sz w:val="24"/>
          <w:szCs w:val="24"/>
          <w:lang w:val="en-US"/>
        </w:rPr>
      </w:pPr>
      <w:r w:rsidRPr="00094CBC">
        <w:rPr>
          <w:rFonts w:asciiTheme="majorBidi" w:hAnsiTheme="majorBidi" w:cstheme="majorBidi"/>
          <w:sz w:val="24"/>
          <w:szCs w:val="24"/>
          <w:lang w:val="en-US"/>
        </w:rPr>
        <w:t>In recent years</w:t>
      </w:r>
      <w:r w:rsidR="00094CBC">
        <w:rPr>
          <w:rFonts w:asciiTheme="majorBidi" w:hAnsiTheme="majorBidi" w:cstheme="majorBidi"/>
          <w:sz w:val="24"/>
          <w:szCs w:val="24"/>
          <w:lang w:val="en-US"/>
        </w:rPr>
        <w:t>,</w:t>
      </w:r>
      <w:r w:rsidRPr="00094CBC">
        <w:rPr>
          <w:rFonts w:asciiTheme="majorBidi" w:hAnsiTheme="majorBidi" w:cstheme="majorBidi"/>
          <w:sz w:val="24"/>
          <w:szCs w:val="24"/>
          <w:lang w:val="en-US"/>
        </w:rPr>
        <w:t xml:space="preserve"> the importance of the fixed-rate debt market has increased. It can offer cheaper and longer alternatives th</w:t>
      </w:r>
      <w:r w:rsidR="00094CBC">
        <w:rPr>
          <w:rFonts w:asciiTheme="majorBidi" w:hAnsiTheme="majorBidi" w:cstheme="majorBidi"/>
          <w:sz w:val="24"/>
          <w:szCs w:val="24"/>
          <w:lang w:val="en-US"/>
        </w:rPr>
        <w:t>a</w:t>
      </w:r>
      <w:r w:rsidRPr="00094CBC">
        <w:rPr>
          <w:rFonts w:asciiTheme="majorBidi" w:hAnsiTheme="majorBidi" w:cstheme="majorBidi"/>
          <w:sz w:val="24"/>
          <w:szCs w:val="24"/>
          <w:lang w:val="en-US"/>
        </w:rPr>
        <w:t>n commercial banks. What limits its capacity is the difficulty to rate bonds for international project financing. The rating indicates the likelihood that a bond</w:t>
      </w:r>
      <w:r w:rsidR="00810EC1" w:rsidRPr="00810EC1">
        <w:rPr>
          <w:rFonts w:ascii="Times New Roman" w:hAnsi="Times New Roman" w:cs="Times New Roman"/>
          <w:sz w:val="24"/>
          <w:szCs w:val="24"/>
        </w:rPr>
        <w:t>'</w:t>
      </w:r>
      <w:r w:rsidR="00094CBC">
        <w:rPr>
          <w:rFonts w:asciiTheme="majorBidi" w:hAnsiTheme="majorBidi" w:cstheme="majorBidi"/>
          <w:sz w:val="24"/>
          <w:szCs w:val="24"/>
          <w:lang w:val="en-US"/>
        </w:rPr>
        <w:t>s</w:t>
      </w:r>
      <w:r w:rsidRPr="00094CBC">
        <w:rPr>
          <w:rFonts w:asciiTheme="majorBidi" w:hAnsiTheme="majorBidi" w:cstheme="majorBidi"/>
          <w:sz w:val="24"/>
          <w:szCs w:val="24"/>
          <w:lang w:val="en-US"/>
        </w:rPr>
        <w:t xml:space="preserve"> issuer will be able to meet scheduled interest repayments. It is based on an analysis of the issuer</w:t>
      </w:r>
      <w:r w:rsidR="00810EC1" w:rsidRPr="00810EC1">
        <w:rPr>
          <w:rFonts w:ascii="Times New Roman" w:hAnsi="Times New Roman" w:cs="Times New Roman"/>
          <w:sz w:val="24"/>
          <w:szCs w:val="24"/>
        </w:rPr>
        <w:t>'</w:t>
      </w:r>
      <w:r w:rsidRPr="00094CBC">
        <w:rPr>
          <w:rFonts w:asciiTheme="majorBidi" w:hAnsiTheme="majorBidi" w:cstheme="majorBidi"/>
          <w:sz w:val="24"/>
          <w:szCs w:val="24"/>
          <w:lang w:val="en-US"/>
        </w:rPr>
        <w:t>s financial condition and profit potential.</w:t>
      </w:r>
    </w:p>
    <w:p w14:paraId="3346D292" w14:textId="77777777" w:rsidR="007705F6" w:rsidRDefault="007705F6" w:rsidP="00486106">
      <w:pPr>
        <w:suppressAutoHyphens/>
        <w:autoSpaceDE w:val="0"/>
        <w:adjustRightInd w:val="0"/>
        <w:spacing w:after="0" w:line="240" w:lineRule="auto"/>
        <w:jc w:val="both"/>
        <w:rPr>
          <w:rFonts w:asciiTheme="majorBidi" w:hAnsiTheme="majorBidi" w:cstheme="majorBidi"/>
          <w:sz w:val="24"/>
          <w:szCs w:val="24"/>
          <w:lang w:val="en-US"/>
        </w:rPr>
      </w:pPr>
    </w:p>
    <w:p w14:paraId="3F0909F9" w14:textId="1D39A9C1" w:rsidR="007705F6" w:rsidRPr="00866D1F" w:rsidRDefault="007705F6" w:rsidP="00486106">
      <w:pPr>
        <w:pStyle w:val="ListParagraph"/>
        <w:numPr>
          <w:ilvl w:val="0"/>
          <w:numId w:val="10"/>
        </w:numPr>
        <w:suppressAutoHyphens/>
        <w:autoSpaceDE w:val="0"/>
        <w:adjustRightInd w:val="0"/>
        <w:spacing w:line="240" w:lineRule="auto"/>
        <w:ind w:left="567" w:hanging="357"/>
        <w:jc w:val="both"/>
        <w:rPr>
          <w:rFonts w:asciiTheme="majorBidi" w:hAnsiTheme="majorBidi" w:cstheme="majorBidi"/>
          <w:b/>
          <w:bCs/>
          <w:sz w:val="24"/>
          <w:szCs w:val="24"/>
          <w:lang w:val="en-US"/>
        </w:rPr>
      </w:pPr>
      <w:r w:rsidRPr="00866D1F">
        <w:rPr>
          <w:rFonts w:asciiTheme="majorBidi" w:hAnsiTheme="majorBidi" w:cstheme="majorBidi"/>
          <w:b/>
          <w:bCs/>
          <w:sz w:val="24"/>
          <w:szCs w:val="24"/>
          <w:lang w:val="en-US"/>
        </w:rPr>
        <w:t>Build-Operate-Transfer (BOT)</w:t>
      </w:r>
      <w:r>
        <w:rPr>
          <w:rStyle w:val="FootnoteReference"/>
          <w:rFonts w:asciiTheme="majorBidi" w:hAnsiTheme="majorBidi" w:cstheme="majorBidi"/>
          <w:b/>
          <w:bCs/>
          <w:sz w:val="24"/>
          <w:szCs w:val="24"/>
          <w:lang w:val="en-US"/>
        </w:rPr>
        <w:footnoteReference w:id="33"/>
      </w:r>
    </w:p>
    <w:p w14:paraId="50169F19" w14:textId="1C5FC632" w:rsidR="007705F6" w:rsidRPr="007F3C48" w:rsidRDefault="007705F6"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Build-own-operate-transfer (BOOT) or build-operate-transfer (BOT) is a form of project financing, wherein a private entity receives a concession from the private or public sector to finance, design, construct, and </w:t>
      </w:r>
      <w:r w:rsidR="00E80BFA" w:rsidRPr="00E80BFA">
        <w:rPr>
          <w:rFonts w:asciiTheme="majorBidi" w:hAnsiTheme="majorBidi" w:cstheme="majorBidi"/>
          <w:sz w:val="24"/>
          <w:szCs w:val="24"/>
          <w:lang w:val="en-US"/>
        </w:rPr>
        <w:t xml:space="preserve">manage </w:t>
      </w:r>
      <w:r>
        <w:rPr>
          <w:rFonts w:asciiTheme="majorBidi" w:hAnsiTheme="majorBidi" w:cstheme="majorBidi"/>
          <w:sz w:val="24"/>
          <w:szCs w:val="24"/>
          <w:lang w:val="en-US"/>
        </w:rPr>
        <w:t xml:space="preserve">a facility stated in the concession contract. </w:t>
      </w:r>
      <w:r w:rsidR="00E80BFA">
        <w:rPr>
          <w:rFonts w:asciiTheme="majorBidi" w:hAnsiTheme="majorBidi" w:cstheme="majorBidi"/>
          <w:sz w:val="24"/>
          <w:szCs w:val="24"/>
          <w:lang w:val="en-US"/>
        </w:rPr>
        <w:t>It</w:t>
      </w:r>
      <w:r>
        <w:rPr>
          <w:rFonts w:asciiTheme="majorBidi" w:hAnsiTheme="majorBidi" w:cstheme="majorBidi"/>
          <w:sz w:val="24"/>
          <w:szCs w:val="24"/>
          <w:lang w:val="en-US"/>
        </w:rPr>
        <w:t xml:space="preserve"> enables the project investors to recover their investment, operating</w:t>
      </w:r>
      <w:r w:rsidR="00094CBC">
        <w:rPr>
          <w:rFonts w:asciiTheme="majorBidi" w:hAnsiTheme="majorBidi" w:cstheme="majorBidi"/>
          <w:sz w:val="24"/>
          <w:szCs w:val="24"/>
          <w:lang w:val="en-US"/>
        </w:rPr>
        <w:t>,</w:t>
      </w:r>
      <w:r>
        <w:rPr>
          <w:rFonts w:asciiTheme="majorBidi" w:hAnsiTheme="majorBidi" w:cstheme="majorBidi"/>
          <w:sz w:val="24"/>
          <w:szCs w:val="24"/>
          <w:lang w:val="en-US"/>
        </w:rPr>
        <w:t xml:space="preserve"> and maintenance expenses in the project. Due to the long-term nature of the arrangement, the money is usually raised during the concession period. The return rate is often tied to a combination of internal and external variables.</w:t>
      </w:r>
    </w:p>
    <w:p w14:paraId="1F01067C" w14:textId="6FF5E6B3" w:rsidR="007705F6" w:rsidRDefault="007705F6" w:rsidP="00486106">
      <w:pPr>
        <w:suppressAutoHyphens/>
        <w:autoSpaceDE w:val="0"/>
        <w:adjustRightInd w:val="0"/>
        <w:spacing w:before="240"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In </w:t>
      </w:r>
      <w:r w:rsidR="00094CBC">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concession phase, the project company gets the concession from the government and signs the contract with the government. This contract can be seen as the warranty for the project company to borrow the loans and use the money from other investors. In </w:t>
      </w:r>
      <w:r w:rsidR="00094CBC">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financing phase, the project company gets the money and signs the contracts with parties such as contractors and suppliers and pays them with the money gained from the bank and investors. In the project operation phase, the project company uses the </w:t>
      </w:r>
      <w:r w:rsidR="00E80BFA">
        <w:rPr>
          <w:rFonts w:asciiTheme="majorBidi" w:hAnsiTheme="majorBidi" w:cstheme="majorBidi"/>
          <w:sz w:val="24"/>
          <w:szCs w:val="24"/>
          <w:lang w:val="en-US"/>
        </w:rPr>
        <w:t>cash</w:t>
      </w:r>
      <w:r>
        <w:rPr>
          <w:rFonts w:asciiTheme="majorBidi" w:hAnsiTheme="majorBidi" w:cstheme="majorBidi"/>
          <w:sz w:val="24"/>
          <w:szCs w:val="24"/>
          <w:lang w:val="en-US"/>
        </w:rPr>
        <w:t xml:space="preserve"> </w:t>
      </w:r>
      <w:r w:rsidR="00E80BFA">
        <w:rPr>
          <w:rFonts w:asciiTheme="majorBidi" w:hAnsiTheme="majorBidi" w:cstheme="majorBidi"/>
          <w:sz w:val="24"/>
          <w:szCs w:val="24"/>
          <w:lang w:val="en-US"/>
        </w:rPr>
        <w:t>earned</w:t>
      </w:r>
      <w:r>
        <w:rPr>
          <w:rFonts w:asciiTheme="majorBidi" w:hAnsiTheme="majorBidi" w:cstheme="majorBidi"/>
          <w:sz w:val="24"/>
          <w:szCs w:val="24"/>
          <w:lang w:val="en-US"/>
        </w:rPr>
        <w:t xml:space="preserve"> from operating the project product to pay bank</w:t>
      </w:r>
      <w:r w:rsidR="00094CBC">
        <w:rPr>
          <w:rFonts w:asciiTheme="majorBidi" w:hAnsiTheme="majorBidi" w:cstheme="majorBidi"/>
          <w:sz w:val="24"/>
          <w:szCs w:val="24"/>
          <w:lang w:val="en-US"/>
        </w:rPr>
        <w:t>s</w:t>
      </w:r>
      <w:r>
        <w:rPr>
          <w:rFonts w:asciiTheme="majorBidi" w:hAnsiTheme="majorBidi" w:cstheme="majorBidi"/>
          <w:sz w:val="24"/>
          <w:szCs w:val="24"/>
          <w:lang w:val="en-US"/>
        </w:rPr>
        <w:t xml:space="preserve"> and investors back. When the concession is over, the project will be transferred to the government.</w:t>
      </w:r>
    </w:p>
    <w:p w14:paraId="05627AF3" w14:textId="0C000F7A" w:rsidR="007705F6" w:rsidRPr="00866D1F" w:rsidRDefault="007705F6" w:rsidP="00465952">
      <w:pPr>
        <w:pStyle w:val="ListParagraph"/>
        <w:numPr>
          <w:ilvl w:val="0"/>
          <w:numId w:val="10"/>
        </w:numPr>
        <w:autoSpaceDE w:val="0"/>
        <w:adjustRightInd w:val="0"/>
        <w:spacing w:before="240" w:line="360" w:lineRule="auto"/>
        <w:ind w:left="567" w:hanging="357"/>
        <w:jc w:val="both"/>
        <w:rPr>
          <w:rFonts w:asciiTheme="majorBidi" w:hAnsiTheme="majorBidi" w:cstheme="majorBidi"/>
          <w:b/>
          <w:bCs/>
          <w:sz w:val="24"/>
          <w:szCs w:val="24"/>
          <w:lang w:val="en-US"/>
        </w:rPr>
      </w:pPr>
      <w:r w:rsidRPr="00866D1F">
        <w:rPr>
          <w:rFonts w:asciiTheme="majorBidi" w:hAnsiTheme="majorBidi" w:cstheme="majorBidi"/>
          <w:b/>
          <w:bCs/>
          <w:sz w:val="24"/>
          <w:szCs w:val="24"/>
          <w:lang w:val="en-US"/>
        </w:rPr>
        <w:lastRenderedPageBreak/>
        <w:t>Asset</w:t>
      </w:r>
      <w:r w:rsidR="00823D51">
        <w:rPr>
          <w:rFonts w:asciiTheme="majorBidi" w:hAnsiTheme="majorBidi" w:cstheme="majorBidi"/>
          <w:b/>
          <w:bCs/>
          <w:sz w:val="24"/>
          <w:szCs w:val="24"/>
          <w:lang w:val="en-US"/>
        </w:rPr>
        <w:t>-</w:t>
      </w:r>
      <w:r w:rsidRPr="00866D1F">
        <w:rPr>
          <w:rFonts w:asciiTheme="majorBidi" w:hAnsiTheme="majorBidi" w:cstheme="majorBidi"/>
          <w:b/>
          <w:bCs/>
          <w:sz w:val="24"/>
          <w:szCs w:val="24"/>
          <w:lang w:val="en-US"/>
        </w:rPr>
        <w:t>Backed Securities (ABS)</w:t>
      </w:r>
      <w:r>
        <w:rPr>
          <w:rStyle w:val="FootnoteReference"/>
          <w:rFonts w:asciiTheme="majorBidi" w:hAnsiTheme="majorBidi" w:cstheme="majorBidi"/>
          <w:b/>
          <w:bCs/>
          <w:sz w:val="24"/>
          <w:szCs w:val="24"/>
          <w:lang w:val="en-US"/>
        </w:rPr>
        <w:footnoteReference w:id="34"/>
      </w:r>
    </w:p>
    <w:p w14:paraId="2E135CB9" w14:textId="4CC0453D" w:rsidR="007705F6" w:rsidRDefault="007705F6" w:rsidP="00E93259">
      <w:pPr>
        <w:suppressAutoHyphens/>
        <w:autoSpaceDE w:val="0"/>
        <w:adjustRightInd w:val="0"/>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An asset-backed security is a security whose value and income payments are derived </w:t>
      </w:r>
      <w:r w:rsidR="00094CBC">
        <w:rPr>
          <w:rFonts w:asciiTheme="majorBidi" w:hAnsiTheme="majorBidi" w:cstheme="majorBidi"/>
          <w:sz w:val="24"/>
          <w:szCs w:val="24"/>
          <w:lang w:val="en-US"/>
        </w:rPr>
        <w:t>a</w:t>
      </w:r>
      <w:r w:rsidR="00764274">
        <w:rPr>
          <w:rFonts w:asciiTheme="majorBidi" w:hAnsiTheme="majorBidi" w:cstheme="majorBidi"/>
          <w:sz w:val="24"/>
          <w:szCs w:val="24"/>
          <w:lang w:val="en-US"/>
        </w:rPr>
        <w:t>nd</w:t>
      </w:r>
      <w:r>
        <w:rPr>
          <w:rFonts w:asciiTheme="majorBidi" w:hAnsiTheme="majorBidi" w:cstheme="majorBidi"/>
          <w:sz w:val="24"/>
          <w:szCs w:val="24"/>
          <w:lang w:val="en-US"/>
        </w:rPr>
        <w:t xml:space="preserve"> collateralized or backed by a specified pool of underlying assets. The pool of assets is typically a group of small and illiquid assets that </w:t>
      </w:r>
      <w:r w:rsidR="00E80BFA" w:rsidRPr="00E80BFA">
        <w:rPr>
          <w:rFonts w:asciiTheme="majorBidi" w:hAnsiTheme="majorBidi" w:cstheme="majorBidi"/>
          <w:sz w:val="24"/>
          <w:szCs w:val="24"/>
          <w:lang w:val="en-US"/>
        </w:rPr>
        <w:t xml:space="preserve">cannot </w:t>
      </w:r>
      <w:r>
        <w:rPr>
          <w:rFonts w:asciiTheme="majorBidi" w:hAnsiTheme="majorBidi" w:cstheme="majorBidi"/>
          <w:sz w:val="24"/>
          <w:szCs w:val="24"/>
          <w:lang w:val="en-US"/>
        </w:rPr>
        <w:t>be sold individually. Pooling the assets into financial instruments allows them to be sold to general investors</w:t>
      </w:r>
      <w:r w:rsidR="00487A3C">
        <w:rPr>
          <w:rFonts w:asciiTheme="majorBidi" w:hAnsiTheme="majorBidi" w:cstheme="majorBidi"/>
          <w:sz w:val="24"/>
          <w:szCs w:val="24"/>
          <w:lang w:val="en-US"/>
        </w:rPr>
        <w:t xml:space="preserve"> with</w:t>
      </w:r>
      <w:r>
        <w:rPr>
          <w:rFonts w:asciiTheme="majorBidi" w:hAnsiTheme="majorBidi" w:cstheme="majorBidi"/>
          <w:sz w:val="24"/>
          <w:szCs w:val="24"/>
          <w:lang w:val="en-US"/>
        </w:rPr>
        <w:t xml:space="preserve"> a process called securitization</w:t>
      </w:r>
      <w:r w:rsidR="00487A3C">
        <w:rPr>
          <w:rFonts w:asciiTheme="majorBidi" w:hAnsiTheme="majorBidi" w:cstheme="majorBidi"/>
          <w:sz w:val="24"/>
          <w:szCs w:val="24"/>
          <w:lang w:val="en-US"/>
        </w:rPr>
        <w:t>,</w:t>
      </w:r>
      <w:r w:rsidR="00094CBC">
        <w:rPr>
          <w:rFonts w:asciiTheme="majorBidi" w:hAnsiTheme="majorBidi" w:cstheme="majorBidi"/>
          <w:sz w:val="24"/>
          <w:szCs w:val="24"/>
          <w:lang w:val="en-US"/>
        </w:rPr>
        <w:t xml:space="preserve"> </w:t>
      </w:r>
      <w:r w:rsidR="00487A3C">
        <w:rPr>
          <w:rFonts w:asciiTheme="majorBidi" w:hAnsiTheme="majorBidi" w:cstheme="majorBidi"/>
          <w:sz w:val="24"/>
          <w:szCs w:val="24"/>
          <w:lang w:val="en-US"/>
        </w:rPr>
        <w:t>allowing</w:t>
      </w:r>
      <w:r>
        <w:rPr>
          <w:rFonts w:asciiTheme="majorBidi" w:hAnsiTheme="majorBidi" w:cstheme="majorBidi"/>
          <w:sz w:val="24"/>
          <w:szCs w:val="24"/>
          <w:lang w:val="en-US"/>
        </w:rPr>
        <w:t xml:space="preserve"> the risk of investing in the underlying assets to be diversified</w:t>
      </w:r>
      <w:r w:rsidR="00E80BFA">
        <w:rPr>
          <w:rFonts w:asciiTheme="majorBidi" w:hAnsiTheme="majorBidi" w:cstheme="majorBidi"/>
          <w:sz w:val="24"/>
          <w:szCs w:val="24"/>
          <w:lang w:val="en-US"/>
        </w:rPr>
        <w:t>. E</w:t>
      </w:r>
      <w:r>
        <w:rPr>
          <w:rFonts w:asciiTheme="majorBidi" w:hAnsiTheme="majorBidi" w:cstheme="majorBidi"/>
          <w:sz w:val="24"/>
          <w:szCs w:val="24"/>
          <w:lang w:val="en-US"/>
        </w:rPr>
        <w:t xml:space="preserve">ach security will represent a fraction of the total value of the diverse pool of underlying assets. </w:t>
      </w:r>
    </w:p>
    <w:p w14:paraId="0F5B7FEB" w14:textId="5089F7E7" w:rsidR="00703898" w:rsidRDefault="0040394F" w:rsidP="00E93259">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40394F">
        <w:rPr>
          <w:rFonts w:asciiTheme="majorBidi" w:hAnsiTheme="majorBidi" w:cstheme="majorBidi"/>
          <w:sz w:val="24"/>
          <w:szCs w:val="24"/>
          <w:lang w:val="en-US"/>
        </w:rPr>
        <w:t>A separate institution, called a special purpose vehicle (SPV), is often created to handle the securitization of asset-backed securities by commercial banks</w:t>
      </w:r>
      <w:r w:rsidR="007705F6">
        <w:rPr>
          <w:rFonts w:asciiTheme="majorBidi" w:hAnsiTheme="majorBidi" w:cstheme="majorBidi"/>
          <w:sz w:val="24"/>
          <w:szCs w:val="24"/>
          <w:lang w:val="en-US"/>
        </w:rPr>
        <w:t xml:space="preserve">. The special purpose vehicle which </w:t>
      </w:r>
      <w:r w:rsidR="00E80BFA" w:rsidRPr="00E80BFA">
        <w:rPr>
          <w:rFonts w:asciiTheme="majorBidi" w:hAnsiTheme="majorBidi" w:cstheme="majorBidi"/>
          <w:sz w:val="24"/>
          <w:szCs w:val="24"/>
          <w:lang w:val="en-US"/>
        </w:rPr>
        <w:t xml:space="preserve">originates </w:t>
      </w:r>
      <w:r w:rsidR="007705F6">
        <w:rPr>
          <w:rFonts w:asciiTheme="majorBidi" w:hAnsiTheme="majorBidi" w:cstheme="majorBidi"/>
          <w:sz w:val="24"/>
          <w:szCs w:val="24"/>
          <w:lang w:val="en-US"/>
        </w:rPr>
        <w:t>and sells the securities uses the proceeds of the sale to pay back the project company whose future cash flow has been sold to SPV.</w:t>
      </w:r>
    </w:p>
    <w:p w14:paraId="2D13859B" w14:textId="3FF097E5" w:rsidR="00316990" w:rsidRDefault="00316990" w:rsidP="00E93259">
      <w:pPr>
        <w:pStyle w:val="ListParagraph"/>
        <w:numPr>
          <w:ilvl w:val="0"/>
          <w:numId w:val="10"/>
        </w:numPr>
        <w:suppressAutoHyphens/>
        <w:autoSpaceDE w:val="0"/>
        <w:adjustRightInd w:val="0"/>
        <w:spacing w:before="240" w:line="360" w:lineRule="auto"/>
        <w:ind w:left="567" w:hanging="357"/>
        <w:jc w:val="both"/>
        <w:rPr>
          <w:rFonts w:asciiTheme="majorBidi" w:hAnsiTheme="majorBidi" w:cstheme="majorBidi"/>
          <w:b/>
          <w:bCs/>
          <w:sz w:val="24"/>
          <w:szCs w:val="24"/>
          <w:lang w:val="en-US"/>
        </w:rPr>
      </w:pPr>
      <w:r w:rsidRPr="00316990">
        <w:rPr>
          <w:rFonts w:asciiTheme="majorBidi" w:hAnsiTheme="majorBidi" w:cstheme="majorBidi"/>
          <w:b/>
          <w:bCs/>
          <w:sz w:val="24"/>
          <w:szCs w:val="24"/>
          <w:lang w:val="en-US"/>
        </w:rPr>
        <w:t>Government support</w:t>
      </w:r>
      <w:r>
        <w:rPr>
          <w:rStyle w:val="FootnoteReference"/>
          <w:rFonts w:asciiTheme="majorBidi" w:hAnsiTheme="majorBidi" w:cstheme="majorBidi"/>
          <w:b/>
          <w:bCs/>
          <w:sz w:val="24"/>
          <w:szCs w:val="24"/>
          <w:lang w:val="en-US"/>
        </w:rPr>
        <w:footnoteReference w:id="35"/>
      </w:r>
    </w:p>
    <w:p w14:paraId="3115BBA1" w14:textId="49C3C80F" w:rsidR="003466EC" w:rsidRDefault="00316990" w:rsidP="00E93259">
      <w:pPr>
        <w:suppressAutoHyphens/>
        <w:autoSpaceDE w:val="0"/>
        <w:adjustRightInd w:val="0"/>
        <w:spacing w:before="240" w:line="360" w:lineRule="auto"/>
        <w:ind w:firstLine="567"/>
        <w:jc w:val="both"/>
        <w:rPr>
          <w:rFonts w:asciiTheme="majorBidi" w:hAnsiTheme="majorBidi" w:cstheme="majorBidi"/>
          <w:sz w:val="24"/>
          <w:szCs w:val="24"/>
          <w:lang w:val="en-US"/>
        </w:rPr>
      </w:pPr>
      <w:r w:rsidRPr="00316990">
        <w:rPr>
          <w:rFonts w:asciiTheme="majorBidi" w:hAnsiTheme="majorBidi" w:cstheme="majorBidi"/>
          <w:sz w:val="24"/>
          <w:szCs w:val="24"/>
          <w:lang w:val="en-US"/>
        </w:rPr>
        <w:t>Government support available for project</w:t>
      </w:r>
      <w:r w:rsidR="001D5945">
        <w:rPr>
          <w:rFonts w:asciiTheme="majorBidi" w:hAnsiTheme="majorBidi" w:cstheme="majorBidi"/>
          <w:sz w:val="24"/>
          <w:szCs w:val="24"/>
          <w:lang w:val="en-US"/>
        </w:rPr>
        <w:t>s</w:t>
      </w:r>
      <w:r w:rsidRPr="00316990">
        <w:rPr>
          <w:rFonts w:asciiTheme="majorBidi" w:hAnsiTheme="majorBidi" w:cstheme="majorBidi"/>
          <w:sz w:val="24"/>
          <w:szCs w:val="24"/>
          <w:lang w:val="en-US"/>
        </w:rPr>
        <w:t xml:space="preserve"> exists in various forms. According to Khan and Parra, governments provide financial support through government guarantees, equity participation, government debt, grants</w:t>
      </w:r>
      <w:r w:rsidR="002A4F27">
        <w:rPr>
          <w:rFonts w:asciiTheme="majorBidi" w:hAnsiTheme="majorBidi" w:cstheme="majorBidi"/>
          <w:sz w:val="24"/>
          <w:szCs w:val="24"/>
          <w:lang w:val="en-US"/>
        </w:rPr>
        <w:t xml:space="preserve">, </w:t>
      </w:r>
      <w:r w:rsidRPr="00316990">
        <w:rPr>
          <w:rFonts w:asciiTheme="majorBidi" w:hAnsiTheme="majorBidi" w:cstheme="majorBidi"/>
          <w:sz w:val="24"/>
          <w:szCs w:val="24"/>
          <w:lang w:val="en-US"/>
        </w:rPr>
        <w:t>and preferential tax treatment.</w:t>
      </w:r>
      <w:r w:rsidR="003466EC">
        <w:rPr>
          <w:rFonts w:asciiTheme="majorBidi" w:hAnsiTheme="majorBidi" w:cstheme="majorBidi"/>
          <w:sz w:val="24"/>
          <w:szCs w:val="24"/>
          <w:lang w:val="en-US"/>
        </w:rPr>
        <w:t xml:space="preserve"> </w:t>
      </w:r>
      <w:r w:rsidR="003466EC" w:rsidRPr="003466EC">
        <w:rPr>
          <w:rFonts w:asciiTheme="majorBidi" w:hAnsiTheme="majorBidi" w:cstheme="majorBidi"/>
          <w:sz w:val="24"/>
          <w:szCs w:val="24"/>
          <w:lang w:val="en-US"/>
        </w:rPr>
        <w:t>Government guarantees and financial support play a</w:t>
      </w:r>
      <w:r w:rsidR="002A4F27">
        <w:rPr>
          <w:rFonts w:asciiTheme="majorBidi" w:hAnsiTheme="majorBidi" w:cstheme="majorBidi"/>
          <w:sz w:val="24"/>
          <w:szCs w:val="24"/>
          <w:lang w:val="en-US"/>
        </w:rPr>
        <w:t xml:space="preserve"> </w:t>
      </w:r>
      <w:r w:rsidR="002A4F27" w:rsidRPr="002A4F27">
        <w:rPr>
          <w:rFonts w:asciiTheme="majorBidi" w:hAnsiTheme="majorBidi" w:cstheme="majorBidi"/>
          <w:sz w:val="24"/>
          <w:szCs w:val="24"/>
          <w:lang w:val="en-US"/>
        </w:rPr>
        <w:t xml:space="preserve">critical </w:t>
      </w:r>
      <w:r w:rsidR="003466EC" w:rsidRPr="003466EC">
        <w:rPr>
          <w:rFonts w:asciiTheme="majorBidi" w:hAnsiTheme="majorBidi" w:cstheme="majorBidi"/>
          <w:sz w:val="24"/>
          <w:szCs w:val="24"/>
          <w:lang w:val="en-US"/>
        </w:rPr>
        <w:t>role</w:t>
      </w:r>
      <w:r w:rsidR="002A4F27">
        <w:rPr>
          <w:rFonts w:asciiTheme="majorBidi" w:hAnsiTheme="majorBidi" w:cstheme="majorBidi"/>
          <w:sz w:val="24"/>
          <w:szCs w:val="24"/>
          <w:lang w:val="en-US"/>
        </w:rPr>
        <w:t xml:space="preserve">, </w:t>
      </w:r>
      <w:r w:rsidR="003466EC" w:rsidRPr="003466EC">
        <w:rPr>
          <w:rFonts w:asciiTheme="majorBidi" w:hAnsiTheme="majorBidi" w:cstheme="majorBidi"/>
          <w:sz w:val="24"/>
          <w:szCs w:val="24"/>
          <w:lang w:val="en-US"/>
        </w:rPr>
        <w:t>especially for the development of new technologies. In addition to governmental initiatives, bilateral institutions also play a part in project finance</w:t>
      </w:r>
      <w:r w:rsidR="004867C3">
        <w:rPr>
          <w:rFonts w:asciiTheme="majorBidi" w:hAnsiTheme="majorBidi" w:cstheme="majorBidi"/>
          <w:sz w:val="24"/>
          <w:szCs w:val="24"/>
          <w:lang w:val="en-US"/>
        </w:rPr>
        <w:t>,</w:t>
      </w:r>
      <w:r w:rsidR="003466EC" w:rsidRPr="003466EC">
        <w:rPr>
          <w:rFonts w:asciiTheme="majorBidi" w:hAnsiTheme="majorBidi" w:cstheme="majorBidi"/>
          <w:sz w:val="24"/>
          <w:szCs w:val="24"/>
          <w:lang w:val="en-US"/>
        </w:rPr>
        <w:t xml:space="preserve"> either in the form of Export Credit Agencies (ECA) or investment promotion agencies. ECAs provide direct loans as well as guarantees and insurance to encourage exports from the respective home country.</w:t>
      </w:r>
    </w:p>
    <w:p w14:paraId="29173C47" w14:textId="5A0A803D" w:rsidR="00A83FEF" w:rsidRPr="004808B0" w:rsidRDefault="00A83FEF" w:rsidP="00E93259">
      <w:pPr>
        <w:suppressAutoHyphens/>
        <w:autoSpaceDE w:val="0"/>
        <w:spacing w:before="240" w:line="360" w:lineRule="auto"/>
        <w:jc w:val="both"/>
        <w:rPr>
          <w:rFonts w:asciiTheme="majorBidi" w:hAnsiTheme="majorBidi" w:cstheme="majorBidi"/>
          <w:sz w:val="28"/>
          <w:szCs w:val="28"/>
        </w:rPr>
      </w:pPr>
      <w:r w:rsidRPr="004808B0">
        <w:rPr>
          <w:rFonts w:asciiTheme="majorBidi" w:hAnsiTheme="majorBidi" w:cstheme="majorBidi"/>
          <w:sz w:val="28"/>
          <w:szCs w:val="28"/>
        </w:rPr>
        <w:t xml:space="preserve">1.3 Advantages and </w:t>
      </w:r>
      <w:r w:rsidR="00E765F0" w:rsidRPr="004808B0">
        <w:rPr>
          <w:rFonts w:asciiTheme="majorBidi" w:hAnsiTheme="majorBidi" w:cstheme="majorBidi"/>
          <w:sz w:val="28"/>
          <w:szCs w:val="28"/>
        </w:rPr>
        <w:t>d</w:t>
      </w:r>
      <w:r w:rsidRPr="004808B0">
        <w:rPr>
          <w:rFonts w:asciiTheme="majorBidi" w:hAnsiTheme="majorBidi" w:cstheme="majorBidi"/>
          <w:sz w:val="28"/>
          <w:szCs w:val="28"/>
        </w:rPr>
        <w:t xml:space="preserve">isadvantages of </w:t>
      </w:r>
      <w:r w:rsidR="00E765F0" w:rsidRPr="004808B0">
        <w:rPr>
          <w:rFonts w:asciiTheme="majorBidi" w:hAnsiTheme="majorBidi" w:cstheme="majorBidi"/>
          <w:sz w:val="28"/>
          <w:szCs w:val="28"/>
        </w:rPr>
        <w:t>p</w:t>
      </w:r>
      <w:r w:rsidRPr="004808B0">
        <w:rPr>
          <w:rFonts w:asciiTheme="majorBidi" w:hAnsiTheme="majorBidi" w:cstheme="majorBidi"/>
          <w:sz w:val="28"/>
          <w:szCs w:val="28"/>
        </w:rPr>
        <w:t xml:space="preserve">roject </w:t>
      </w:r>
      <w:r w:rsidR="00E765F0" w:rsidRPr="004808B0">
        <w:rPr>
          <w:rFonts w:asciiTheme="majorBidi" w:hAnsiTheme="majorBidi" w:cstheme="majorBidi"/>
          <w:sz w:val="28"/>
          <w:szCs w:val="28"/>
        </w:rPr>
        <w:t>f</w:t>
      </w:r>
      <w:r w:rsidRPr="004808B0">
        <w:rPr>
          <w:rFonts w:asciiTheme="majorBidi" w:hAnsiTheme="majorBidi" w:cstheme="majorBidi"/>
          <w:sz w:val="28"/>
          <w:szCs w:val="28"/>
        </w:rPr>
        <w:t>inanc</w:t>
      </w:r>
      <w:r w:rsidR="00341059">
        <w:rPr>
          <w:rFonts w:asciiTheme="majorBidi" w:hAnsiTheme="majorBidi" w:cstheme="majorBidi"/>
          <w:sz w:val="28"/>
          <w:szCs w:val="28"/>
        </w:rPr>
        <w:t>e</w:t>
      </w:r>
    </w:p>
    <w:p w14:paraId="642AEECA" w14:textId="7904E3C7" w:rsidR="00703898" w:rsidRPr="00703898" w:rsidRDefault="0037291F" w:rsidP="00E93259">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37291F">
        <w:rPr>
          <w:rFonts w:asciiTheme="majorBidi" w:hAnsiTheme="majorBidi" w:cstheme="majorBidi"/>
          <w:sz w:val="24"/>
          <w:szCs w:val="24"/>
          <w:lang w:val="en-US"/>
        </w:rPr>
        <w:t xml:space="preserve">Substantial </w:t>
      </w:r>
      <w:r w:rsidR="00703898" w:rsidRPr="00703898">
        <w:rPr>
          <w:rFonts w:asciiTheme="majorBidi" w:hAnsiTheme="majorBidi" w:cstheme="majorBidi"/>
          <w:sz w:val="24"/>
          <w:szCs w:val="24"/>
          <w:lang w:val="en-US"/>
        </w:rPr>
        <w:t xml:space="preserve">investments and development of existing infrastructure </w:t>
      </w:r>
      <w:r w:rsidR="00764274">
        <w:rPr>
          <w:rFonts w:asciiTheme="majorBidi" w:hAnsiTheme="majorBidi" w:cstheme="majorBidi"/>
          <w:sz w:val="24"/>
          <w:szCs w:val="24"/>
          <w:lang w:val="en-US"/>
        </w:rPr>
        <w:t>are</w:t>
      </w:r>
      <w:r w:rsidR="00703898" w:rsidRPr="00703898">
        <w:rPr>
          <w:rFonts w:asciiTheme="majorBidi" w:hAnsiTheme="majorBidi" w:cstheme="majorBidi"/>
          <w:sz w:val="24"/>
          <w:szCs w:val="24"/>
          <w:lang w:val="en-US"/>
        </w:rPr>
        <w:t xml:space="preserve"> becoming increasingly necessary in all parts of the world</w:t>
      </w:r>
      <w:r w:rsidR="00812F10">
        <w:rPr>
          <w:rFonts w:asciiTheme="majorBidi" w:hAnsiTheme="majorBidi" w:cstheme="majorBidi"/>
          <w:sz w:val="24"/>
          <w:szCs w:val="24"/>
          <w:lang w:val="en-US"/>
        </w:rPr>
        <w:t>, which</w:t>
      </w:r>
      <w:r w:rsidR="00703898" w:rsidRPr="00703898">
        <w:rPr>
          <w:rFonts w:asciiTheme="majorBidi" w:hAnsiTheme="majorBidi" w:cstheme="majorBidi"/>
          <w:sz w:val="24"/>
          <w:szCs w:val="24"/>
          <w:lang w:val="en-US"/>
        </w:rPr>
        <w:t xml:space="preserve"> requires </w:t>
      </w:r>
      <w:r w:rsidR="00764274">
        <w:rPr>
          <w:rFonts w:asciiTheme="majorBidi" w:hAnsiTheme="majorBidi" w:cstheme="majorBidi"/>
          <w:sz w:val="24"/>
          <w:szCs w:val="24"/>
          <w:lang w:val="en-US"/>
        </w:rPr>
        <w:t xml:space="preserve">a </w:t>
      </w:r>
      <w:r w:rsidR="002A4F27" w:rsidRPr="002A4F27">
        <w:rPr>
          <w:rFonts w:asciiTheme="majorBidi" w:hAnsiTheme="majorBidi" w:cstheme="majorBidi"/>
          <w:sz w:val="24"/>
          <w:szCs w:val="24"/>
          <w:lang w:val="en-US"/>
        </w:rPr>
        <w:t xml:space="preserve">massive </w:t>
      </w:r>
      <w:r w:rsidR="00703898" w:rsidRPr="00703898">
        <w:rPr>
          <w:rFonts w:asciiTheme="majorBidi" w:hAnsiTheme="majorBidi" w:cstheme="majorBidi"/>
          <w:sz w:val="24"/>
          <w:szCs w:val="24"/>
          <w:lang w:val="en-US"/>
        </w:rPr>
        <w:t>amount of capital. Project finance is an ideal financing model for financing large infrastructure and capital-intensive projects such as energy, transportation other industries in the world, where the strong demand for infrastructure and civil engineering projects exceed the available economic resources. Some advantages of project financing include:</w:t>
      </w:r>
    </w:p>
    <w:p w14:paraId="5FB463CD" w14:textId="6B8C3A44" w:rsidR="00703898" w:rsidRDefault="00BD2926" w:rsidP="00E93259">
      <w:pPr>
        <w:pStyle w:val="ListParagraph"/>
        <w:numPr>
          <w:ilvl w:val="0"/>
          <w:numId w:val="18"/>
        </w:numPr>
        <w:suppressAutoHyphens/>
        <w:autoSpaceDE w:val="0"/>
        <w:adjustRightInd w:val="0"/>
        <w:spacing w:before="240" w:after="0" w:line="360" w:lineRule="auto"/>
        <w:ind w:left="567" w:hanging="357"/>
        <w:jc w:val="both"/>
        <w:rPr>
          <w:rFonts w:asciiTheme="majorBidi" w:hAnsiTheme="majorBidi" w:cstheme="majorBidi"/>
          <w:sz w:val="24"/>
          <w:szCs w:val="24"/>
          <w:lang w:val="en-US"/>
        </w:rPr>
      </w:pPr>
      <w:r w:rsidRPr="00BD2926">
        <w:rPr>
          <w:rFonts w:asciiTheme="majorBidi" w:hAnsiTheme="majorBidi" w:cstheme="majorBidi"/>
          <w:sz w:val="24"/>
          <w:szCs w:val="24"/>
          <w:lang w:val="en-US"/>
        </w:rPr>
        <w:t>Provides project credit sources that will not be available to the sponsor.</w:t>
      </w:r>
    </w:p>
    <w:p w14:paraId="4D8408B4" w14:textId="766502B0" w:rsidR="00703898" w:rsidRPr="00703898" w:rsidRDefault="00703898" w:rsidP="00E93259">
      <w:pPr>
        <w:pStyle w:val="ListParagraph"/>
        <w:numPr>
          <w:ilvl w:val="0"/>
          <w:numId w:val="18"/>
        </w:numPr>
        <w:suppressAutoHyphens/>
        <w:autoSpaceDE w:val="0"/>
        <w:adjustRightInd w:val="0"/>
        <w:spacing w:after="0" w:line="360" w:lineRule="auto"/>
        <w:ind w:left="567" w:hanging="357"/>
        <w:jc w:val="both"/>
        <w:rPr>
          <w:rStyle w:val="FootnoteReference"/>
          <w:rFonts w:asciiTheme="majorBidi" w:hAnsiTheme="majorBidi" w:cstheme="majorBidi"/>
          <w:sz w:val="24"/>
          <w:szCs w:val="24"/>
          <w:vertAlign w:val="baseline"/>
          <w:lang w:val="en-US"/>
        </w:rPr>
      </w:pPr>
      <w:r w:rsidRPr="00703898">
        <w:rPr>
          <w:rFonts w:asciiTheme="majorBidi" w:hAnsiTheme="majorBidi" w:cstheme="majorBidi"/>
          <w:sz w:val="24"/>
          <w:szCs w:val="24"/>
          <w:lang w:val="en-US"/>
        </w:rPr>
        <w:lastRenderedPageBreak/>
        <w:t>Regarding the sponsor, the nature of the project as it is an off-balance sheet enables sponsors to enjoy several advantages</w:t>
      </w:r>
      <w:r w:rsidR="00BD2926">
        <w:rPr>
          <w:rFonts w:asciiTheme="majorBidi" w:hAnsiTheme="majorBidi" w:cstheme="majorBidi"/>
          <w:sz w:val="24"/>
          <w:szCs w:val="24"/>
          <w:lang w:val="en-US"/>
        </w:rPr>
        <w:t>;</w:t>
      </w:r>
      <w:r w:rsidRPr="00703898">
        <w:rPr>
          <w:rFonts w:asciiTheme="majorBidi" w:hAnsiTheme="majorBidi" w:cstheme="majorBidi"/>
          <w:sz w:val="24"/>
          <w:szCs w:val="24"/>
          <w:lang w:val="en-US"/>
        </w:rPr>
        <w:t xml:space="preserve"> it protects the project sponsor from any negative impact from the project in the event of failure or default, </w:t>
      </w:r>
      <w:r w:rsidR="00BD2926">
        <w:rPr>
          <w:rFonts w:asciiTheme="majorBidi" w:hAnsiTheme="majorBidi" w:cstheme="majorBidi"/>
          <w:sz w:val="24"/>
          <w:szCs w:val="24"/>
          <w:lang w:val="en-US"/>
        </w:rPr>
        <w:t>and</w:t>
      </w:r>
      <w:r w:rsidRPr="00703898">
        <w:rPr>
          <w:rFonts w:asciiTheme="majorBidi" w:hAnsiTheme="majorBidi" w:cstheme="majorBidi"/>
          <w:sz w:val="24"/>
          <w:szCs w:val="24"/>
          <w:lang w:val="en-US"/>
        </w:rPr>
        <w:t xml:space="preserve"> the sponsor</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financial flexibility remains intact</w:t>
      </w:r>
      <w:r w:rsidR="00EE5DC5">
        <w:rPr>
          <w:rFonts w:asciiTheme="majorBidi" w:hAnsiTheme="majorBidi" w:cstheme="majorBidi"/>
          <w:sz w:val="24"/>
          <w:szCs w:val="24"/>
          <w:lang w:val="en-US"/>
        </w:rPr>
        <w:t>.</w:t>
      </w:r>
      <w:r w:rsidRPr="00D24F13">
        <w:rPr>
          <w:rStyle w:val="FootnoteReference"/>
          <w:lang w:val="en-US"/>
        </w:rPr>
        <w:footnoteReference w:id="36"/>
      </w:r>
    </w:p>
    <w:p w14:paraId="3AB62F9C" w14:textId="4BD97B70" w:rsidR="00703898" w:rsidRPr="00703898" w:rsidRDefault="00764274" w:rsidP="00E93259">
      <w:pPr>
        <w:pStyle w:val="ListParagraph"/>
        <w:numPr>
          <w:ilvl w:val="0"/>
          <w:numId w:val="18"/>
        </w:numPr>
        <w:suppressAutoHyphens/>
        <w:autoSpaceDE w:val="0"/>
        <w:adjustRightInd w:val="0"/>
        <w:spacing w:after="0" w:line="360" w:lineRule="auto"/>
        <w:ind w:left="567" w:hanging="357"/>
        <w:jc w:val="both"/>
        <w:rPr>
          <w:rFonts w:asciiTheme="majorBidi" w:hAnsiTheme="majorBidi" w:cstheme="majorBidi"/>
          <w:sz w:val="24"/>
          <w:szCs w:val="24"/>
          <w:lang w:val="en-US"/>
        </w:rPr>
      </w:pPr>
      <w:r w:rsidRPr="00764274">
        <w:rPr>
          <w:rFonts w:asciiTheme="majorBidi" w:hAnsiTheme="majorBidi" w:cstheme="majorBidi"/>
          <w:sz w:val="24"/>
          <w:szCs w:val="24"/>
          <w:lang w:val="en-US"/>
        </w:rPr>
        <w:t xml:space="preserve">Achieve </w:t>
      </w:r>
      <w:r w:rsidR="00703898" w:rsidRPr="00703898">
        <w:rPr>
          <w:rFonts w:asciiTheme="majorBidi" w:hAnsiTheme="majorBidi" w:cstheme="majorBidi"/>
          <w:sz w:val="24"/>
          <w:szCs w:val="24"/>
          <w:lang w:val="en-US"/>
        </w:rPr>
        <w:t>better financial conditions when the credit risk of the project is better than the</w:t>
      </w:r>
      <w:r w:rsidR="00812F10">
        <w:rPr>
          <w:rFonts w:asciiTheme="majorBidi" w:hAnsiTheme="majorBidi" w:cstheme="majorBidi"/>
          <w:sz w:val="24"/>
          <w:szCs w:val="24"/>
          <w:lang w:val="en-US"/>
        </w:rPr>
        <w:t xml:space="preserve"> </w:t>
      </w:r>
      <w:r w:rsidR="00812F10" w:rsidRPr="00703898">
        <w:rPr>
          <w:rFonts w:asciiTheme="majorBidi" w:hAnsiTheme="majorBidi" w:cstheme="majorBidi"/>
          <w:sz w:val="24"/>
          <w:szCs w:val="24"/>
          <w:lang w:val="en-US"/>
        </w:rPr>
        <w:t>sponsors</w:t>
      </w:r>
      <w:r w:rsidR="00812F10" w:rsidRPr="00B24AB5">
        <w:rPr>
          <w:rFonts w:asciiTheme="majorBidi" w:hAnsiTheme="majorBidi" w:cstheme="majorBidi"/>
          <w:sz w:val="24"/>
          <w:szCs w:val="24"/>
          <w:lang w:val="en-US"/>
        </w:rPr>
        <w:t>'</w:t>
      </w:r>
      <w:r w:rsidR="00812F10">
        <w:rPr>
          <w:rFonts w:asciiTheme="majorBidi" w:hAnsiTheme="majorBidi" w:cstheme="majorBidi"/>
          <w:sz w:val="24"/>
          <w:szCs w:val="24"/>
          <w:lang w:val="en-US"/>
        </w:rPr>
        <w:t xml:space="preserve"> </w:t>
      </w:r>
      <w:r w:rsidR="00703898" w:rsidRPr="00703898">
        <w:rPr>
          <w:rFonts w:asciiTheme="majorBidi" w:hAnsiTheme="majorBidi" w:cstheme="majorBidi"/>
          <w:sz w:val="24"/>
          <w:szCs w:val="24"/>
          <w:lang w:val="en-US"/>
        </w:rPr>
        <w:t>credit standing.</w:t>
      </w:r>
    </w:p>
    <w:p w14:paraId="36E545E3" w14:textId="62E2C947" w:rsidR="00703898" w:rsidRDefault="00703898" w:rsidP="00E93259">
      <w:pPr>
        <w:pStyle w:val="ListParagraph"/>
        <w:numPr>
          <w:ilvl w:val="0"/>
          <w:numId w:val="18"/>
        </w:numPr>
        <w:suppressAutoHyphens/>
        <w:autoSpaceDE w:val="0"/>
        <w:adjustRightInd w:val="0"/>
        <w:spacing w:after="0" w:line="360" w:lineRule="auto"/>
        <w:ind w:left="567" w:hanging="357"/>
        <w:jc w:val="both"/>
        <w:rPr>
          <w:rFonts w:asciiTheme="majorBidi" w:hAnsiTheme="majorBidi" w:cstheme="majorBidi"/>
          <w:sz w:val="24"/>
          <w:szCs w:val="24"/>
          <w:lang w:val="en-US"/>
        </w:rPr>
      </w:pPr>
      <w:r w:rsidRPr="00703898">
        <w:rPr>
          <w:rFonts w:asciiTheme="majorBidi" w:hAnsiTheme="majorBidi" w:cstheme="majorBidi"/>
          <w:sz w:val="24"/>
          <w:szCs w:val="24"/>
          <w:lang w:val="en-US"/>
        </w:rPr>
        <w:t>Project finance is used to increases the return on equity in a project by leveraging the investment to a greater extent than would be possible in</w:t>
      </w:r>
      <w:r w:rsidR="00764274">
        <w:rPr>
          <w:rFonts w:asciiTheme="majorBidi" w:hAnsiTheme="majorBidi" w:cstheme="majorBidi"/>
          <w:sz w:val="24"/>
          <w:szCs w:val="24"/>
          <w:lang w:val="en-US"/>
        </w:rPr>
        <w:t xml:space="preserve"> </w:t>
      </w:r>
      <w:r w:rsidRPr="00703898">
        <w:rPr>
          <w:rFonts w:asciiTheme="majorBidi" w:hAnsiTheme="majorBidi" w:cstheme="majorBidi"/>
          <w:sz w:val="24"/>
          <w:szCs w:val="24"/>
          <w:lang w:val="en-US"/>
        </w:rPr>
        <w:t xml:space="preserve">traditional commercial financing. </w:t>
      </w:r>
      <w:r w:rsidR="00764274" w:rsidRPr="00703898">
        <w:rPr>
          <w:rFonts w:asciiTheme="majorBidi" w:hAnsiTheme="majorBidi" w:cstheme="majorBidi"/>
          <w:sz w:val="24"/>
          <w:szCs w:val="24"/>
          <w:lang w:val="en-US"/>
        </w:rPr>
        <w:t>Although</w:t>
      </w:r>
      <w:r w:rsidR="00764274">
        <w:rPr>
          <w:rFonts w:asciiTheme="majorBidi" w:hAnsiTheme="majorBidi" w:cstheme="majorBidi"/>
          <w:sz w:val="24"/>
          <w:szCs w:val="24"/>
          <w:lang w:val="en-US"/>
        </w:rPr>
        <w:t xml:space="preserve"> </w:t>
      </w:r>
      <w:r w:rsidR="00764274" w:rsidRPr="00703898">
        <w:rPr>
          <w:rFonts w:asciiTheme="majorBidi" w:hAnsiTheme="majorBidi" w:cstheme="majorBidi"/>
          <w:sz w:val="24"/>
          <w:szCs w:val="24"/>
          <w:lang w:val="en-US"/>
        </w:rPr>
        <w:t>higher</w:t>
      </w:r>
      <w:r w:rsidRPr="00703898">
        <w:rPr>
          <w:rFonts w:asciiTheme="majorBidi" w:hAnsiTheme="majorBidi" w:cstheme="majorBidi"/>
          <w:sz w:val="24"/>
          <w:szCs w:val="24"/>
          <w:lang w:val="en-US"/>
        </w:rPr>
        <w:t xml:space="preserve"> leverage also increases equity risk.</w:t>
      </w:r>
    </w:p>
    <w:p w14:paraId="05A1C899" w14:textId="743CF61B" w:rsidR="00703898" w:rsidRPr="00703898" w:rsidRDefault="00703898" w:rsidP="00E93259">
      <w:pPr>
        <w:pStyle w:val="ListParagraph"/>
        <w:numPr>
          <w:ilvl w:val="0"/>
          <w:numId w:val="18"/>
        </w:numPr>
        <w:suppressAutoHyphens/>
        <w:autoSpaceDE w:val="0"/>
        <w:adjustRightInd w:val="0"/>
        <w:spacing w:after="0" w:line="360" w:lineRule="auto"/>
        <w:ind w:left="567" w:hanging="357"/>
        <w:jc w:val="both"/>
        <w:rPr>
          <w:rFonts w:asciiTheme="majorBidi" w:hAnsiTheme="majorBidi" w:cstheme="majorBidi"/>
          <w:sz w:val="24"/>
          <w:szCs w:val="24"/>
          <w:lang w:val="en-US"/>
        </w:rPr>
      </w:pPr>
      <w:r w:rsidRPr="00703898">
        <w:rPr>
          <w:rFonts w:asciiTheme="majorBidi" w:hAnsiTheme="majorBidi" w:cstheme="majorBidi"/>
          <w:sz w:val="24"/>
          <w:szCs w:val="24"/>
          <w:lang w:val="en-US"/>
        </w:rPr>
        <w:t>Project finance</w:t>
      </w:r>
      <w:r w:rsidR="00BD2926">
        <w:rPr>
          <w:rFonts w:asciiTheme="majorBidi" w:hAnsiTheme="majorBidi" w:cstheme="majorBidi"/>
          <w:sz w:val="24"/>
          <w:szCs w:val="24"/>
          <w:lang w:val="en-US"/>
        </w:rPr>
        <w:t xml:space="preserve">, </w:t>
      </w:r>
      <w:r w:rsidRPr="00703898">
        <w:rPr>
          <w:rFonts w:asciiTheme="majorBidi" w:hAnsiTheme="majorBidi" w:cstheme="majorBidi"/>
          <w:sz w:val="24"/>
          <w:szCs w:val="24"/>
          <w:lang w:val="en-US"/>
        </w:rPr>
        <w:t>in some circumstances</w:t>
      </w:r>
      <w:r w:rsidR="00BD2926">
        <w:rPr>
          <w:rFonts w:asciiTheme="majorBidi" w:hAnsiTheme="majorBidi" w:cstheme="majorBidi"/>
          <w:sz w:val="24"/>
          <w:szCs w:val="24"/>
          <w:lang w:val="en-US"/>
        </w:rPr>
        <w:t>,</w:t>
      </w:r>
      <w:r w:rsidRPr="00703898">
        <w:rPr>
          <w:rFonts w:asciiTheme="majorBidi" w:hAnsiTheme="majorBidi" w:cstheme="majorBidi"/>
          <w:sz w:val="24"/>
          <w:szCs w:val="24"/>
          <w:lang w:val="en-US"/>
        </w:rPr>
        <w:t xml:space="preserve"> </w:t>
      </w:r>
      <w:r w:rsidR="00487A3C">
        <w:rPr>
          <w:rFonts w:asciiTheme="majorBidi" w:hAnsiTheme="majorBidi" w:cstheme="majorBidi"/>
          <w:sz w:val="24"/>
          <w:szCs w:val="24"/>
          <w:lang w:val="en-US"/>
        </w:rPr>
        <w:t xml:space="preserve">may </w:t>
      </w:r>
      <w:r w:rsidRPr="00703898">
        <w:rPr>
          <w:rFonts w:asciiTheme="majorBidi" w:hAnsiTheme="majorBidi" w:cstheme="majorBidi"/>
          <w:sz w:val="24"/>
          <w:szCs w:val="24"/>
          <w:lang w:val="en-US"/>
        </w:rPr>
        <w:t>have tax benefits</w:t>
      </w:r>
      <w:r w:rsidRPr="00703898">
        <w:rPr>
          <w:vertAlign w:val="superscript"/>
        </w:rPr>
        <w:t>.</w:t>
      </w:r>
      <w:r w:rsidRPr="00BE41B6">
        <w:rPr>
          <w:vertAlign w:val="superscript"/>
        </w:rPr>
        <w:footnoteReference w:id="37"/>
      </w:r>
    </w:p>
    <w:p w14:paraId="7F1A5B6F" w14:textId="4D9ACBC3" w:rsidR="00703898" w:rsidRDefault="00BD2926" w:rsidP="00E93259">
      <w:pPr>
        <w:pStyle w:val="ListParagraph"/>
        <w:numPr>
          <w:ilvl w:val="0"/>
          <w:numId w:val="18"/>
        </w:numPr>
        <w:suppressAutoHyphens/>
        <w:autoSpaceDE w:val="0"/>
        <w:adjustRightInd w:val="0"/>
        <w:spacing w:after="0" w:line="360" w:lineRule="auto"/>
        <w:ind w:left="567" w:hanging="357"/>
        <w:jc w:val="both"/>
        <w:rPr>
          <w:rFonts w:asciiTheme="majorBidi" w:hAnsiTheme="majorBidi" w:cstheme="majorBidi"/>
          <w:sz w:val="24"/>
          <w:szCs w:val="24"/>
          <w:lang w:val="en-US"/>
        </w:rPr>
      </w:pPr>
      <w:r>
        <w:rPr>
          <w:rFonts w:asciiTheme="majorBidi" w:hAnsiTheme="majorBidi" w:cstheme="majorBidi"/>
          <w:sz w:val="24"/>
          <w:szCs w:val="24"/>
          <w:lang w:val="en-US"/>
        </w:rPr>
        <w:t>R</w:t>
      </w:r>
      <w:r w:rsidR="00703898" w:rsidRPr="00703898">
        <w:rPr>
          <w:rFonts w:asciiTheme="majorBidi" w:hAnsiTheme="majorBidi" w:cstheme="majorBidi"/>
          <w:sz w:val="24"/>
          <w:szCs w:val="24"/>
          <w:lang w:val="en-US"/>
        </w:rPr>
        <w:t>educe costs</w:t>
      </w:r>
      <w:r w:rsidR="00764274">
        <w:rPr>
          <w:rFonts w:asciiTheme="majorBidi" w:hAnsiTheme="majorBidi" w:cstheme="majorBidi"/>
          <w:sz w:val="24"/>
          <w:szCs w:val="24"/>
          <w:lang w:val="en-US"/>
        </w:rPr>
        <w:t xml:space="preserve"> </w:t>
      </w:r>
      <w:r w:rsidR="00703898" w:rsidRPr="00703898">
        <w:rPr>
          <w:rFonts w:asciiTheme="majorBidi" w:hAnsiTheme="majorBidi" w:cstheme="majorBidi"/>
          <w:sz w:val="24"/>
          <w:szCs w:val="24"/>
          <w:lang w:val="en-US"/>
        </w:rPr>
        <w:t>since this mechanism allows you to reduce the impact of the agency problem (most of these conflicts relate to investment decisions or productivity).</w:t>
      </w:r>
      <w:r w:rsidR="00703898" w:rsidRPr="00BE41B6">
        <w:rPr>
          <w:vertAlign w:val="superscript"/>
        </w:rPr>
        <w:footnoteReference w:id="38"/>
      </w:r>
    </w:p>
    <w:p w14:paraId="681E11CA" w14:textId="6DCC236D" w:rsidR="007F3C48" w:rsidRPr="007F3C48" w:rsidRDefault="00703898" w:rsidP="00E93259">
      <w:pPr>
        <w:pStyle w:val="ListParagraph"/>
        <w:numPr>
          <w:ilvl w:val="0"/>
          <w:numId w:val="18"/>
        </w:numPr>
        <w:suppressAutoHyphens/>
        <w:autoSpaceDE w:val="0"/>
        <w:adjustRightInd w:val="0"/>
        <w:spacing w:line="360" w:lineRule="auto"/>
        <w:ind w:left="567" w:hanging="357"/>
        <w:jc w:val="both"/>
        <w:rPr>
          <w:rFonts w:asciiTheme="majorBidi" w:hAnsiTheme="majorBidi" w:cstheme="majorBidi"/>
          <w:sz w:val="24"/>
          <w:szCs w:val="24"/>
          <w:lang w:val="en-US"/>
        </w:rPr>
      </w:pPr>
      <w:r w:rsidRPr="00703898">
        <w:rPr>
          <w:rFonts w:asciiTheme="majorBidi" w:hAnsiTheme="majorBidi" w:cstheme="majorBidi"/>
          <w:sz w:val="24"/>
          <w:szCs w:val="24"/>
          <w:lang w:val="en-US"/>
        </w:rPr>
        <w:t xml:space="preserve">Regarding banking institutions </w:t>
      </w:r>
      <w:r w:rsidR="00764274" w:rsidRPr="00764274">
        <w:rPr>
          <w:rFonts w:asciiTheme="majorBidi" w:hAnsiTheme="majorBidi" w:cstheme="majorBidi"/>
          <w:sz w:val="24"/>
          <w:szCs w:val="24"/>
          <w:lang w:val="en-US"/>
        </w:rPr>
        <w:t>that take part</w:t>
      </w:r>
      <w:r w:rsidR="00764274">
        <w:rPr>
          <w:rFonts w:asciiTheme="majorBidi" w:hAnsiTheme="majorBidi" w:cstheme="majorBidi"/>
          <w:sz w:val="24"/>
          <w:szCs w:val="24"/>
          <w:lang w:val="en-US"/>
        </w:rPr>
        <w:t xml:space="preserve"> </w:t>
      </w:r>
      <w:r w:rsidRPr="00703898">
        <w:rPr>
          <w:rFonts w:asciiTheme="majorBidi" w:hAnsiTheme="majorBidi" w:cstheme="majorBidi"/>
          <w:sz w:val="24"/>
          <w:szCs w:val="24"/>
          <w:lang w:val="en-US"/>
        </w:rPr>
        <w:t xml:space="preserve">in the project financing mechanism will attract and have a long-term collaboration with clients of priority and strategically important sectors of the economy. Thus, project financing can become a significant competitive advantage of financial institutions </w:t>
      </w:r>
      <w:r w:rsidR="00B552E3">
        <w:rPr>
          <w:rFonts w:asciiTheme="majorBidi" w:hAnsiTheme="majorBidi" w:cstheme="majorBidi"/>
          <w:sz w:val="24"/>
          <w:szCs w:val="24"/>
          <w:lang w:val="en-US"/>
        </w:rPr>
        <w:t>because of</w:t>
      </w:r>
      <w:r w:rsidRPr="00703898">
        <w:rPr>
          <w:rFonts w:asciiTheme="majorBidi" w:hAnsiTheme="majorBidi" w:cstheme="majorBidi"/>
          <w:sz w:val="24"/>
          <w:szCs w:val="24"/>
          <w:lang w:val="en-US"/>
        </w:rPr>
        <w:t xml:space="preserve"> </w:t>
      </w:r>
      <w:r w:rsidR="00B552E3" w:rsidRPr="00B552E3">
        <w:rPr>
          <w:rFonts w:asciiTheme="majorBidi" w:hAnsiTheme="majorBidi" w:cstheme="majorBidi"/>
          <w:sz w:val="24"/>
          <w:szCs w:val="24"/>
          <w:lang w:val="en-US"/>
        </w:rPr>
        <w:t xml:space="preserve">their </w:t>
      </w:r>
      <w:r w:rsidRPr="00703898">
        <w:rPr>
          <w:rFonts w:asciiTheme="majorBidi" w:hAnsiTheme="majorBidi" w:cstheme="majorBidi"/>
          <w:sz w:val="24"/>
          <w:szCs w:val="24"/>
          <w:lang w:val="en-US"/>
        </w:rPr>
        <w:t>long-term basis and service to reputable clients</w:t>
      </w:r>
      <w:r w:rsidRPr="00BE41B6">
        <w:t>.</w:t>
      </w:r>
      <w:r>
        <w:rPr>
          <w:rStyle w:val="FootnoteReference"/>
        </w:rPr>
        <w:footnoteReference w:id="39"/>
      </w:r>
    </w:p>
    <w:p w14:paraId="551BA5D4" w14:textId="11242CAD" w:rsidR="00703898" w:rsidRPr="007F3C48" w:rsidRDefault="00B552E3" w:rsidP="00E93259">
      <w:pPr>
        <w:suppressAutoHyphens/>
        <w:autoSpaceDE w:val="0"/>
        <w:adjustRightInd w:val="0"/>
        <w:spacing w:line="360" w:lineRule="auto"/>
        <w:ind w:firstLine="567"/>
        <w:jc w:val="both"/>
        <w:rPr>
          <w:rFonts w:asciiTheme="majorBidi" w:hAnsiTheme="majorBidi" w:cstheme="majorBidi"/>
          <w:sz w:val="24"/>
          <w:szCs w:val="24"/>
          <w:lang w:val="en-US"/>
        </w:rPr>
      </w:pPr>
      <w:r w:rsidRPr="00B552E3">
        <w:rPr>
          <w:rFonts w:asciiTheme="majorBidi" w:hAnsiTheme="majorBidi" w:cstheme="majorBidi"/>
          <w:sz w:val="24"/>
          <w:szCs w:val="24"/>
          <w:lang w:val="en-US"/>
        </w:rPr>
        <w:t xml:space="preserve">Besides </w:t>
      </w:r>
      <w:r w:rsidR="00703898" w:rsidRPr="007F3C48">
        <w:rPr>
          <w:rFonts w:asciiTheme="majorBidi" w:hAnsiTheme="majorBidi" w:cstheme="majorBidi"/>
          <w:sz w:val="24"/>
          <w:szCs w:val="24"/>
          <w:lang w:val="en-US"/>
        </w:rPr>
        <w:t xml:space="preserve">the </w:t>
      </w:r>
      <w:r>
        <w:rPr>
          <w:rFonts w:asciiTheme="majorBidi" w:hAnsiTheme="majorBidi" w:cstheme="majorBidi"/>
          <w:sz w:val="24"/>
          <w:szCs w:val="24"/>
          <w:lang w:val="en-US"/>
        </w:rPr>
        <w:t>previous</w:t>
      </w:r>
      <w:r w:rsidR="00703898" w:rsidRPr="007F3C48">
        <w:rPr>
          <w:rFonts w:asciiTheme="majorBidi" w:hAnsiTheme="majorBidi" w:cstheme="majorBidi"/>
          <w:sz w:val="24"/>
          <w:szCs w:val="24"/>
          <w:lang w:val="en-US"/>
        </w:rPr>
        <w:t xml:space="preserve"> advantages </w:t>
      </w:r>
      <w:r>
        <w:rPr>
          <w:rFonts w:asciiTheme="majorBidi" w:hAnsiTheme="majorBidi" w:cstheme="majorBidi"/>
          <w:sz w:val="24"/>
          <w:szCs w:val="24"/>
          <w:lang w:val="en-US"/>
        </w:rPr>
        <w:t>of</w:t>
      </w:r>
      <w:r w:rsidR="00703898" w:rsidRPr="007F3C48">
        <w:rPr>
          <w:rFonts w:asciiTheme="majorBidi" w:hAnsiTheme="majorBidi" w:cstheme="majorBidi"/>
          <w:sz w:val="24"/>
          <w:szCs w:val="24"/>
          <w:lang w:val="en-US"/>
        </w:rPr>
        <w:t xml:space="preserve"> using project finance, Finnerty present</w:t>
      </w:r>
      <w:r>
        <w:rPr>
          <w:rFonts w:asciiTheme="majorBidi" w:hAnsiTheme="majorBidi" w:cstheme="majorBidi"/>
          <w:sz w:val="24"/>
          <w:szCs w:val="24"/>
          <w:lang w:val="en-US"/>
        </w:rPr>
        <w:t>s</w:t>
      </w:r>
      <w:r w:rsidR="00703898" w:rsidRPr="007F3C48">
        <w:rPr>
          <w:rFonts w:asciiTheme="majorBidi" w:hAnsiTheme="majorBidi" w:cstheme="majorBidi"/>
          <w:sz w:val="24"/>
          <w:szCs w:val="24"/>
          <w:lang w:val="en-US"/>
        </w:rPr>
        <w:t xml:space="preserve"> a few other advantages</w:t>
      </w:r>
      <w:r w:rsidR="00703898">
        <w:t>:</w:t>
      </w:r>
      <w:r w:rsidR="00703898">
        <w:rPr>
          <w:rStyle w:val="FootnoteReference"/>
        </w:rPr>
        <w:footnoteReference w:id="40"/>
      </w:r>
    </w:p>
    <w:p w14:paraId="705116BF" w14:textId="2D0F8BEC" w:rsidR="00703898" w:rsidRDefault="00703898" w:rsidP="00E93259">
      <w:pPr>
        <w:pStyle w:val="ListParagraph"/>
        <w:numPr>
          <w:ilvl w:val="0"/>
          <w:numId w:val="15"/>
        </w:numPr>
        <w:suppressAutoHyphens/>
        <w:spacing w:before="240"/>
        <w:ind w:left="567" w:hanging="357"/>
        <w:rPr>
          <w:b/>
          <w:bCs/>
        </w:rPr>
      </w:pPr>
      <w:r>
        <w:rPr>
          <w:rFonts w:asciiTheme="majorBidi" w:hAnsiTheme="majorBidi" w:cstheme="majorBidi"/>
          <w:b/>
          <w:bCs/>
          <w:sz w:val="24"/>
          <w:szCs w:val="24"/>
          <w:lang w:val="en-US"/>
        </w:rPr>
        <w:t>O</w:t>
      </w:r>
      <w:r w:rsidRPr="00703898">
        <w:rPr>
          <w:rFonts w:asciiTheme="majorBidi" w:hAnsiTheme="majorBidi" w:cstheme="majorBidi"/>
          <w:b/>
          <w:bCs/>
          <w:sz w:val="24"/>
          <w:szCs w:val="24"/>
          <w:lang w:val="en-US"/>
        </w:rPr>
        <w:t>btaining economic ren</w:t>
      </w:r>
      <w:r>
        <w:rPr>
          <w:rFonts w:asciiTheme="majorBidi" w:hAnsiTheme="majorBidi" w:cstheme="majorBidi"/>
          <w:b/>
          <w:bCs/>
          <w:sz w:val="24"/>
          <w:szCs w:val="24"/>
          <w:lang w:val="en-US"/>
        </w:rPr>
        <w:t>t</w:t>
      </w:r>
    </w:p>
    <w:p w14:paraId="71E28742" w14:textId="3949239D" w:rsidR="00703898" w:rsidRP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 xml:space="preserve">One of the advantages of project finance is reflected </w:t>
      </w:r>
      <w:r w:rsidR="001823F2">
        <w:rPr>
          <w:rFonts w:asciiTheme="majorBidi" w:hAnsiTheme="majorBidi" w:cstheme="majorBidi"/>
          <w:sz w:val="24"/>
          <w:szCs w:val="24"/>
          <w:lang w:val="en-US"/>
        </w:rPr>
        <w:t xml:space="preserve">in </w:t>
      </w:r>
      <w:r w:rsidR="001823F2" w:rsidRPr="001823F2">
        <w:rPr>
          <w:rFonts w:asciiTheme="majorBidi" w:hAnsiTheme="majorBidi" w:cstheme="majorBidi"/>
          <w:sz w:val="24"/>
          <w:szCs w:val="24"/>
          <w:lang w:val="en-US"/>
        </w:rPr>
        <w:t xml:space="preserve">implementing </w:t>
      </w:r>
      <w:r w:rsidRPr="00703898">
        <w:rPr>
          <w:rFonts w:asciiTheme="majorBidi" w:hAnsiTheme="majorBidi" w:cstheme="majorBidi"/>
          <w:sz w:val="24"/>
          <w:szCs w:val="24"/>
          <w:lang w:val="en-US"/>
        </w:rPr>
        <w:t xml:space="preserve">this financing model in the natural resources exploiting. The legal entity that controls the natural resource deposit </w:t>
      </w:r>
      <w:r w:rsidR="00930405">
        <w:rPr>
          <w:rFonts w:asciiTheme="majorBidi" w:hAnsiTheme="majorBidi" w:cstheme="majorBidi"/>
          <w:sz w:val="24"/>
          <w:szCs w:val="24"/>
          <w:lang w:val="en-US"/>
        </w:rPr>
        <w:t>can</w:t>
      </w:r>
      <w:r w:rsidRPr="00703898">
        <w:rPr>
          <w:rFonts w:asciiTheme="majorBidi" w:hAnsiTheme="majorBidi" w:cstheme="majorBidi"/>
          <w:sz w:val="24"/>
          <w:szCs w:val="24"/>
          <w:lang w:val="en-US"/>
        </w:rPr>
        <w:t xml:space="preserve"> arrange long-term sale contracts </w:t>
      </w:r>
      <w:r w:rsidR="00B552E3">
        <w:rPr>
          <w:rFonts w:asciiTheme="majorBidi" w:hAnsiTheme="majorBidi" w:cstheme="majorBidi"/>
          <w:sz w:val="24"/>
          <w:szCs w:val="24"/>
          <w:lang w:val="en-US"/>
        </w:rPr>
        <w:t>that</w:t>
      </w:r>
      <w:r w:rsidRPr="00703898">
        <w:rPr>
          <w:rFonts w:asciiTheme="majorBidi" w:hAnsiTheme="majorBidi" w:cstheme="majorBidi"/>
          <w:sz w:val="24"/>
          <w:szCs w:val="24"/>
          <w:lang w:val="en-US"/>
        </w:rPr>
        <w:t xml:space="preserve"> support the project financing, by earning an excess return</w:t>
      </w:r>
      <w:r>
        <w:t xml:space="preserve"> </w:t>
      </w:r>
      <w:r w:rsidRPr="00703898">
        <w:rPr>
          <w:rFonts w:asciiTheme="majorBidi" w:hAnsiTheme="majorBidi" w:cstheme="majorBidi"/>
          <w:sz w:val="24"/>
          <w:szCs w:val="24"/>
          <w:lang w:val="en-US"/>
        </w:rPr>
        <w:t xml:space="preserve">above the average return on the invested funds. </w:t>
      </w:r>
      <w:r w:rsidR="001823F2" w:rsidRPr="001823F2">
        <w:rPr>
          <w:rFonts w:asciiTheme="majorBidi" w:hAnsiTheme="majorBidi" w:cstheme="majorBidi"/>
          <w:sz w:val="24"/>
          <w:szCs w:val="24"/>
          <w:lang w:val="en-US"/>
        </w:rPr>
        <w:t>Economists define this portion of the excess return that is higher than expected as “economic rent”.</w:t>
      </w:r>
    </w:p>
    <w:p w14:paraId="1A6BE225" w14:textId="4CC98042" w:rsidR="00703898" w:rsidRPr="00703898" w:rsidRDefault="004A3050" w:rsidP="00E93259">
      <w:pPr>
        <w:pStyle w:val="ListParagraph"/>
        <w:numPr>
          <w:ilvl w:val="0"/>
          <w:numId w:val="15"/>
        </w:numPr>
        <w:suppressAutoHyphens/>
        <w:spacing w:before="240"/>
        <w:ind w:left="567" w:hanging="357"/>
        <w:rPr>
          <w:rFonts w:asciiTheme="majorBidi" w:hAnsiTheme="majorBidi" w:cstheme="majorBidi"/>
          <w:b/>
          <w:bCs/>
          <w:sz w:val="24"/>
          <w:szCs w:val="24"/>
          <w:lang w:val="en-US"/>
        </w:rPr>
      </w:pPr>
      <w:r>
        <w:rPr>
          <w:rFonts w:asciiTheme="majorBidi" w:hAnsiTheme="majorBidi" w:cstheme="majorBidi"/>
          <w:b/>
          <w:bCs/>
          <w:sz w:val="24"/>
          <w:szCs w:val="24"/>
          <w:lang w:val="en-US"/>
        </w:rPr>
        <w:t>A</w:t>
      </w:r>
      <w:r w:rsidR="00703898" w:rsidRPr="00703898">
        <w:rPr>
          <w:rFonts w:asciiTheme="majorBidi" w:hAnsiTheme="majorBidi" w:cstheme="majorBidi"/>
          <w:b/>
          <w:bCs/>
          <w:sz w:val="24"/>
          <w:szCs w:val="24"/>
          <w:lang w:val="en-US"/>
        </w:rPr>
        <w:t xml:space="preserve">chieving </w:t>
      </w:r>
      <w:r w:rsidR="00823D51">
        <w:rPr>
          <w:rFonts w:asciiTheme="majorBidi" w:hAnsiTheme="majorBidi" w:cstheme="majorBidi"/>
          <w:b/>
          <w:bCs/>
          <w:sz w:val="24"/>
          <w:szCs w:val="24"/>
          <w:lang w:val="en-US"/>
        </w:rPr>
        <w:t xml:space="preserve">an </w:t>
      </w:r>
      <w:r w:rsidR="00703898" w:rsidRPr="00703898">
        <w:rPr>
          <w:rFonts w:asciiTheme="majorBidi" w:hAnsiTheme="majorBidi" w:cstheme="majorBidi"/>
          <w:b/>
          <w:bCs/>
          <w:sz w:val="24"/>
          <w:szCs w:val="24"/>
          <w:lang w:val="en-US"/>
        </w:rPr>
        <w:t>economy of scope</w:t>
      </w:r>
    </w:p>
    <w:p w14:paraId="37CF5FF6" w14:textId="08A99717" w:rsidR="00703898" w:rsidRPr="00703898" w:rsidRDefault="00B24AB5" w:rsidP="00E93259">
      <w:pPr>
        <w:suppressAutoHyphens/>
        <w:spacing w:before="240" w:line="360" w:lineRule="auto"/>
        <w:ind w:firstLine="567"/>
        <w:jc w:val="both"/>
        <w:rPr>
          <w:rFonts w:asciiTheme="majorBidi" w:hAnsiTheme="majorBidi" w:cstheme="majorBidi"/>
          <w:sz w:val="24"/>
          <w:szCs w:val="24"/>
          <w:lang w:val="en-US"/>
        </w:rPr>
      </w:pPr>
      <w:r w:rsidRPr="00B24AB5">
        <w:rPr>
          <w:rFonts w:asciiTheme="majorBidi" w:hAnsiTheme="majorBidi" w:cstheme="majorBidi"/>
          <w:sz w:val="24"/>
          <w:szCs w:val="24"/>
          <w:lang w:val="en-US"/>
        </w:rPr>
        <w:t xml:space="preserve">When more than a manufacturer joins each other to build a new facility in the economy's presence of scope in production, for instance, two aluminum producers might decide to construct a factory near a site where each has a large quantity of bauxite. Another example is the companies in a </w:t>
      </w:r>
      <w:r w:rsidRPr="00B24AB5">
        <w:rPr>
          <w:rFonts w:asciiTheme="majorBidi" w:hAnsiTheme="majorBidi" w:cstheme="majorBidi"/>
          <w:sz w:val="24"/>
          <w:szCs w:val="24"/>
          <w:lang w:val="en-US"/>
        </w:rPr>
        <w:lastRenderedPageBreak/>
        <w:t>highly industrialized area</w:t>
      </w:r>
      <w:r w:rsidR="006A138A">
        <w:rPr>
          <w:rFonts w:asciiTheme="majorBidi" w:hAnsiTheme="majorBidi" w:cstheme="majorBidi"/>
          <w:sz w:val="24"/>
          <w:szCs w:val="24"/>
          <w:lang w:val="en-US"/>
        </w:rPr>
        <w:t>;</w:t>
      </w:r>
      <w:r w:rsidRPr="00B24AB5">
        <w:rPr>
          <w:rFonts w:asciiTheme="majorBidi" w:hAnsiTheme="majorBidi" w:cstheme="majorBidi"/>
          <w:sz w:val="24"/>
          <w:szCs w:val="24"/>
          <w:lang w:val="en-US"/>
        </w:rPr>
        <w:t xml:space="preserve"> they may decide to cooperate to form a joint venture, with each firm agreeing to buy steam to meet its own needs for heat and the group selling all the excess electricity to the local electric utility</w:t>
      </w:r>
      <w:r w:rsidR="00703898" w:rsidRPr="00703898">
        <w:rPr>
          <w:rFonts w:asciiTheme="majorBidi" w:hAnsiTheme="majorBidi" w:cstheme="majorBidi"/>
          <w:sz w:val="24"/>
          <w:szCs w:val="24"/>
          <w:lang w:val="en-US"/>
        </w:rPr>
        <w:t>.</w:t>
      </w:r>
    </w:p>
    <w:p w14:paraId="29A134E3" w14:textId="76386CED" w:rsidR="00703898" w:rsidRPr="00703898" w:rsidRDefault="00703898" w:rsidP="00FB7FF9">
      <w:pPr>
        <w:pStyle w:val="ListParagraph"/>
        <w:numPr>
          <w:ilvl w:val="0"/>
          <w:numId w:val="15"/>
        </w:numPr>
        <w:spacing w:before="240"/>
        <w:ind w:left="567" w:hanging="357"/>
        <w:rPr>
          <w:rFonts w:asciiTheme="majorBidi" w:hAnsiTheme="majorBidi" w:cstheme="majorBidi"/>
          <w:b/>
          <w:bCs/>
          <w:sz w:val="24"/>
          <w:szCs w:val="24"/>
          <w:lang w:val="en-US"/>
        </w:rPr>
      </w:pPr>
      <w:r w:rsidRPr="00703898">
        <w:rPr>
          <w:rFonts w:asciiTheme="majorBidi" w:hAnsiTheme="majorBidi" w:cstheme="majorBidi"/>
          <w:b/>
          <w:bCs/>
          <w:sz w:val="24"/>
          <w:szCs w:val="24"/>
          <w:lang w:val="en-US"/>
        </w:rPr>
        <w:t xml:space="preserve">Risk </w:t>
      </w:r>
      <w:r w:rsidR="000366F9">
        <w:rPr>
          <w:rFonts w:asciiTheme="majorBidi" w:hAnsiTheme="majorBidi" w:cstheme="majorBidi"/>
          <w:b/>
          <w:bCs/>
          <w:sz w:val="24"/>
          <w:szCs w:val="24"/>
          <w:lang w:val="en-US"/>
        </w:rPr>
        <w:t>allocation</w:t>
      </w:r>
    </w:p>
    <w:p w14:paraId="2876BE1C" w14:textId="236BADDF" w:rsidR="00703898" w:rsidRPr="00703898" w:rsidRDefault="00B32AF9" w:rsidP="00E93259">
      <w:pPr>
        <w:suppressAutoHyphens/>
        <w:spacing w:before="240" w:line="360" w:lineRule="auto"/>
        <w:ind w:firstLine="567"/>
        <w:jc w:val="both"/>
        <w:rPr>
          <w:rFonts w:asciiTheme="majorBidi" w:hAnsiTheme="majorBidi" w:cstheme="majorBidi"/>
          <w:sz w:val="24"/>
          <w:szCs w:val="24"/>
          <w:lang w:val="en-US"/>
        </w:rPr>
      </w:pPr>
      <w:r w:rsidRPr="00B32AF9">
        <w:rPr>
          <w:rFonts w:asciiTheme="majorBidi" w:hAnsiTheme="majorBidi" w:cstheme="majorBidi"/>
          <w:sz w:val="24"/>
          <w:szCs w:val="24"/>
          <w:lang w:val="en-US"/>
        </w:rPr>
        <w:t>A joint venture allows the sponsors to share the project risk; if the project's cost is high concerning the sponsor's capitalization, the decision to undertake the project alone might seriously endanger the sponsor's future</w:t>
      </w:r>
      <w:r w:rsidR="00703898" w:rsidRPr="00703898">
        <w:rPr>
          <w:rFonts w:asciiTheme="majorBidi" w:hAnsiTheme="majorBidi" w:cstheme="majorBidi"/>
          <w:sz w:val="24"/>
          <w:szCs w:val="24"/>
          <w:lang w:val="en-US"/>
        </w:rPr>
        <w:t xml:space="preserve">. Similarly, the project may be too large for the host country </w:t>
      </w:r>
      <w:r w:rsidR="00DB6BF8" w:rsidRPr="00703898">
        <w:rPr>
          <w:rFonts w:asciiTheme="majorBidi" w:hAnsiTheme="majorBidi" w:cstheme="majorBidi"/>
          <w:sz w:val="24"/>
          <w:szCs w:val="24"/>
          <w:lang w:val="en-US"/>
        </w:rPr>
        <w:t>to finance</w:t>
      </w:r>
      <w:r w:rsidR="00703898" w:rsidRPr="00703898">
        <w:rPr>
          <w:rFonts w:asciiTheme="majorBidi" w:hAnsiTheme="majorBidi" w:cstheme="majorBidi"/>
          <w:sz w:val="24"/>
          <w:szCs w:val="24"/>
          <w:lang w:val="en-US"/>
        </w:rPr>
        <w:t xml:space="preserve"> from the country</w:t>
      </w:r>
      <w:r w:rsidR="00810EC1" w:rsidRPr="00810EC1">
        <w:rPr>
          <w:rFonts w:ascii="Times New Roman" w:hAnsi="Times New Roman" w:cs="Times New Roman"/>
          <w:sz w:val="24"/>
          <w:szCs w:val="24"/>
        </w:rPr>
        <w:t>'</w:t>
      </w:r>
      <w:r w:rsidR="00703898" w:rsidRPr="00703898">
        <w:rPr>
          <w:rFonts w:asciiTheme="majorBidi" w:hAnsiTheme="majorBidi" w:cstheme="majorBidi"/>
          <w:sz w:val="24"/>
          <w:szCs w:val="24"/>
          <w:lang w:val="en-US"/>
        </w:rPr>
        <w:t>s sources. Consequently, to reduce its risk exposure, the sponsor or host country can search for partners to form a joint venture.</w:t>
      </w:r>
    </w:p>
    <w:p w14:paraId="6E68033F" w14:textId="5DF79EE0" w:rsidR="00703898" w:rsidRPr="00703898" w:rsidRDefault="00703898" w:rsidP="00E93259">
      <w:pPr>
        <w:pStyle w:val="ListParagraph"/>
        <w:numPr>
          <w:ilvl w:val="0"/>
          <w:numId w:val="15"/>
        </w:numPr>
        <w:suppressAutoHyphens/>
        <w:spacing w:before="240"/>
        <w:ind w:left="567" w:hanging="357"/>
        <w:rPr>
          <w:rFonts w:asciiTheme="majorBidi" w:hAnsiTheme="majorBidi" w:cstheme="majorBidi"/>
          <w:b/>
          <w:bCs/>
          <w:sz w:val="24"/>
          <w:szCs w:val="24"/>
          <w:lang w:val="en-US"/>
        </w:rPr>
      </w:pPr>
      <w:r w:rsidRPr="00703898">
        <w:rPr>
          <w:rFonts w:asciiTheme="majorBidi" w:hAnsiTheme="majorBidi" w:cstheme="majorBidi"/>
          <w:b/>
          <w:bCs/>
          <w:sz w:val="24"/>
          <w:szCs w:val="24"/>
          <w:lang w:val="en-US"/>
        </w:rPr>
        <w:t xml:space="preserve">Expanding </w:t>
      </w:r>
      <w:r w:rsidR="00102EB0">
        <w:rPr>
          <w:rFonts w:asciiTheme="majorBidi" w:hAnsiTheme="majorBidi" w:cstheme="majorBidi"/>
          <w:b/>
          <w:bCs/>
          <w:sz w:val="24"/>
          <w:szCs w:val="24"/>
          <w:lang w:val="en-US"/>
        </w:rPr>
        <w:t>d</w:t>
      </w:r>
      <w:r w:rsidRPr="00703898">
        <w:rPr>
          <w:rFonts w:asciiTheme="majorBidi" w:hAnsiTheme="majorBidi" w:cstheme="majorBidi"/>
          <w:b/>
          <w:bCs/>
          <w:sz w:val="24"/>
          <w:szCs w:val="24"/>
          <w:lang w:val="en-US"/>
        </w:rPr>
        <w:t xml:space="preserve">ebt </w:t>
      </w:r>
      <w:r w:rsidR="00102EB0">
        <w:rPr>
          <w:rFonts w:asciiTheme="majorBidi" w:hAnsiTheme="majorBidi" w:cstheme="majorBidi"/>
          <w:b/>
          <w:bCs/>
          <w:sz w:val="24"/>
          <w:szCs w:val="24"/>
          <w:lang w:val="en-US"/>
        </w:rPr>
        <w:t>c</w:t>
      </w:r>
      <w:r w:rsidRPr="00703898">
        <w:rPr>
          <w:rFonts w:asciiTheme="majorBidi" w:hAnsiTheme="majorBidi" w:cstheme="majorBidi"/>
          <w:b/>
          <w:bCs/>
          <w:sz w:val="24"/>
          <w:szCs w:val="24"/>
          <w:lang w:val="en-US"/>
        </w:rPr>
        <w:t>apacity</w:t>
      </w:r>
    </w:p>
    <w:p w14:paraId="2751883E" w14:textId="714BA60B" w:rsidR="00703898" w:rsidRP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Project financing allows the project sponsor to finance the project on someone else</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 xml:space="preserve">s credit. The funds for the project are raised </w:t>
      </w:r>
      <w:r w:rsidR="00823D51" w:rsidRPr="00823D51">
        <w:rPr>
          <w:rFonts w:asciiTheme="majorBidi" w:hAnsiTheme="majorBidi" w:cstheme="majorBidi"/>
          <w:sz w:val="24"/>
          <w:szCs w:val="24"/>
          <w:lang w:val="en-US"/>
        </w:rPr>
        <w:t>based on</w:t>
      </w:r>
      <w:r w:rsidR="00823D51">
        <w:rPr>
          <w:rFonts w:asciiTheme="majorBidi" w:hAnsiTheme="majorBidi" w:cstheme="majorBidi"/>
          <w:sz w:val="24"/>
          <w:szCs w:val="24"/>
          <w:lang w:val="en-US"/>
        </w:rPr>
        <w:t xml:space="preserve"> </w:t>
      </w:r>
      <w:r w:rsidRPr="00703898">
        <w:rPr>
          <w:rFonts w:asciiTheme="majorBidi" w:hAnsiTheme="majorBidi" w:cstheme="majorBidi"/>
          <w:sz w:val="24"/>
          <w:szCs w:val="24"/>
          <w:lang w:val="en-US"/>
        </w:rPr>
        <w:t>the contractual commitments when the buyers enter a long</w:t>
      </w:r>
      <w:r w:rsidR="00930405">
        <w:rPr>
          <w:rFonts w:asciiTheme="majorBidi" w:hAnsiTheme="majorBidi" w:cstheme="majorBidi"/>
          <w:sz w:val="24"/>
          <w:szCs w:val="24"/>
          <w:lang w:val="en-US"/>
        </w:rPr>
        <w:t>-</w:t>
      </w:r>
      <w:r w:rsidRPr="00703898">
        <w:rPr>
          <w:rFonts w:asciiTheme="majorBidi" w:hAnsiTheme="majorBidi" w:cstheme="majorBidi"/>
          <w:sz w:val="24"/>
          <w:szCs w:val="24"/>
          <w:lang w:val="en-US"/>
        </w:rPr>
        <w:t>term contract to purchase the project</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 xml:space="preserve">s products or services, and when the contract provisions are set in such a way to ensure adequate cash flow to the project, enabling it to service its debt fully under all conditions. </w:t>
      </w:r>
      <w:r w:rsidR="00FB5471" w:rsidRPr="00FB5471">
        <w:rPr>
          <w:rFonts w:asciiTheme="majorBidi" w:hAnsiTheme="majorBidi" w:cstheme="majorBidi"/>
          <w:sz w:val="24"/>
          <w:szCs w:val="24"/>
          <w:lang w:val="en-US"/>
        </w:rPr>
        <w:t>If any unforeseen contingencies and the cash flow are inadequate, additional credit support agreements are required</w:t>
      </w:r>
      <w:r w:rsidRPr="00703898">
        <w:rPr>
          <w:rFonts w:asciiTheme="majorBidi" w:hAnsiTheme="majorBidi" w:cstheme="majorBidi"/>
          <w:sz w:val="24"/>
          <w:szCs w:val="24"/>
          <w:lang w:val="en-US"/>
        </w:rPr>
        <w:t>, or a foundation is established to support the project financing.</w:t>
      </w:r>
    </w:p>
    <w:p w14:paraId="7DE46BD7" w14:textId="5BFDEF5B" w:rsidR="00703898" w:rsidRP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 xml:space="preserve">The project company may finance with significantly greater leverage than would be </w:t>
      </w:r>
      <w:r w:rsidR="00B27B22" w:rsidRPr="00B27B22">
        <w:rPr>
          <w:rFonts w:asciiTheme="majorBidi" w:hAnsiTheme="majorBidi" w:cstheme="majorBidi"/>
          <w:sz w:val="24"/>
          <w:szCs w:val="24"/>
          <w:lang w:val="en-US"/>
        </w:rPr>
        <w:t xml:space="preserve">reasonable </w:t>
      </w:r>
      <w:r w:rsidRPr="00703898">
        <w:rPr>
          <w:rFonts w:asciiTheme="majorBidi" w:hAnsiTheme="majorBidi" w:cstheme="majorBidi"/>
          <w:sz w:val="24"/>
          <w:szCs w:val="24"/>
          <w:lang w:val="en-US"/>
        </w:rPr>
        <w:t>in the sponsor</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 xml:space="preserve">s capitalization. </w:t>
      </w:r>
      <w:r w:rsidR="00930405">
        <w:rPr>
          <w:rFonts w:asciiTheme="majorBidi" w:hAnsiTheme="majorBidi" w:cstheme="majorBidi"/>
          <w:sz w:val="24"/>
          <w:szCs w:val="24"/>
          <w:lang w:val="en-US"/>
        </w:rPr>
        <w:t>L</w:t>
      </w:r>
      <w:r w:rsidRPr="00703898">
        <w:rPr>
          <w:rFonts w:asciiTheme="majorBidi" w:hAnsiTheme="majorBidi" w:cstheme="majorBidi"/>
          <w:sz w:val="24"/>
          <w:szCs w:val="24"/>
          <w:lang w:val="en-US"/>
        </w:rPr>
        <w:t>everage that a project can achieve depends on the collateral level, the risks that the creditworthy participants are exposed to, the project type</w:t>
      </w:r>
      <w:r w:rsidR="00BA0C40">
        <w:rPr>
          <w:rFonts w:asciiTheme="majorBidi" w:hAnsiTheme="majorBidi" w:cstheme="majorBidi"/>
          <w:sz w:val="24"/>
          <w:szCs w:val="24"/>
          <w:lang w:val="en-US"/>
        </w:rPr>
        <w:t xml:space="preserve">, and </w:t>
      </w:r>
      <w:r w:rsidRPr="00703898">
        <w:rPr>
          <w:rFonts w:asciiTheme="majorBidi" w:hAnsiTheme="majorBidi" w:cstheme="majorBidi"/>
          <w:sz w:val="24"/>
          <w:szCs w:val="24"/>
          <w:lang w:val="en-US"/>
        </w:rPr>
        <w:t>the profitability.</w:t>
      </w:r>
    </w:p>
    <w:p w14:paraId="3F0A1596" w14:textId="060F2174" w:rsidR="00703898" w:rsidRPr="00703898" w:rsidRDefault="00703898" w:rsidP="00E93259">
      <w:pPr>
        <w:pStyle w:val="ListParagraph"/>
        <w:numPr>
          <w:ilvl w:val="0"/>
          <w:numId w:val="15"/>
        </w:numPr>
        <w:suppressAutoHyphens/>
        <w:spacing w:before="240"/>
        <w:ind w:left="567" w:hanging="357"/>
        <w:rPr>
          <w:rFonts w:asciiTheme="majorBidi" w:hAnsiTheme="majorBidi" w:cstheme="majorBidi"/>
          <w:b/>
          <w:bCs/>
          <w:sz w:val="24"/>
          <w:szCs w:val="24"/>
          <w:lang w:val="en-US"/>
        </w:rPr>
      </w:pPr>
      <w:r w:rsidRPr="00703898">
        <w:rPr>
          <w:rFonts w:asciiTheme="majorBidi" w:hAnsiTheme="majorBidi" w:cstheme="majorBidi"/>
          <w:b/>
          <w:bCs/>
          <w:sz w:val="24"/>
          <w:szCs w:val="24"/>
          <w:lang w:val="en-US"/>
        </w:rPr>
        <w:t xml:space="preserve">Lower </w:t>
      </w:r>
      <w:r w:rsidR="00102EB0">
        <w:rPr>
          <w:rFonts w:asciiTheme="majorBidi" w:hAnsiTheme="majorBidi" w:cstheme="majorBidi"/>
          <w:b/>
          <w:bCs/>
          <w:sz w:val="24"/>
          <w:szCs w:val="24"/>
          <w:lang w:val="en-US"/>
        </w:rPr>
        <w:t>o</w:t>
      </w:r>
      <w:r w:rsidRPr="00703898">
        <w:rPr>
          <w:rFonts w:asciiTheme="majorBidi" w:hAnsiTheme="majorBidi" w:cstheme="majorBidi"/>
          <w:b/>
          <w:bCs/>
          <w:sz w:val="24"/>
          <w:szCs w:val="24"/>
          <w:lang w:val="en-US"/>
        </w:rPr>
        <w:t xml:space="preserve">verall </w:t>
      </w:r>
      <w:r w:rsidR="00102EB0">
        <w:rPr>
          <w:rFonts w:asciiTheme="majorBidi" w:hAnsiTheme="majorBidi" w:cstheme="majorBidi"/>
          <w:b/>
          <w:bCs/>
          <w:sz w:val="24"/>
          <w:szCs w:val="24"/>
          <w:lang w:val="en-US"/>
        </w:rPr>
        <w:t>c</w:t>
      </w:r>
      <w:r w:rsidRPr="00703898">
        <w:rPr>
          <w:rFonts w:asciiTheme="majorBidi" w:hAnsiTheme="majorBidi" w:cstheme="majorBidi"/>
          <w:b/>
          <w:bCs/>
          <w:sz w:val="24"/>
          <w:szCs w:val="24"/>
          <w:lang w:val="en-US"/>
        </w:rPr>
        <w:t xml:space="preserve">ost of </w:t>
      </w:r>
      <w:r w:rsidR="00102EB0">
        <w:rPr>
          <w:rFonts w:asciiTheme="majorBidi" w:hAnsiTheme="majorBidi" w:cstheme="majorBidi"/>
          <w:b/>
          <w:bCs/>
          <w:sz w:val="24"/>
          <w:szCs w:val="24"/>
          <w:lang w:val="en-US"/>
        </w:rPr>
        <w:t>f</w:t>
      </w:r>
      <w:r w:rsidRPr="00703898">
        <w:rPr>
          <w:rFonts w:asciiTheme="majorBidi" w:hAnsiTheme="majorBidi" w:cstheme="majorBidi"/>
          <w:b/>
          <w:bCs/>
          <w:sz w:val="24"/>
          <w:szCs w:val="24"/>
          <w:lang w:val="en-US"/>
        </w:rPr>
        <w:t>unds</w:t>
      </w:r>
    </w:p>
    <w:p w14:paraId="00EAE65A" w14:textId="2D36E673" w:rsidR="00703898" w:rsidRP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 xml:space="preserve">If the project financing is more effective at resolving the agency problems inherent in financing a particular project, the project will be </w:t>
      </w:r>
      <w:r w:rsidR="008F4A0F">
        <w:rPr>
          <w:rFonts w:asciiTheme="majorBidi" w:hAnsiTheme="majorBidi" w:cstheme="majorBidi"/>
          <w:sz w:val="24"/>
          <w:szCs w:val="24"/>
          <w:lang w:val="en-US"/>
        </w:rPr>
        <w:t>able</w:t>
      </w:r>
      <w:r w:rsidRPr="00703898">
        <w:rPr>
          <w:rFonts w:asciiTheme="majorBidi" w:hAnsiTheme="majorBidi" w:cstheme="majorBidi"/>
          <w:sz w:val="24"/>
          <w:szCs w:val="24"/>
          <w:lang w:val="en-US"/>
        </w:rPr>
        <w:t xml:space="preserve"> to borrow funds at a </w:t>
      </w:r>
      <w:r w:rsidR="00BA0C40" w:rsidRPr="00703898">
        <w:rPr>
          <w:rFonts w:asciiTheme="majorBidi" w:hAnsiTheme="majorBidi" w:cstheme="majorBidi"/>
          <w:sz w:val="24"/>
          <w:szCs w:val="24"/>
          <w:lang w:val="en-US"/>
        </w:rPr>
        <w:t xml:space="preserve">lower </w:t>
      </w:r>
      <w:r w:rsidRPr="00703898">
        <w:rPr>
          <w:rFonts w:asciiTheme="majorBidi" w:hAnsiTheme="majorBidi" w:cstheme="majorBidi"/>
          <w:sz w:val="24"/>
          <w:szCs w:val="24"/>
          <w:lang w:val="en-US"/>
        </w:rPr>
        <w:t>cost tha</w:t>
      </w:r>
      <w:r w:rsidR="00930405">
        <w:rPr>
          <w:rFonts w:asciiTheme="majorBidi" w:hAnsiTheme="majorBidi" w:cstheme="majorBidi"/>
          <w:sz w:val="24"/>
          <w:szCs w:val="24"/>
          <w:lang w:val="en-US"/>
        </w:rPr>
        <w:t>n</w:t>
      </w:r>
      <w:r w:rsidRPr="00703898">
        <w:rPr>
          <w:rFonts w:asciiTheme="majorBidi" w:hAnsiTheme="majorBidi" w:cstheme="majorBidi"/>
          <w:sz w:val="24"/>
          <w:szCs w:val="24"/>
          <w:lang w:val="en-US"/>
        </w:rPr>
        <w:t xml:space="preserve"> the project sponsors could. Also, to the extent the project entity can achieve higher leverage than the sponsors can comfortably maintain on their own, the project</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 xml:space="preserve">s cost of capital will </w:t>
      </w:r>
      <w:r w:rsidR="00930405" w:rsidRPr="00930405">
        <w:rPr>
          <w:rFonts w:asciiTheme="majorBidi" w:hAnsiTheme="majorBidi" w:cstheme="majorBidi"/>
          <w:sz w:val="24"/>
          <w:szCs w:val="24"/>
          <w:lang w:val="en-US"/>
        </w:rPr>
        <w:t xml:space="preserve">enjoy </w:t>
      </w:r>
      <w:r w:rsidRPr="00703898">
        <w:rPr>
          <w:rFonts w:asciiTheme="majorBidi" w:hAnsiTheme="majorBidi" w:cstheme="majorBidi"/>
          <w:sz w:val="24"/>
          <w:szCs w:val="24"/>
          <w:lang w:val="en-US"/>
        </w:rPr>
        <w:t>the substitution of lower-cost debt for equity.</w:t>
      </w:r>
    </w:p>
    <w:p w14:paraId="4E93A96A" w14:textId="5987BC02" w:rsidR="00703898" w:rsidRPr="00703898" w:rsidRDefault="00703898" w:rsidP="00E93259">
      <w:pPr>
        <w:pStyle w:val="ListParagraph"/>
        <w:numPr>
          <w:ilvl w:val="0"/>
          <w:numId w:val="15"/>
        </w:numPr>
        <w:suppressAutoHyphens/>
        <w:spacing w:before="240"/>
        <w:ind w:left="567" w:hanging="357"/>
        <w:rPr>
          <w:rFonts w:asciiTheme="majorBidi" w:hAnsiTheme="majorBidi" w:cstheme="majorBidi"/>
          <w:b/>
          <w:bCs/>
          <w:sz w:val="24"/>
          <w:szCs w:val="24"/>
          <w:lang w:val="en-US"/>
        </w:rPr>
      </w:pPr>
      <w:r w:rsidRPr="00703898">
        <w:rPr>
          <w:rFonts w:asciiTheme="majorBidi" w:hAnsiTheme="majorBidi" w:cstheme="majorBidi"/>
          <w:b/>
          <w:bCs/>
          <w:sz w:val="24"/>
          <w:szCs w:val="24"/>
          <w:lang w:val="en-US"/>
        </w:rPr>
        <w:t xml:space="preserve">Release of </w:t>
      </w:r>
      <w:r w:rsidR="00102EB0">
        <w:rPr>
          <w:rFonts w:asciiTheme="majorBidi" w:hAnsiTheme="majorBidi" w:cstheme="majorBidi"/>
          <w:b/>
          <w:bCs/>
          <w:sz w:val="24"/>
          <w:szCs w:val="24"/>
          <w:lang w:val="en-US"/>
        </w:rPr>
        <w:t>f</w:t>
      </w:r>
      <w:r w:rsidRPr="00703898">
        <w:rPr>
          <w:rFonts w:asciiTheme="majorBidi" w:hAnsiTheme="majorBidi" w:cstheme="majorBidi"/>
          <w:b/>
          <w:bCs/>
          <w:sz w:val="24"/>
          <w:szCs w:val="24"/>
          <w:lang w:val="en-US"/>
        </w:rPr>
        <w:t xml:space="preserve">ree </w:t>
      </w:r>
      <w:r w:rsidR="00102EB0">
        <w:rPr>
          <w:rFonts w:asciiTheme="majorBidi" w:hAnsiTheme="majorBidi" w:cstheme="majorBidi"/>
          <w:b/>
          <w:bCs/>
          <w:sz w:val="24"/>
          <w:szCs w:val="24"/>
          <w:lang w:val="en-US"/>
        </w:rPr>
        <w:t>c</w:t>
      </w:r>
      <w:r w:rsidRPr="00703898">
        <w:rPr>
          <w:rFonts w:asciiTheme="majorBidi" w:hAnsiTheme="majorBidi" w:cstheme="majorBidi"/>
          <w:b/>
          <w:bCs/>
          <w:sz w:val="24"/>
          <w:szCs w:val="24"/>
          <w:lang w:val="en-US"/>
        </w:rPr>
        <w:t xml:space="preserve">ash </w:t>
      </w:r>
      <w:r w:rsidR="00102EB0">
        <w:rPr>
          <w:rFonts w:asciiTheme="majorBidi" w:hAnsiTheme="majorBidi" w:cstheme="majorBidi"/>
          <w:b/>
          <w:bCs/>
          <w:sz w:val="24"/>
          <w:szCs w:val="24"/>
          <w:lang w:val="en-US"/>
        </w:rPr>
        <w:t>f</w:t>
      </w:r>
      <w:r w:rsidRPr="00703898">
        <w:rPr>
          <w:rFonts w:asciiTheme="majorBidi" w:hAnsiTheme="majorBidi" w:cstheme="majorBidi"/>
          <w:b/>
          <w:bCs/>
          <w:sz w:val="24"/>
          <w:szCs w:val="24"/>
          <w:lang w:val="en-US"/>
        </w:rPr>
        <w:t>low</w:t>
      </w:r>
    </w:p>
    <w:p w14:paraId="11D7337C" w14:textId="69ED7C9C" w:rsidR="00703898" w:rsidRP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The project entity</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life is limited. Its “dividend policy” is usually specified contractually at the time any external equity financing is arranged. Cash flow that is not required to cover operating expenses, debt service, or make capital improvements “so-called free cash flow” is distributed to the project</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equity investors. Thus, the equity investors, rather than professional managers, decide how the project</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free cash flow will be reinvested.</w:t>
      </w:r>
    </w:p>
    <w:p w14:paraId="07DED12D" w14:textId="45A2795D" w:rsidR="00703898" w:rsidRPr="00703898" w:rsidRDefault="00C772D6" w:rsidP="00E93259">
      <w:pPr>
        <w:suppressAutoHyphens/>
        <w:spacing w:before="240" w:line="360" w:lineRule="auto"/>
        <w:ind w:firstLine="567"/>
        <w:jc w:val="both"/>
        <w:rPr>
          <w:rFonts w:asciiTheme="majorBidi" w:hAnsiTheme="majorBidi" w:cstheme="majorBidi"/>
          <w:sz w:val="24"/>
          <w:szCs w:val="24"/>
          <w:lang w:val="en-US"/>
        </w:rPr>
      </w:pPr>
      <w:r w:rsidRPr="00C772D6">
        <w:rPr>
          <w:rFonts w:asciiTheme="majorBidi" w:hAnsiTheme="majorBidi" w:cstheme="majorBidi"/>
          <w:sz w:val="24"/>
          <w:szCs w:val="24"/>
          <w:lang w:val="en-US"/>
        </w:rPr>
        <w:lastRenderedPageBreak/>
        <w:t>Project finance eliminates the discretion of the company's board of directors and gives more freedom to the investors to decide the distribution of the cash flow obtained.</w:t>
      </w:r>
      <w:r w:rsidR="00703898" w:rsidRPr="00703898">
        <w:rPr>
          <w:rFonts w:asciiTheme="majorBidi" w:hAnsiTheme="majorBidi" w:cstheme="majorBidi"/>
          <w:sz w:val="24"/>
          <w:szCs w:val="24"/>
          <w:lang w:val="en-US"/>
        </w:rPr>
        <w:t xml:space="preserve"> </w:t>
      </w:r>
      <w:r w:rsidR="006A138A" w:rsidRPr="006A138A">
        <w:rPr>
          <w:rFonts w:asciiTheme="majorBidi" w:hAnsiTheme="majorBidi" w:cstheme="majorBidi"/>
          <w:sz w:val="24"/>
          <w:szCs w:val="24"/>
          <w:lang w:val="en-US"/>
        </w:rPr>
        <w:t>Simultaneously, with the reduction of the risk that the free cash flow can be retained and reinvested without the capital investors' consent, the project's equity capital costs are reduced.</w:t>
      </w:r>
    </w:p>
    <w:p w14:paraId="0A0B5683" w14:textId="6BB4A008" w:rsid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 xml:space="preserve">However, the sponsor </w:t>
      </w:r>
      <w:r w:rsidR="008F5B90">
        <w:rPr>
          <w:rFonts w:asciiTheme="majorBidi" w:hAnsiTheme="majorBidi" w:cstheme="majorBidi"/>
          <w:sz w:val="24"/>
          <w:szCs w:val="24"/>
          <w:lang w:val="en-US"/>
        </w:rPr>
        <w:t>can</w:t>
      </w:r>
      <w:r w:rsidRPr="00703898">
        <w:rPr>
          <w:rFonts w:asciiTheme="majorBidi" w:hAnsiTheme="majorBidi" w:cstheme="majorBidi"/>
          <w:sz w:val="24"/>
          <w:szCs w:val="24"/>
          <w:lang w:val="en-US"/>
        </w:rPr>
        <w:t xml:space="preserve"> negotiate with the investors about new projects</w:t>
      </w:r>
      <w:r w:rsidR="00CE1038">
        <w:rPr>
          <w:rFonts w:asciiTheme="majorBidi" w:hAnsiTheme="majorBidi" w:cstheme="majorBidi"/>
          <w:sz w:val="24"/>
          <w:szCs w:val="24"/>
          <w:lang w:val="en-US"/>
        </w:rPr>
        <w:t xml:space="preserve"> </w:t>
      </w:r>
      <w:r w:rsidR="00CE1038" w:rsidRPr="00CE1038">
        <w:rPr>
          <w:rFonts w:asciiTheme="majorBidi" w:hAnsiTheme="majorBidi" w:cstheme="majorBidi"/>
          <w:sz w:val="24"/>
          <w:szCs w:val="24"/>
          <w:lang w:val="en-US"/>
        </w:rPr>
        <w:t>that are believed to be profitable</w:t>
      </w:r>
      <w:r w:rsidR="00FC609D">
        <w:rPr>
          <w:rFonts w:asciiTheme="majorBidi" w:hAnsiTheme="majorBidi" w:cstheme="majorBidi"/>
          <w:sz w:val="24"/>
          <w:szCs w:val="24"/>
          <w:lang w:val="en-US"/>
        </w:rPr>
        <w:t>;</w:t>
      </w:r>
      <w:r w:rsidRPr="00703898">
        <w:rPr>
          <w:rFonts w:asciiTheme="majorBidi" w:hAnsiTheme="majorBidi" w:cstheme="majorBidi"/>
          <w:sz w:val="24"/>
          <w:szCs w:val="24"/>
          <w:lang w:val="en-US"/>
        </w:rPr>
        <w:t xml:space="preserve"> </w:t>
      </w:r>
      <w:r w:rsidR="00CE1038">
        <w:rPr>
          <w:rFonts w:asciiTheme="majorBidi" w:hAnsiTheme="majorBidi" w:cstheme="majorBidi"/>
          <w:sz w:val="24"/>
          <w:szCs w:val="24"/>
          <w:lang w:val="en-US"/>
        </w:rPr>
        <w:t>he</w:t>
      </w:r>
      <w:r w:rsidRPr="00703898">
        <w:rPr>
          <w:rFonts w:asciiTheme="majorBidi" w:hAnsiTheme="majorBidi" w:cstheme="majorBidi"/>
          <w:sz w:val="24"/>
          <w:szCs w:val="24"/>
          <w:lang w:val="en-US"/>
        </w:rPr>
        <w:t xml:space="preserve"> can negotiate </w:t>
      </w:r>
      <w:r w:rsidR="00CE1038">
        <w:rPr>
          <w:rFonts w:asciiTheme="majorBidi" w:hAnsiTheme="majorBidi" w:cstheme="majorBidi"/>
          <w:sz w:val="24"/>
          <w:szCs w:val="24"/>
          <w:lang w:val="en-US"/>
        </w:rPr>
        <w:t>to finance</w:t>
      </w:r>
      <w:r w:rsidRPr="00703898">
        <w:rPr>
          <w:rFonts w:asciiTheme="majorBidi" w:hAnsiTheme="majorBidi" w:cstheme="majorBidi"/>
          <w:sz w:val="24"/>
          <w:szCs w:val="24"/>
          <w:lang w:val="en-US"/>
        </w:rPr>
        <w:t xml:space="preserve"> these projects with the equity investors. If they agree to fund any of these additional investments within the project entity, the dividend requirement can be waived by mutual agreement and the funds invested accordingly.</w:t>
      </w:r>
    </w:p>
    <w:p w14:paraId="700284AD" w14:textId="307D71FC" w:rsidR="00703898" w:rsidRPr="00703898" w:rsidRDefault="00703898" w:rsidP="00E93259">
      <w:pPr>
        <w:pStyle w:val="ListParagraph"/>
        <w:numPr>
          <w:ilvl w:val="0"/>
          <w:numId w:val="15"/>
        </w:numPr>
        <w:suppressAutoHyphens/>
        <w:spacing w:before="240"/>
        <w:ind w:left="567" w:hanging="357"/>
        <w:rPr>
          <w:rFonts w:asciiTheme="majorBidi" w:hAnsiTheme="majorBidi" w:cstheme="majorBidi"/>
          <w:b/>
          <w:bCs/>
          <w:sz w:val="24"/>
          <w:szCs w:val="24"/>
          <w:lang w:val="en-US"/>
        </w:rPr>
      </w:pPr>
      <w:r w:rsidRPr="00703898">
        <w:rPr>
          <w:rFonts w:asciiTheme="majorBidi" w:hAnsiTheme="majorBidi" w:cstheme="majorBidi"/>
          <w:b/>
          <w:bCs/>
          <w:sz w:val="24"/>
          <w:szCs w:val="24"/>
          <w:lang w:val="en-US"/>
        </w:rPr>
        <w:t xml:space="preserve">Reduced </w:t>
      </w:r>
      <w:r w:rsidR="00102EB0">
        <w:rPr>
          <w:rFonts w:asciiTheme="majorBidi" w:hAnsiTheme="majorBidi" w:cstheme="majorBidi"/>
          <w:b/>
          <w:bCs/>
          <w:sz w:val="24"/>
          <w:szCs w:val="24"/>
          <w:lang w:val="en-US"/>
        </w:rPr>
        <w:t>c</w:t>
      </w:r>
      <w:r w:rsidRPr="00703898">
        <w:rPr>
          <w:rFonts w:asciiTheme="majorBidi" w:hAnsiTheme="majorBidi" w:cstheme="majorBidi"/>
          <w:b/>
          <w:bCs/>
          <w:sz w:val="24"/>
          <w:szCs w:val="24"/>
          <w:lang w:val="en-US"/>
        </w:rPr>
        <w:t xml:space="preserve">ost of </w:t>
      </w:r>
      <w:r w:rsidR="00102EB0">
        <w:rPr>
          <w:rFonts w:asciiTheme="majorBidi" w:hAnsiTheme="majorBidi" w:cstheme="majorBidi"/>
          <w:b/>
          <w:bCs/>
          <w:sz w:val="24"/>
          <w:szCs w:val="24"/>
          <w:lang w:val="en-US"/>
        </w:rPr>
        <w:t>r</w:t>
      </w:r>
      <w:r w:rsidRPr="00703898">
        <w:rPr>
          <w:rFonts w:asciiTheme="majorBidi" w:hAnsiTheme="majorBidi" w:cstheme="majorBidi"/>
          <w:b/>
          <w:bCs/>
          <w:sz w:val="24"/>
          <w:szCs w:val="24"/>
          <w:lang w:val="en-US"/>
        </w:rPr>
        <w:t xml:space="preserve">esolving </w:t>
      </w:r>
      <w:r w:rsidR="00102EB0">
        <w:rPr>
          <w:rFonts w:asciiTheme="majorBidi" w:hAnsiTheme="majorBidi" w:cstheme="majorBidi"/>
          <w:b/>
          <w:bCs/>
          <w:sz w:val="24"/>
          <w:szCs w:val="24"/>
          <w:lang w:val="en-US"/>
        </w:rPr>
        <w:t>f</w:t>
      </w:r>
      <w:r w:rsidRPr="00703898">
        <w:rPr>
          <w:rFonts w:asciiTheme="majorBidi" w:hAnsiTheme="majorBidi" w:cstheme="majorBidi"/>
          <w:b/>
          <w:bCs/>
          <w:sz w:val="24"/>
          <w:szCs w:val="24"/>
          <w:lang w:val="en-US"/>
        </w:rPr>
        <w:t>inancial disorders</w:t>
      </w:r>
    </w:p>
    <w:p w14:paraId="2BA8DDAE" w14:textId="1F4E0763" w:rsid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The structure of a project</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liabilities is less complex than the sponsor</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liabilities</w:t>
      </w:r>
      <w:r w:rsidR="0059617D">
        <w:rPr>
          <w:rFonts w:asciiTheme="majorBidi" w:hAnsiTheme="majorBidi" w:cstheme="majorBidi"/>
          <w:sz w:val="24"/>
          <w:szCs w:val="24"/>
          <w:lang w:val="en-US"/>
        </w:rPr>
        <w:t>, as</w:t>
      </w:r>
      <w:r w:rsidRPr="00703898">
        <w:rPr>
          <w:rFonts w:asciiTheme="majorBidi" w:hAnsiTheme="majorBidi" w:cstheme="majorBidi"/>
          <w:sz w:val="24"/>
          <w:szCs w:val="24"/>
          <w:lang w:val="en-US"/>
        </w:rPr>
        <w:t xml:space="preserve"> the structure of the project entity mainly includes one class of debt. In general, the time and cost required to resolve financial disorders increase with the </w:t>
      </w:r>
      <w:r w:rsidR="00C51673" w:rsidRPr="00C51673">
        <w:rPr>
          <w:rFonts w:asciiTheme="majorBidi" w:hAnsiTheme="majorBidi" w:cstheme="majorBidi"/>
          <w:sz w:val="24"/>
          <w:szCs w:val="24"/>
          <w:lang w:val="en-US"/>
        </w:rPr>
        <w:t>rise</w:t>
      </w:r>
      <w:r w:rsidR="00C51673">
        <w:rPr>
          <w:rFonts w:asciiTheme="majorBidi" w:hAnsiTheme="majorBidi" w:cstheme="majorBidi"/>
          <w:sz w:val="24"/>
          <w:szCs w:val="24"/>
          <w:lang w:val="en-US"/>
        </w:rPr>
        <w:t xml:space="preserve"> </w:t>
      </w:r>
      <w:r w:rsidRPr="00703898">
        <w:rPr>
          <w:rFonts w:asciiTheme="majorBidi" w:hAnsiTheme="majorBidi" w:cstheme="majorBidi"/>
          <w:sz w:val="24"/>
          <w:szCs w:val="24"/>
          <w:lang w:val="en-US"/>
        </w:rPr>
        <w:t>in the number of claimants and with the complexity of the debtor</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 xml:space="preserve">s capital structure. An independent entity with one principal class of debt, particularly if the debt is held privately by a </w:t>
      </w:r>
      <w:r w:rsidR="00C51673">
        <w:rPr>
          <w:rFonts w:asciiTheme="majorBidi" w:hAnsiTheme="majorBidi" w:cstheme="majorBidi"/>
          <w:sz w:val="24"/>
          <w:szCs w:val="24"/>
          <w:lang w:val="en-US"/>
        </w:rPr>
        <w:t>few</w:t>
      </w:r>
      <w:r w:rsidRPr="00703898">
        <w:rPr>
          <w:rFonts w:asciiTheme="majorBidi" w:hAnsiTheme="majorBidi" w:cstheme="majorBidi"/>
          <w:sz w:val="24"/>
          <w:szCs w:val="24"/>
          <w:lang w:val="en-US"/>
        </w:rPr>
        <w:t xml:space="preserve"> financial institutions</w:t>
      </w:r>
      <w:r w:rsidR="0059617D">
        <w:rPr>
          <w:rFonts w:asciiTheme="majorBidi" w:hAnsiTheme="majorBidi" w:cstheme="majorBidi"/>
          <w:sz w:val="24"/>
          <w:szCs w:val="24"/>
          <w:lang w:val="en-US"/>
        </w:rPr>
        <w:t>,</w:t>
      </w:r>
      <w:r w:rsidRPr="00703898">
        <w:rPr>
          <w:rFonts w:asciiTheme="majorBidi" w:hAnsiTheme="majorBidi" w:cstheme="majorBidi"/>
          <w:sz w:val="24"/>
          <w:szCs w:val="24"/>
          <w:lang w:val="en-US"/>
        </w:rPr>
        <w:t xml:space="preserve"> </w:t>
      </w:r>
      <w:r w:rsidR="00C51673">
        <w:rPr>
          <w:rFonts w:asciiTheme="majorBidi" w:hAnsiTheme="majorBidi" w:cstheme="majorBidi"/>
          <w:sz w:val="24"/>
          <w:szCs w:val="24"/>
          <w:lang w:val="en-US"/>
        </w:rPr>
        <w:t>tends</w:t>
      </w:r>
      <w:r w:rsidRPr="00703898">
        <w:rPr>
          <w:rFonts w:asciiTheme="majorBidi" w:hAnsiTheme="majorBidi" w:cstheme="majorBidi"/>
          <w:sz w:val="24"/>
          <w:szCs w:val="24"/>
          <w:lang w:val="en-US"/>
        </w:rPr>
        <w:t xml:space="preserve"> to </w:t>
      </w:r>
      <w:r w:rsidR="00220DE7" w:rsidRPr="00703898">
        <w:rPr>
          <w:rFonts w:asciiTheme="majorBidi" w:hAnsiTheme="majorBidi" w:cstheme="majorBidi"/>
          <w:sz w:val="24"/>
          <w:szCs w:val="24"/>
          <w:lang w:val="en-US"/>
        </w:rPr>
        <w:t xml:space="preserve">easily </w:t>
      </w:r>
      <w:r w:rsidRPr="00703898">
        <w:rPr>
          <w:rFonts w:asciiTheme="majorBidi" w:hAnsiTheme="majorBidi" w:cstheme="majorBidi"/>
          <w:sz w:val="24"/>
          <w:szCs w:val="24"/>
          <w:lang w:val="en-US"/>
        </w:rPr>
        <w:t>get out of financial disorders.</w:t>
      </w:r>
    </w:p>
    <w:p w14:paraId="084D275E" w14:textId="7B08688B" w:rsidR="00703898" w:rsidRPr="00703898" w:rsidRDefault="00703898" w:rsidP="00E93259">
      <w:pPr>
        <w:pStyle w:val="ListParagraph"/>
        <w:numPr>
          <w:ilvl w:val="0"/>
          <w:numId w:val="15"/>
        </w:numPr>
        <w:suppressAutoHyphens/>
        <w:spacing w:before="240"/>
        <w:ind w:left="567" w:hanging="357"/>
        <w:rPr>
          <w:rFonts w:asciiTheme="majorBidi" w:hAnsiTheme="majorBidi" w:cstheme="majorBidi"/>
          <w:b/>
          <w:bCs/>
          <w:sz w:val="24"/>
          <w:szCs w:val="24"/>
          <w:lang w:val="en-US"/>
        </w:rPr>
      </w:pPr>
      <w:r w:rsidRPr="00703898">
        <w:rPr>
          <w:rFonts w:asciiTheme="majorBidi" w:hAnsiTheme="majorBidi" w:cstheme="majorBidi"/>
          <w:b/>
          <w:bCs/>
          <w:sz w:val="24"/>
          <w:szCs w:val="24"/>
          <w:lang w:val="en-US"/>
        </w:rPr>
        <w:t xml:space="preserve">Reduced </w:t>
      </w:r>
      <w:r w:rsidR="00102EB0">
        <w:rPr>
          <w:rFonts w:asciiTheme="majorBidi" w:hAnsiTheme="majorBidi" w:cstheme="majorBidi"/>
          <w:b/>
          <w:bCs/>
          <w:sz w:val="24"/>
          <w:szCs w:val="24"/>
          <w:lang w:val="en-US"/>
        </w:rPr>
        <w:t>l</w:t>
      </w:r>
      <w:r w:rsidRPr="00703898">
        <w:rPr>
          <w:rFonts w:asciiTheme="majorBidi" w:hAnsiTheme="majorBidi" w:cstheme="majorBidi"/>
          <w:b/>
          <w:bCs/>
          <w:sz w:val="24"/>
          <w:szCs w:val="24"/>
          <w:lang w:val="en-US"/>
        </w:rPr>
        <w:t>egal costs</w:t>
      </w:r>
    </w:p>
    <w:p w14:paraId="0B538075" w14:textId="4D7FDA4F" w:rsidR="00D1365B" w:rsidRPr="00703898" w:rsidRDefault="00703898" w:rsidP="00E93259">
      <w:pPr>
        <w:suppressAutoHyphens/>
        <w:spacing w:before="240" w:line="360" w:lineRule="auto"/>
        <w:ind w:firstLine="567"/>
        <w:jc w:val="both"/>
        <w:rPr>
          <w:rFonts w:asciiTheme="majorBidi" w:hAnsiTheme="majorBidi" w:cstheme="majorBidi"/>
          <w:sz w:val="24"/>
          <w:szCs w:val="24"/>
          <w:lang w:val="en-US"/>
        </w:rPr>
      </w:pPr>
      <w:r w:rsidRPr="00703898">
        <w:rPr>
          <w:rFonts w:asciiTheme="majorBidi" w:hAnsiTheme="majorBidi" w:cstheme="majorBidi"/>
          <w:sz w:val="24"/>
          <w:szCs w:val="24"/>
          <w:lang w:val="en-US"/>
        </w:rPr>
        <w:t>Certain types of projects</w:t>
      </w:r>
      <w:r w:rsidR="001C3E01">
        <w:rPr>
          <w:rFonts w:asciiTheme="majorBidi" w:hAnsiTheme="majorBidi" w:cstheme="majorBidi"/>
          <w:sz w:val="24"/>
          <w:szCs w:val="24"/>
          <w:lang w:val="en-US"/>
        </w:rPr>
        <w:t xml:space="preserve">, </w:t>
      </w:r>
      <w:r w:rsidRPr="00703898">
        <w:rPr>
          <w:rFonts w:asciiTheme="majorBidi" w:hAnsiTheme="majorBidi" w:cstheme="majorBidi"/>
          <w:sz w:val="24"/>
          <w:szCs w:val="24"/>
          <w:lang w:val="en-US"/>
        </w:rPr>
        <w:t>like cogeneration projects</w:t>
      </w:r>
      <w:r w:rsidR="001C3E01">
        <w:rPr>
          <w:rFonts w:asciiTheme="majorBidi" w:hAnsiTheme="majorBidi" w:cstheme="majorBidi"/>
          <w:sz w:val="24"/>
          <w:szCs w:val="24"/>
          <w:lang w:val="en-US"/>
        </w:rPr>
        <w:t>,</w:t>
      </w:r>
      <w:r w:rsidRPr="00703898">
        <w:rPr>
          <w:rFonts w:asciiTheme="majorBidi" w:hAnsiTheme="majorBidi" w:cstheme="majorBidi"/>
          <w:sz w:val="24"/>
          <w:szCs w:val="24"/>
          <w:lang w:val="en-US"/>
        </w:rPr>
        <w:t xml:space="preserve"> include legal and regulatory costs that will be borne more cheaply by experienced sponsors. For instance, chemical and petroleum companies that undertake a cogeneration project on its own would face considerable costs that result from the ignorance of the technology and regulatory requirements</w:t>
      </w:r>
      <w:r w:rsidR="001C3E01">
        <w:rPr>
          <w:rFonts w:asciiTheme="majorBidi" w:hAnsiTheme="majorBidi" w:cstheme="majorBidi"/>
          <w:sz w:val="24"/>
          <w:szCs w:val="24"/>
          <w:lang w:val="en-US"/>
        </w:rPr>
        <w:t>;</w:t>
      </w:r>
      <w:r w:rsidRPr="00703898">
        <w:rPr>
          <w:rFonts w:asciiTheme="majorBidi" w:hAnsiTheme="majorBidi" w:cstheme="majorBidi"/>
          <w:sz w:val="24"/>
          <w:szCs w:val="24"/>
          <w:lang w:val="en-US"/>
        </w:rPr>
        <w:t xml:space="preserve"> the economic sustainability of the project will depend on the further cooperation with regulatory bodies (which must approve the terms on which the electric utility company purchases the cogeneration project</w:t>
      </w:r>
      <w:r w:rsidR="00810EC1" w:rsidRPr="00810EC1">
        <w:rPr>
          <w:rFonts w:ascii="Times New Roman" w:hAnsi="Times New Roman" w:cs="Times New Roman"/>
          <w:sz w:val="24"/>
          <w:szCs w:val="24"/>
        </w:rPr>
        <w:t>'</w:t>
      </w:r>
      <w:r w:rsidRPr="00703898">
        <w:rPr>
          <w:rFonts w:asciiTheme="majorBidi" w:hAnsiTheme="majorBidi" w:cstheme="majorBidi"/>
          <w:sz w:val="24"/>
          <w:szCs w:val="24"/>
          <w:lang w:val="en-US"/>
        </w:rPr>
        <w:t>s excess electricity). When managed expertly, project financing can lead to economies of scale in controlling legal and regulatory costs, as they can apply the knowledge and experience gained in earlier cogeneration projects.</w:t>
      </w:r>
    </w:p>
    <w:p w14:paraId="180BCC5E" w14:textId="36A1AF64" w:rsidR="00965783" w:rsidRPr="00FB7FF9" w:rsidRDefault="007F3C48" w:rsidP="00E93259">
      <w:pPr>
        <w:suppressAutoHyphens/>
        <w:spacing w:before="240" w:line="360" w:lineRule="auto"/>
        <w:ind w:firstLine="567"/>
        <w:jc w:val="both"/>
        <w:rPr>
          <w:rFonts w:asciiTheme="majorBidi" w:hAnsiTheme="majorBidi" w:cstheme="majorBidi"/>
          <w:b/>
          <w:bCs/>
          <w:sz w:val="24"/>
          <w:szCs w:val="24"/>
          <w:lang w:val="en-US"/>
        </w:rPr>
      </w:pPr>
      <w:r>
        <w:rPr>
          <w:rFonts w:asciiTheme="majorBidi" w:hAnsiTheme="majorBidi" w:cstheme="majorBidi"/>
          <w:b/>
          <w:bCs/>
          <w:sz w:val="24"/>
          <w:szCs w:val="24"/>
          <w:lang w:val="en-US"/>
        </w:rPr>
        <w:t>D</w:t>
      </w:r>
      <w:r w:rsidR="00AC08B4" w:rsidRPr="00AC08B4">
        <w:rPr>
          <w:rFonts w:asciiTheme="majorBidi" w:hAnsiTheme="majorBidi" w:cstheme="majorBidi"/>
          <w:b/>
          <w:bCs/>
          <w:sz w:val="24"/>
          <w:szCs w:val="24"/>
          <w:lang w:val="en-US"/>
        </w:rPr>
        <w:t>isadvantages of project finance</w:t>
      </w:r>
      <w:r w:rsidR="00FB7FF9">
        <w:rPr>
          <w:rFonts w:asciiTheme="majorBidi" w:hAnsiTheme="majorBidi" w:cstheme="majorBidi"/>
          <w:b/>
          <w:bCs/>
          <w:sz w:val="24"/>
          <w:szCs w:val="24"/>
          <w:lang w:val="en-US"/>
        </w:rPr>
        <w:t xml:space="preserve">. </w:t>
      </w:r>
      <w:r w:rsidR="00965783" w:rsidRPr="00BA788A">
        <w:rPr>
          <w:rFonts w:asciiTheme="majorBidi" w:hAnsiTheme="majorBidi" w:cstheme="majorBidi"/>
          <w:sz w:val="24"/>
          <w:szCs w:val="24"/>
        </w:rPr>
        <w:t>So far, we have focused on the advantages and motivations of using project finance. However, there are also costs to</w:t>
      </w:r>
      <w:r w:rsidR="00BA0C40">
        <w:rPr>
          <w:rFonts w:asciiTheme="majorBidi" w:hAnsiTheme="majorBidi" w:cstheme="majorBidi"/>
          <w:sz w:val="24"/>
          <w:szCs w:val="24"/>
        </w:rPr>
        <w:t xml:space="preserve"> be</w:t>
      </w:r>
      <w:r w:rsidR="00965783" w:rsidRPr="00BA788A">
        <w:rPr>
          <w:rFonts w:asciiTheme="majorBidi" w:hAnsiTheme="majorBidi" w:cstheme="majorBidi"/>
          <w:sz w:val="24"/>
          <w:szCs w:val="24"/>
        </w:rPr>
        <w:t xml:space="preserve"> </w:t>
      </w:r>
      <w:r w:rsidR="001C3E01" w:rsidRPr="00BA788A">
        <w:rPr>
          <w:rFonts w:asciiTheme="majorBidi" w:hAnsiTheme="majorBidi" w:cstheme="majorBidi"/>
          <w:sz w:val="24"/>
          <w:szCs w:val="24"/>
        </w:rPr>
        <w:t>consider</w:t>
      </w:r>
      <w:r w:rsidR="001C3E01">
        <w:rPr>
          <w:rFonts w:asciiTheme="majorBidi" w:hAnsiTheme="majorBidi" w:cstheme="majorBidi"/>
          <w:sz w:val="24"/>
          <w:szCs w:val="24"/>
        </w:rPr>
        <w:t>ed</w:t>
      </w:r>
      <w:r w:rsidR="00965783" w:rsidRPr="00BA788A">
        <w:rPr>
          <w:rFonts w:asciiTheme="majorBidi" w:hAnsiTheme="majorBidi" w:cstheme="majorBidi"/>
          <w:sz w:val="24"/>
          <w:szCs w:val="24"/>
        </w:rPr>
        <w:t xml:space="preserve"> and cases in which project finance is less appropriate.</w:t>
      </w:r>
    </w:p>
    <w:p w14:paraId="3492F358" w14:textId="1820F653" w:rsidR="00965783" w:rsidRDefault="00965783" w:rsidP="00E93259">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w:t>
      </w:r>
      <w:r w:rsidRPr="00192E22">
        <w:rPr>
          <w:rFonts w:asciiTheme="majorBidi" w:hAnsiTheme="majorBidi" w:cstheme="majorBidi"/>
          <w:sz w:val="24"/>
          <w:szCs w:val="24"/>
        </w:rPr>
        <w:t>roject finance is more time-consuming and requires higher transaction cost</w:t>
      </w:r>
      <w:r w:rsidR="00AD3D5F">
        <w:rPr>
          <w:rFonts w:asciiTheme="majorBidi" w:hAnsiTheme="majorBidi" w:cstheme="majorBidi"/>
          <w:sz w:val="24"/>
          <w:szCs w:val="24"/>
        </w:rPr>
        <w:t>s</w:t>
      </w:r>
      <w:r w:rsidR="007D5A72">
        <w:rPr>
          <w:rFonts w:asciiTheme="majorBidi" w:hAnsiTheme="majorBidi" w:cstheme="majorBidi"/>
          <w:sz w:val="24"/>
          <w:szCs w:val="24"/>
        </w:rPr>
        <w:t>.</w:t>
      </w:r>
      <w:r w:rsidRPr="00192E22">
        <w:rPr>
          <w:rFonts w:asciiTheme="majorBidi" w:hAnsiTheme="majorBidi" w:cstheme="majorBidi"/>
          <w:sz w:val="24"/>
          <w:szCs w:val="24"/>
        </w:rPr>
        <w:t xml:space="preserve"> </w:t>
      </w:r>
      <w:r w:rsidR="007D5A72">
        <w:rPr>
          <w:rFonts w:asciiTheme="majorBidi" w:hAnsiTheme="majorBidi" w:cstheme="majorBidi"/>
          <w:sz w:val="24"/>
          <w:szCs w:val="24"/>
        </w:rPr>
        <w:t>A</w:t>
      </w:r>
      <w:r w:rsidRPr="00192E22">
        <w:rPr>
          <w:rFonts w:asciiTheme="majorBidi" w:hAnsiTheme="majorBidi" w:cstheme="majorBidi"/>
          <w:sz w:val="24"/>
          <w:szCs w:val="24"/>
        </w:rPr>
        <w:t>ccording to Esty</w:t>
      </w:r>
      <w:r>
        <w:rPr>
          <w:rFonts w:asciiTheme="majorBidi" w:hAnsiTheme="majorBidi" w:cstheme="majorBidi"/>
          <w:sz w:val="24"/>
          <w:szCs w:val="24"/>
        </w:rPr>
        <w:t xml:space="preserve">, </w:t>
      </w:r>
      <w:r w:rsidRPr="00192E22">
        <w:rPr>
          <w:rFonts w:asciiTheme="majorBidi" w:hAnsiTheme="majorBidi" w:cstheme="majorBidi"/>
          <w:sz w:val="24"/>
          <w:szCs w:val="24"/>
        </w:rPr>
        <w:t>it takes 6 to 18 months more, to establish a separate project organi</w:t>
      </w:r>
      <w:r w:rsidR="001C3E01">
        <w:rPr>
          <w:rFonts w:asciiTheme="majorBidi" w:hAnsiTheme="majorBidi" w:cstheme="majorBidi"/>
          <w:sz w:val="24"/>
          <w:szCs w:val="24"/>
        </w:rPr>
        <w:t>z</w:t>
      </w:r>
      <w:r w:rsidRPr="00192E22">
        <w:rPr>
          <w:rFonts w:asciiTheme="majorBidi" w:hAnsiTheme="majorBidi" w:cstheme="majorBidi"/>
          <w:sz w:val="24"/>
          <w:szCs w:val="24"/>
        </w:rPr>
        <w:t>ation than to set up a project within an existing organization.</w:t>
      </w:r>
      <w:r>
        <w:rPr>
          <w:rFonts w:asciiTheme="majorBidi" w:hAnsiTheme="majorBidi" w:cstheme="majorBidi"/>
          <w:sz w:val="24"/>
          <w:szCs w:val="24"/>
        </w:rPr>
        <w:t xml:space="preserve"> </w:t>
      </w:r>
      <w:r w:rsidRPr="00192E22">
        <w:rPr>
          <w:rFonts w:asciiTheme="majorBidi" w:hAnsiTheme="majorBidi" w:cstheme="majorBidi"/>
          <w:sz w:val="24"/>
          <w:szCs w:val="24"/>
        </w:rPr>
        <w:t xml:space="preserve">Esty notes that transaction costs usually amount to 3-5% of the </w:t>
      </w:r>
      <w:r w:rsidRPr="00192E22">
        <w:rPr>
          <w:rFonts w:asciiTheme="majorBidi" w:hAnsiTheme="majorBidi" w:cstheme="majorBidi"/>
          <w:sz w:val="24"/>
          <w:szCs w:val="24"/>
        </w:rPr>
        <w:lastRenderedPageBreak/>
        <w:t xml:space="preserve">amount invested, </w:t>
      </w:r>
      <w:r>
        <w:rPr>
          <w:rFonts w:asciiTheme="majorBidi" w:hAnsiTheme="majorBidi" w:cstheme="majorBidi"/>
          <w:sz w:val="24"/>
          <w:szCs w:val="24"/>
        </w:rPr>
        <w:t>and</w:t>
      </w:r>
      <w:r w:rsidRPr="00192E22">
        <w:rPr>
          <w:rFonts w:asciiTheme="majorBidi" w:hAnsiTheme="majorBidi" w:cstheme="majorBidi"/>
          <w:sz w:val="24"/>
          <w:szCs w:val="24"/>
        </w:rPr>
        <w:t xml:space="preserve"> may </w:t>
      </w:r>
      <w:r>
        <w:rPr>
          <w:rFonts w:asciiTheme="majorBidi" w:hAnsiTheme="majorBidi" w:cstheme="majorBidi"/>
          <w:sz w:val="24"/>
          <w:szCs w:val="24"/>
        </w:rPr>
        <w:t>reach</w:t>
      </w:r>
      <w:r w:rsidRPr="00192E22">
        <w:rPr>
          <w:rFonts w:asciiTheme="majorBidi" w:hAnsiTheme="majorBidi" w:cstheme="majorBidi"/>
          <w:sz w:val="24"/>
          <w:szCs w:val="24"/>
        </w:rPr>
        <w:t xml:space="preserve"> 10% for small and innovative projects.</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w:t>
      </w:r>
      <w:r w:rsidR="001C3E01" w:rsidRPr="001C3E01">
        <w:rPr>
          <w:rFonts w:asciiTheme="majorBidi" w:hAnsiTheme="majorBidi" w:cstheme="majorBidi"/>
          <w:sz w:val="24"/>
          <w:szCs w:val="24"/>
        </w:rPr>
        <w:t>One of the reasons for the long process and high transaction costs is the widespread use of contracts and documents and, hence, high legal costs.</w:t>
      </w:r>
      <w:r>
        <w:rPr>
          <w:rFonts w:asciiTheme="majorBidi" w:hAnsiTheme="majorBidi" w:cstheme="majorBidi"/>
          <w:sz w:val="24"/>
          <w:szCs w:val="24"/>
        </w:rPr>
        <w:t xml:space="preserve"> </w:t>
      </w:r>
      <w:r w:rsidRPr="00022665">
        <w:rPr>
          <w:rFonts w:asciiTheme="majorBidi" w:hAnsiTheme="majorBidi" w:cstheme="majorBidi"/>
          <w:sz w:val="24"/>
          <w:szCs w:val="24"/>
        </w:rPr>
        <w:t>These shortcomings make project financ</w:t>
      </w:r>
      <w:r>
        <w:rPr>
          <w:rFonts w:asciiTheme="majorBidi" w:hAnsiTheme="majorBidi" w:cstheme="majorBidi"/>
          <w:sz w:val="24"/>
          <w:szCs w:val="24"/>
        </w:rPr>
        <w:t>e</w:t>
      </w:r>
      <w:r w:rsidRPr="00022665">
        <w:rPr>
          <w:rFonts w:asciiTheme="majorBidi" w:hAnsiTheme="majorBidi" w:cstheme="majorBidi"/>
          <w:sz w:val="24"/>
          <w:szCs w:val="24"/>
        </w:rPr>
        <w:t xml:space="preserve"> less appropriate for small projects since a smaller scale makes the structure less profitable.</w:t>
      </w:r>
    </w:p>
    <w:p w14:paraId="048E42BA" w14:textId="2FF73341" w:rsidR="00965783" w:rsidRDefault="00965783" w:rsidP="00E93259">
      <w:pPr>
        <w:suppressAutoHyphens/>
        <w:spacing w:line="360" w:lineRule="auto"/>
        <w:ind w:firstLine="567"/>
        <w:jc w:val="both"/>
        <w:rPr>
          <w:rFonts w:asciiTheme="majorBidi" w:hAnsiTheme="majorBidi" w:cstheme="majorBidi"/>
          <w:sz w:val="24"/>
          <w:szCs w:val="24"/>
        </w:rPr>
      </w:pPr>
      <w:r w:rsidRPr="00022665">
        <w:rPr>
          <w:rFonts w:asciiTheme="majorBidi" w:hAnsiTheme="majorBidi" w:cstheme="majorBidi"/>
          <w:sz w:val="24"/>
          <w:szCs w:val="24"/>
        </w:rPr>
        <w:t>Hoffman discusses the disadvantages of increasing</w:t>
      </w:r>
      <w:r w:rsidR="00185C68">
        <w:rPr>
          <w:rFonts w:asciiTheme="majorBidi" w:hAnsiTheme="majorBidi" w:cstheme="majorBidi"/>
          <w:sz w:val="24"/>
          <w:szCs w:val="24"/>
        </w:rPr>
        <w:t xml:space="preserve"> the</w:t>
      </w:r>
      <w:r w:rsidRPr="00022665">
        <w:rPr>
          <w:rFonts w:asciiTheme="majorBidi" w:hAnsiTheme="majorBidi" w:cstheme="majorBidi"/>
          <w:sz w:val="24"/>
          <w:szCs w:val="24"/>
        </w:rPr>
        <w:t xml:space="preserve"> supervision of lenders. Because lenders take greater risks in financing the project, they will also </w:t>
      </w:r>
      <w:r>
        <w:rPr>
          <w:rFonts w:asciiTheme="majorBidi" w:hAnsiTheme="majorBidi" w:cstheme="majorBidi"/>
          <w:sz w:val="24"/>
          <w:szCs w:val="24"/>
        </w:rPr>
        <w:t>demand</w:t>
      </w:r>
      <w:r w:rsidRPr="00022665">
        <w:rPr>
          <w:rFonts w:asciiTheme="majorBidi" w:hAnsiTheme="majorBidi" w:cstheme="majorBidi"/>
          <w:sz w:val="24"/>
          <w:szCs w:val="24"/>
        </w:rPr>
        <w:t xml:space="preserve"> more supervision of the project.</w:t>
      </w:r>
      <w:r>
        <w:rPr>
          <w:rFonts w:asciiTheme="majorBidi" w:hAnsiTheme="majorBidi" w:cstheme="majorBidi"/>
          <w:sz w:val="24"/>
          <w:szCs w:val="24"/>
        </w:rPr>
        <w:t xml:space="preserve"> </w:t>
      </w:r>
      <w:r w:rsidRPr="00022665">
        <w:rPr>
          <w:rFonts w:asciiTheme="majorBidi" w:hAnsiTheme="majorBidi" w:cstheme="majorBidi"/>
          <w:sz w:val="24"/>
          <w:szCs w:val="24"/>
        </w:rPr>
        <w:t xml:space="preserve">More </w:t>
      </w:r>
      <w:r>
        <w:rPr>
          <w:rFonts w:asciiTheme="majorBidi" w:hAnsiTheme="majorBidi" w:cstheme="majorBidi"/>
          <w:sz w:val="24"/>
          <w:szCs w:val="24"/>
        </w:rPr>
        <w:t>landers</w:t>
      </w:r>
      <w:r w:rsidR="00810EC1" w:rsidRPr="00810EC1">
        <w:rPr>
          <w:rFonts w:ascii="Times New Roman" w:hAnsi="Times New Roman" w:cs="Times New Roman"/>
          <w:sz w:val="24"/>
          <w:szCs w:val="24"/>
        </w:rPr>
        <w:t>'</w:t>
      </w:r>
      <w:r w:rsidRPr="00022665">
        <w:rPr>
          <w:rFonts w:asciiTheme="majorBidi" w:hAnsiTheme="majorBidi" w:cstheme="majorBidi"/>
          <w:sz w:val="24"/>
          <w:szCs w:val="24"/>
        </w:rPr>
        <w:t xml:space="preserve"> participation involves careful monitoring of covenants, strict reporting</w:t>
      </w:r>
      <w:r w:rsidR="00185C68">
        <w:rPr>
          <w:rFonts w:asciiTheme="majorBidi" w:hAnsiTheme="majorBidi" w:cstheme="majorBidi"/>
          <w:sz w:val="24"/>
          <w:szCs w:val="24"/>
        </w:rPr>
        <w:t xml:space="preserve">, </w:t>
      </w:r>
      <w:r w:rsidRPr="00022665">
        <w:rPr>
          <w:rFonts w:asciiTheme="majorBidi" w:hAnsiTheme="majorBidi" w:cstheme="majorBidi"/>
          <w:sz w:val="24"/>
          <w:szCs w:val="24"/>
        </w:rPr>
        <w:t>and documentation requirements.</w:t>
      </w:r>
      <w:r>
        <w:rPr>
          <w:rStyle w:val="FootnoteReference"/>
          <w:rFonts w:asciiTheme="majorBidi" w:hAnsiTheme="majorBidi" w:cstheme="majorBidi"/>
          <w:sz w:val="24"/>
          <w:szCs w:val="24"/>
        </w:rPr>
        <w:footnoteReference w:id="42"/>
      </w:r>
    </w:p>
    <w:p w14:paraId="71A07AC6" w14:textId="17E2135B" w:rsidR="00965783" w:rsidRPr="00965783" w:rsidRDefault="00185C68" w:rsidP="00E93259">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lang w:val="en-US"/>
        </w:rPr>
        <w:t>I</w:t>
      </w:r>
      <w:r w:rsidRPr="00AC08B4">
        <w:rPr>
          <w:rFonts w:asciiTheme="majorBidi" w:hAnsiTheme="majorBidi" w:cstheme="majorBidi"/>
          <w:sz w:val="24"/>
          <w:szCs w:val="24"/>
          <w:lang w:val="en-US"/>
        </w:rPr>
        <w:t xml:space="preserve">t is possible to identify </w:t>
      </w:r>
      <w:r>
        <w:rPr>
          <w:rFonts w:asciiTheme="majorBidi" w:hAnsiTheme="majorBidi" w:cstheme="majorBidi"/>
          <w:sz w:val="24"/>
          <w:szCs w:val="24"/>
          <w:lang w:val="en-US"/>
        </w:rPr>
        <w:t xml:space="preserve">the following </w:t>
      </w:r>
      <w:r w:rsidRPr="00AC08B4">
        <w:rPr>
          <w:rFonts w:asciiTheme="majorBidi" w:hAnsiTheme="majorBidi" w:cstheme="majorBidi"/>
          <w:sz w:val="24"/>
          <w:szCs w:val="24"/>
          <w:lang w:val="en-US"/>
        </w:rPr>
        <w:t>disadvantages of project finance</w:t>
      </w:r>
      <w:r w:rsidR="001C3E01">
        <w:rPr>
          <w:rFonts w:asciiTheme="majorBidi" w:hAnsiTheme="majorBidi" w:cstheme="majorBidi"/>
          <w:sz w:val="24"/>
          <w:szCs w:val="24"/>
          <w:lang w:val="en-US"/>
        </w:rPr>
        <w:t>:</w:t>
      </w:r>
    </w:p>
    <w:p w14:paraId="3D2313D2" w14:textId="1E4E26E0" w:rsidR="00AC08B4" w:rsidRPr="00AC08B4" w:rsidRDefault="00AC08B4" w:rsidP="00E93259">
      <w:pPr>
        <w:pStyle w:val="ListParagraph"/>
        <w:numPr>
          <w:ilvl w:val="0"/>
          <w:numId w:val="19"/>
        </w:numPr>
        <w:suppressAutoHyphens/>
        <w:spacing w:line="360" w:lineRule="auto"/>
        <w:ind w:left="567" w:hanging="357"/>
        <w:jc w:val="both"/>
        <w:rPr>
          <w:rFonts w:asciiTheme="majorBidi" w:hAnsiTheme="majorBidi" w:cstheme="majorBidi"/>
          <w:sz w:val="24"/>
          <w:szCs w:val="24"/>
          <w:lang w:val="en-US"/>
        </w:rPr>
      </w:pPr>
      <w:r>
        <w:rPr>
          <w:rFonts w:asciiTheme="majorBidi" w:hAnsiTheme="majorBidi" w:cstheme="majorBidi"/>
          <w:sz w:val="24"/>
          <w:szCs w:val="24"/>
          <w:lang w:val="en-US"/>
        </w:rPr>
        <w:t>Th</w:t>
      </w:r>
      <w:r w:rsidRPr="00AC08B4">
        <w:rPr>
          <w:rFonts w:asciiTheme="majorBidi" w:hAnsiTheme="majorBidi" w:cstheme="majorBidi"/>
          <w:sz w:val="24"/>
          <w:szCs w:val="24"/>
          <w:lang w:val="en-US"/>
        </w:rPr>
        <w:t>e negotiation and documentation associated with project finance are always lengthy and complex.</w:t>
      </w:r>
    </w:p>
    <w:p w14:paraId="05BC30E4" w14:textId="59C640F9" w:rsidR="00AC08B4" w:rsidRPr="00AC08B4" w:rsidRDefault="00AC08B4" w:rsidP="00E93259">
      <w:pPr>
        <w:pStyle w:val="ListParagraph"/>
        <w:numPr>
          <w:ilvl w:val="0"/>
          <w:numId w:val="19"/>
        </w:numPr>
        <w:suppressAutoHyphens/>
        <w:spacing w:line="360" w:lineRule="auto"/>
        <w:ind w:left="567" w:hanging="357"/>
        <w:jc w:val="both"/>
        <w:rPr>
          <w:rFonts w:asciiTheme="majorBidi" w:hAnsiTheme="majorBidi" w:cstheme="majorBidi"/>
          <w:sz w:val="24"/>
          <w:szCs w:val="24"/>
          <w:lang w:val="en-US"/>
        </w:rPr>
      </w:pPr>
      <w:r w:rsidRPr="00AC08B4">
        <w:rPr>
          <w:rFonts w:asciiTheme="majorBidi" w:hAnsiTheme="majorBidi" w:cstheme="majorBidi"/>
          <w:sz w:val="24"/>
          <w:szCs w:val="24"/>
          <w:lang w:val="en-US"/>
        </w:rPr>
        <w:t>Increased control by lenders, investors at all stages of the project life cycle.</w:t>
      </w:r>
      <w:r w:rsidRPr="00AC08B4">
        <w:rPr>
          <w:vertAlign w:val="superscript"/>
          <w:lang w:val="en-US"/>
        </w:rPr>
        <w:footnoteReference w:id="43"/>
      </w:r>
    </w:p>
    <w:p w14:paraId="1FAC5DE4" w14:textId="64ECB135" w:rsidR="00AC08B4" w:rsidRPr="00AC08B4" w:rsidRDefault="00BA0C40" w:rsidP="00E93259">
      <w:pPr>
        <w:pStyle w:val="ListParagraph"/>
        <w:numPr>
          <w:ilvl w:val="0"/>
          <w:numId w:val="19"/>
        </w:numPr>
        <w:suppressAutoHyphens/>
        <w:spacing w:line="360" w:lineRule="auto"/>
        <w:ind w:left="567" w:hanging="357"/>
        <w:jc w:val="both"/>
        <w:rPr>
          <w:rFonts w:asciiTheme="majorBidi" w:hAnsiTheme="majorBidi" w:cstheme="majorBidi"/>
          <w:sz w:val="24"/>
          <w:szCs w:val="24"/>
          <w:lang w:val="en-US"/>
        </w:rPr>
      </w:pPr>
      <w:r>
        <w:rPr>
          <w:rFonts w:asciiTheme="majorBidi" w:hAnsiTheme="majorBidi" w:cstheme="majorBidi"/>
          <w:sz w:val="24"/>
          <w:szCs w:val="24"/>
          <w:lang w:val="en-US"/>
        </w:rPr>
        <w:t>H</w:t>
      </w:r>
      <w:r w:rsidR="00AC08B4" w:rsidRPr="00AC08B4">
        <w:rPr>
          <w:rFonts w:asciiTheme="majorBidi" w:hAnsiTheme="majorBidi" w:cstheme="majorBidi"/>
          <w:sz w:val="24"/>
          <w:szCs w:val="24"/>
          <w:lang w:val="en-US"/>
        </w:rPr>
        <w:t>igher transaction costs</w:t>
      </w:r>
      <w:r w:rsidR="00D80CCE">
        <w:rPr>
          <w:rFonts w:asciiTheme="majorBidi" w:hAnsiTheme="majorBidi" w:cstheme="majorBidi"/>
          <w:sz w:val="24"/>
          <w:szCs w:val="24"/>
          <w:lang w:val="en-US"/>
        </w:rPr>
        <w:t>,</w:t>
      </w:r>
      <w:r w:rsidR="00AC08B4" w:rsidRPr="00AC08B4">
        <w:rPr>
          <w:rFonts w:asciiTheme="majorBidi" w:hAnsiTheme="majorBidi" w:cstheme="majorBidi"/>
          <w:sz w:val="24"/>
          <w:szCs w:val="24"/>
          <w:lang w:val="en-US"/>
        </w:rPr>
        <w:t xml:space="preserve"> it is more costly than the corporate financing structure.</w:t>
      </w:r>
    </w:p>
    <w:p w14:paraId="329ABD1C" w14:textId="77777777" w:rsidR="00AC08B4" w:rsidRPr="00AC08B4" w:rsidRDefault="00AC08B4" w:rsidP="00E93259">
      <w:pPr>
        <w:pStyle w:val="ListParagraph"/>
        <w:numPr>
          <w:ilvl w:val="0"/>
          <w:numId w:val="19"/>
        </w:numPr>
        <w:suppressAutoHyphens/>
        <w:spacing w:line="360" w:lineRule="auto"/>
        <w:ind w:left="567" w:hanging="357"/>
        <w:jc w:val="both"/>
        <w:rPr>
          <w:rFonts w:asciiTheme="majorBidi" w:hAnsiTheme="majorBidi" w:cstheme="majorBidi"/>
          <w:sz w:val="24"/>
          <w:szCs w:val="24"/>
          <w:lang w:val="en-US"/>
        </w:rPr>
      </w:pPr>
      <w:r w:rsidRPr="00AC08B4">
        <w:rPr>
          <w:rFonts w:asciiTheme="majorBidi" w:hAnsiTheme="majorBidi" w:cstheme="majorBidi"/>
          <w:sz w:val="24"/>
          <w:szCs w:val="24"/>
          <w:lang w:val="en-US"/>
        </w:rPr>
        <w:t>High costs for the analysis of the feasibility and effectiveness of the project and its expertise.</w:t>
      </w:r>
    </w:p>
    <w:p w14:paraId="7555A75F" w14:textId="566DE821" w:rsidR="00AC08B4" w:rsidRDefault="00AC08B4" w:rsidP="00E93259">
      <w:pPr>
        <w:pStyle w:val="ListParagraph"/>
        <w:numPr>
          <w:ilvl w:val="0"/>
          <w:numId w:val="19"/>
        </w:numPr>
        <w:suppressAutoHyphens/>
        <w:spacing w:line="360" w:lineRule="auto"/>
        <w:ind w:left="567" w:hanging="357"/>
        <w:jc w:val="both"/>
        <w:rPr>
          <w:rFonts w:asciiTheme="majorBidi" w:hAnsiTheme="majorBidi" w:cstheme="majorBidi"/>
          <w:sz w:val="24"/>
          <w:szCs w:val="24"/>
          <w:lang w:val="en-US"/>
        </w:rPr>
      </w:pPr>
      <w:r>
        <w:rPr>
          <w:rFonts w:asciiTheme="majorBidi" w:hAnsiTheme="majorBidi" w:cstheme="majorBidi"/>
          <w:sz w:val="24"/>
          <w:szCs w:val="24"/>
          <w:lang w:val="en-US"/>
        </w:rPr>
        <w:t>I</w:t>
      </w:r>
      <w:r w:rsidRPr="00AC08B4">
        <w:rPr>
          <w:rFonts w:asciiTheme="majorBidi" w:hAnsiTheme="majorBidi" w:cstheme="majorBidi"/>
          <w:sz w:val="24"/>
          <w:szCs w:val="24"/>
          <w:lang w:val="en-US"/>
        </w:rPr>
        <w:t xml:space="preserve">nsurance plays an </w:t>
      </w:r>
      <w:r w:rsidR="00AF071E">
        <w:rPr>
          <w:rFonts w:asciiTheme="majorBidi" w:hAnsiTheme="majorBidi" w:cstheme="majorBidi"/>
          <w:sz w:val="24"/>
          <w:szCs w:val="24"/>
          <w:lang w:val="en-US"/>
        </w:rPr>
        <w:t>essential</w:t>
      </w:r>
      <w:r w:rsidRPr="00AC08B4">
        <w:rPr>
          <w:rFonts w:asciiTheme="majorBidi" w:hAnsiTheme="majorBidi" w:cstheme="majorBidi"/>
          <w:sz w:val="24"/>
          <w:szCs w:val="24"/>
          <w:lang w:val="en-US"/>
        </w:rPr>
        <w:t xml:space="preserve"> role for lenders and equity investors</w:t>
      </w:r>
      <w:r w:rsidR="00D80CCE">
        <w:rPr>
          <w:rFonts w:asciiTheme="majorBidi" w:hAnsiTheme="majorBidi" w:cstheme="majorBidi"/>
          <w:sz w:val="24"/>
          <w:szCs w:val="24"/>
          <w:lang w:val="en-US"/>
        </w:rPr>
        <w:t>;</w:t>
      </w:r>
      <w:r w:rsidRPr="00AC08B4">
        <w:rPr>
          <w:rFonts w:asciiTheme="majorBidi" w:hAnsiTheme="majorBidi" w:cstheme="majorBidi"/>
          <w:sz w:val="24"/>
          <w:szCs w:val="24"/>
          <w:lang w:val="en-US"/>
        </w:rPr>
        <w:t xml:space="preserve"> this may be very expensive </w:t>
      </w:r>
      <w:r w:rsidR="00CB3AED" w:rsidRPr="00CB3AED">
        <w:rPr>
          <w:rFonts w:asciiTheme="majorBidi" w:hAnsiTheme="majorBidi" w:cstheme="majorBidi"/>
          <w:sz w:val="24"/>
          <w:szCs w:val="24"/>
          <w:lang w:val="en-US"/>
        </w:rPr>
        <w:t>compared</w:t>
      </w:r>
      <w:r w:rsidR="00CB3AED">
        <w:rPr>
          <w:rFonts w:asciiTheme="majorBidi" w:hAnsiTheme="majorBidi" w:cstheme="majorBidi"/>
          <w:sz w:val="24"/>
          <w:szCs w:val="24"/>
          <w:lang w:val="en-US"/>
        </w:rPr>
        <w:t xml:space="preserve"> </w:t>
      </w:r>
      <w:r w:rsidRPr="00AC08B4">
        <w:rPr>
          <w:rFonts w:asciiTheme="majorBidi" w:hAnsiTheme="majorBidi" w:cstheme="majorBidi"/>
          <w:sz w:val="24"/>
          <w:szCs w:val="24"/>
          <w:lang w:val="en-US"/>
        </w:rPr>
        <w:t>to other financing structures.</w:t>
      </w:r>
    </w:p>
    <w:p w14:paraId="66288262" w14:textId="3627E63B" w:rsidR="00A41F33" w:rsidRPr="00AF071E" w:rsidRDefault="00A41F33" w:rsidP="00A41F33">
      <w:pPr>
        <w:spacing w:line="360" w:lineRule="auto"/>
        <w:rPr>
          <w:rFonts w:asciiTheme="majorBidi" w:hAnsiTheme="majorBidi" w:cstheme="majorBidi"/>
          <w:b/>
          <w:bCs/>
          <w:sz w:val="24"/>
          <w:szCs w:val="24"/>
          <w:lang w:val="en-US"/>
        </w:rPr>
      </w:pPr>
    </w:p>
    <w:p w14:paraId="33B830D0" w14:textId="3C356B10" w:rsidR="001110B5" w:rsidRDefault="001110B5" w:rsidP="00A41F33">
      <w:pPr>
        <w:spacing w:line="360" w:lineRule="auto"/>
        <w:rPr>
          <w:rFonts w:asciiTheme="majorBidi" w:hAnsiTheme="majorBidi" w:cstheme="majorBidi"/>
          <w:b/>
          <w:bCs/>
          <w:sz w:val="24"/>
          <w:szCs w:val="24"/>
        </w:rPr>
      </w:pPr>
    </w:p>
    <w:p w14:paraId="685913EF" w14:textId="3C5EB0D5" w:rsidR="001110B5" w:rsidRDefault="001110B5" w:rsidP="00A41F33">
      <w:pPr>
        <w:spacing w:line="360" w:lineRule="auto"/>
        <w:rPr>
          <w:rFonts w:asciiTheme="majorBidi" w:hAnsiTheme="majorBidi" w:cstheme="majorBidi"/>
          <w:b/>
          <w:bCs/>
          <w:sz w:val="24"/>
          <w:szCs w:val="24"/>
        </w:rPr>
      </w:pPr>
    </w:p>
    <w:p w14:paraId="17B2C2A2" w14:textId="3FE17FDE" w:rsidR="001110B5" w:rsidRDefault="001110B5" w:rsidP="00A41F33">
      <w:pPr>
        <w:spacing w:line="360" w:lineRule="auto"/>
        <w:rPr>
          <w:rFonts w:asciiTheme="majorBidi" w:hAnsiTheme="majorBidi" w:cstheme="majorBidi"/>
          <w:b/>
          <w:bCs/>
          <w:sz w:val="24"/>
          <w:szCs w:val="24"/>
        </w:rPr>
      </w:pPr>
    </w:p>
    <w:p w14:paraId="48F33845" w14:textId="6AD7A3DE" w:rsidR="001110B5" w:rsidRDefault="001110B5" w:rsidP="00A41F33">
      <w:pPr>
        <w:spacing w:line="360" w:lineRule="auto"/>
        <w:rPr>
          <w:rFonts w:asciiTheme="majorBidi" w:hAnsiTheme="majorBidi" w:cstheme="majorBidi"/>
          <w:b/>
          <w:bCs/>
          <w:sz w:val="24"/>
          <w:szCs w:val="24"/>
        </w:rPr>
      </w:pPr>
    </w:p>
    <w:p w14:paraId="6DB661EC" w14:textId="08D798B1" w:rsidR="004808B0" w:rsidRDefault="004808B0" w:rsidP="00A41F33">
      <w:pPr>
        <w:spacing w:line="360" w:lineRule="auto"/>
        <w:rPr>
          <w:rFonts w:asciiTheme="majorBidi" w:hAnsiTheme="majorBidi" w:cstheme="majorBidi"/>
          <w:b/>
          <w:bCs/>
          <w:sz w:val="24"/>
          <w:szCs w:val="24"/>
        </w:rPr>
      </w:pPr>
    </w:p>
    <w:p w14:paraId="52097ED0" w14:textId="5152DA76" w:rsidR="004808B0" w:rsidRDefault="004808B0" w:rsidP="00A41F33">
      <w:pPr>
        <w:spacing w:line="360" w:lineRule="auto"/>
        <w:rPr>
          <w:rFonts w:asciiTheme="majorBidi" w:hAnsiTheme="majorBidi" w:cstheme="majorBidi"/>
          <w:b/>
          <w:bCs/>
          <w:sz w:val="24"/>
          <w:szCs w:val="24"/>
        </w:rPr>
      </w:pPr>
    </w:p>
    <w:p w14:paraId="7293C618" w14:textId="77777777" w:rsidR="004808B0" w:rsidRDefault="004808B0" w:rsidP="00A41F33">
      <w:pPr>
        <w:spacing w:line="360" w:lineRule="auto"/>
        <w:rPr>
          <w:rFonts w:asciiTheme="majorBidi" w:hAnsiTheme="majorBidi" w:cstheme="majorBidi"/>
          <w:b/>
          <w:bCs/>
          <w:sz w:val="24"/>
          <w:szCs w:val="24"/>
        </w:rPr>
      </w:pPr>
    </w:p>
    <w:p w14:paraId="2FB561CB" w14:textId="3276864F" w:rsidR="003466EC" w:rsidRPr="004808B0" w:rsidRDefault="003466EC" w:rsidP="004808B0">
      <w:pPr>
        <w:spacing w:line="360" w:lineRule="auto"/>
        <w:jc w:val="center"/>
        <w:rPr>
          <w:rFonts w:asciiTheme="majorBidi" w:hAnsiTheme="majorBidi" w:cstheme="majorBidi"/>
          <w:sz w:val="28"/>
          <w:szCs w:val="28"/>
        </w:rPr>
      </w:pPr>
      <w:r w:rsidRPr="004808B0">
        <w:rPr>
          <w:rFonts w:asciiTheme="majorBidi" w:hAnsiTheme="majorBidi" w:cstheme="majorBidi"/>
          <w:sz w:val="28"/>
          <w:szCs w:val="28"/>
        </w:rPr>
        <w:lastRenderedPageBreak/>
        <w:t>Summary</w:t>
      </w:r>
    </w:p>
    <w:p w14:paraId="5C758728" w14:textId="274AA987" w:rsidR="003466EC" w:rsidRPr="00A41F33" w:rsidRDefault="003466EC" w:rsidP="00230202">
      <w:pPr>
        <w:suppressAutoHyphens/>
        <w:spacing w:line="360" w:lineRule="auto"/>
        <w:ind w:firstLine="567"/>
        <w:jc w:val="both"/>
        <w:rPr>
          <w:rFonts w:asciiTheme="majorBidi" w:hAnsiTheme="majorBidi" w:cstheme="majorBidi"/>
          <w:sz w:val="24"/>
          <w:szCs w:val="24"/>
        </w:rPr>
      </w:pPr>
      <w:r w:rsidRPr="00A41F33">
        <w:rPr>
          <w:rFonts w:asciiTheme="majorBidi" w:hAnsiTheme="majorBidi" w:cstheme="majorBidi"/>
          <w:sz w:val="24"/>
          <w:szCs w:val="24"/>
        </w:rPr>
        <w:t>The first chapter consists of three paragraphs, namely: definitions, origins</w:t>
      </w:r>
      <w:r w:rsidR="00D80CCE">
        <w:rPr>
          <w:rFonts w:asciiTheme="majorBidi" w:hAnsiTheme="majorBidi" w:cstheme="majorBidi"/>
          <w:sz w:val="24"/>
          <w:szCs w:val="24"/>
        </w:rPr>
        <w:t>,</w:t>
      </w:r>
      <w:r w:rsidRPr="00A41F33">
        <w:rPr>
          <w:rFonts w:asciiTheme="majorBidi" w:hAnsiTheme="majorBidi" w:cstheme="majorBidi"/>
          <w:sz w:val="24"/>
          <w:szCs w:val="24"/>
        </w:rPr>
        <w:t xml:space="preserve"> and the reasons behind applying project finance</w:t>
      </w:r>
      <w:r w:rsidR="00D80CCE">
        <w:rPr>
          <w:rFonts w:asciiTheme="majorBidi" w:hAnsiTheme="majorBidi" w:cstheme="majorBidi"/>
          <w:sz w:val="24"/>
          <w:szCs w:val="24"/>
        </w:rPr>
        <w:t>;</w:t>
      </w:r>
      <w:r w:rsidRPr="00A41F33">
        <w:rPr>
          <w:rFonts w:asciiTheme="majorBidi" w:hAnsiTheme="majorBidi" w:cstheme="majorBidi"/>
          <w:sz w:val="24"/>
          <w:szCs w:val="24"/>
        </w:rPr>
        <w:t xml:space="preserve"> finance as an element of comparative financial structures</w:t>
      </w:r>
      <w:r w:rsidR="00D80CCE">
        <w:rPr>
          <w:rFonts w:asciiTheme="majorBidi" w:hAnsiTheme="majorBidi" w:cstheme="majorBidi"/>
          <w:sz w:val="24"/>
          <w:szCs w:val="24"/>
        </w:rPr>
        <w:t>;</w:t>
      </w:r>
      <w:r w:rsidRPr="00A41F33">
        <w:rPr>
          <w:rFonts w:asciiTheme="majorBidi" w:hAnsiTheme="majorBidi" w:cstheme="majorBidi"/>
          <w:sz w:val="24"/>
          <w:szCs w:val="24"/>
        </w:rPr>
        <w:t xml:space="preserve"> and advantages and disadvantages of project financ</w:t>
      </w:r>
      <w:r w:rsidR="00341059">
        <w:rPr>
          <w:rFonts w:asciiTheme="majorBidi" w:hAnsiTheme="majorBidi" w:cstheme="majorBidi"/>
          <w:sz w:val="24"/>
          <w:szCs w:val="24"/>
        </w:rPr>
        <w:t>e</w:t>
      </w:r>
      <w:r w:rsidRPr="00A41F33">
        <w:rPr>
          <w:rFonts w:asciiTheme="majorBidi" w:hAnsiTheme="majorBidi" w:cstheme="majorBidi"/>
          <w:sz w:val="24"/>
          <w:szCs w:val="24"/>
        </w:rPr>
        <w:t>.</w:t>
      </w:r>
    </w:p>
    <w:p w14:paraId="23CEDE47" w14:textId="53CEC80A" w:rsidR="003466EC" w:rsidRPr="00A41F33" w:rsidRDefault="003466EC" w:rsidP="00230202">
      <w:pPr>
        <w:suppressAutoHyphens/>
        <w:spacing w:line="360" w:lineRule="auto"/>
        <w:ind w:firstLine="567"/>
        <w:jc w:val="both"/>
        <w:rPr>
          <w:rFonts w:asciiTheme="majorBidi" w:hAnsiTheme="majorBidi" w:cstheme="majorBidi"/>
          <w:sz w:val="24"/>
          <w:szCs w:val="24"/>
        </w:rPr>
      </w:pPr>
      <w:r w:rsidRPr="00A41F33">
        <w:rPr>
          <w:rFonts w:asciiTheme="majorBidi" w:hAnsiTheme="majorBidi" w:cstheme="majorBidi"/>
          <w:sz w:val="24"/>
          <w:szCs w:val="24"/>
        </w:rPr>
        <w:t xml:space="preserve">This chapter attempted to define the concept of project finance, which is a source of finance that involves special features separating it from the other types of finance. The capital structure in a project financed venture typically involves a high debt level, often as much as 70 – </w:t>
      </w:r>
      <w:r w:rsidR="00BA0C40">
        <w:rPr>
          <w:rFonts w:asciiTheme="majorBidi" w:hAnsiTheme="majorBidi" w:cstheme="majorBidi"/>
          <w:sz w:val="24"/>
          <w:szCs w:val="24"/>
        </w:rPr>
        <w:t>9</w:t>
      </w:r>
      <w:r w:rsidRPr="00A41F33">
        <w:rPr>
          <w:rFonts w:asciiTheme="majorBidi" w:hAnsiTheme="majorBidi" w:cstheme="majorBidi"/>
          <w:sz w:val="24"/>
          <w:szCs w:val="24"/>
        </w:rPr>
        <w:t xml:space="preserve">0 % of the total capital. </w:t>
      </w:r>
      <w:r w:rsidR="00B64F87" w:rsidRPr="00B64F87">
        <w:rPr>
          <w:rFonts w:asciiTheme="majorBidi" w:hAnsiTheme="majorBidi" w:cstheme="majorBidi"/>
          <w:sz w:val="24"/>
          <w:szCs w:val="24"/>
        </w:rPr>
        <w:t>In most cases, the debt is provided by commercial banks, but the capital market is also available for projects</w:t>
      </w:r>
      <w:r w:rsidRPr="00A41F33">
        <w:rPr>
          <w:rFonts w:asciiTheme="majorBidi" w:hAnsiTheme="majorBidi" w:cstheme="majorBidi"/>
          <w:sz w:val="24"/>
          <w:szCs w:val="24"/>
        </w:rPr>
        <w:t xml:space="preserve">. The remainder of the capital structure is often equity provided by the </w:t>
      </w:r>
      <w:r w:rsidR="00BA0C40" w:rsidRPr="00A41F33">
        <w:rPr>
          <w:rFonts w:asciiTheme="majorBidi" w:hAnsiTheme="majorBidi" w:cstheme="majorBidi"/>
          <w:sz w:val="24"/>
          <w:szCs w:val="24"/>
        </w:rPr>
        <w:t>sponsors</w:t>
      </w:r>
      <w:r w:rsidR="00BA0C40">
        <w:rPr>
          <w:rFonts w:asciiTheme="majorBidi" w:hAnsiTheme="majorBidi" w:cstheme="majorBidi"/>
          <w:sz w:val="24"/>
          <w:szCs w:val="24"/>
        </w:rPr>
        <w:t>;</w:t>
      </w:r>
      <w:r w:rsidRPr="00A41F33">
        <w:rPr>
          <w:rFonts w:asciiTheme="majorBidi" w:hAnsiTheme="majorBidi" w:cstheme="majorBidi"/>
          <w:sz w:val="24"/>
          <w:szCs w:val="24"/>
        </w:rPr>
        <w:t xml:space="preserve"> </w:t>
      </w:r>
      <w:r w:rsidR="00BA0C40">
        <w:rPr>
          <w:rFonts w:asciiTheme="majorBidi" w:hAnsiTheme="majorBidi" w:cstheme="majorBidi"/>
          <w:sz w:val="24"/>
          <w:szCs w:val="24"/>
        </w:rPr>
        <w:t>it</w:t>
      </w:r>
      <w:r w:rsidRPr="00A41F33">
        <w:rPr>
          <w:rFonts w:asciiTheme="majorBidi" w:hAnsiTheme="majorBidi" w:cstheme="majorBidi"/>
          <w:sz w:val="24"/>
          <w:szCs w:val="24"/>
        </w:rPr>
        <w:t xml:space="preserve"> can also be provided through government support.</w:t>
      </w:r>
    </w:p>
    <w:p w14:paraId="52320DFA" w14:textId="1FB44A3B" w:rsidR="003466EC" w:rsidRPr="00A41F33" w:rsidRDefault="003466EC" w:rsidP="00230202">
      <w:pPr>
        <w:suppressAutoHyphens/>
        <w:spacing w:line="360" w:lineRule="auto"/>
        <w:ind w:firstLine="567"/>
        <w:jc w:val="both"/>
        <w:rPr>
          <w:rFonts w:asciiTheme="majorBidi" w:hAnsiTheme="majorBidi" w:cstheme="majorBidi"/>
          <w:sz w:val="24"/>
          <w:szCs w:val="24"/>
        </w:rPr>
      </w:pPr>
      <w:r w:rsidRPr="00A41F33">
        <w:rPr>
          <w:rFonts w:asciiTheme="majorBidi" w:hAnsiTheme="majorBidi" w:cstheme="majorBidi"/>
          <w:sz w:val="24"/>
          <w:szCs w:val="24"/>
        </w:rPr>
        <w:t xml:space="preserve">Another </w:t>
      </w:r>
      <w:r w:rsidR="00B64F87" w:rsidRPr="00B64F87">
        <w:rPr>
          <w:rFonts w:asciiTheme="majorBidi" w:hAnsiTheme="majorBidi" w:cstheme="majorBidi"/>
          <w:sz w:val="24"/>
          <w:szCs w:val="24"/>
        </w:rPr>
        <w:t xml:space="preserve">critical </w:t>
      </w:r>
      <w:r w:rsidRPr="00A41F33">
        <w:rPr>
          <w:rFonts w:asciiTheme="majorBidi" w:hAnsiTheme="majorBidi" w:cstheme="majorBidi"/>
          <w:sz w:val="24"/>
          <w:szCs w:val="24"/>
        </w:rPr>
        <w:t xml:space="preserve">aspect of project finance is the widespread use of contracts. Project finance involves many participants, and contracts contribute to regulate relationships and define responsibilities. </w:t>
      </w:r>
    </w:p>
    <w:p w14:paraId="654F14E6" w14:textId="16C03165" w:rsidR="003466EC" w:rsidRPr="00A41F33" w:rsidRDefault="00B64F87" w:rsidP="00230202">
      <w:pPr>
        <w:suppressAutoHyphens/>
        <w:spacing w:line="360" w:lineRule="auto"/>
        <w:ind w:firstLine="567"/>
        <w:jc w:val="both"/>
        <w:rPr>
          <w:rFonts w:asciiTheme="majorBidi" w:hAnsiTheme="majorBidi" w:cstheme="majorBidi"/>
          <w:sz w:val="24"/>
          <w:szCs w:val="24"/>
        </w:rPr>
      </w:pPr>
      <w:r w:rsidRPr="00B64F87">
        <w:rPr>
          <w:rFonts w:asciiTheme="majorBidi" w:hAnsiTheme="majorBidi" w:cstheme="majorBidi"/>
          <w:sz w:val="24"/>
          <w:szCs w:val="24"/>
        </w:rPr>
        <w:t xml:space="preserve">Project finance differs from other financial structures in several respects, such as collateral for </w:t>
      </w:r>
      <w:r>
        <w:rPr>
          <w:rFonts w:asciiTheme="majorBidi" w:hAnsiTheme="majorBidi" w:cstheme="majorBidi"/>
          <w:sz w:val="24"/>
          <w:szCs w:val="24"/>
        </w:rPr>
        <w:t xml:space="preserve">the </w:t>
      </w:r>
      <w:r w:rsidRPr="00B64F87">
        <w:rPr>
          <w:rFonts w:asciiTheme="majorBidi" w:hAnsiTheme="majorBidi" w:cstheme="majorBidi"/>
          <w:sz w:val="24"/>
          <w:szCs w:val="24"/>
        </w:rPr>
        <w:t>debt, leverage, transaction costs, etc.</w:t>
      </w:r>
      <w:r>
        <w:rPr>
          <w:rFonts w:asciiTheme="majorBidi" w:hAnsiTheme="majorBidi" w:cstheme="majorBidi"/>
          <w:sz w:val="24"/>
          <w:szCs w:val="24"/>
        </w:rPr>
        <w:t xml:space="preserve"> T</w:t>
      </w:r>
      <w:r w:rsidR="003466EC" w:rsidRPr="00A41F33">
        <w:rPr>
          <w:rFonts w:asciiTheme="majorBidi" w:hAnsiTheme="majorBidi" w:cstheme="majorBidi"/>
          <w:sz w:val="24"/>
          <w:szCs w:val="24"/>
        </w:rPr>
        <w:t>hese differences lead to numerous advantages and disadvantages of using the project finance mechanism</w:t>
      </w:r>
      <w:r>
        <w:rPr>
          <w:rFonts w:asciiTheme="majorBidi" w:hAnsiTheme="majorBidi" w:cstheme="majorBidi"/>
          <w:sz w:val="24"/>
          <w:szCs w:val="24"/>
        </w:rPr>
        <w:t>.</w:t>
      </w:r>
    </w:p>
    <w:p w14:paraId="1680D38F" w14:textId="5FDB0AA6" w:rsidR="003466EC" w:rsidRDefault="00B64F87" w:rsidP="00230202">
      <w:pPr>
        <w:suppressAutoHyphens/>
        <w:spacing w:line="360" w:lineRule="auto"/>
        <w:ind w:firstLine="567"/>
        <w:jc w:val="both"/>
        <w:rPr>
          <w:rFonts w:asciiTheme="majorBidi" w:hAnsiTheme="majorBidi" w:cstheme="majorBidi"/>
          <w:sz w:val="24"/>
          <w:szCs w:val="24"/>
        </w:rPr>
      </w:pPr>
      <w:r w:rsidRPr="00B64F87">
        <w:rPr>
          <w:rFonts w:asciiTheme="majorBidi" w:hAnsiTheme="majorBidi" w:cstheme="majorBidi"/>
          <w:sz w:val="24"/>
          <w:szCs w:val="24"/>
        </w:rPr>
        <w:t>Project financ</w:t>
      </w:r>
      <w:r w:rsidR="009F3B43">
        <w:rPr>
          <w:rFonts w:asciiTheme="majorBidi" w:hAnsiTheme="majorBidi" w:cstheme="majorBidi"/>
          <w:sz w:val="24"/>
          <w:szCs w:val="24"/>
        </w:rPr>
        <w:t>e</w:t>
      </w:r>
      <w:r w:rsidRPr="00B64F87">
        <w:rPr>
          <w:rFonts w:asciiTheme="majorBidi" w:hAnsiTheme="majorBidi" w:cstheme="majorBidi"/>
          <w:sz w:val="24"/>
          <w:szCs w:val="24"/>
        </w:rPr>
        <w:t xml:space="preserve"> is more efficient in allocating the risk and the revenue compared with the other financial structures</w:t>
      </w:r>
      <w:r w:rsidR="009F3B43">
        <w:rPr>
          <w:rFonts w:asciiTheme="majorBidi" w:hAnsiTheme="majorBidi" w:cstheme="majorBidi"/>
          <w:sz w:val="24"/>
          <w:szCs w:val="24"/>
        </w:rPr>
        <w:t>;</w:t>
      </w:r>
      <w:r w:rsidRPr="00B64F87">
        <w:rPr>
          <w:rFonts w:asciiTheme="majorBidi" w:hAnsiTheme="majorBidi" w:cstheme="majorBidi"/>
          <w:sz w:val="24"/>
          <w:szCs w:val="24"/>
        </w:rPr>
        <w:t xml:space="preserve"> </w:t>
      </w:r>
      <w:r w:rsidR="009F3B43">
        <w:rPr>
          <w:rFonts w:asciiTheme="majorBidi" w:hAnsiTheme="majorBidi" w:cstheme="majorBidi"/>
          <w:sz w:val="24"/>
          <w:szCs w:val="24"/>
        </w:rPr>
        <w:t>it</w:t>
      </w:r>
      <w:r w:rsidRPr="00B64F87">
        <w:rPr>
          <w:rFonts w:asciiTheme="majorBidi" w:hAnsiTheme="majorBidi" w:cstheme="majorBidi"/>
          <w:sz w:val="24"/>
          <w:szCs w:val="24"/>
        </w:rPr>
        <w:t xml:space="preserve"> is also accompanied by higher transaction costs than conventional financing, which is mostly related to the stipulation of contract obligations. The cost of control is also an important </w:t>
      </w:r>
      <w:r w:rsidR="009F3B43">
        <w:rPr>
          <w:rFonts w:asciiTheme="majorBidi" w:hAnsiTheme="majorBidi" w:cstheme="majorBidi"/>
          <w:sz w:val="24"/>
          <w:szCs w:val="24"/>
        </w:rPr>
        <w:t>issue</w:t>
      </w:r>
      <w:r w:rsidRPr="00B64F87">
        <w:rPr>
          <w:rFonts w:asciiTheme="majorBidi" w:hAnsiTheme="majorBidi" w:cstheme="majorBidi"/>
          <w:sz w:val="24"/>
          <w:szCs w:val="24"/>
        </w:rPr>
        <w:t>; hence, it is clear that project financ</w:t>
      </w:r>
      <w:r w:rsidR="009F3B43">
        <w:rPr>
          <w:rFonts w:asciiTheme="majorBidi" w:hAnsiTheme="majorBidi" w:cstheme="majorBidi"/>
          <w:sz w:val="24"/>
          <w:szCs w:val="24"/>
        </w:rPr>
        <w:t>e</w:t>
      </w:r>
      <w:r w:rsidRPr="00B64F87">
        <w:rPr>
          <w:rFonts w:asciiTheme="majorBidi" w:hAnsiTheme="majorBidi" w:cstheme="majorBidi"/>
          <w:sz w:val="24"/>
          <w:szCs w:val="24"/>
        </w:rPr>
        <w:t xml:space="preserve"> as a financing model is </w:t>
      </w:r>
      <w:r w:rsidR="00826EA6" w:rsidRPr="00826EA6">
        <w:rPr>
          <w:rFonts w:asciiTheme="majorBidi" w:hAnsiTheme="majorBidi" w:cstheme="majorBidi"/>
          <w:sz w:val="24"/>
          <w:szCs w:val="24"/>
        </w:rPr>
        <w:t xml:space="preserve">suitable </w:t>
      </w:r>
      <w:r w:rsidRPr="00B64F87">
        <w:rPr>
          <w:rFonts w:asciiTheme="majorBidi" w:hAnsiTheme="majorBidi" w:cstheme="majorBidi"/>
          <w:sz w:val="24"/>
          <w:szCs w:val="24"/>
        </w:rPr>
        <w:t>for large projects where it is possible to earn enough returns to cover necessary expenses and higher transaction costs. Consequently, project financ</w:t>
      </w:r>
      <w:r w:rsidR="009F3B43">
        <w:rPr>
          <w:rFonts w:asciiTheme="majorBidi" w:hAnsiTheme="majorBidi" w:cstheme="majorBidi"/>
          <w:sz w:val="24"/>
          <w:szCs w:val="24"/>
        </w:rPr>
        <w:t>e</w:t>
      </w:r>
      <w:r w:rsidRPr="00B64F87">
        <w:rPr>
          <w:rFonts w:asciiTheme="majorBidi" w:hAnsiTheme="majorBidi" w:cstheme="majorBidi"/>
          <w:sz w:val="24"/>
          <w:szCs w:val="24"/>
        </w:rPr>
        <w:t xml:space="preserve"> is an appropriate choice when it comes to financing infrastructure projects.</w:t>
      </w:r>
    </w:p>
    <w:p w14:paraId="0ACF6687" w14:textId="519D0C8D" w:rsidR="003466EC" w:rsidRDefault="003466EC" w:rsidP="003466EC">
      <w:pPr>
        <w:spacing w:line="360" w:lineRule="auto"/>
        <w:jc w:val="both"/>
        <w:rPr>
          <w:rFonts w:asciiTheme="majorBidi" w:hAnsiTheme="majorBidi" w:cstheme="majorBidi"/>
          <w:sz w:val="24"/>
          <w:szCs w:val="24"/>
        </w:rPr>
      </w:pPr>
    </w:p>
    <w:p w14:paraId="10F77051" w14:textId="7F9C86E6" w:rsidR="003466EC" w:rsidRDefault="003466EC" w:rsidP="003466EC">
      <w:pPr>
        <w:spacing w:line="360" w:lineRule="auto"/>
        <w:jc w:val="both"/>
        <w:rPr>
          <w:rFonts w:asciiTheme="majorBidi" w:hAnsiTheme="majorBidi" w:cstheme="majorBidi"/>
          <w:sz w:val="24"/>
          <w:szCs w:val="24"/>
        </w:rPr>
      </w:pPr>
    </w:p>
    <w:p w14:paraId="32F01D97" w14:textId="0BE3CC51" w:rsidR="003466EC" w:rsidRDefault="003466EC" w:rsidP="003466EC">
      <w:pPr>
        <w:spacing w:line="360" w:lineRule="auto"/>
        <w:jc w:val="both"/>
        <w:rPr>
          <w:rFonts w:asciiTheme="majorBidi" w:hAnsiTheme="majorBidi" w:cstheme="majorBidi"/>
          <w:sz w:val="24"/>
          <w:szCs w:val="24"/>
        </w:rPr>
      </w:pPr>
    </w:p>
    <w:p w14:paraId="3D220483" w14:textId="5D13DB32" w:rsidR="00FB7FF9" w:rsidRDefault="00FB7FF9" w:rsidP="003466EC">
      <w:pPr>
        <w:spacing w:line="360" w:lineRule="auto"/>
        <w:jc w:val="both"/>
        <w:rPr>
          <w:rFonts w:asciiTheme="majorBidi" w:hAnsiTheme="majorBidi" w:cstheme="majorBidi"/>
          <w:sz w:val="24"/>
          <w:szCs w:val="24"/>
        </w:rPr>
      </w:pPr>
    </w:p>
    <w:p w14:paraId="5DCD038D" w14:textId="77777777" w:rsidR="00FB7FF9" w:rsidRDefault="00FB7FF9" w:rsidP="003466EC">
      <w:pPr>
        <w:spacing w:line="360" w:lineRule="auto"/>
        <w:jc w:val="both"/>
        <w:rPr>
          <w:rFonts w:asciiTheme="majorBidi" w:hAnsiTheme="majorBidi" w:cstheme="majorBidi"/>
          <w:sz w:val="24"/>
          <w:szCs w:val="24"/>
        </w:rPr>
      </w:pPr>
    </w:p>
    <w:p w14:paraId="220B15DB" w14:textId="3C9755C1" w:rsidR="003466EC" w:rsidRDefault="003466EC" w:rsidP="003466EC">
      <w:pPr>
        <w:spacing w:line="360" w:lineRule="auto"/>
        <w:jc w:val="both"/>
        <w:rPr>
          <w:rFonts w:asciiTheme="majorBidi" w:hAnsiTheme="majorBidi" w:cstheme="majorBidi"/>
          <w:sz w:val="24"/>
          <w:szCs w:val="24"/>
        </w:rPr>
      </w:pPr>
    </w:p>
    <w:p w14:paraId="14C1B08C" w14:textId="659E9FC2" w:rsidR="00B64F87" w:rsidRDefault="00B64F87" w:rsidP="003466EC">
      <w:pPr>
        <w:spacing w:line="360" w:lineRule="auto"/>
        <w:jc w:val="both"/>
        <w:rPr>
          <w:rFonts w:asciiTheme="majorBidi" w:hAnsiTheme="majorBidi" w:cstheme="majorBidi"/>
          <w:sz w:val="24"/>
          <w:szCs w:val="24"/>
        </w:rPr>
      </w:pPr>
    </w:p>
    <w:p w14:paraId="0E2955E9" w14:textId="0CD369A0" w:rsidR="00A65CDF" w:rsidRPr="004808B0" w:rsidRDefault="0087509C" w:rsidP="003D5A05">
      <w:pPr>
        <w:autoSpaceDE w:val="0"/>
        <w:adjustRightInd w:val="0"/>
        <w:spacing w:before="240" w:line="360" w:lineRule="auto"/>
        <w:ind w:left="680" w:right="680"/>
        <w:jc w:val="center"/>
        <w:rPr>
          <w:rFonts w:asciiTheme="majorBidi" w:hAnsiTheme="majorBidi" w:cstheme="majorBidi"/>
          <w:sz w:val="28"/>
          <w:szCs w:val="28"/>
        </w:rPr>
      </w:pPr>
      <w:r w:rsidRPr="004808B0">
        <w:rPr>
          <w:rFonts w:asciiTheme="majorBidi" w:hAnsiTheme="majorBidi" w:cstheme="majorBidi"/>
          <w:sz w:val="28"/>
          <w:szCs w:val="28"/>
        </w:rPr>
        <w:lastRenderedPageBreak/>
        <w:t>CHAPTER 2. PROJECT FINANCE ANALYSIS IN THE ARAB COUNTRIES AND THE REST OF THE WORLD</w:t>
      </w:r>
    </w:p>
    <w:p w14:paraId="62D1863D" w14:textId="378107CE" w:rsidR="00A65CDF" w:rsidRPr="004808B0" w:rsidRDefault="00A65CDF" w:rsidP="0087509C">
      <w:pPr>
        <w:autoSpaceDE w:val="0"/>
        <w:spacing w:line="360" w:lineRule="auto"/>
        <w:jc w:val="both"/>
        <w:rPr>
          <w:rFonts w:asciiTheme="majorBidi" w:hAnsiTheme="majorBidi" w:cstheme="majorBidi"/>
          <w:sz w:val="28"/>
          <w:szCs w:val="28"/>
        </w:rPr>
      </w:pPr>
      <w:r w:rsidRPr="004808B0">
        <w:rPr>
          <w:rFonts w:asciiTheme="majorBidi" w:hAnsiTheme="majorBidi" w:cstheme="majorBidi"/>
          <w:sz w:val="28"/>
          <w:szCs w:val="28"/>
        </w:rPr>
        <w:t xml:space="preserve">2.1 The </w:t>
      </w:r>
      <w:r w:rsidR="00450A8B" w:rsidRPr="004808B0">
        <w:rPr>
          <w:rFonts w:asciiTheme="majorBidi" w:hAnsiTheme="majorBidi" w:cstheme="majorBidi"/>
          <w:sz w:val="28"/>
          <w:szCs w:val="28"/>
        </w:rPr>
        <w:t>development</w:t>
      </w:r>
      <w:r w:rsidRPr="004808B0">
        <w:rPr>
          <w:rFonts w:asciiTheme="majorBidi" w:hAnsiTheme="majorBidi" w:cstheme="majorBidi"/>
          <w:sz w:val="28"/>
          <w:szCs w:val="28"/>
        </w:rPr>
        <w:t xml:space="preserve"> of project finance in the world</w:t>
      </w:r>
    </w:p>
    <w:p w14:paraId="1B17ADA6" w14:textId="1008E02F" w:rsidR="00A65CDF" w:rsidRDefault="006030B5" w:rsidP="0008496D">
      <w:pPr>
        <w:suppressAutoHyphens/>
        <w:spacing w:before="240" w:line="360" w:lineRule="auto"/>
        <w:ind w:firstLine="567"/>
        <w:jc w:val="both"/>
        <w:rPr>
          <w:rFonts w:ascii="Times New Roman" w:hAnsi="Times New Roman" w:cs="Times New Roman"/>
          <w:sz w:val="24"/>
          <w:szCs w:val="24"/>
        </w:rPr>
      </w:pPr>
      <w:r w:rsidRPr="006030B5">
        <w:rPr>
          <w:rFonts w:ascii="Times New Roman" w:hAnsi="Times New Roman" w:cs="Times New Roman"/>
          <w:sz w:val="24"/>
          <w:szCs w:val="24"/>
        </w:rPr>
        <w:t>Project financing as a form of investment organization is becoming particularly important in the context of globalization. The application of project financing methods in the mechanism of public-private partnerships is one of the most promising areas for implementing the most priority programs of social-economic development</w:t>
      </w:r>
      <w:r w:rsidR="00A65CDF" w:rsidRPr="00CC6B3A">
        <w:rPr>
          <w:rFonts w:ascii="Times New Roman" w:hAnsi="Times New Roman" w:cs="Times New Roman"/>
          <w:sz w:val="24"/>
          <w:szCs w:val="24"/>
        </w:rPr>
        <w:t>.</w:t>
      </w:r>
      <w:r w:rsidR="00A65CDF">
        <w:rPr>
          <w:rFonts w:ascii="Times New Roman" w:hAnsi="Times New Roman" w:cs="Times New Roman"/>
          <w:sz w:val="24"/>
          <w:szCs w:val="24"/>
        </w:rPr>
        <w:t xml:space="preserve"> </w:t>
      </w:r>
      <w:r w:rsidR="00A65CDF" w:rsidRPr="00CC6B3A">
        <w:rPr>
          <w:rFonts w:ascii="Times New Roman" w:hAnsi="Times New Roman" w:cs="Times New Roman"/>
          <w:sz w:val="24"/>
          <w:szCs w:val="24"/>
        </w:rPr>
        <w:t xml:space="preserve">In this regard, the current </w:t>
      </w:r>
      <w:r w:rsidR="00A65CDF">
        <w:rPr>
          <w:rFonts w:ascii="Times New Roman" w:hAnsi="Times New Roman" w:cs="Times New Roman"/>
          <w:sz w:val="24"/>
          <w:szCs w:val="24"/>
        </w:rPr>
        <w:t>state</w:t>
      </w:r>
      <w:r w:rsidR="00A65CDF" w:rsidRPr="00CC6B3A">
        <w:rPr>
          <w:rFonts w:ascii="Times New Roman" w:hAnsi="Times New Roman" w:cs="Times New Roman"/>
          <w:sz w:val="24"/>
          <w:szCs w:val="24"/>
        </w:rPr>
        <w:t xml:space="preserve"> of the global project finance market indicators is </w:t>
      </w:r>
      <w:r w:rsidR="00EF2379" w:rsidRPr="00EF2379">
        <w:rPr>
          <w:rFonts w:ascii="Times New Roman" w:hAnsi="Times New Roman" w:cs="Times New Roman"/>
          <w:sz w:val="24"/>
          <w:szCs w:val="24"/>
        </w:rPr>
        <w:t>meaningful</w:t>
      </w:r>
      <w:r w:rsidR="00A65CDF" w:rsidRPr="00CC6B3A">
        <w:rPr>
          <w:rFonts w:ascii="Times New Roman" w:hAnsi="Times New Roman" w:cs="Times New Roman"/>
          <w:sz w:val="24"/>
          <w:szCs w:val="24"/>
        </w:rPr>
        <w:t>.</w:t>
      </w:r>
    </w:p>
    <w:p w14:paraId="766D8AD3" w14:textId="15A6B8A4" w:rsidR="00A65CDF" w:rsidRDefault="00F21826" w:rsidP="0008496D">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A65CDF" w:rsidRPr="00CC6B3A">
        <w:rPr>
          <w:rFonts w:ascii="Times New Roman" w:hAnsi="Times New Roman" w:cs="Times New Roman"/>
          <w:sz w:val="24"/>
          <w:szCs w:val="24"/>
        </w:rPr>
        <w:t xml:space="preserve">he synthesis and analysis of data on project financing </w:t>
      </w:r>
      <w:r w:rsidR="00EA49E4">
        <w:rPr>
          <w:rFonts w:ascii="Times New Roman" w:hAnsi="Times New Roman" w:cs="Times New Roman"/>
          <w:sz w:val="24"/>
          <w:szCs w:val="24"/>
        </w:rPr>
        <w:t>are</w:t>
      </w:r>
      <w:r w:rsidR="00A65CDF" w:rsidRPr="00CC6B3A">
        <w:rPr>
          <w:rFonts w:ascii="Times New Roman" w:hAnsi="Times New Roman" w:cs="Times New Roman"/>
          <w:sz w:val="24"/>
          <w:szCs w:val="24"/>
        </w:rPr>
        <w:t xml:space="preserve"> significantly complicated due to the difficulty of identifying compliance with the characteristics</w:t>
      </w:r>
      <w:r w:rsidR="006D18E2">
        <w:rPr>
          <w:rFonts w:ascii="Times New Roman" w:hAnsi="Times New Roman" w:cs="Times New Roman"/>
          <w:sz w:val="24"/>
          <w:szCs w:val="24"/>
        </w:rPr>
        <w:t xml:space="preserve"> of project finance</w:t>
      </w:r>
      <w:r w:rsidR="00A65CDF" w:rsidRPr="00CC6B3A">
        <w:rPr>
          <w:rFonts w:ascii="Times New Roman" w:hAnsi="Times New Roman" w:cs="Times New Roman"/>
          <w:sz w:val="24"/>
          <w:szCs w:val="24"/>
        </w:rPr>
        <w:t xml:space="preserve">. </w:t>
      </w:r>
      <w:r w:rsidR="00EA49E4">
        <w:rPr>
          <w:rFonts w:ascii="Times New Roman" w:hAnsi="Times New Roman" w:cs="Times New Roman"/>
          <w:sz w:val="24"/>
          <w:szCs w:val="24"/>
        </w:rPr>
        <w:t>T</w:t>
      </w:r>
      <w:r w:rsidR="00A65CDF" w:rsidRPr="00CC6B3A">
        <w:rPr>
          <w:rFonts w:ascii="Times New Roman" w:hAnsi="Times New Roman" w:cs="Times New Roman"/>
          <w:sz w:val="24"/>
          <w:szCs w:val="24"/>
        </w:rPr>
        <w:t>he only systematic source of information that can be formalized is data on loans attracted for project</w:t>
      </w:r>
      <w:r w:rsidR="00A65CDF">
        <w:rPr>
          <w:rFonts w:ascii="Times New Roman" w:hAnsi="Times New Roman" w:cs="Times New Roman"/>
          <w:sz w:val="24"/>
          <w:szCs w:val="24"/>
        </w:rPr>
        <w:t xml:space="preserve"> finance</w:t>
      </w:r>
      <w:r w:rsidR="00A65CDF" w:rsidRPr="00CC6B3A">
        <w:rPr>
          <w:rFonts w:ascii="Times New Roman" w:hAnsi="Times New Roman" w:cs="Times New Roman"/>
          <w:sz w:val="24"/>
          <w:szCs w:val="24"/>
        </w:rPr>
        <w:t xml:space="preserve"> purposes,</w:t>
      </w:r>
      <w:r w:rsidR="00A65CDF">
        <w:rPr>
          <w:rFonts w:ascii="Times New Roman" w:hAnsi="Times New Roman" w:cs="Times New Roman"/>
          <w:sz w:val="24"/>
          <w:szCs w:val="24"/>
        </w:rPr>
        <w:t xml:space="preserve"> </w:t>
      </w:r>
      <w:r w:rsidR="00A65CDF" w:rsidRPr="00CC6B3A">
        <w:rPr>
          <w:rFonts w:ascii="Times New Roman" w:hAnsi="Times New Roman" w:cs="Times New Roman"/>
          <w:sz w:val="24"/>
          <w:szCs w:val="24"/>
        </w:rPr>
        <w:t>which are often classified according to the purposes of obtaining a loan declared by the borrower.</w:t>
      </w:r>
      <w:r w:rsidR="00A65CDF">
        <w:rPr>
          <w:rFonts w:ascii="Times New Roman" w:hAnsi="Times New Roman" w:cs="Times New Roman"/>
          <w:sz w:val="24"/>
          <w:szCs w:val="24"/>
        </w:rPr>
        <w:t xml:space="preserve"> Th</w:t>
      </w:r>
      <w:r w:rsidR="00271CD4">
        <w:rPr>
          <w:rFonts w:ascii="Times New Roman" w:hAnsi="Times New Roman" w:cs="Times New Roman"/>
          <w:sz w:val="24"/>
          <w:szCs w:val="24"/>
        </w:rPr>
        <w:t>is</w:t>
      </w:r>
      <w:r w:rsidR="00A65CDF">
        <w:rPr>
          <w:rFonts w:ascii="Times New Roman" w:hAnsi="Times New Roman" w:cs="Times New Roman"/>
          <w:sz w:val="24"/>
          <w:szCs w:val="24"/>
        </w:rPr>
        <w:t xml:space="preserve"> information on transactions is available through several organizations </w:t>
      </w:r>
      <w:r w:rsidR="006030B5">
        <w:rPr>
          <w:rFonts w:ascii="Times New Roman" w:hAnsi="Times New Roman" w:cs="Times New Roman"/>
          <w:sz w:val="24"/>
          <w:szCs w:val="24"/>
        </w:rPr>
        <w:t>such as</w:t>
      </w:r>
      <w:r w:rsidR="00A65CDF">
        <w:rPr>
          <w:rFonts w:ascii="Times New Roman" w:hAnsi="Times New Roman" w:cs="Times New Roman"/>
          <w:sz w:val="24"/>
          <w:szCs w:val="24"/>
        </w:rPr>
        <w:t xml:space="preserve"> Thomson Reuters</w:t>
      </w:r>
      <w:r w:rsidR="00D24F13">
        <w:rPr>
          <w:rFonts w:ascii="Times New Roman" w:hAnsi="Times New Roman" w:cs="Times New Roman"/>
          <w:sz w:val="24"/>
          <w:szCs w:val="24"/>
        </w:rPr>
        <w:t>,</w:t>
      </w:r>
      <w:r w:rsidR="008134E0">
        <w:rPr>
          <w:rStyle w:val="FootnoteReference"/>
          <w:rFonts w:ascii="Times New Roman" w:hAnsi="Times New Roman" w:cs="Times New Roman"/>
          <w:sz w:val="24"/>
          <w:szCs w:val="24"/>
        </w:rPr>
        <w:footnoteReference w:id="44"/>
      </w:r>
      <w:r w:rsidR="00D24F13">
        <w:rPr>
          <w:rFonts w:ascii="Times New Roman" w:hAnsi="Times New Roman" w:cs="Times New Roman"/>
          <w:sz w:val="24"/>
          <w:szCs w:val="24"/>
        </w:rPr>
        <w:t xml:space="preserve"> </w:t>
      </w:r>
      <w:r w:rsidR="00A65CDF">
        <w:rPr>
          <w:rFonts w:ascii="Times New Roman" w:hAnsi="Times New Roman" w:cs="Times New Roman"/>
          <w:sz w:val="24"/>
          <w:szCs w:val="24"/>
        </w:rPr>
        <w:t xml:space="preserve">which publish regular information </w:t>
      </w:r>
      <w:r w:rsidR="006030B5">
        <w:rPr>
          <w:rFonts w:ascii="Times New Roman" w:hAnsi="Times New Roman" w:cs="Times New Roman"/>
          <w:sz w:val="24"/>
          <w:szCs w:val="24"/>
        </w:rPr>
        <w:t>on</w:t>
      </w:r>
      <w:r w:rsidR="00A65CDF">
        <w:rPr>
          <w:rFonts w:ascii="Times New Roman" w:hAnsi="Times New Roman" w:cs="Times New Roman"/>
          <w:sz w:val="24"/>
          <w:szCs w:val="24"/>
        </w:rPr>
        <w:t xml:space="preserve"> </w:t>
      </w:r>
      <w:r w:rsidR="00805901">
        <w:rPr>
          <w:rFonts w:ascii="Times New Roman" w:hAnsi="Times New Roman" w:cs="Times New Roman"/>
          <w:sz w:val="24"/>
          <w:szCs w:val="24"/>
        </w:rPr>
        <w:t>transactions</w:t>
      </w:r>
      <w:r w:rsidR="00805901" w:rsidRPr="00805901">
        <w:rPr>
          <w:rFonts w:ascii="Times New Roman" w:hAnsi="Times New Roman" w:cs="Times New Roman"/>
          <w:sz w:val="24"/>
          <w:szCs w:val="24"/>
        </w:rPr>
        <w:t>'</w:t>
      </w:r>
      <w:r w:rsidR="00A65CDF">
        <w:rPr>
          <w:rFonts w:ascii="Times New Roman" w:hAnsi="Times New Roman" w:cs="Times New Roman"/>
          <w:sz w:val="24"/>
          <w:szCs w:val="24"/>
        </w:rPr>
        <w:t xml:space="preserve"> activity and compile league tables that summarise the key players</w:t>
      </w:r>
      <w:r w:rsidR="009F11E6">
        <w:rPr>
          <w:rFonts w:ascii="Times New Roman" w:hAnsi="Times New Roman" w:cs="Times New Roman"/>
          <w:sz w:val="24"/>
          <w:szCs w:val="24"/>
        </w:rPr>
        <w:t>' activities</w:t>
      </w:r>
      <w:r w:rsidR="00A65CDF">
        <w:rPr>
          <w:rFonts w:ascii="Times New Roman" w:hAnsi="Times New Roman" w:cs="Times New Roman"/>
          <w:sz w:val="24"/>
          <w:szCs w:val="24"/>
        </w:rPr>
        <w:t xml:space="preserve"> in the market. </w:t>
      </w:r>
      <w:r w:rsidR="00A65CDF" w:rsidRPr="00271CD4">
        <w:rPr>
          <w:rFonts w:ascii="Times New Roman" w:hAnsi="Times New Roman" w:cs="Times New Roman"/>
          <w:i/>
          <w:iCs/>
          <w:sz w:val="24"/>
          <w:szCs w:val="24"/>
        </w:rPr>
        <w:t>Tabl</w:t>
      </w:r>
      <w:r w:rsidR="00271CD4">
        <w:rPr>
          <w:rFonts w:ascii="Times New Roman" w:hAnsi="Times New Roman" w:cs="Times New Roman"/>
          <w:i/>
          <w:iCs/>
          <w:sz w:val="24"/>
          <w:szCs w:val="24"/>
        </w:rPr>
        <w:t xml:space="preserve">e </w:t>
      </w:r>
      <w:r w:rsidR="00A16958">
        <w:rPr>
          <w:rFonts w:ascii="Times New Roman" w:hAnsi="Times New Roman" w:cs="Times New Roman"/>
          <w:i/>
          <w:iCs/>
          <w:sz w:val="24"/>
          <w:szCs w:val="24"/>
        </w:rPr>
        <w:t>2.1</w:t>
      </w:r>
      <w:r w:rsidR="00A65CDF">
        <w:rPr>
          <w:rFonts w:ascii="Times New Roman" w:hAnsi="Times New Roman" w:cs="Times New Roman"/>
          <w:sz w:val="24"/>
          <w:szCs w:val="24"/>
        </w:rPr>
        <w:t xml:space="preserve"> summarises the project finance market information for 1995-2018 from Thomson Reuters.</w:t>
      </w:r>
    </w:p>
    <w:p w14:paraId="1F4BFCB2" w14:textId="183A9A87" w:rsidR="00476356" w:rsidRPr="00A16958" w:rsidRDefault="00A65CDF" w:rsidP="00454CA4">
      <w:pPr>
        <w:spacing w:after="0" w:line="276" w:lineRule="auto"/>
        <w:jc w:val="right"/>
        <w:rPr>
          <w:rFonts w:ascii="Times New Roman" w:hAnsi="Times New Roman" w:cs="Times New Roman"/>
          <w:i/>
          <w:iCs/>
          <w:sz w:val="24"/>
          <w:szCs w:val="24"/>
        </w:rPr>
      </w:pPr>
      <w:r w:rsidRPr="00A16958">
        <w:rPr>
          <w:rFonts w:ascii="Times New Roman" w:hAnsi="Times New Roman" w:cs="Times New Roman"/>
          <w:i/>
          <w:iCs/>
          <w:sz w:val="24"/>
          <w:szCs w:val="24"/>
        </w:rPr>
        <w:t xml:space="preserve">Table </w:t>
      </w:r>
      <w:r w:rsidR="00A16958" w:rsidRPr="00A16958">
        <w:rPr>
          <w:rFonts w:ascii="Times New Roman" w:hAnsi="Times New Roman" w:cs="Times New Roman"/>
          <w:i/>
          <w:iCs/>
          <w:sz w:val="24"/>
          <w:szCs w:val="24"/>
        </w:rPr>
        <w:t>2.1</w:t>
      </w:r>
    </w:p>
    <w:p w14:paraId="6373B277" w14:textId="56774CB1" w:rsidR="00A65CDF" w:rsidRPr="00454CA4" w:rsidRDefault="00A26FA3" w:rsidP="00F60AC3">
      <w:pPr>
        <w:spacing w:line="360" w:lineRule="auto"/>
        <w:jc w:val="center"/>
        <w:rPr>
          <w:rFonts w:ascii="Times New Roman" w:hAnsi="Times New Roman" w:cs="Times New Roman"/>
          <w:sz w:val="24"/>
          <w:szCs w:val="24"/>
        </w:rPr>
      </w:pPr>
      <w:r w:rsidRPr="00454CA4">
        <w:rPr>
          <w:rFonts w:ascii="Times New Roman" w:hAnsi="Times New Roman" w:cs="Times New Roman"/>
          <w:sz w:val="24"/>
          <w:szCs w:val="24"/>
        </w:rPr>
        <w:t>S</w:t>
      </w:r>
      <w:r w:rsidR="00A65CDF" w:rsidRPr="00454CA4">
        <w:rPr>
          <w:rFonts w:ascii="Times New Roman" w:hAnsi="Times New Roman" w:cs="Times New Roman"/>
          <w:sz w:val="24"/>
          <w:szCs w:val="24"/>
        </w:rPr>
        <w:t xml:space="preserve">ize and </w:t>
      </w:r>
      <w:r w:rsidR="000A4432" w:rsidRPr="00454CA4">
        <w:rPr>
          <w:rFonts w:ascii="Times New Roman" w:hAnsi="Times New Roman" w:cs="Times New Roman"/>
          <w:sz w:val="24"/>
          <w:szCs w:val="24"/>
        </w:rPr>
        <w:t>n</w:t>
      </w:r>
      <w:r w:rsidR="00A65CDF" w:rsidRPr="00454CA4">
        <w:rPr>
          <w:rFonts w:ascii="Times New Roman" w:hAnsi="Times New Roman" w:cs="Times New Roman"/>
          <w:sz w:val="24"/>
          <w:szCs w:val="24"/>
        </w:rPr>
        <w:t xml:space="preserve">umber of </w:t>
      </w:r>
      <w:r w:rsidRPr="00454CA4">
        <w:rPr>
          <w:rFonts w:ascii="Times New Roman" w:hAnsi="Times New Roman" w:cs="Times New Roman"/>
          <w:sz w:val="24"/>
          <w:szCs w:val="24"/>
        </w:rPr>
        <w:t xml:space="preserve">project finance </w:t>
      </w:r>
      <w:r w:rsidR="000A4432" w:rsidRPr="00454CA4">
        <w:rPr>
          <w:rFonts w:ascii="Times New Roman" w:hAnsi="Times New Roman" w:cs="Times New Roman"/>
          <w:sz w:val="24"/>
          <w:szCs w:val="24"/>
        </w:rPr>
        <w:t>t</w:t>
      </w:r>
      <w:r w:rsidR="00A65CDF" w:rsidRPr="00454CA4">
        <w:rPr>
          <w:rFonts w:ascii="Times New Roman" w:hAnsi="Times New Roman" w:cs="Times New Roman"/>
          <w:sz w:val="24"/>
          <w:szCs w:val="24"/>
        </w:rPr>
        <w:t xml:space="preserve">ransactions </w:t>
      </w:r>
      <w:r w:rsidRPr="00454CA4">
        <w:rPr>
          <w:rFonts w:ascii="Times New Roman" w:hAnsi="Times New Roman" w:cs="Times New Roman"/>
          <w:sz w:val="24"/>
          <w:szCs w:val="24"/>
        </w:rPr>
        <w:t>in</w:t>
      </w:r>
      <w:r w:rsidR="00A65CDF" w:rsidRPr="00454CA4">
        <w:rPr>
          <w:rFonts w:ascii="Times New Roman" w:hAnsi="Times New Roman" w:cs="Times New Roman"/>
          <w:sz w:val="24"/>
          <w:szCs w:val="24"/>
        </w:rPr>
        <w:t xml:space="preserve"> 1995</w:t>
      </w:r>
      <w:r w:rsidRPr="00454CA4">
        <w:rPr>
          <w:rFonts w:ascii="Times New Roman" w:hAnsi="Times New Roman" w:cs="Times New Roman"/>
          <w:sz w:val="24"/>
          <w:szCs w:val="24"/>
        </w:rPr>
        <w:t>-</w:t>
      </w:r>
      <w:r w:rsidR="00A65CDF" w:rsidRPr="00454CA4">
        <w:rPr>
          <w:rFonts w:ascii="Times New Roman" w:hAnsi="Times New Roman" w:cs="Times New Roman"/>
          <w:sz w:val="24"/>
          <w:szCs w:val="24"/>
        </w:rPr>
        <w:t>2018</w:t>
      </w:r>
    </w:p>
    <w:tbl>
      <w:tblPr>
        <w:tblStyle w:val="TableGrid"/>
        <w:tblW w:w="9587" w:type="dxa"/>
        <w:jc w:val="center"/>
        <w:tblInd w:w="0" w:type="dxa"/>
        <w:tblLook w:val="04A0" w:firstRow="1" w:lastRow="0" w:firstColumn="1" w:lastColumn="0" w:noHBand="0" w:noVBand="1"/>
      </w:tblPr>
      <w:tblGrid>
        <w:gridCol w:w="1076"/>
        <w:gridCol w:w="790"/>
        <w:gridCol w:w="864"/>
        <w:gridCol w:w="1093"/>
        <w:gridCol w:w="1134"/>
        <w:gridCol w:w="850"/>
        <w:gridCol w:w="851"/>
        <w:gridCol w:w="850"/>
        <w:gridCol w:w="1061"/>
        <w:gridCol w:w="1018"/>
      </w:tblGrid>
      <w:tr w:rsidR="00A65CDF" w14:paraId="4C714CE4" w14:textId="77777777" w:rsidTr="00F60AC3">
        <w:trPr>
          <w:trHeight w:val="936"/>
          <w:jc w:val="center"/>
        </w:trPr>
        <w:tc>
          <w:tcPr>
            <w:tcW w:w="1076" w:type="dxa"/>
            <w:vAlign w:val="center"/>
          </w:tcPr>
          <w:p w14:paraId="68927C22"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lang w:val="en-US"/>
              </w:rPr>
              <w:t>Year</w:t>
            </w:r>
          </w:p>
        </w:tc>
        <w:tc>
          <w:tcPr>
            <w:tcW w:w="790" w:type="dxa"/>
            <w:vAlign w:val="center"/>
          </w:tcPr>
          <w:p w14:paraId="56B11CAF" w14:textId="12F19E33"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 xml:space="preserve">Total </w:t>
            </w:r>
            <w:r w:rsidR="00454CA4">
              <w:rPr>
                <w:rFonts w:asciiTheme="majorBidi" w:hAnsiTheme="majorBidi" w:cstheme="majorBidi"/>
                <w:b/>
                <w:bCs/>
                <w:color w:val="000000"/>
                <w:sz w:val="20"/>
                <w:szCs w:val="20"/>
              </w:rPr>
              <w:t>l</w:t>
            </w:r>
            <w:r w:rsidRPr="00454CA4">
              <w:rPr>
                <w:rFonts w:asciiTheme="majorBidi" w:hAnsiTheme="majorBidi" w:cstheme="majorBidi"/>
                <w:b/>
                <w:bCs/>
                <w:color w:val="000000"/>
                <w:sz w:val="20"/>
                <w:szCs w:val="20"/>
              </w:rPr>
              <w:t>oans (</w:t>
            </w:r>
            <w:r w:rsidR="00A26FA3" w:rsidRPr="00454CA4">
              <w:rPr>
                <w:rFonts w:asciiTheme="majorBidi" w:hAnsiTheme="majorBidi" w:cstheme="majorBidi"/>
                <w:b/>
                <w:bCs/>
                <w:color w:val="000000"/>
                <w:sz w:val="20"/>
                <w:szCs w:val="20"/>
              </w:rPr>
              <w:t>$ bn</w:t>
            </w:r>
            <w:r w:rsidRPr="00454CA4">
              <w:rPr>
                <w:rFonts w:asciiTheme="majorBidi" w:hAnsiTheme="majorBidi" w:cstheme="majorBidi"/>
                <w:b/>
                <w:bCs/>
                <w:color w:val="000000"/>
                <w:sz w:val="20"/>
                <w:szCs w:val="20"/>
              </w:rPr>
              <w:t>)</w:t>
            </w:r>
          </w:p>
        </w:tc>
        <w:tc>
          <w:tcPr>
            <w:tcW w:w="864" w:type="dxa"/>
            <w:vAlign w:val="center"/>
          </w:tcPr>
          <w:p w14:paraId="63A65AD6" w14:textId="1A99B581"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 xml:space="preserve">Annual </w:t>
            </w:r>
            <w:r w:rsidR="00454CA4">
              <w:rPr>
                <w:rFonts w:asciiTheme="majorBidi" w:hAnsiTheme="majorBidi" w:cstheme="majorBidi"/>
                <w:b/>
                <w:bCs/>
                <w:color w:val="000000"/>
                <w:sz w:val="20"/>
                <w:szCs w:val="20"/>
              </w:rPr>
              <w:t>c</w:t>
            </w:r>
            <w:r w:rsidRPr="00454CA4">
              <w:rPr>
                <w:rFonts w:asciiTheme="majorBidi" w:hAnsiTheme="majorBidi" w:cstheme="majorBidi"/>
                <w:b/>
                <w:bCs/>
                <w:color w:val="000000"/>
                <w:sz w:val="20"/>
                <w:szCs w:val="20"/>
              </w:rPr>
              <w:t>hange %</w:t>
            </w:r>
          </w:p>
        </w:tc>
        <w:tc>
          <w:tcPr>
            <w:tcW w:w="1093" w:type="dxa"/>
            <w:vAlign w:val="center"/>
          </w:tcPr>
          <w:p w14:paraId="7FF7A7D8" w14:textId="05BF869D" w:rsidR="00A65CDF" w:rsidRPr="00454CA4" w:rsidRDefault="00454CA4" w:rsidP="0044728F">
            <w:pPr>
              <w:jc w:val="center"/>
              <w:rPr>
                <w:rFonts w:asciiTheme="majorBidi" w:hAnsiTheme="majorBidi" w:cstheme="majorBidi"/>
                <w:b/>
                <w:bCs/>
                <w:sz w:val="20"/>
                <w:szCs w:val="20"/>
                <w:lang w:val="en-US"/>
              </w:rPr>
            </w:pPr>
            <w:r>
              <w:rPr>
                <w:rFonts w:asciiTheme="majorBidi" w:hAnsiTheme="majorBidi" w:cstheme="majorBidi"/>
                <w:b/>
                <w:bCs/>
                <w:sz w:val="20"/>
                <w:szCs w:val="20"/>
              </w:rPr>
              <w:t>N</w:t>
            </w:r>
            <w:r w:rsidR="00A65CDF" w:rsidRPr="00454CA4">
              <w:rPr>
                <w:rFonts w:asciiTheme="majorBidi" w:hAnsiTheme="majorBidi" w:cstheme="majorBidi"/>
                <w:b/>
                <w:bCs/>
                <w:sz w:val="20"/>
                <w:szCs w:val="20"/>
              </w:rPr>
              <w:t xml:space="preserve">umber of </w:t>
            </w:r>
            <w:r w:rsidR="00A26FA3" w:rsidRPr="00454CA4">
              <w:rPr>
                <w:rFonts w:asciiTheme="majorBidi" w:hAnsiTheme="majorBidi" w:cstheme="majorBidi"/>
                <w:b/>
                <w:bCs/>
                <w:sz w:val="20"/>
                <w:szCs w:val="20"/>
              </w:rPr>
              <w:t>transactions</w:t>
            </w:r>
          </w:p>
        </w:tc>
        <w:tc>
          <w:tcPr>
            <w:tcW w:w="1134" w:type="dxa"/>
            <w:vAlign w:val="center"/>
          </w:tcPr>
          <w:p w14:paraId="5AEEFD15" w14:textId="5F46488D"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rPr>
              <w:t xml:space="preserve">Number of </w:t>
            </w:r>
            <w:r w:rsidR="00F60AC3">
              <w:rPr>
                <w:rFonts w:asciiTheme="majorBidi" w:hAnsiTheme="majorBidi" w:cstheme="majorBidi"/>
                <w:b/>
                <w:bCs/>
                <w:sz w:val="20"/>
                <w:szCs w:val="20"/>
              </w:rPr>
              <w:br/>
            </w:r>
            <w:r w:rsidRPr="00454CA4">
              <w:rPr>
                <w:rFonts w:asciiTheme="majorBidi" w:hAnsiTheme="majorBidi" w:cstheme="majorBidi"/>
                <w:b/>
                <w:bCs/>
                <w:sz w:val="20"/>
                <w:szCs w:val="20"/>
              </w:rPr>
              <w:t>countries</w:t>
            </w:r>
          </w:p>
        </w:tc>
        <w:tc>
          <w:tcPr>
            <w:tcW w:w="850" w:type="dxa"/>
            <w:vAlign w:val="center"/>
          </w:tcPr>
          <w:p w14:paraId="1D6FF2F6"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lang w:val="en-US"/>
              </w:rPr>
              <w:t>Year</w:t>
            </w:r>
          </w:p>
        </w:tc>
        <w:tc>
          <w:tcPr>
            <w:tcW w:w="851" w:type="dxa"/>
            <w:vAlign w:val="center"/>
          </w:tcPr>
          <w:p w14:paraId="6AC88328" w14:textId="1EA76701"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 xml:space="preserve">Total </w:t>
            </w:r>
            <w:r w:rsidR="00454CA4">
              <w:rPr>
                <w:rFonts w:asciiTheme="majorBidi" w:hAnsiTheme="majorBidi" w:cstheme="majorBidi"/>
                <w:b/>
                <w:bCs/>
                <w:color w:val="000000"/>
                <w:sz w:val="20"/>
                <w:szCs w:val="20"/>
              </w:rPr>
              <w:t>l</w:t>
            </w:r>
            <w:r w:rsidRPr="00454CA4">
              <w:rPr>
                <w:rFonts w:asciiTheme="majorBidi" w:hAnsiTheme="majorBidi" w:cstheme="majorBidi"/>
                <w:b/>
                <w:bCs/>
                <w:color w:val="000000"/>
                <w:sz w:val="20"/>
                <w:szCs w:val="20"/>
              </w:rPr>
              <w:t>oans (</w:t>
            </w:r>
            <w:r w:rsidR="00A26FA3" w:rsidRPr="00454CA4">
              <w:rPr>
                <w:rFonts w:asciiTheme="majorBidi" w:hAnsiTheme="majorBidi" w:cstheme="majorBidi"/>
                <w:b/>
                <w:bCs/>
                <w:color w:val="000000"/>
                <w:sz w:val="20"/>
                <w:szCs w:val="20"/>
              </w:rPr>
              <w:t>$ bn</w:t>
            </w:r>
            <w:r w:rsidRPr="00454CA4">
              <w:rPr>
                <w:rFonts w:asciiTheme="majorBidi" w:hAnsiTheme="majorBidi" w:cstheme="majorBidi"/>
                <w:b/>
                <w:bCs/>
                <w:color w:val="000000"/>
                <w:sz w:val="20"/>
                <w:szCs w:val="20"/>
              </w:rPr>
              <w:t>)</w:t>
            </w:r>
          </w:p>
        </w:tc>
        <w:tc>
          <w:tcPr>
            <w:tcW w:w="850" w:type="dxa"/>
            <w:vAlign w:val="center"/>
          </w:tcPr>
          <w:p w14:paraId="295C93CA" w14:textId="5BD5D7C1"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 xml:space="preserve">Annual </w:t>
            </w:r>
            <w:r w:rsidR="00454CA4">
              <w:rPr>
                <w:rFonts w:asciiTheme="majorBidi" w:hAnsiTheme="majorBidi" w:cstheme="majorBidi"/>
                <w:b/>
                <w:bCs/>
                <w:color w:val="000000"/>
                <w:sz w:val="20"/>
                <w:szCs w:val="20"/>
              </w:rPr>
              <w:t>c</w:t>
            </w:r>
            <w:r w:rsidRPr="00454CA4">
              <w:rPr>
                <w:rFonts w:asciiTheme="majorBidi" w:hAnsiTheme="majorBidi" w:cstheme="majorBidi"/>
                <w:b/>
                <w:bCs/>
                <w:color w:val="000000"/>
                <w:sz w:val="20"/>
                <w:szCs w:val="20"/>
              </w:rPr>
              <w:t>hange %</w:t>
            </w:r>
          </w:p>
        </w:tc>
        <w:tc>
          <w:tcPr>
            <w:tcW w:w="1061" w:type="dxa"/>
            <w:vAlign w:val="center"/>
          </w:tcPr>
          <w:p w14:paraId="5F9E6268" w14:textId="3CF9E6D4" w:rsidR="00A65CDF" w:rsidRPr="00454CA4" w:rsidRDefault="00454CA4" w:rsidP="0044728F">
            <w:pPr>
              <w:jc w:val="center"/>
              <w:rPr>
                <w:rFonts w:asciiTheme="majorBidi" w:hAnsiTheme="majorBidi" w:cstheme="majorBidi"/>
                <w:b/>
                <w:bCs/>
                <w:sz w:val="20"/>
                <w:szCs w:val="20"/>
                <w:lang w:val="en-US"/>
              </w:rPr>
            </w:pPr>
            <w:r>
              <w:rPr>
                <w:rFonts w:asciiTheme="majorBidi" w:hAnsiTheme="majorBidi" w:cstheme="majorBidi"/>
                <w:b/>
                <w:bCs/>
                <w:sz w:val="20"/>
                <w:szCs w:val="20"/>
              </w:rPr>
              <w:t>N</w:t>
            </w:r>
            <w:r w:rsidR="00A65CDF" w:rsidRPr="00454CA4">
              <w:rPr>
                <w:rFonts w:asciiTheme="majorBidi" w:hAnsiTheme="majorBidi" w:cstheme="majorBidi"/>
                <w:b/>
                <w:bCs/>
                <w:sz w:val="20"/>
                <w:szCs w:val="20"/>
              </w:rPr>
              <w:t xml:space="preserve">umber of </w:t>
            </w:r>
            <w:r w:rsidR="00A26FA3" w:rsidRPr="00454CA4">
              <w:rPr>
                <w:rFonts w:asciiTheme="majorBidi" w:hAnsiTheme="majorBidi" w:cstheme="majorBidi"/>
                <w:b/>
                <w:bCs/>
                <w:sz w:val="20"/>
                <w:szCs w:val="20"/>
              </w:rPr>
              <w:t>transactions</w:t>
            </w:r>
          </w:p>
        </w:tc>
        <w:tc>
          <w:tcPr>
            <w:tcW w:w="1018" w:type="dxa"/>
            <w:vAlign w:val="center"/>
          </w:tcPr>
          <w:p w14:paraId="5A320832" w14:textId="1BB3E433"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rPr>
              <w:t xml:space="preserve">Number of </w:t>
            </w:r>
            <w:r w:rsidR="00F60AC3">
              <w:rPr>
                <w:rFonts w:asciiTheme="majorBidi" w:hAnsiTheme="majorBidi" w:cstheme="majorBidi"/>
                <w:b/>
                <w:bCs/>
                <w:sz w:val="20"/>
                <w:szCs w:val="20"/>
              </w:rPr>
              <w:br/>
            </w:r>
            <w:r w:rsidRPr="00454CA4">
              <w:rPr>
                <w:rFonts w:asciiTheme="majorBidi" w:hAnsiTheme="majorBidi" w:cstheme="majorBidi"/>
                <w:b/>
                <w:bCs/>
                <w:sz w:val="20"/>
                <w:szCs w:val="20"/>
              </w:rPr>
              <w:t>countries</w:t>
            </w:r>
          </w:p>
        </w:tc>
      </w:tr>
      <w:tr w:rsidR="00A65CDF" w14:paraId="2B28B911" w14:textId="77777777" w:rsidTr="00F60AC3">
        <w:trPr>
          <w:trHeight w:val="341"/>
          <w:jc w:val="center"/>
        </w:trPr>
        <w:tc>
          <w:tcPr>
            <w:tcW w:w="1076" w:type="dxa"/>
            <w:vAlign w:val="center"/>
          </w:tcPr>
          <w:p w14:paraId="319FA1C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1995</w:t>
            </w:r>
          </w:p>
        </w:tc>
        <w:tc>
          <w:tcPr>
            <w:tcW w:w="790" w:type="dxa"/>
            <w:vAlign w:val="center"/>
          </w:tcPr>
          <w:p w14:paraId="540EAFD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23.33</w:t>
            </w:r>
          </w:p>
        </w:tc>
        <w:tc>
          <w:tcPr>
            <w:tcW w:w="864" w:type="dxa"/>
            <w:vAlign w:val="center"/>
          </w:tcPr>
          <w:p w14:paraId="527D267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w:t>
            </w:r>
          </w:p>
        </w:tc>
        <w:tc>
          <w:tcPr>
            <w:tcW w:w="1093" w:type="dxa"/>
            <w:vAlign w:val="center"/>
          </w:tcPr>
          <w:p w14:paraId="263AA9F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lang w:val="en-US"/>
              </w:rPr>
              <w:t>-</w:t>
            </w:r>
          </w:p>
        </w:tc>
        <w:tc>
          <w:tcPr>
            <w:tcW w:w="1134" w:type="dxa"/>
            <w:vAlign w:val="center"/>
          </w:tcPr>
          <w:p w14:paraId="3397E5D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36</w:t>
            </w:r>
          </w:p>
        </w:tc>
        <w:tc>
          <w:tcPr>
            <w:tcW w:w="850" w:type="dxa"/>
            <w:vAlign w:val="center"/>
          </w:tcPr>
          <w:p w14:paraId="655932E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2007</w:t>
            </w:r>
          </w:p>
        </w:tc>
        <w:tc>
          <w:tcPr>
            <w:tcW w:w="851" w:type="dxa"/>
            <w:vAlign w:val="center"/>
          </w:tcPr>
          <w:p w14:paraId="2A02EB4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219.99</w:t>
            </w:r>
          </w:p>
        </w:tc>
        <w:tc>
          <w:tcPr>
            <w:tcW w:w="850" w:type="dxa"/>
            <w:vAlign w:val="center"/>
          </w:tcPr>
          <w:p w14:paraId="4D08424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21.8%</w:t>
            </w:r>
          </w:p>
        </w:tc>
        <w:tc>
          <w:tcPr>
            <w:tcW w:w="1061" w:type="dxa"/>
            <w:vAlign w:val="center"/>
          </w:tcPr>
          <w:p w14:paraId="50E38EE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616</w:t>
            </w:r>
          </w:p>
        </w:tc>
        <w:tc>
          <w:tcPr>
            <w:tcW w:w="1018" w:type="dxa"/>
            <w:vAlign w:val="center"/>
          </w:tcPr>
          <w:p w14:paraId="44EF4B4E"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75</w:t>
            </w:r>
          </w:p>
        </w:tc>
      </w:tr>
      <w:tr w:rsidR="00A65CDF" w14:paraId="07F062A5" w14:textId="77777777" w:rsidTr="00F60AC3">
        <w:trPr>
          <w:trHeight w:val="341"/>
          <w:jc w:val="center"/>
        </w:trPr>
        <w:tc>
          <w:tcPr>
            <w:tcW w:w="1076" w:type="dxa"/>
            <w:vAlign w:val="center"/>
          </w:tcPr>
          <w:p w14:paraId="545090D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1996</w:t>
            </w:r>
          </w:p>
        </w:tc>
        <w:tc>
          <w:tcPr>
            <w:tcW w:w="790" w:type="dxa"/>
            <w:vAlign w:val="center"/>
          </w:tcPr>
          <w:p w14:paraId="31D0CBB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42.83</w:t>
            </w:r>
          </w:p>
        </w:tc>
        <w:tc>
          <w:tcPr>
            <w:tcW w:w="864" w:type="dxa"/>
            <w:vAlign w:val="center"/>
          </w:tcPr>
          <w:p w14:paraId="3223F5E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83.6%</w:t>
            </w:r>
          </w:p>
        </w:tc>
        <w:tc>
          <w:tcPr>
            <w:tcW w:w="1093" w:type="dxa"/>
            <w:vAlign w:val="center"/>
          </w:tcPr>
          <w:p w14:paraId="289CC71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lang w:val="en-US"/>
              </w:rPr>
              <w:t>-</w:t>
            </w:r>
          </w:p>
        </w:tc>
        <w:tc>
          <w:tcPr>
            <w:tcW w:w="1134" w:type="dxa"/>
            <w:vAlign w:val="center"/>
          </w:tcPr>
          <w:p w14:paraId="218F0EC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36</w:t>
            </w:r>
          </w:p>
        </w:tc>
        <w:tc>
          <w:tcPr>
            <w:tcW w:w="850" w:type="dxa"/>
            <w:vAlign w:val="center"/>
          </w:tcPr>
          <w:p w14:paraId="0836DC7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2008</w:t>
            </w:r>
          </w:p>
        </w:tc>
        <w:tc>
          <w:tcPr>
            <w:tcW w:w="851" w:type="dxa"/>
            <w:vAlign w:val="center"/>
          </w:tcPr>
          <w:p w14:paraId="3BB356A1"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250.56</w:t>
            </w:r>
          </w:p>
        </w:tc>
        <w:tc>
          <w:tcPr>
            <w:tcW w:w="850" w:type="dxa"/>
            <w:vAlign w:val="center"/>
          </w:tcPr>
          <w:p w14:paraId="6A0F4331"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13.9%</w:t>
            </w:r>
          </w:p>
        </w:tc>
        <w:tc>
          <w:tcPr>
            <w:tcW w:w="1061" w:type="dxa"/>
            <w:vAlign w:val="center"/>
          </w:tcPr>
          <w:p w14:paraId="66918D6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689</w:t>
            </w:r>
          </w:p>
        </w:tc>
        <w:tc>
          <w:tcPr>
            <w:tcW w:w="1018" w:type="dxa"/>
            <w:vAlign w:val="center"/>
          </w:tcPr>
          <w:p w14:paraId="78EBC4F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77</w:t>
            </w:r>
          </w:p>
        </w:tc>
      </w:tr>
      <w:tr w:rsidR="00A65CDF" w14:paraId="722457D5" w14:textId="77777777" w:rsidTr="00F60AC3">
        <w:trPr>
          <w:trHeight w:val="341"/>
          <w:jc w:val="center"/>
        </w:trPr>
        <w:tc>
          <w:tcPr>
            <w:tcW w:w="1076" w:type="dxa"/>
            <w:vAlign w:val="center"/>
          </w:tcPr>
          <w:p w14:paraId="2C0513D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1997</w:t>
            </w:r>
          </w:p>
        </w:tc>
        <w:tc>
          <w:tcPr>
            <w:tcW w:w="790" w:type="dxa"/>
            <w:vAlign w:val="center"/>
          </w:tcPr>
          <w:p w14:paraId="59D7901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67.43</w:t>
            </w:r>
          </w:p>
        </w:tc>
        <w:tc>
          <w:tcPr>
            <w:tcW w:w="864" w:type="dxa"/>
            <w:vAlign w:val="center"/>
          </w:tcPr>
          <w:p w14:paraId="3DBF08B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57.4%</w:t>
            </w:r>
          </w:p>
        </w:tc>
        <w:tc>
          <w:tcPr>
            <w:tcW w:w="1093" w:type="dxa"/>
            <w:vAlign w:val="center"/>
          </w:tcPr>
          <w:p w14:paraId="64BEFA59"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lang w:val="en-US"/>
              </w:rPr>
              <w:t>-</w:t>
            </w:r>
          </w:p>
        </w:tc>
        <w:tc>
          <w:tcPr>
            <w:tcW w:w="1134" w:type="dxa"/>
            <w:vAlign w:val="center"/>
          </w:tcPr>
          <w:p w14:paraId="0D97114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49</w:t>
            </w:r>
          </w:p>
        </w:tc>
        <w:tc>
          <w:tcPr>
            <w:tcW w:w="850" w:type="dxa"/>
            <w:vAlign w:val="center"/>
          </w:tcPr>
          <w:p w14:paraId="777FC98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2009</w:t>
            </w:r>
          </w:p>
        </w:tc>
        <w:tc>
          <w:tcPr>
            <w:tcW w:w="851" w:type="dxa"/>
            <w:vAlign w:val="center"/>
          </w:tcPr>
          <w:p w14:paraId="7C634B55"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139.19</w:t>
            </w:r>
          </w:p>
        </w:tc>
        <w:tc>
          <w:tcPr>
            <w:tcW w:w="850" w:type="dxa"/>
            <w:vAlign w:val="center"/>
          </w:tcPr>
          <w:p w14:paraId="084DEF7F" w14:textId="77777777" w:rsidR="00A65CDF" w:rsidRPr="00454CA4" w:rsidRDefault="00A65CDF" w:rsidP="0044728F">
            <w:pPr>
              <w:jc w:val="center"/>
              <w:rPr>
                <w:rFonts w:asciiTheme="majorBidi" w:hAnsiTheme="majorBidi" w:cstheme="majorBidi"/>
                <w:sz w:val="20"/>
                <w:szCs w:val="20"/>
                <w:lang w:val="en-US"/>
              </w:rPr>
            </w:pPr>
            <w:r w:rsidRPr="00454CA4">
              <w:rPr>
                <w:rFonts w:asciiTheme="majorBidi" w:hAnsiTheme="majorBidi" w:cstheme="majorBidi"/>
                <w:color w:val="000000"/>
                <w:sz w:val="20"/>
                <w:szCs w:val="20"/>
              </w:rPr>
              <w:t>-44.4%</w:t>
            </w:r>
          </w:p>
        </w:tc>
        <w:tc>
          <w:tcPr>
            <w:tcW w:w="1061" w:type="dxa"/>
            <w:vAlign w:val="center"/>
          </w:tcPr>
          <w:p w14:paraId="30E9991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461</w:t>
            </w:r>
          </w:p>
        </w:tc>
        <w:tc>
          <w:tcPr>
            <w:tcW w:w="1018" w:type="dxa"/>
            <w:vAlign w:val="center"/>
          </w:tcPr>
          <w:p w14:paraId="0CA35C9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63</w:t>
            </w:r>
          </w:p>
        </w:tc>
      </w:tr>
      <w:tr w:rsidR="00A65CDF" w14:paraId="0A8BA51E" w14:textId="77777777" w:rsidTr="00F60AC3">
        <w:trPr>
          <w:trHeight w:val="341"/>
          <w:jc w:val="center"/>
        </w:trPr>
        <w:tc>
          <w:tcPr>
            <w:tcW w:w="1076" w:type="dxa"/>
            <w:vAlign w:val="center"/>
          </w:tcPr>
          <w:p w14:paraId="774A890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1998</w:t>
            </w:r>
          </w:p>
        </w:tc>
        <w:tc>
          <w:tcPr>
            <w:tcW w:w="790" w:type="dxa"/>
            <w:vAlign w:val="center"/>
          </w:tcPr>
          <w:p w14:paraId="0178AF8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56.65</w:t>
            </w:r>
          </w:p>
        </w:tc>
        <w:tc>
          <w:tcPr>
            <w:tcW w:w="864" w:type="dxa"/>
            <w:vAlign w:val="center"/>
          </w:tcPr>
          <w:p w14:paraId="0DF2DF55"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-16%</w:t>
            </w:r>
          </w:p>
        </w:tc>
        <w:tc>
          <w:tcPr>
            <w:tcW w:w="1093" w:type="dxa"/>
            <w:vAlign w:val="center"/>
          </w:tcPr>
          <w:p w14:paraId="396E7B1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lang w:val="en-US"/>
              </w:rPr>
              <w:t>-</w:t>
            </w:r>
          </w:p>
        </w:tc>
        <w:tc>
          <w:tcPr>
            <w:tcW w:w="1134" w:type="dxa"/>
            <w:vAlign w:val="center"/>
          </w:tcPr>
          <w:p w14:paraId="5E7459E9"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57</w:t>
            </w:r>
          </w:p>
        </w:tc>
        <w:tc>
          <w:tcPr>
            <w:tcW w:w="850" w:type="dxa"/>
            <w:vAlign w:val="center"/>
          </w:tcPr>
          <w:p w14:paraId="30AA254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2010</w:t>
            </w:r>
          </w:p>
        </w:tc>
        <w:tc>
          <w:tcPr>
            <w:tcW w:w="851" w:type="dxa"/>
            <w:vAlign w:val="center"/>
          </w:tcPr>
          <w:p w14:paraId="0A63C76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208.17</w:t>
            </w:r>
          </w:p>
        </w:tc>
        <w:tc>
          <w:tcPr>
            <w:tcW w:w="850" w:type="dxa"/>
            <w:vAlign w:val="center"/>
          </w:tcPr>
          <w:p w14:paraId="30E60C12"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49.6%</w:t>
            </w:r>
          </w:p>
        </w:tc>
        <w:tc>
          <w:tcPr>
            <w:tcW w:w="1061" w:type="dxa"/>
            <w:vAlign w:val="center"/>
          </w:tcPr>
          <w:p w14:paraId="0469CAD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598</w:t>
            </w:r>
          </w:p>
        </w:tc>
        <w:tc>
          <w:tcPr>
            <w:tcW w:w="1018" w:type="dxa"/>
            <w:vAlign w:val="center"/>
          </w:tcPr>
          <w:p w14:paraId="699815D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62</w:t>
            </w:r>
          </w:p>
        </w:tc>
      </w:tr>
      <w:tr w:rsidR="00A65CDF" w14:paraId="6B2E27BC" w14:textId="77777777" w:rsidTr="00F60AC3">
        <w:trPr>
          <w:trHeight w:val="341"/>
          <w:jc w:val="center"/>
        </w:trPr>
        <w:tc>
          <w:tcPr>
            <w:tcW w:w="1076" w:type="dxa"/>
            <w:vAlign w:val="center"/>
          </w:tcPr>
          <w:p w14:paraId="2A4A1D9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1999</w:t>
            </w:r>
          </w:p>
        </w:tc>
        <w:tc>
          <w:tcPr>
            <w:tcW w:w="790" w:type="dxa"/>
            <w:vAlign w:val="center"/>
          </w:tcPr>
          <w:p w14:paraId="785E958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72.39</w:t>
            </w:r>
          </w:p>
        </w:tc>
        <w:tc>
          <w:tcPr>
            <w:tcW w:w="864" w:type="dxa"/>
            <w:vAlign w:val="center"/>
          </w:tcPr>
          <w:p w14:paraId="5F9A59A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27.8%</w:t>
            </w:r>
          </w:p>
        </w:tc>
        <w:tc>
          <w:tcPr>
            <w:tcW w:w="1093" w:type="dxa"/>
            <w:vAlign w:val="center"/>
          </w:tcPr>
          <w:p w14:paraId="3F6ECCD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lang w:val="en-US"/>
              </w:rPr>
              <w:t>-</w:t>
            </w:r>
          </w:p>
        </w:tc>
        <w:tc>
          <w:tcPr>
            <w:tcW w:w="1134" w:type="dxa"/>
            <w:vAlign w:val="center"/>
          </w:tcPr>
          <w:p w14:paraId="18B608A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56</w:t>
            </w:r>
          </w:p>
        </w:tc>
        <w:tc>
          <w:tcPr>
            <w:tcW w:w="850" w:type="dxa"/>
            <w:vAlign w:val="center"/>
          </w:tcPr>
          <w:p w14:paraId="1A771516"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2011</w:t>
            </w:r>
          </w:p>
        </w:tc>
        <w:tc>
          <w:tcPr>
            <w:tcW w:w="851" w:type="dxa"/>
            <w:vAlign w:val="center"/>
          </w:tcPr>
          <w:p w14:paraId="6570B0B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213.49</w:t>
            </w:r>
          </w:p>
        </w:tc>
        <w:tc>
          <w:tcPr>
            <w:tcW w:w="850" w:type="dxa"/>
            <w:vAlign w:val="center"/>
          </w:tcPr>
          <w:p w14:paraId="2F38B13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2.6%</w:t>
            </w:r>
          </w:p>
        </w:tc>
        <w:tc>
          <w:tcPr>
            <w:tcW w:w="1061" w:type="dxa"/>
            <w:vAlign w:val="center"/>
          </w:tcPr>
          <w:p w14:paraId="2CF2E55E"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615</w:t>
            </w:r>
          </w:p>
        </w:tc>
        <w:tc>
          <w:tcPr>
            <w:tcW w:w="1018" w:type="dxa"/>
            <w:vAlign w:val="center"/>
          </w:tcPr>
          <w:p w14:paraId="7D5619F1"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70</w:t>
            </w:r>
          </w:p>
        </w:tc>
      </w:tr>
      <w:tr w:rsidR="00A65CDF" w14:paraId="6877B218" w14:textId="77777777" w:rsidTr="00F60AC3">
        <w:trPr>
          <w:trHeight w:val="341"/>
          <w:jc w:val="center"/>
        </w:trPr>
        <w:tc>
          <w:tcPr>
            <w:tcW w:w="1076" w:type="dxa"/>
            <w:vAlign w:val="center"/>
          </w:tcPr>
          <w:p w14:paraId="64B75AC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2000</w:t>
            </w:r>
          </w:p>
        </w:tc>
        <w:tc>
          <w:tcPr>
            <w:tcW w:w="790" w:type="dxa"/>
            <w:vAlign w:val="center"/>
          </w:tcPr>
          <w:p w14:paraId="6923158E"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110.89</w:t>
            </w:r>
          </w:p>
        </w:tc>
        <w:tc>
          <w:tcPr>
            <w:tcW w:w="864" w:type="dxa"/>
            <w:vAlign w:val="center"/>
          </w:tcPr>
          <w:p w14:paraId="01FED37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53.2%</w:t>
            </w:r>
          </w:p>
        </w:tc>
        <w:tc>
          <w:tcPr>
            <w:tcW w:w="1093" w:type="dxa"/>
            <w:vAlign w:val="center"/>
          </w:tcPr>
          <w:p w14:paraId="280223E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sz w:val="20"/>
                <w:szCs w:val="20"/>
                <w:lang w:val="en-US"/>
              </w:rPr>
              <w:t>-</w:t>
            </w:r>
          </w:p>
        </w:tc>
        <w:tc>
          <w:tcPr>
            <w:tcW w:w="1134" w:type="dxa"/>
            <w:vAlign w:val="center"/>
          </w:tcPr>
          <w:p w14:paraId="752892A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55</w:t>
            </w:r>
          </w:p>
        </w:tc>
        <w:tc>
          <w:tcPr>
            <w:tcW w:w="850" w:type="dxa"/>
            <w:vAlign w:val="center"/>
          </w:tcPr>
          <w:p w14:paraId="308E64C3"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2012</w:t>
            </w:r>
          </w:p>
        </w:tc>
        <w:tc>
          <w:tcPr>
            <w:tcW w:w="851" w:type="dxa"/>
            <w:vAlign w:val="center"/>
          </w:tcPr>
          <w:p w14:paraId="61BC55E5"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198.75</w:t>
            </w:r>
          </w:p>
        </w:tc>
        <w:tc>
          <w:tcPr>
            <w:tcW w:w="850" w:type="dxa"/>
            <w:vAlign w:val="center"/>
          </w:tcPr>
          <w:p w14:paraId="11380FD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-6.9%</w:t>
            </w:r>
          </w:p>
        </w:tc>
        <w:tc>
          <w:tcPr>
            <w:tcW w:w="1061" w:type="dxa"/>
            <w:vAlign w:val="center"/>
          </w:tcPr>
          <w:p w14:paraId="2EC4F9F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538</w:t>
            </w:r>
          </w:p>
        </w:tc>
        <w:tc>
          <w:tcPr>
            <w:tcW w:w="1018" w:type="dxa"/>
            <w:vAlign w:val="center"/>
          </w:tcPr>
          <w:p w14:paraId="55B6FF9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61</w:t>
            </w:r>
          </w:p>
        </w:tc>
      </w:tr>
      <w:tr w:rsidR="00A65CDF" w14:paraId="2819107B" w14:textId="77777777" w:rsidTr="00F60AC3">
        <w:trPr>
          <w:trHeight w:val="341"/>
          <w:jc w:val="center"/>
        </w:trPr>
        <w:tc>
          <w:tcPr>
            <w:tcW w:w="1076" w:type="dxa"/>
            <w:vAlign w:val="center"/>
          </w:tcPr>
          <w:p w14:paraId="52F8410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2001</w:t>
            </w:r>
          </w:p>
        </w:tc>
        <w:tc>
          <w:tcPr>
            <w:tcW w:w="790" w:type="dxa"/>
            <w:vAlign w:val="center"/>
          </w:tcPr>
          <w:p w14:paraId="18E44CA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108.48</w:t>
            </w:r>
          </w:p>
        </w:tc>
        <w:tc>
          <w:tcPr>
            <w:tcW w:w="864" w:type="dxa"/>
            <w:vAlign w:val="center"/>
          </w:tcPr>
          <w:p w14:paraId="095CFCE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-2.2%</w:t>
            </w:r>
          </w:p>
        </w:tc>
        <w:tc>
          <w:tcPr>
            <w:tcW w:w="1093" w:type="dxa"/>
            <w:vAlign w:val="center"/>
          </w:tcPr>
          <w:p w14:paraId="4F5F152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314</w:t>
            </w:r>
          </w:p>
        </w:tc>
        <w:tc>
          <w:tcPr>
            <w:tcW w:w="1134" w:type="dxa"/>
            <w:vAlign w:val="center"/>
          </w:tcPr>
          <w:p w14:paraId="0DBADD26"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66</w:t>
            </w:r>
          </w:p>
        </w:tc>
        <w:tc>
          <w:tcPr>
            <w:tcW w:w="850" w:type="dxa"/>
            <w:vAlign w:val="center"/>
          </w:tcPr>
          <w:p w14:paraId="54C2B0D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2013</w:t>
            </w:r>
          </w:p>
        </w:tc>
        <w:tc>
          <w:tcPr>
            <w:tcW w:w="851" w:type="dxa"/>
            <w:vAlign w:val="center"/>
          </w:tcPr>
          <w:p w14:paraId="4C068D6E"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203.03</w:t>
            </w:r>
          </w:p>
        </w:tc>
        <w:tc>
          <w:tcPr>
            <w:tcW w:w="850" w:type="dxa"/>
            <w:vAlign w:val="center"/>
          </w:tcPr>
          <w:p w14:paraId="326C9BB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2.2%</w:t>
            </w:r>
          </w:p>
        </w:tc>
        <w:tc>
          <w:tcPr>
            <w:tcW w:w="1061" w:type="dxa"/>
            <w:vAlign w:val="center"/>
          </w:tcPr>
          <w:p w14:paraId="0B9D89E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584</w:t>
            </w:r>
          </w:p>
        </w:tc>
        <w:tc>
          <w:tcPr>
            <w:tcW w:w="1018" w:type="dxa"/>
            <w:vAlign w:val="center"/>
          </w:tcPr>
          <w:p w14:paraId="35C02A0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69</w:t>
            </w:r>
          </w:p>
        </w:tc>
      </w:tr>
      <w:tr w:rsidR="00A65CDF" w14:paraId="7EA59B2C" w14:textId="77777777" w:rsidTr="00F60AC3">
        <w:trPr>
          <w:trHeight w:val="341"/>
          <w:jc w:val="center"/>
        </w:trPr>
        <w:tc>
          <w:tcPr>
            <w:tcW w:w="1076" w:type="dxa"/>
            <w:vAlign w:val="center"/>
          </w:tcPr>
          <w:p w14:paraId="649A128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2002</w:t>
            </w:r>
          </w:p>
        </w:tc>
        <w:tc>
          <w:tcPr>
            <w:tcW w:w="790" w:type="dxa"/>
            <w:vAlign w:val="center"/>
          </w:tcPr>
          <w:p w14:paraId="05C5A8B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62.17</w:t>
            </w:r>
          </w:p>
        </w:tc>
        <w:tc>
          <w:tcPr>
            <w:tcW w:w="864" w:type="dxa"/>
            <w:vAlign w:val="center"/>
          </w:tcPr>
          <w:p w14:paraId="0AE5A4D6"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-42.7%</w:t>
            </w:r>
          </w:p>
        </w:tc>
        <w:tc>
          <w:tcPr>
            <w:tcW w:w="1093" w:type="dxa"/>
            <w:vAlign w:val="center"/>
          </w:tcPr>
          <w:p w14:paraId="26F155F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284</w:t>
            </w:r>
          </w:p>
        </w:tc>
        <w:tc>
          <w:tcPr>
            <w:tcW w:w="1134" w:type="dxa"/>
            <w:vAlign w:val="center"/>
          </w:tcPr>
          <w:p w14:paraId="137CF09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65</w:t>
            </w:r>
          </w:p>
        </w:tc>
        <w:tc>
          <w:tcPr>
            <w:tcW w:w="850" w:type="dxa"/>
            <w:vAlign w:val="center"/>
          </w:tcPr>
          <w:p w14:paraId="3B26288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2014</w:t>
            </w:r>
          </w:p>
        </w:tc>
        <w:tc>
          <w:tcPr>
            <w:tcW w:w="851" w:type="dxa"/>
            <w:vAlign w:val="center"/>
          </w:tcPr>
          <w:p w14:paraId="41EE40F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260.25</w:t>
            </w:r>
          </w:p>
        </w:tc>
        <w:tc>
          <w:tcPr>
            <w:tcW w:w="850" w:type="dxa"/>
            <w:vAlign w:val="center"/>
          </w:tcPr>
          <w:p w14:paraId="6C3F808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28.2%</w:t>
            </w:r>
          </w:p>
        </w:tc>
        <w:tc>
          <w:tcPr>
            <w:tcW w:w="1061" w:type="dxa"/>
            <w:vAlign w:val="center"/>
          </w:tcPr>
          <w:p w14:paraId="5B3370D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704</w:t>
            </w:r>
          </w:p>
        </w:tc>
        <w:tc>
          <w:tcPr>
            <w:tcW w:w="1018" w:type="dxa"/>
            <w:vAlign w:val="center"/>
          </w:tcPr>
          <w:p w14:paraId="5F7DF825"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77</w:t>
            </w:r>
          </w:p>
        </w:tc>
      </w:tr>
      <w:tr w:rsidR="00A65CDF" w14:paraId="028C6E02" w14:textId="77777777" w:rsidTr="00F60AC3">
        <w:trPr>
          <w:trHeight w:val="341"/>
          <w:jc w:val="center"/>
        </w:trPr>
        <w:tc>
          <w:tcPr>
            <w:tcW w:w="1076" w:type="dxa"/>
            <w:vAlign w:val="center"/>
          </w:tcPr>
          <w:p w14:paraId="323EF13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2003</w:t>
            </w:r>
          </w:p>
        </w:tc>
        <w:tc>
          <w:tcPr>
            <w:tcW w:w="790" w:type="dxa"/>
            <w:vAlign w:val="center"/>
          </w:tcPr>
          <w:p w14:paraId="33B91CD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69.56</w:t>
            </w:r>
          </w:p>
        </w:tc>
        <w:tc>
          <w:tcPr>
            <w:tcW w:w="864" w:type="dxa"/>
            <w:vAlign w:val="center"/>
          </w:tcPr>
          <w:p w14:paraId="5F94CEC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11.9%</w:t>
            </w:r>
          </w:p>
        </w:tc>
        <w:tc>
          <w:tcPr>
            <w:tcW w:w="1093" w:type="dxa"/>
            <w:vAlign w:val="center"/>
          </w:tcPr>
          <w:p w14:paraId="6ACDA499"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302</w:t>
            </w:r>
          </w:p>
        </w:tc>
        <w:tc>
          <w:tcPr>
            <w:tcW w:w="1134" w:type="dxa"/>
            <w:vAlign w:val="center"/>
          </w:tcPr>
          <w:p w14:paraId="6E30688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67</w:t>
            </w:r>
          </w:p>
        </w:tc>
        <w:tc>
          <w:tcPr>
            <w:tcW w:w="850" w:type="dxa"/>
            <w:vAlign w:val="center"/>
          </w:tcPr>
          <w:p w14:paraId="5227196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2015</w:t>
            </w:r>
          </w:p>
        </w:tc>
        <w:tc>
          <w:tcPr>
            <w:tcW w:w="851" w:type="dxa"/>
            <w:vAlign w:val="center"/>
          </w:tcPr>
          <w:p w14:paraId="4107335A"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277.73</w:t>
            </w:r>
          </w:p>
        </w:tc>
        <w:tc>
          <w:tcPr>
            <w:tcW w:w="850" w:type="dxa"/>
            <w:vAlign w:val="center"/>
          </w:tcPr>
          <w:p w14:paraId="4C49EBD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6.7%</w:t>
            </w:r>
          </w:p>
        </w:tc>
        <w:tc>
          <w:tcPr>
            <w:tcW w:w="1061" w:type="dxa"/>
            <w:vAlign w:val="center"/>
          </w:tcPr>
          <w:p w14:paraId="4AE9A9B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791</w:t>
            </w:r>
          </w:p>
        </w:tc>
        <w:tc>
          <w:tcPr>
            <w:tcW w:w="1018" w:type="dxa"/>
            <w:vAlign w:val="center"/>
          </w:tcPr>
          <w:p w14:paraId="0121A39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81</w:t>
            </w:r>
          </w:p>
        </w:tc>
      </w:tr>
      <w:tr w:rsidR="00A65CDF" w14:paraId="6C81F161" w14:textId="77777777" w:rsidTr="00F60AC3">
        <w:trPr>
          <w:trHeight w:val="341"/>
          <w:jc w:val="center"/>
        </w:trPr>
        <w:tc>
          <w:tcPr>
            <w:tcW w:w="1076" w:type="dxa"/>
            <w:vAlign w:val="center"/>
          </w:tcPr>
          <w:p w14:paraId="6064FA06"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2004</w:t>
            </w:r>
          </w:p>
        </w:tc>
        <w:tc>
          <w:tcPr>
            <w:tcW w:w="790" w:type="dxa"/>
            <w:vAlign w:val="center"/>
          </w:tcPr>
          <w:p w14:paraId="1CD89F7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116.44</w:t>
            </w:r>
          </w:p>
        </w:tc>
        <w:tc>
          <w:tcPr>
            <w:tcW w:w="864" w:type="dxa"/>
            <w:vAlign w:val="center"/>
          </w:tcPr>
          <w:p w14:paraId="3D6A7D4F"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67.4%</w:t>
            </w:r>
          </w:p>
        </w:tc>
        <w:tc>
          <w:tcPr>
            <w:tcW w:w="1093" w:type="dxa"/>
            <w:vAlign w:val="center"/>
          </w:tcPr>
          <w:p w14:paraId="39561AD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472</w:t>
            </w:r>
          </w:p>
        </w:tc>
        <w:tc>
          <w:tcPr>
            <w:tcW w:w="1134" w:type="dxa"/>
            <w:vAlign w:val="center"/>
          </w:tcPr>
          <w:p w14:paraId="374F729B"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65</w:t>
            </w:r>
          </w:p>
        </w:tc>
        <w:tc>
          <w:tcPr>
            <w:tcW w:w="850" w:type="dxa"/>
            <w:vAlign w:val="center"/>
          </w:tcPr>
          <w:p w14:paraId="7DEC845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2016</w:t>
            </w:r>
          </w:p>
        </w:tc>
        <w:tc>
          <w:tcPr>
            <w:tcW w:w="851" w:type="dxa"/>
            <w:vAlign w:val="center"/>
          </w:tcPr>
          <w:p w14:paraId="759EDEB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236.46</w:t>
            </w:r>
          </w:p>
        </w:tc>
        <w:tc>
          <w:tcPr>
            <w:tcW w:w="850" w:type="dxa"/>
            <w:vAlign w:val="center"/>
          </w:tcPr>
          <w:p w14:paraId="6AD3FBB5"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-14.9%</w:t>
            </w:r>
          </w:p>
        </w:tc>
        <w:tc>
          <w:tcPr>
            <w:tcW w:w="1061" w:type="dxa"/>
            <w:vAlign w:val="center"/>
          </w:tcPr>
          <w:p w14:paraId="616C431E"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770</w:t>
            </w:r>
          </w:p>
        </w:tc>
        <w:tc>
          <w:tcPr>
            <w:tcW w:w="1018" w:type="dxa"/>
            <w:vAlign w:val="center"/>
          </w:tcPr>
          <w:p w14:paraId="1157B330"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75</w:t>
            </w:r>
          </w:p>
        </w:tc>
      </w:tr>
      <w:tr w:rsidR="00A65CDF" w14:paraId="1C29AA8C" w14:textId="77777777" w:rsidTr="00F60AC3">
        <w:trPr>
          <w:trHeight w:val="341"/>
          <w:jc w:val="center"/>
        </w:trPr>
        <w:tc>
          <w:tcPr>
            <w:tcW w:w="1076" w:type="dxa"/>
            <w:vAlign w:val="center"/>
          </w:tcPr>
          <w:p w14:paraId="5016183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2005</w:t>
            </w:r>
          </w:p>
        </w:tc>
        <w:tc>
          <w:tcPr>
            <w:tcW w:w="790" w:type="dxa"/>
            <w:vAlign w:val="center"/>
          </w:tcPr>
          <w:p w14:paraId="7AACBBB1"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140.30</w:t>
            </w:r>
          </w:p>
        </w:tc>
        <w:tc>
          <w:tcPr>
            <w:tcW w:w="864" w:type="dxa"/>
            <w:vAlign w:val="center"/>
          </w:tcPr>
          <w:p w14:paraId="4FA965D8"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20.5%</w:t>
            </w:r>
          </w:p>
        </w:tc>
        <w:tc>
          <w:tcPr>
            <w:tcW w:w="1093" w:type="dxa"/>
            <w:vAlign w:val="center"/>
          </w:tcPr>
          <w:p w14:paraId="30B4E2B7"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513</w:t>
            </w:r>
          </w:p>
        </w:tc>
        <w:tc>
          <w:tcPr>
            <w:tcW w:w="1134" w:type="dxa"/>
            <w:vAlign w:val="center"/>
          </w:tcPr>
          <w:p w14:paraId="266A58C1"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67</w:t>
            </w:r>
          </w:p>
        </w:tc>
        <w:tc>
          <w:tcPr>
            <w:tcW w:w="850" w:type="dxa"/>
            <w:vAlign w:val="center"/>
          </w:tcPr>
          <w:p w14:paraId="58DBA886"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b/>
                <w:bCs/>
                <w:color w:val="000000"/>
                <w:sz w:val="20"/>
                <w:szCs w:val="20"/>
              </w:rPr>
              <w:t>2017</w:t>
            </w:r>
          </w:p>
        </w:tc>
        <w:tc>
          <w:tcPr>
            <w:tcW w:w="851" w:type="dxa"/>
            <w:vAlign w:val="center"/>
          </w:tcPr>
          <w:p w14:paraId="7DDCF04C"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229.64</w:t>
            </w:r>
          </w:p>
        </w:tc>
        <w:tc>
          <w:tcPr>
            <w:tcW w:w="850" w:type="dxa"/>
            <w:vAlign w:val="center"/>
          </w:tcPr>
          <w:p w14:paraId="1FFB88B9"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-2.9%</w:t>
            </w:r>
          </w:p>
        </w:tc>
        <w:tc>
          <w:tcPr>
            <w:tcW w:w="1061" w:type="dxa"/>
            <w:vAlign w:val="center"/>
          </w:tcPr>
          <w:p w14:paraId="0FB8F774"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791</w:t>
            </w:r>
          </w:p>
        </w:tc>
        <w:tc>
          <w:tcPr>
            <w:tcW w:w="1018" w:type="dxa"/>
            <w:vAlign w:val="center"/>
          </w:tcPr>
          <w:p w14:paraId="45F9D33D" w14:textId="77777777" w:rsidR="00A65CDF" w:rsidRPr="00454CA4" w:rsidRDefault="00A65CDF" w:rsidP="0044728F">
            <w:pPr>
              <w:jc w:val="center"/>
              <w:rPr>
                <w:rFonts w:asciiTheme="majorBidi" w:hAnsiTheme="majorBidi" w:cstheme="majorBidi"/>
                <w:b/>
                <w:bCs/>
                <w:sz w:val="20"/>
                <w:szCs w:val="20"/>
                <w:lang w:val="en-US"/>
              </w:rPr>
            </w:pPr>
            <w:r w:rsidRPr="00454CA4">
              <w:rPr>
                <w:rFonts w:asciiTheme="majorBidi" w:hAnsiTheme="majorBidi" w:cstheme="majorBidi"/>
                <w:color w:val="000000"/>
                <w:sz w:val="20"/>
                <w:szCs w:val="20"/>
              </w:rPr>
              <w:t>80</w:t>
            </w:r>
          </w:p>
        </w:tc>
      </w:tr>
      <w:tr w:rsidR="00A65CDF" w14:paraId="207AADD5" w14:textId="77777777" w:rsidTr="00F60AC3">
        <w:trPr>
          <w:trHeight w:val="341"/>
          <w:jc w:val="center"/>
        </w:trPr>
        <w:tc>
          <w:tcPr>
            <w:tcW w:w="1076" w:type="dxa"/>
            <w:vAlign w:val="center"/>
          </w:tcPr>
          <w:p w14:paraId="0580791B" w14:textId="77777777" w:rsidR="00A65CDF" w:rsidRPr="00454CA4" w:rsidRDefault="00A65CDF" w:rsidP="0044728F">
            <w:pPr>
              <w:jc w:val="center"/>
              <w:rPr>
                <w:rFonts w:asciiTheme="majorBidi" w:hAnsiTheme="majorBidi" w:cstheme="majorBidi"/>
                <w:b/>
                <w:bCs/>
                <w:color w:val="000000"/>
                <w:sz w:val="20"/>
                <w:szCs w:val="20"/>
              </w:rPr>
            </w:pPr>
            <w:r w:rsidRPr="00454CA4">
              <w:rPr>
                <w:rFonts w:asciiTheme="majorBidi" w:hAnsiTheme="majorBidi" w:cstheme="majorBidi"/>
                <w:b/>
                <w:bCs/>
                <w:color w:val="000000"/>
                <w:sz w:val="20"/>
                <w:szCs w:val="20"/>
              </w:rPr>
              <w:t>2006</w:t>
            </w:r>
          </w:p>
        </w:tc>
        <w:tc>
          <w:tcPr>
            <w:tcW w:w="790" w:type="dxa"/>
            <w:vAlign w:val="center"/>
          </w:tcPr>
          <w:p w14:paraId="2CB2B5C9"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180.61</w:t>
            </w:r>
          </w:p>
        </w:tc>
        <w:tc>
          <w:tcPr>
            <w:tcW w:w="864" w:type="dxa"/>
            <w:vAlign w:val="center"/>
          </w:tcPr>
          <w:p w14:paraId="5EF4A39A"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28.7%</w:t>
            </w:r>
          </w:p>
        </w:tc>
        <w:tc>
          <w:tcPr>
            <w:tcW w:w="1093" w:type="dxa"/>
            <w:vAlign w:val="center"/>
          </w:tcPr>
          <w:p w14:paraId="6A354500"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541</w:t>
            </w:r>
          </w:p>
        </w:tc>
        <w:tc>
          <w:tcPr>
            <w:tcW w:w="1134" w:type="dxa"/>
            <w:vAlign w:val="center"/>
          </w:tcPr>
          <w:p w14:paraId="18A50D15"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62</w:t>
            </w:r>
          </w:p>
        </w:tc>
        <w:tc>
          <w:tcPr>
            <w:tcW w:w="850" w:type="dxa"/>
            <w:vAlign w:val="center"/>
          </w:tcPr>
          <w:p w14:paraId="0EF3B0AE" w14:textId="77777777" w:rsidR="00A65CDF" w:rsidRPr="00454CA4" w:rsidRDefault="00A65CDF" w:rsidP="0044728F">
            <w:pPr>
              <w:jc w:val="center"/>
              <w:rPr>
                <w:rFonts w:asciiTheme="majorBidi" w:hAnsiTheme="majorBidi" w:cstheme="majorBidi"/>
                <w:b/>
                <w:bCs/>
                <w:color w:val="000000"/>
                <w:sz w:val="20"/>
                <w:szCs w:val="20"/>
              </w:rPr>
            </w:pPr>
            <w:r w:rsidRPr="00454CA4">
              <w:rPr>
                <w:rFonts w:asciiTheme="majorBidi" w:hAnsiTheme="majorBidi" w:cstheme="majorBidi"/>
                <w:b/>
                <w:bCs/>
                <w:color w:val="000000"/>
                <w:sz w:val="20"/>
                <w:szCs w:val="20"/>
              </w:rPr>
              <w:t>2018</w:t>
            </w:r>
          </w:p>
        </w:tc>
        <w:tc>
          <w:tcPr>
            <w:tcW w:w="851" w:type="dxa"/>
            <w:vAlign w:val="center"/>
          </w:tcPr>
          <w:p w14:paraId="35CDB2B7"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282.68</w:t>
            </w:r>
          </w:p>
        </w:tc>
        <w:tc>
          <w:tcPr>
            <w:tcW w:w="850" w:type="dxa"/>
            <w:vAlign w:val="center"/>
          </w:tcPr>
          <w:p w14:paraId="2F4DF677"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23.1%</w:t>
            </w:r>
          </w:p>
        </w:tc>
        <w:tc>
          <w:tcPr>
            <w:tcW w:w="1061" w:type="dxa"/>
            <w:vAlign w:val="center"/>
          </w:tcPr>
          <w:p w14:paraId="5CF500DB"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871</w:t>
            </w:r>
          </w:p>
        </w:tc>
        <w:tc>
          <w:tcPr>
            <w:tcW w:w="1018" w:type="dxa"/>
            <w:vAlign w:val="center"/>
          </w:tcPr>
          <w:p w14:paraId="3E2EB24B" w14:textId="77777777" w:rsidR="00A65CDF" w:rsidRPr="00454CA4" w:rsidRDefault="00A65CDF" w:rsidP="0044728F">
            <w:pPr>
              <w:jc w:val="center"/>
              <w:rPr>
                <w:rFonts w:asciiTheme="majorBidi" w:hAnsiTheme="majorBidi" w:cstheme="majorBidi"/>
                <w:color w:val="000000"/>
                <w:sz w:val="20"/>
                <w:szCs w:val="20"/>
              </w:rPr>
            </w:pPr>
            <w:r w:rsidRPr="00454CA4">
              <w:rPr>
                <w:rFonts w:asciiTheme="majorBidi" w:hAnsiTheme="majorBidi" w:cstheme="majorBidi"/>
                <w:color w:val="000000"/>
                <w:sz w:val="20"/>
                <w:szCs w:val="20"/>
              </w:rPr>
              <w:t>86</w:t>
            </w:r>
          </w:p>
        </w:tc>
      </w:tr>
    </w:tbl>
    <w:p w14:paraId="1D6B7BE7" w14:textId="7F5C2946" w:rsidR="00A65CDF" w:rsidRPr="00345605" w:rsidRDefault="00271CD4" w:rsidP="00A16958">
      <w:pPr>
        <w:pStyle w:val="Caption"/>
        <w:spacing w:before="240" w:after="0"/>
        <w:rPr>
          <w:color w:val="auto"/>
          <w:sz w:val="22"/>
          <w:szCs w:val="22"/>
          <w:lang w:val="en-US"/>
        </w:rPr>
      </w:pPr>
      <w:r w:rsidRPr="00345605">
        <w:rPr>
          <w:rFonts w:ascii="Times New Roman" w:hAnsi="Times New Roman" w:cs="Times New Roman"/>
          <w:color w:val="auto"/>
          <w:sz w:val="22"/>
          <w:szCs w:val="22"/>
          <w:lang w:val="en-US"/>
        </w:rPr>
        <w:t xml:space="preserve">Source: </w:t>
      </w:r>
      <w:r w:rsidR="009074BF" w:rsidRPr="00345605">
        <w:rPr>
          <w:rFonts w:ascii="Times New Roman" w:hAnsi="Times New Roman" w:cs="Times New Roman"/>
          <w:i w:val="0"/>
          <w:iCs w:val="0"/>
          <w:color w:val="auto"/>
          <w:sz w:val="22"/>
          <w:szCs w:val="22"/>
          <w:lang w:val="en-US"/>
        </w:rPr>
        <w:t>a</w:t>
      </w:r>
      <w:r w:rsidRPr="00345605">
        <w:rPr>
          <w:rFonts w:ascii="Times New Roman" w:hAnsi="Times New Roman" w:cs="Times New Roman"/>
          <w:i w:val="0"/>
          <w:iCs w:val="0"/>
          <w:color w:val="auto"/>
          <w:sz w:val="22"/>
          <w:szCs w:val="22"/>
          <w:lang w:val="en-US"/>
        </w:rPr>
        <w:t>uthor</w:t>
      </w:r>
      <w:r w:rsidR="00810EC1" w:rsidRPr="00810EC1">
        <w:rPr>
          <w:rFonts w:ascii="Times New Roman" w:hAnsi="Times New Roman" w:cs="Times New Roman"/>
          <w:i w:val="0"/>
          <w:iCs w:val="0"/>
          <w:color w:val="auto"/>
          <w:sz w:val="22"/>
          <w:szCs w:val="22"/>
          <w:lang w:val="en-US"/>
        </w:rPr>
        <w:t>'</w:t>
      </w:r>
      <w:r w:rsidRPr="00345605">
        <w:rPr>
          <w:rFonts w:ascii="Times New Roman" w:hAnsi="Times New Roman" w:cs="Times New Roman"/>
          <w:i w:val="0"/>
          <w:iCs w:val="0"/>
          <w:color w:val="auto"/>
          <w:sz w:val="22"/>
          <w:szCs w:val="22"/>
          <w:lang w:val="en-US"/>
        </w:rPr>
        <w:t xml:space="preserve">s calculation </w:t>
      </w:r>
      <w:r w:rsidR="009074BF" w:rsidRPr="00345605">
        <w:rPr>
          <w:rFonts w:ascii="Times New Roman" w:hAnsi="Times New Roman" w:cs="Times New Roman"/>
          <w:i w:val="0"/>
          <w:iCs w:val="0"/>
          <w:color w:val="auto"/>
          <w:sz w:val="22"/>
          <w:szCs w:val="22"/>
          <w:lang w:val="en-US"/>
        </w:rPr>
        <w:t>according to the</w:t>
      </w:r>
      <w:r w:rsidRPr="00345605">
        <w:rPr>
          <w:rFonts w:ascii="Times New Roman" w:hAnsi="Times New Roman" w:cs="Times New Roman"/>
          <w:i w:val="0"/>
          <w:iCs w:val="0"/>
          <w:color w:val="auto"/>
          <w:sz w:val="22"/>
          <w:szCs w:val="22"/>
          <w:lang w:val="en-US"/>
        </w:rPr>
        <w:t xml:space="preserve"> PFI League Tables</w:t>
      </w:r>
      <w:r w:rsidR="00345605">
        <w:rPr>
          <w:rFonts w:ascii="Times New Roman" w:hAnsi="Times New Roman" w:cs="Times New Roman"/>
          <w:i w:val="0"/>
          <w:iCs w:val="0"/>
          <w:color w:val="auto"/>
          <w:sz w:val="22"/>
          <w:szCs w:val="22"/>
          <w:lang w:val="en-US"/>
        </w:rPr>
        <w:t>.</w:t>
      </w:r>
    </w:p>
    <w:p w14:paraId="3F7D173F" w14:textId="4AD15787" w:rsidR="00A65CDF" w:rsidRDefault="00A65CDF" w:rsidP="0008496D">
      <w:pPr>
        <w:suppressAutoHyphens/>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w:t>
      </w:r>
      <w:r w:rsidRPr="00F36338">
        <w:rPr>
          <w:rFonts w:ascii="Times New Roman" w:hAnsi="Times New Roman" w:cs="Times New Roman"/>
          <w:sz w:val="24"/>
          <w:szCs w:val="24"/>
        </w:rPr>
        <w:t xml:space="preserve">n analysis </w:t>
      </w:r>
      <w:r w:rsidRPr="00E7074D">
        <w:rPr>
          <w:rFonts w:ascii="Times New Roman" w:hAnsi="Times New Roman" w:cs="Times New Roman"/>
          <w:sz w:val="24"/>
          <w:szCs w:val="24"/>
        </w:rPr>
        <w:t>of the dynamics of the volume of project finance transactions</w:t>
      </w:r>
      <w:r>
        <w:rPr>
          <w:rFonts w:ascii="Times New Roman" w:hAnsi="Times New Roman" w:cs="Times New Roman"/>
          <w:sz w:val="24"/>
          <w:szCs w:val="24"/>
        </w:rPr>
        <w:t xml:space="preserve"> in</w:t>
      </w:r>
      <w:r w:rsidRPr="00F36338">
        <w:rPr>
          <w:rFonts w:ascii="Times New Roman" w:hAnsi="Times New Roman" w:cs="Times New Roman"/>
          <w:sz w:val="24"/>
          <w:szCs w:val="24"/>
        </w:rPr>
        <w:t xml:space="preserve"> the global market allows us to state that in recent years</w:t>
      </w:r>
      <w:r w:rsidR="00A30FBE">
        <w:rPr>
          <w:rFonts w:ascii="Times New Roman" w:hAnsi="Times New Roman" w:cs="Times New Roman"/>
          <w:sz w:val="24"/>
          <w:szCs w:val="24"/>
        </w:rPr>
        <w:t>.</w:t>
      </w:r>
      <w:r>
        <w:rPr>
          <w:rFonts w:ascii="Times New Roman" w:hAnsi="Times New Roman" w:cs="Times New Roman"/>
          <w:sz w:val="24"/>
          <w:szCs w:val="24"/>
        </w:rPr>
        <w:t xml:space="preserve"> </w:t>
      </w:r>
      <w:r w:rsidR="00A30FBE">
        <w:rPr>
          <w:rFonts w:ascii="Times New Roman" w:hAnsi="Times New Roman" w:cs="Times New Roman"/>
          <w:sz w:val="24"/>
          <w:szCs w:val="24"/>
        </w:rPr>
        <w:t>T</w:t>
      </w:r>
      <w:r>
        <w:rPr>
          <w:rFonts w:ascii="Times New Roman" w:hAnsi="Times New Roman" w:cs="Times New Roman"/>
          <w:sz w:val="24"/>
          <w:szCs w:val="24"/>
        </w:rPr>
        <w:t xml:space="preserve">he use of project finance has grown dramatically over the years from $23.33 bn per annum in 1995 to reach a peak of $282.7 bn in 2018, financing around 11000 transactions in </w:t>
      </w:r>
      <w:r w:rsidRPr="009E4D09">
        <w:rPr>
          <w:rFonts w:ascii="Times New Roman" w:hAnsi="Times New Roman" w:cs="Times New Roman"/>
          <w:sz w:val="24"/>
          <w:szCs w:val="24"/>
        </w:rPr>
        <w:t>158</w:t>
      </w:r>
      <w:r>
        <w:rPr>
          <w:rFonts w:ascii="Times New Roman" w:hAnsi="Times New Roman" w:cs="Times New Roman"/>
          <w:sz w:val="24"/>
          <w:szCs w:val="24"/>
        </w:rPr>
        <w:t xml:space="preserve"> </w:t>
      </w:r>
      <w:r w:rsidR="006D18E2">
        <w:rPr>
          <w:rFonts w:ascii="Times New Roman" w:hAnsi="Times New Roman" w:cs="Times New Roman"/>
          <w:sz w:val="24"/>
          <w:szCs w:val="24"/>
        </w:rPr>
        <w:t xml:space="preserve">different </w:t>
      </w:r>
      <w:r>
        <w:rPr>
          <w:rFonts w:ascii="Times New Roman" w:hAnsi="Times New Roman" w:cs="Times New Roman"/>
          <w:sz w:val="24"/>
          <w:szCs w:val="24"/>
        </w:rPr>
        <w:t>countries, with a total amount of project finance raised between 1995 and 2018 amount</w:t>
      </w:r>
      <w:r w:rsidR="00027AC8">
        <w:rPr>
          <w:rFonts w:ascii="Times New Roman" w:hAnsi="Times New Roman" w:cs="Times New Roman"/>
          <w:sz w:val="24"/>
          <w:szCs w:val="24"/>
        </w:rPr>
        <w:t>ing</w:t>
      </w:r>
      <w:r>
        <w:rPr>
          <w:rFonts w:ascii="Times New Roman" w:hAnsi="Times New Roman" w:cs="Times New Roman"/>
          <w:sz w:val="24"/>
          <w:szCs w:val="24"/>
        </w:rPr>
        <w:t xml:space="preserve"> to $3771 bn. The USA </w:t>
      </w:r>
      <w:r w:rsidR="00631EA2">
        <w:rPr>
          <w:rFonts w:ascii="Times New Roman" w:hAnsi="Times New Roman" w:cs="Times New Roman"/>
          <w:sz w:val="24"/>
          <w:szCs w:val="24"/>
        </w:rPr>
        <w:t>has</w:t>
      </w:r>
      <w:r>
        <w:rPr>
          <w:rFonts w:ascii="Times New Roman" w:hAnsi="Times New Roman" w:cs="Times New Roman"/>
          <w:sz w:val="24"/>
          <w:szCs w:val="24"/>
        </w:rPr>
        <w:t xml:space="preserve"> $578.7 bn for most project finance (followed by Australia $370.2 bn and the UK $313.3 bn). </w:t>
      </w:r>
    </w:p>
    <w:p w14:paraId="3CF1ACEB" w14:textId="752B6B1B" w:rsidR="00A65CDF" w:rsidRDefault="00A65CDF" w:rsidP="0008496D">
      <w:pPr>
        <w:suppressAutoHyphens/>
        <w:spacing w:line="360" w:lineRule="auto"/>
        <w:ind w:firstLine="567"/>
        <w:jc w:val="both"/>
        <w:rPr>
          <w:rFonts w:ascii="Times New Roman" w:hAnsi="Times New Roman" w:cs="Times New Roman"/>
          <w:sz w:val="24"/>
          <w:szCs w:val="24"/>
        </w:rPr>
      </w:pPr>
      <w:r w:rsidRPr="00AF47C7">
        <w:rPr>
          <w:rFonts w:ascii="Times New Roman" w:hAnsi="Times New Roman" w:cs="Times New Roman"/>
          <w:sz w:val="24"/>
          <w:szCs w:val="24"/>
        </w:rPr>
        <w:t xml:space="preserve">Project finance market before the financial crisis from 2000 to 2008 can be characterized </w:t>
      </w:r>
      <w:r w:rsidR="00EA49E4">
        <w:rPr>
          <w:rFonts w:ascii="Times New Roman" w:hAnsi="Times New Roman" w:cs="Times New Roman"/>
          <w:sz w:val="24"/>
          <w:szCs w:val="24"/>
        </w:rPr>
        <w:t>based on</w:t>
      </w:r>
      <w:r w:rsidRPr="00AF47C7">
        <w:rPr>
          <w:rFonts w:ascii="Times New Roman" w:hAnsi="Times New Roman" w:cs="Times New Roman"/>
          <w:sz w:val="24"/>
          <w:szCs w:val="24"/>
        </w:rPr>
        <w:t xml:space="preserve"> the following data:</w:t>
      </w:r>
    </w:p>
    <w:p w14:paraId="1E8395D4" w14:textId="2BC10D37" w:rsidR="00A65CDF" w:rsidRDefault="006D18E2" w:rsidP="0008496D">
      <w:pPr>
        <w:pStyle w:val="ListParagraph"/>
        <w:numPr>
          <w:ilvl w:val="0"/>
          <w:numId w:val="20"/>
        </w:numPr>
        <w:suppressAutoHyphens/>
        <w:spacing w:line="360" w:lineRule="auto"/>
        <w:ind w:left="567" w:hanging="357"/>
        <w:contextualSpacing/>
        <w:jc w:val="both"/>
        <w:rPr>
          <w:rFonts w:ascii="Times New Roman" w:hAnsi="Times New Roman" w:cs="Times New Roman"/>
          <w:sz w:val="24"/>
          <w:szCs w:val="24"/>
        </w:rPr>
      </w:pPr>
      <w:r>
        <w:rPr>
          <w:rFonts w:ascii="Times New Roman" w:hAnsi="Times New Roman" w:cs="Times New Roman"/>
          <w:sz w:val="24"/>
          <w:szCs w:val="24"/>
        </w:rPr>
        <w:t>Total project finance loans</w:t>
      </w:r>
      <w:r w:rsidR="00A65CDF" w:rsidRPr="00D1755D">
        <w:rPr>
          <w:rFonts w:ascii="Times New Roman" w:hAnsi="Times New Roman" w:cs="Times New Roman"/>
          <w:sz w:val="24"/>
          <w:szCs w:val="24"/>
        </w:rPr>
        <w:t xml:space="preserve"> amounted to $</w:t>
      </w:r>
      <w:r w:rsidR="00A65CDF">
        <w:rPr>
          <w:rFonts w:ascii="Times New Roman" w:hAnsi="Times New Roman" w:cs="Times New Roman"/>
          <w:sz w:val="24"/>
          <w:szCs w:val="24"/>
        </w:rPr>
        <w:t>1259 bn</w:t>
      </w:r>
      <w:r w:rsidR="00A4775F">
        <w:rPr>
          <w:rFonts w:ascii="Times New Roman" w:hAnsi="Times New Roman" w:cs="Times New Roman"/>
          <w:sz w:val="24"/>
          <w:szCs w:val="24"/>
        </w:rPr>
        <w:t>;</w:t>
      </w:r>
    </w:p>
    <w:p w14:paraId="3917B36B" w14:textId="27E49488" w:rsidR="00A65CDF" w:rsidRDefault="00A65CDF" w:rsidP="0008496D">
      <w:pPr>
        <w:pStyle w:val="ListParagraph"/>
        <w:numPr>
          <w:ilvl w:val="0"/>
          <w:numId w:val="20"/>
        </w:numPr>
        <w:suppressAutoHyphens/>
        <w:spacing w:line="360" w:lineRule="auto"/>
        <w:ind w:left="567" w:hanging="357"/>
        <w:contextualSpacing/>
        <w:jc w:val="both"/>
        <w:rPr>
          <w:rFonts w:ascii="Times New Roman" w:hAnsi="Times New Roman" w:cs="Times New Roman"/>
          <w:sz w:val="24"/>
          <w:szCs w:val="24"/>
        </w:rPr>
      </w:pPr>
      <w:r w:rsidRPr="00D1755D">
        <w:rPr>
          <w:rFonts w:ascii="Times New Roman" w:hAnsi="Times New Roman" w:cs="Times New Roman"/>
          <w:sz w:val="24"/>
          <w:szCs w:val="24"/>
        </w:rPr>
        <w:t xml:space="preserve">In total, </w:t>
      </w:r>
      <w:r>
        <w:rPr>
          <w:rFonts w:ascii="Times New Roman" w:hAnsi="Times New Roman" w:cs="Times New Roman"/>
          <w:sz w:val="24"/>
          <w:szCs w:val="24"/>
        </w:rPr>
        <w:t>4325</w:t>
      </w:r>
      <w:r w:rsidRPr="00D1755D">
        <w:rPr>
          <w:rFonts w:ascii="Times New Roman" w:hAnsi="Times New Roman" w:cs="Times New Roman"/>
          <w:sz w:val="24"/>
          <w:szCs w:val="24"/>
        </w:rPr>
        <w:t xml:space="preserve"> loans were </w:t>
      </w:r>
      <w:r w:rsidR="006D18E2">
        <w:rPr>
          <w:rFonts w:ascii="Times New Roman" w:hAnsi="Times New Roman" w:cs="Times New Roman"/>
          <w:sz w:val="24"/>
          <w:szCs w:val="24"/>
        </w:rPr>
        <w:t>granted</w:t>
      </w:r>
      <w:r w:rsidRPr="00D1755D">
        <w:rPr>
          <w:rFonts w:ascii="Times New Roman" w:hAnsi="Times New Roman" w:cs="Times New Roman"/>
          <w:sz w:val="24"/>
          <w:szCs w:val="24"/>
        </w:rPr>
        <w:t xml:space="preserve"> </w:t>
      </w:r>
      <w:r w:rsidR="006D18E2">
        <w:rPr>
          <w:rFonts w:ascii="Times New Roman" w:hAnsi="Times New Roman" w:cs="Times New Roman"/>
          <w:sz w:val="24"/>
          <w:szCs w:val="24"/>
        </w:rPr>
        <w:t>to</w:t>
      </w:r>
      <w:r w:rsidRPr="00D1755D">
        <w:rPr>
          <w:rFonts w:ascii="Times New Roman" w:hAnsi="Times New Roman" w:cs="Times New Roman"/>
          <w:sz w:val="24"/>
          <w:szCs w:val="24"/>
        </w:rPr>
        <w:t xml:space="preserve"> project financ</w:t>
      </w:r>
      <w:r w:rsidR="006D18E2">
        <w:rPr>
          <w:rFonts w:ascii="Times New Roman" w:hAnsi="Times New Roman" w:cs="Times New Roman"/>
          <w:sz w:val="24"/>
          <w:szCs w:val="24"/>
        </w:rPr>
        <w:t>e</w:t>
      </w:r>
      <w:r w:rsidRPr="00D1755D">
        <w:rPr>
          <w:rFonts w:ascii="Times New Roman" w:hAnsi="Times New Roman" w:cs="Times New Roman"/>
          <w:sz w:val="24"/>
          <w:szCs w:val="24"/>
        </w:rPr>
        <w:t xml:space="preserve"> </w:t>
      </w:r>
      <w:r w:rsidR="006D18E2">
        <w:rPr>
          <w:rFonts w:ascii="Times New Roman" w:hAnsi="Times New Roman" w:cs="Times New Roman"/>
          <w:sz w:val="24"/>
          <w:szCs w:val="24"/>
        </w:rPr>
        <w:t>projects</w:t>
      </w:r>
      <w:r w:rsidR="00A4775F">
        <w:rPr>
          <w:rFonts w:ascii="Times New Roman" w:hAnsi="Times New Roman" w:cs="Times New Roman"/>
          <w:sz w:val="24"/>
          <w:szCs w:val="24"/>
        </w:rPr>
        <w:t>;</w:t>
      </w:r>
    </w:p>
    <w:p w14:paraId="5D4ADBB2" w14:textId="0070221D" w:rsidR="00A65CDF" w:rsidRDefault="00A65CDF" w:rsidP="0008496D">
      <w:pPr>
        <w:pStyle w:val="ListParagraph"/>
        <w:numPr>
          <w:ilvl w:val="0"/>
          <w:numId w:val="20"/>
        </w:numPr>
        <w:suppressAutoHyphens/>
        <w:spacing w:line="360" w:lineRule="auto"/>
        <w:ind w:left="567"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The average annual growth rate of </w:t>
      </w:r>
      <w:r w:rsidR="006D18E2">
        <w:rPr>
          <w:rFonts w:ascii="Times New Roman" w:hAnsi="Times New Roman" w:cs="Times New Roman"/>
          <w:sz w:val="24"/>
          <w:szCs w:val="24"/>
        </w:rPr>
        <w:t>financing</w:t>
      </w:r>
      <w:r>
        <w:rPr>
          <w:rFonts w:ascii="Times New Roman" w:hAnsi="Times New Roman" w:cs="Times New Roman"/>
          <w:sz w:val="24"/>
          <w:szCs w:val="24"/>
        </w:rPr>
        <w:t xml:space="preserve"> </w:t>
      </w:r>
      <w:r w:rsidR="006D18E2">
        <w:rPr>
          <w:rFonts w:ascii="Times New Roman" w:hAnsi="Times New Roman" w:cs="Times New Roman"/>
          <w:sz w:val="24"/>
          <w:szCs w:val="24"/>
        </w:rPr>
        <w:t>was</w:t>
      </w:r>
      <w:r>
        <w:rPr>
          <w:rFonts w:ascii="Times New Roman" w:hAnsi="Times New Roman" w:cs="Times New Roman"/>
          <w:sz w:val="24"/>
          <w:szCs w:val="24"/>
        </w:rPr>
        <w:t xml:space="preserve"> 19.2%.</w:t>
      </w:r>
    </w:p>
    <w:p w14:paraId="1BDB34FA" w14:textId="7F91536E" w:rsidR="00A65CDF" w:rsidRDefault="00EA49E4" w:rsidP="0008496D">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Using</w:t>
      </w:r>
      <w:r w:rsidR="00A65CDF" w:rsidRPr="00DE7D6A">
        <w:rPr>
          <w:rFonts w:ascii="Times New Roman" w:hAnsi="Times New Roman" w:cs="Times New Roman"/>
          <w:sz w:val="24"/>
          <w:szCs w:val="24"/>
        </w:rPr>
        <w:t xml:space="preserve"> this type of financing had been a clear trend of growth until 2008</w:t>
      </w:r>
      <w:r w:rsidR="00191E9A">
        <w:rPr>
          <w:rFonts w:ascii="Times New Roman" w:hAnsi="Times New Roman" w:cs="Times New Roman"/>
          <w:sz w:val="24"/>
          <w:szCs w:val="24"/>
        </w:rPr>
        <w:t>,</w:t>
      </w:r>
      <w:r w:rsidR="009F11E6">
        <w:rPr>
          <w:rFonts w:ascii="Times New Roman" w:hAnsi="Times New Roman" w:cs="Times New Roman"/>
          <w:sz w:val="24"/>
          <w:szCs w:val="24"/>
        </w:rPr>
        <w:t xml:space="preserve"> </w:t>
      </w:r>
      <w:r w:rsidR="00A65CDF" w:rsidRPr="00DE7D6A">
        <w:rPr>
          <w:rFonts w:ascii="Times New Roman" w:hAnsi="Times New Roman" w:cs="Times New Roman"/>
          <w:sz w:val="24"/>
          <w:szCs w:val="24"/>
        </w:rPr>
        <w:t xml:space="preserve">when this sector of the international financial market reached $250.6 bn. </w:t>
      </w:r>
      <w:r w:rsidR="00A65CDF">
        <w:rPr>
          <w:rFonts w:ascii="Times New Roman" w:hAnsi="Times New Roman" w:cs="Times New Roman"/>
          <w:sz w:val="24"/>
          <w:szCs w:val="24"/>
        </w:rPr>
        <w:t xml:space="preserve">However, in 2009 the </w:t>
      </w:r>
      <w:r w:rsidR="00A65CDF" w:rsidRPr="00DE7D6A">
        <w:rPr>
          <w:rFonts w:ascii="Times New Roman" w:hAnsi="Times New Roman" w:cs="Times New Roman"/>
          <w:sz w:val="24"/>
          <w:szCs w:val="24"/>
        </w:rPr>
        <w:t xml:space="preserve">volume of </w:t>
      </w:r>
      <w:r w:rsidR="00A65CDF">
        <w:rPr>
          <w:rFonts w:ascii="Times New Roman" w:hAnsi="Times New Roman" w:cs="Times New Roman"/>
          <w:sz w:val="24"/>
          <w:szCs w:val="24"/>
        </w:rPr>
        <w:t>project finance</w:t>
      </w:r>
      <w:r w:rsidR="00A65CDF" w:rsidRPr="00DE7D6A">
        <w:rPr>
          <w:rFonts w:ascii="Times New Roman" w:hAnsi="Times New Roman" w:cs="Times New Roman"/>
          <w:sz w:val="24"/>
          <w:szCs w:val="24"/>
        </w:rPr>
        <w:t xml:space="preserve"> in the world </w:t>
      </w:r>
      <w:r w:rsidR="00A65CDF" w:rsidRPr="00AD3DF1">
        <w:rPr>
          <w:rFonts w:ascii="Times New Roman" w:hAnsi="Times New Roman" w:cs="Times New Roman"/>
          <w:sz w:val="24"/>
          <w:szCs w:val="24"/>
        </w:rPr>
        <w:t>fell back to 2005</w:t>
      </w:r>
      <w:r w:rsidR="00A4775F">
        <w:rPr>
          <w:rFonts w:ascii="Times New Roman" w:hAnsi="Times New Roman" w:cs="Times New Roman"/>
          <w:sz w:val="24"/>
          <w:szCs w:val="24"/>
        </w:rPr>
        <w:t xml:space="preserve"> </w:t>
      </w:r>
      <w:r w:rsidR="00A65CDF" w:rsidRPr="00AD3DF1">
        <w:rPr>
          <w:rFonts w:ascii="Times New Roman" w:hAnsi="Times New Roman" w:cs="Times New Roman"/>
          <w:sz w:val="24"/>
          <w:szCs w:val="24"/>
        </w:rPr>
        <w:t>level, decreasing by 44% compared to 2008</w:t>
      </w:r>
      <w:r w:rsidR="00A65CDF">
        <w:rPr>
          <w:rFonts w:ascii="Times New Roman" w:hAnsi="Times New Roman" w:cs="Times New Roman"/>
          <w:sz w:val="24"/>
          <w:szCs w:val="24"/>
        </w:rPr>
        <w:t xml:space="preserve"> </w:t>
      </w:r>
      <w:r w:rsidR="00A65CDF" w:rsidRPr="00AD3DF1">
        <w:rPr>
          <w:rFonts w:ascii="Times New Roman" w:hAnsi="Times New Roman" w:cs="Times New Roman"/>
          <w:sz w:val="24"/>
          <w:szCs w:val="24"/>
        </w:rPr>
        <w:t>due to the global financial crisis</w:t>
      </w:r>
      <w:r w:rsidR="00A65CDF">
        <w:rPr>
          <w:rFonts w:ascii="Times New Roman" w:hAnsi="Times New Roman" w:cs="Times New Roman"/>
          <w:sz w:val="24"/>
          <w:szCs w:val="24"/>
        </w:rPr>
        <w:t xml:space="preserve">, </w:t>
      </w:r>
      <w:r w:rsidR="00A65CDF" w:rsidRPr="00DE7D6A">
        <w:rPr>
          <w:rFonts w:ascii="Times New Roman" w:hAnsi="Times New Roman" w:cs="Times New Roman"/>
          <w:sz w:val="24"/>
          <w:szCs w:val="24"/>
        </w:rPr>
        <w:t>amounted to</w:t>
      </w:r>
      <w:r w:rsidR="00A65CDF">
        <w:rPr>
          <w:rFonts w:ascii="Times New Roman" w:hAnsi="Times New Roman" w:cs="Times New Roman"/>
          <w:sz w:val="24"/>
          <w:szCs w:val="24"/>
        </w:rPr>
        <w:t xml:space="preserve"> $139.2 bn</w:t>
      </w:r>
      <w:r w:rsidR="009F11E6">
        <w:rPr>
          <w:rFonts w:ascii="Times New Roman" w:hAnsi="Times New Roman" w:cs="Times New Roman"/>
          <w:sz w:val="24"/>
          <w:szCs w:val="24"/>
        </w:rPr>
        <w:t>,</w:t>
      </w:r>
      <w:r w:rsidR="00A65CDF">
        <w:rPr>
          <w:rFonts w:ascii="Times New Roman" w:hAnsi="Times New Roman" w:cs="Times New Roman"/>
          <w:sz w:val="24"/>
          <w:szCs w:val="24"/>
        </w:rPr>
        <w:t xml:space="preserve"> which was the lowest</w:t>
      </w:r>
      <w:r w:rsidR="00A4775F">
        <w:rPr>
          <w:rFonts w:ascii="Times New Roman" w:hAnsi="Times New Roman" w:cs="Times New Roman"/>
          <w:sz w:val="24"/>
          <w:szCs w:val="24"/>
        </w:rPr>
        <w:t xml:space="preserve"> figure in the last 15 years </w:t>
      </w:r>
      <w:r w:rsidR="007045A6">
        <w:rPr>
          <w:rFonts w:ascii="Times New Roman" w:hAnsi="Times New Roman" w:cs="Times New Roman"/>
          <w:sz w:val="24"/>
          <w:szCs w:val="24"/>
        </w:rPr>
        <w:t xml:space="preserve">as can be seen in </w:t>
      </w:r>
      <w:r w:rsidR="007045A6" w:rsidRPr="007045A6">
        <w:rPr>
          <w:rFonts w:ascii="Times New Roman" w:hAnsi="Times New Roman" w:cs="Times New Roman"/>
          <w:i/>
          <w:iCs/>
          <w:sz w:val="24"/>
          <w:szCs w:val="24"/>
        </w:rPr>
        <w:t xml:space="preserve">Fig. </w:t>
      </w:r>
      <w:r w:rsidR="00A16958">
        <w:rPr>
          <w:rFonts w:ascii="Times New Roman" w:hAnsi="Times New Roman" w:cs="Times New Roman"/>
          <w:i/>
          <w:iCs/>
          <w:sz w:val="24"/>
          <w:szCs w:val="24"/>
        </w:rPr>
        <w:t>2.1</w:t>
      </w:r>
      <w:r w:rsidR="007045A6">
        <w:rPr>
          <w:rFonts w:ascii="Times New Roman" w:hAnsi="Times New Roman" w:cs="Times New Roman"/>
          <w:sz w:val="24"/>
          <w:szCs w:val="24"/>
        </w:rPr>
        <w:t>.</w:t>
      </w:r>
    </w:p>
    <w:p w14:paraId="5D4D7286" w14:textId="77777777" w:rsidR="007045A6" w:rsidRDefault="00A65CDF" w:rsidP="007045A6">
      <w:pPr>
        <w:pStyle w:val="Caption"/>
        <w:keepNext/>
        <w:spacing w:after="0"/>
      </w:pPr>
      <w:r>
        <w:rPr>
          <w:noProof/>
        </w:rPr>
        <w:drawing>
          <wp:inline distT="0" distB="0" distL="0" distR="0" wp14:anchorId="7F0DDA2D" wp14:editId="5177F7BE">
            <wp:extent cx="5731510" cy="2583180"/>
            <wp:effectExtent l="0" t="0" r="2540" b="7620"/>
            <wp:docPr id="4" name="Chart 4">
              <a:extLst xmlns:a="http://schemas.openxmlformats.org/drawingml/2006/main">
                <a:ext uri="{FF2B5EF4-FFF2-40B4-BE49-F238E27FC236}">
                  <a16:creationId xmlns:a16="http://schemas.microsoft.com/office/drawing/2014/main" id="{816B8317-8F83-4F1D-871F-B36512719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F7B271" w14:textId="1397ADCF" w:rsidR="007045A6" w:rsidRPr="007045A6" w:rsidRDefault="007045A6" w:rsidP="007045A6">
      <w:pPr>
        <w:spacing w:before="240" w:after="0" w:line="360" w:lineRule="auto"/>
        <w:jc w:val="both"/>
        <w:rPr>
          <w:rFonts w:ascii="Times New Roman" w:hAnsi="Times New Roman" w:cs="Times New Roman"/>
          <w:sz w:val="24"/>
          <w:szCs w:val="24"/>
        </w:rPr>
      </w:pPr>
      <w:r w:rsidRPr="007045A6">
        <w:rPr>
          <w:rFonts w:ascii="Times New Roman" w:hAnsi="Times New Roman" w:cs="Times New Roman"/>
          <w:i/>
          <w:iCs/>
          <w:sz w:val="24"/>
          <w:szCs w:val="24"/>
        </w:rPr>
        <w:t xml:space="preserve">Fig. </w:t>
      </w:r>
      <w:r w:rsidR="00A16958">
        <w:rPr>
          <w:rFonts w:ascii="Times New Roman" w:hAnsi="Times New Roman" w:cs="Times New Roman"/>
          <w:i/>
          <w:iCs/>
          <w:sz w:val="24"/>
          <w:szCs w:val="24"/>
        </w:rPr>
        <w:t>2.</w:t>
      </w:r>
      <w:r w:rsidRPr="007045A6">
        <w:rPr>
          <w:rFonts w:ascii="Times New Roman" w:hAnsi="Times New Roman" w:cs="Times New Roman"/>
          <w:i/>
          <w:iCs/>
          <w:sz w:val="24"/>
          <w:szCs w:val="24"/>
        </w:rPr>
        <w:fldChar w:fldCharType="begin"/>
      </w:r>
      <w:r w:rsidRPr="007045A6">
        <w:rPr>
          <w:rFonts w:ascii="Times New Roman" w:hAnsi="Times New Roman" w:cs="Times New Roman"/>
          <w:i/>
          <w:iCs/>
          <w:sz w:val="24"/>
          <w:szCs w:val="24"/>
        </w:rPr>
        <w:instrText xml:space="preserve"> SEQ Figure \* ARABIC </w:instrText>
      </w:r>
      <w:r w:rsidRPr="007045A6">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1</w:t>
      </w:r>
      <w:r w:rsidRPr="007045A6">
        <w:rPr>
          <w:rFonts w:ascii="Times New Roman" w:hAnsi="Times New Roman" w:cs="Times New Roman"/>
          <w:i/>
          <w:iCs/>
          <w:sz w:val="24"/>
          <w:szCs w:val="24"/>
        </w:rPr>
        <w:fldChar w:fldCharType="end"/>
      </w:r>
      <w:r w:rsidRPr="007045A6">
        <w:rPr>
          <w:rFonts w:ascii="Times New Roman" w:hAnsi="Times New Roman" w:cs="Times New Roman"/>
          <w:sz w:val="24"/>
          <w:szCs w:val="24"/>
        </w:rPr>
        <w:t>. Size of project finance transactions in the world from 1995 to 2018</w:t>
      </w:r>
    </w:p>
    <w:p w14:paraId="4E96CEA7" w14:textId="06DE3F84" w:rsidR="009074BF" w:rsidRPr="00345605" w:rsidRDefault="009074BF" w:rsidP="009074BF">
      <w:pPr>
        <w:pStyle w:val="Caption"/>
        <w:spacing w:after="0"/>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w:t>
      </w:r>
      <w:r w:rsidR="00810EC1" w:rsidRPr="00810EC1">
        <w:rPr>
          <w:rFonts w:ascii="Times New Roman" w:hAnsi="Times New Roman" w:cs="Times New Roman"/>
          <w:i w:val="0"/>
          <w:iCs w:val="0"/>
          <w:color w:val="auto"/>
          <w:sz w:val="22"/>
          <w:szCs w:val="22"/>
          <w:lang w:val="en-US"/>
        </w:rPr>
        <w:t>'</w:t>
      </w:r>
      <w:r w:rsidRPr="00345605">
        <w:rPr>
          <w:rFonts w:ascii="Times New Roman" w:hAnsi="Times New Roman" w:cs="Times New Roman"/>
          <w:i w:val="0"/>
          <w:iCs w:val="0"/>
          <w:color w:val="auto"/>
          <w:sz w:val="22"/>
          <w:szCs w:val="22"/>
          <w:lang w:val="en-US"/>
        </w:rPr>
        <w:t>s calculation according to the PFI League Tables</w:t>
      </w:r>
      <w:r w:rsidR="00345605">
        <w:rPr>
          <w:rFonts w:ascii="Times New Roman" w:hAnsi="Times New Roman" w:cs="Times New Roman"/>
          <w:i w:val="0"/>
          <w:iCs w:val="0"/>
          <w:color w:val="auto"/>
          <w:sz w:val="22"/>
          <w:szCs w:val="22"/>
          <w:lang w:val="en-US"/>
        </w:rPr>
        <w:t>.</w:t>
      </w:r>
    </w:p>
    <w:p w14:paraId="6F7D663C" w14:textId="0A82CE90" w:rsidR="00A65CDF" w:rsidRPr="00345605" w:rsidRDefault="00A65CDF" w:rsidP="00A65CDF">
      <w:pPr>
        <w:spacing w:after="0"/>
        <w:rPr>
          <w:lang w:val="en-US"/>
        </w:rPr>
      </w:pPr>
    </w:p>
    <w:p w14:paraId="38C80448" w14:textId="52A21C2B" w:rsidR="00A65CDF" w:rsidRDefault="00A65CDF" w:rsidP="0008496D">
      <w:pPr>
        <w:suppressAutoHyphens/>
        <w:spacing w:after="0" w:line="360" w:lineRule="auto"/>
        <w:ind w:firstLine="567"/>
        <w:jc w:val="both"/>
        <w:rPr>
          <w:rFonts w:ascii="Times New Roman" w:hAnsi="Times New Roman" w:cs="Times New Roman"/>
          <w:sz w:val="24"/>
          <w:szCs w:val="24"/>
        </w:rPr>
      </w:pPr>
      <w:r w:rsidRPr="00AF47C7">
        <w:rPr>
          <w:rFonts w:ascii="Times New Roman" w:hAnsi="Times New Roman" w:cs="Times New Roman"/>
          <w:sz w:val="24"/>
          <w:szCs w:val="24"/>
        </w:rPr>
        <w:t xml:space="preserve">Project finance market after the financial crisis from 2010 </w:t>
      </w:r>
      <w:r w:rsidR="00027AC8">
        <w:rPr>
          <w:rFonts w:ascii="Times New Roman" w:hAnsi="Times New Roman" w:cs="Times New Roman"/>
          <w:sz w:val="24"/>
          <w:szCs w:val="24"/>
        </w:rPr>
        <w:t>to</w:t>
      </w:r>
      <w:r w:rsidRPr="00AF47C7">
        <w:rPr>
          <w:rFonts w:ascii="Times New Roman" w:hAnsi="Times New Roman" w:cs="Times New Roman"/>
          <w:sz w:val="24"/>
          <w:szCs w:val="24"/>
        </w:rPr>
        <w:t xml:space="preserve"> 2018 can be characterized </w:t>
      </w:r>
      <w:r w:rsidR="00EA49E4" w:rsidRPr="00EA49E4">
        <w:rPr>
          <w:rFonts w:ascii="Times New Roman" w:hAnsi="Times New Roman" w:cs="Times New Roman"/>
          <w:sz w:val="24"/>
          <w:szCs w:val="24"/>
        </w:rPr>
        <w:t>based on</w:t>
      </w:r>
      <w:r w:rsidR="00EA49E4">
        <w:rPr>
          <w:rFonts w:ascii="Times New Roman" w:hAnsi="Times New Roman" w:cs="Times New Roman"/>
          <w:sz w:val="24"/>
          <w:szCs w:val="24"/>
        </w:rPr>
        <w:t xml:space="preserve"> </w:t>
      </w:r>
      <w:r w:rsidRPr="00AF47C7">
        <w:rPr>
          <w:rFonts w:ascii="Times New Roman" w:hAnsi="Times New Roman" w:cs="Times New Roman"/>
          <w:sz w:val="24"/>
          <w:szCs w:val="24"/>
        </w:rPr>
        <w:t>the following data:</w:t>
      </w:r>
    </w:p>
    <w:p w14:paraId="6C591AFD" w14:textId="0D9733C4" w:rsidR="00A65CDF" w:rsidRDefault="00A4775F" w:rsidP="0008496D">
      <w:pPr>
        <w:pStyle w:val="ListParagraph"/>
        <w:numPr>
          <w:ilvl w:val="0"/>
          <w:numId w:val="20"/>
        </w:numPr>
        <w:suppressAutoHyphens/>
        <w:spacing w:line="360" w:lineRule="auto"/>
        <w:ind w:left="567" w:hanging="357"/>
        <w:contextualSpacing/>
        <w:jc w:val="both"/>
        <w:rPr>
          <w:rFonts w:ascii="Times New Roman" w:hAnsi="Times New Roman" w:cs="Times New Roman"/>
          <w:sz w:val="24"/>
          <w:szCs w:val="24"/>
        </w:rPr>
      </w:pPr>
      <w:r>
        <w:rPr>
          <w:rFonts w:ascii="Times New Roman" w:hAnsi="Times New Roman" w:cs="Times New Roman"/>
          <w:sz w:val="24"/>
          <w:szCs w:val="24"/>
        </w:rPr>
        <w:t>Total</w:t>
      </w:r>
      <w:r w:rsidR="00A65CDF" w:rsidRPr="00D1755D">
        <w:rPr>
          <w:rFonts w:ascii="Times New Roman" w:hAnsi="Times New Roman" w:cs="Times New Roman"/>
          <w:sz w:val="24"/>
          <w:szCs w:val="24"/>
        </w:rPr>
        <w:t xml:space="preserve"> project finance loans amounted to $</w:t>
      </w:r>
      <w:r w:rsidR="00A65CDF">
        <w:rPr>
          <w:rFonts w:ascii="Times New Roman" w:hAnsi="Times New Roman" w:cs="Times New Roman"/>
          <w:sz w:val="24"/>
          <w:szCs w:val="24"/>
        </w:rPr>
        <w:t>2210.2 bn</w:t>
      </w:r>
      <w:r>
        <w:rPr>
          <w:rFonts w:ascii="Times New Roman" w:hAnsi="Times New Roman" w:cs="Times New Roman"/>
          <w:sz w:val="24"/>
          <w:szCs w:val="24"/>
        </w:rPr>
        <w:t>;</w:t>
      </w:r>
    </w:p>
    <w:p w14:paraId="316D5E23" w14:textId="7CA99A20" w:rsidR="00A65CDF" w:rsidRDefault="00A65CDF" w:rsidP="0008496D">
      <w:pPr>
        <w:pStyle w:val="ListParagraph"/>
        <w:numPr>
          <w:ilvl w:val="0"/>
          <w:numId w:val="20"/>
        </w:numPr>
        <w:suppressAutoHyphens/>
        <w:spacing w:line="360" w:lineRule="auto"/>
        <w:ind w:left="567" w:hanging="357"/>
        <w:contextualSpacing/>
        <w:jc w:val="both"/>
        <w:rPr>
          <w:rFonts w:ascii="Times New Roman" w:hAnsi="Times New Roman" w:cs="Times New Roman"/>
          <w:sz w:val="24"/>
          <w:szCs w:val="24"/>
        </w:rPr>
      </w:pPr>
      <w:r w:rsidRPr="00D1755D">
        <w:rPr>
          <w:rFonts w:ascii="Times New Roman" w:hAnsi="Times New Roman" w:cs="Times New Roman"/>
          <w:sz w:val="24"/>
          <w:szCs w:val="24"/>
        </w:rPr>
        <w:t xml:space="preserve">In total, </w:t>
      </w:r>
      <w:r>
        <w:rPr>
          <w:rFonts w:ascii="Times New Roman" w:hAnsi="Times New Roman" w:cs="Times New Roman"/>
          <w:sz w:val="24"/>
          <w:szCs w:val="24"/>
        </w:rPr>
        <w:t>6262</w:t>
      </w:r>
      <w:r w:rsidRPr="00D1755D">
        <w:rPr>
          <w:rFonts w:ascii="Times New Roman" w:hAnsi="Times New Roman" w:cs="Times New Roman"/>
          <w:sz w:val="24"/>
          <w:szCs w:val="24"/>
        </w:rPr>
        <w:t xml:space="preserve"> loans were </w:t>
      </w:r>
      <w:r w:rsidR="00A4775F">
        <w:rPr>
          <w:rFonts w:ascii="Times New Roman" w:hAnsi="Times New Roman" w:cs="Times New Roman"/>
          <w:sz w:val="24"/>
          <w:szCs w:val="24"/>
        </w:rPr>
        <w:t>granted</w:t>
      </w:r>
      <w:r w:rsidRPr="00D1755D">
        <w:rPr>
          <w:rFonts w:ascii="Times New Roman" w:hAnsi="Times New Roman" w:cs="Times New Roman"/>
          <w:sz w:val="24"/>
          <w:szCs w:val="24"/>
        </w:rPr>
        <w:t xml:space="preserve"> </w:t>
      </w:r>
      <w:r w:rsidR="00A4775F">
        <w:rPr>
          <w:rFonts w:ascii="Times New Roman" w:hAnsi="Times New Roman" w:cs="Times New Roman"/>
          <w:sz w:val="24"/>
          <w:szCs w:val="24"/>
        </w:rPr>
        <w:t>to</w:t>
      </w:r>
      <w:r w:rsidRPr="00D1755D">
        <w:rPr>
          <w:rFonts w:ascii="Times New Roman" w:hAnsi="Times New Roman" w:cs="Times New Roman"/>
          <w:sz w:val="24"/>
          <w:szCs w:val="24"/>
        </w:rPr>
        <w:t xml:space="preserve"> project financ</w:t>
      </w:r>
      <w:r w:rsidR="00A4775F">
        <w:rPr>
          <w:rFonts w:ascii="Times New Roman" w:hAnsi="Times New Roman" w:cs="Times New Roman"/>
          <w:sz w:val="24"/>
          <w:szCs w:val="24"/>
        </w:rPr>
        <w:t>e</w:t>
      </w:r>
      <w:r w:rsidRPr="00D1755D">
        <w:rPr>
          <w:rFonts w:ascii="Times New Roman" w:hAnsi="Times New Roman" w:cs="Times New Roman"/>
          <w:sz w:val="24"/>
          <w:szCs w:val="24"/>
        </w:rPr>
        <w:t xml:space="preserve"> </w:t>
      </w:r>
      <w:r w:rsidR="00A4775F">
        <w:rPr>
          <w:rFonts w:ascii="Times New Roman" w:hAnsi="Times New Roman" w:cs="Times New Roman"/>
          <w:sz w:val="24"/>
          <w:szCs w:val="24"/>
        </w:rPr>
        <w:t>projects;</w:t>
      </w:r>
    </w:p>
    <w:p w14:paraId="4BC132DD" w14:textId="118AB91C" w:rsidR="00A65CDF" w:rsidRPr="00CC5878" w:rsidRDefault="00A65CDF" w:rsidP="0008496D">
      <w:pPr>
        <w:pStyle w:val="ListParagraph"/>
        <w:numPr>
          <w:ilvl w:val="0"/>
          <w:numId w:val="20"/>
        </w:numPr>
        <w:suppressAutoHyphens/>
        <w:spacing w:line="360" w:lineRule="auto"/>
        <w:ind w:left="567"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average annual growth rate of funding amounted to 9.7%</w:t>
      </w:r>
      <w:r w:rsidR="00A4775F">
        <w:rPr>
          <w:rFonts w:ascii="Times New Roman" w:hAnsi="Times New Roman" w:cs="Times New Roman"/>
          <w:sz w:val="24"/>
          <w:szCs w:val="24"/>
        </w:rPr>
        <w:t>.</w:t>
      </w:r>
    </w:p>
    <w:p w14:paraId="4DC9336F" w14:textId="7A863665" w:rsidR="00A65CDF" w:rsidRDefault="00A65CDF" w:rsidP="0008496D">
      <w:pPr>
        <w:suppressAutoHyphens/>
        <w:spacing w:line="360" w:lineRule="auto"/>
        <w:ind w:firstLine="567"/>
        <w:jc w:val="both"/>
        <w:rPr>
          <w:b/>
          <w:bCs/>
          <w:lang w:val="en-US"/>
        </w:rPr>
      </w:pPr>
      <w:r>
        <w:rPr>
          <w:rFonts w:ascii="Times New Roman" w:hAnsi="Times New Roman" w:cs="Times New Roman"/>
          <w:sz w:val="24"/>
          <w:szCs w:val="24"/>
        </w:rPr>
        <w:t>This form of financing has also been used extensively in emerging economies</w:t>
      </w:r>
      <w:r w:rsidR="009F11E6">
        <w:rPr>
          <w:rFonts w:ascii="Times New Roman" w:hAnsi="Times New Roman" w:cs="Times New Roman"/>
          <w:sz w:val="24"/>
          <w:szCs w:val="24"/>
        </w:rPr>
        <w:t xml:space="preserve">, </w:t>
      </w:r>
      <w:r>
        <w:rPr>
          <w:rFonts w:ascii="Times New Roman" w:hAnsi="Times New Roman" w:cs="Times New Roman"/>
          <w:sz w:val="24"/>
          <w:szCs w:val="24"/>
        </w:rPr>
        <w:t xml:space="preserve">such as in China ($34.7 bn) and India ($274.8 bn). </w:t>
      </w:r>
      <w:r w:rsidR="00027AC8">
        <w:rPr>
          <w:rFonts w:ascii="Times New Roman" w:hAnsi="Times New Roman" w:cs="Times New Roman"/>
          <w:color w:val="000000"/>
          <w:sz w:val="24"/>
          <w:szCs w:val="24"/>
        </w:rPr>
        <w:t>S</w:t>
      </w:r>
      <w:r>
        <w:rPr>
          <w:rFonts w:ascii="Times New Roman" w:hAnsi="Times New Roman" w:cs="Times New Roman"/>
          <w:color w:val="000000"/>
          <w:sz w:val="24"/>
          <w:szCs w:val="24"/>
        </w:rPr>
        <w:t xml:space="preserve">ince 2005, India has been among the top ten countries attracting project finance, India ranked on top in the global </w:t>
      </w:r>
      <w:r>
        <w:rPr>
          <w:rFonts w:ascii="Times New Roman" w:hAnsi="Times New Roman" w:cs="Times New Roman"/>
          <w:sz w:val="24"/>
          <w:szCs w:val="24"/>
        </w:rPr>
        <w:t>project finance market in 2009, 2010</w:t>
      </w:r>
      <w:r w:rsidR="00963232">
        <w:rPr>
          <w:rFonts w:ascii="Times New Roman" w:hAnsi="Times New Roman" w:cs="Times New Roman"/>
          <w:sz w:val="24"/>
          <w:szCs w:val="24"/>
        </w:rPr>
        <w:t>,</w:t>
      </w:r>
      <w:r>
        <w:rPr>
          <w:rFonts w:ascii="Times New Roman" w:hAnsi="Times New Roman" w:cs="Times New Roman"/>
          <w:sz w:val="24"/>
          <w:szCs w:val="24"/>
        </w:rPr>
        <w:t xml:space="preserve"> and 2011, accounting for 21.5%, 26.3%, 21.05% of the global project finance market respectively, a</w:t>
      </w:r>
      <w:r>
        <w:rPr>
          <w:rFonts w:ascii="Times New Roman" w:hAnsi="Times New Roman" w:cs="Times New Roman"/>
          <w:color w:val="000000"/>
          <w:sz w:val="24"/>
          <w:szCs w:val="24"/>
        </w:rPr>
        <w:t>head of the UK, Australia, and the USA.</w:t>
      </w:r>
    </w:p>
    <w:p w14:paraId="3AC6F96C" w14:textId="097E6F3E" w:rsidR="00A65CDF" w:rsidRDefault="00963232" w:rsidP="0008496D">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According to</w:t>
      </w:r>
      <w:r w:rsidR="00027AC8">
        <w:rPr>
          <w:rFonts w:ascii="Times New Roman" w:hAnsi="Times New Roman" w:cs="Times New Roman"/>
          <w:sz w:val="24"/>
          <w:szCs w:val="24"/>
        </w:rPr>
        <w:t xml:space="preserve"> </w:t>
      </w:r>
      <w:r w:rsidR="00A65CDF" w:rsidRPr="00D71BFB">
        <w:rPr>
          <w:rFonts w:ascii="Times New Roman" w:hAnsi="Times New Roman" w:cs="Times New Roman"/>
          <w:sz w:val="24"/>
          <w:szCs w:val="24"/>
        </w:rPr>
        <w:t>Thomson Reuters</w:t>
      </w:r>
      <w:r w:rsidR="00A65CDF">
        <w:rPr>
          <w:rFonts w:ascii="Times New Roman" w:hAnsi="Times New Roman" w:cs="Times New Roman"/>
          <w:sz w:val="24"/>
          <w:szCs w:val="24"/>
        </w:rPr>
        <w:t>,</w:t>
      </w:r>
      <w:r w:rsidR="00A65CDF" w:rsidRPr="00FB5BF1">
        <w:rPr>
          <w:rFonts w:ascii="Times New Roman" w:hAnsi="Times New Roman" w:cs="Times New Roman"/>
          <w:sz w:val="24"/>
          <w:szCs w:val="24"/>
        </w:rPr>
        <w:t xml:space="preserve"> </w:t>
      </w:r>
      <w:r w:rsidR="002C08A8">
        <w:rPr>
          <w:rFonts w:ascii="Times New Roman" w:hAnsi="Times New Roman" w:cs="Times New Roman"/>
          <w:sz w:val="24"/>
          <w:szCs w:val="24"/>
        </w:rPr>
        <w:t>from an</w:t>
      </w:r>
      <w:r w:rsidR="00EA49E4">
        <w:rPr>
          <w:rFonts w:ascii="Times New Roman" w:hAnsi="Times New Roman" w:cs="Times New Roman"/>
          <w:sz w:val="24"/>
          <w:szCs w:val="24"/>
        </w:rPr>
        <w:t xml:space="preserve"> </w:t>
      </w:r>
      <w:r w:rsidR="00A65CDF" w:rsidRPr="00FB5BF1">
        <w:rPr>
          <w:rFonts w:ascii="Times New Roman" w:hAnsi="Times New Roman" w:cs="Times New Roman"/>
          <w:sz w:val="24"/>
          <w:szCs w:val="24"/>
        </w:rPr>
        <w:t>industry</w:t>
      </w:r>
      <w:r w:rsidR="002C08A8">
        <w:rPr>
          <w:rFonts w:ascii="Times New Roman" w:hAnsi="Times New Roman" w:cs="Times New Roman"/>
          <w:sz w:val="24"/>
          <w:szCs w:val="24"/>
        </w:rPr>
        <w:t xml:space="preserve"> </w:t>
      </w:r>
      <w:r w:rsidR="002C08A8" w:rsidRPr="002C08A8">
        <w:rPr>
          <w:rFonts w:ascii="Times New Roman" w:hAnsi="Times New Roman" w:cs="Times New Roman"/>
          <w:sz w:val="24"/>
          <w:szCs w:val="24"/>
        </w:rPr>
        <w:t>perspective</w:t>
      </w:r>
      <w:r w:rsidR="00A65CDF" w:rsidRPr="00FB5BF1">
        <w:rPr>
          <w:rFonts w:ascii="Times New Roman" w:hAnsi="Times New Roman" w:cs="Times New Roman"/>
          <w:sz w:val="24"/>
          <w:szCs w:val="24"/>
        </w:rPr>
        <w:t xml:space="preserve"> </w:t>
      </w:r>
      <w:r w:rsidR="002C08A8">
        <w:rPr>
          <w:rFonts w:ascii="Times New Roman" w:hAnsi="Times New Roman" w:cs="Times New Roman"/>
          <w:sz w:val="24"/>
          <w:szCs w:val="24"/>
        </w:rPr>
        <w:t>on</w:t>
      </w:r>
      <w:r w:rsidR="00A65CDF" w:rsidRPr="00FB5BF1">
        <w:rPr>
          <w:rFonts w:ascii="Times New Roman" w:hAnsi="Times New Roman" w:cs="Times New Roman"/>
          <w:sz w:val="24"/>
          <w:szCs w:val="24"/>
        </w:rPr>
        <w:t xml:space="preserve"> the international project finance market</w:t>
      </w:r>
      <w:r w:rsidR="00A65CDF">
        <w:rPr>
          <w:rFonts w:ascii="Times New Roman" w:hAnsi="Times New Roman" w:cs="Times New Roman"/>
          <w:sz w:val="24"/>
          <w:szCs w:val="24"/>
        </w:rPr>
        <w:t>, t</w:t>
      </w:r>
      <w:r w:rsidR="00A65CDF" w:rsidRPr="00CB139C">
        <w:rPr>
          <w:rFonts w:ascii="Times New Roman" w:hAnsi="Times New Roman" w:cs="Times New Roman"/>
          <w:sz w:val="24"/>
          <w:szCs w:val="24"/>
        </w:rPr>
        <w:t>he power</w:t>
      </w:r>
      <w:r w:rsidR="00027AC8">
        <w:rPr>
          <w:rFonts w:ascii="Times New Roman" w:hAnsi="Times New Roman" w:cs="Times New Roman"/>
          <w:sz w:val="24"/>
          <w:szCs w:val="24"/>
        </w:rPr>
        <w:t xml:space="preserve"> generation</w:t>
      </w:r>
      <w:r w:rsidR="00A65CDF" w:rsidRPr="00CB139C">
        <w:rPr>
          <w:rFonts w:ascii="Times New Roman" w:hAnsi="Times New Roman" w:cs="Times New Roman"/>
          <w:sz w:val="24"/>
          <w:szCs w:val="24"/>
        </w:rPr>
        <w:t xml:space="preserve"> sector </w:t>
      </w:r>
      <w:r w:rsidR="002C08A8">
        <w:rPr>
          <w:rFonts w:ascii="Times New Roman" w:hAnsi="Times New Roman" w:cs="Times New Roman"/>
          <w:sz w:val="24"/>
          <w:szCs w:val="24"/>
        </w:rPr>
        <w:t>has been</w:t>
      </w:r>
      <w:r w:rsidR="00A65CDF" w:rsidRPr="00CB139C">
        <w:rPr>
          <w:rFonts w:ascii="Times New Roman" w:hAnsi="Times New Roman" w:cs="Times New Roman"/>
          <w:sz w:val="24"/>
          <w:szCs w:val="24"/>
        </w:rPr>
        <w:t xml:space="preserve"> the leading sector in </w:t>
      </w:r>
      <w:r w:rsidR="002C08A8">
        <w:rPr>
          <w:rFonts w:ascii="Times New Roman" w:hAnsi="Times New Roman" w:cs="Times New Roman"/>
          <w:sz w:val="24"/>
          <w:szCs w:val="24"/>
        </w:rPr>
        <w:t>applying</w:t>
      </w:r>
      <w:r w:rsidR="00A65CDF" w:rsidRPr="00CB139C">
        <w:rPr>
          <w:rFonts w:ascii="Times New Roman" w:hAnsi="Times New Roman" w:cs="Times New Roman"/>
          <w:sz w:val="24"/>
          <w:szCs w:val="24"/>
        </w:rPr>
        <w:t xml:space="preserve"> project financing</w:t>
      </w:r>
      <w:r w:rsidR="00A65CDF">
        <w:rPr>
          <w:rFonts w:ascii="Times New Roman" w:hAnsi="Times New Roman" w:cs="Times New Roman"/>
          <w:sz w:val="24"/>
          <w:szCs w:val="24"/>
        </w:rPr>
        <w:t xml:space="preserve"> </w:t>
      </w:r>
      <w:r w:rsidR="002C08A8">
        <w:rPr>
          <w:rFonts w:ascii="Times New Roman" w:hAnsi="Times New Roman" w:cs="Times New Roman"/>
          <w:sz w:val="24"/>
          <w:szCs w:val="24"/>
        </w:rPr>
        <w:t>s</w:t>
      </w:r>
      <w:r w:rsidR="00A65CDF" w:rsidRPr="00CB139C">
        <w:rPr>
          <w:rFonts w:ascii="Times New Roman" w:hAnsi="Times New Roman" w:cs="Times New Roman"/>
          <w:sz w:val="24"/>
          <w:szCs w:val="24"/>
        </w:rPr>
        <w:t>ince 1995</w:t>
      </w:r>
      <w:r w:rsidR="002C08A8">
        <w:rPr>
          <w:rFonts w:ascii="Times New Roman" w:hAnsi="Times New Roman" w:cs="Times New Roman"/>
          <w:sz w:val="24"/>
          <w:szCs w:val="24"/>
        </w:rPr>
        <w:t>.</w:t>
      </w:r>
      <w:r w:rsidR="00A65CDF" w:rsidRPr="00CB139C">
        <w:rPr>
          <w:rFonts w:ascii="Times New Roman" w:hAnsi="Times New Roman" w:cs="Times New Roman"/>
          <w:sz w:val="24"/>
          <w:szCs w:val="24"/>
        </w:rPr>
        <w:t xml:space="preserve"> </w:t>
      </w:r>
      <w:r w:rsidR="002C08A8">
        <w:rPr>
          <w:rFonts w:ascii="Times New Roman" w:hAnsi="Times New Roman" w:cs="Times New Roman"/>
          <w:sz w:val="24"/>
          <w:szCs w:val="24"/>
        </w:rPr>
        <w:t>It has</w:t>
      </w:r>
      <w:r w:rsidR="00A65CDF" w:rsidRPr="00CB139C">
        <w:rPr>
          <w:rFonts w:ascii="Times New Roman" w:hAnsi="Times New Roman" w:cs="Times New Roman"/>
          <w:sz w:val="24"/>
          <w:szCs w:val="24"/>
        </w:rPr>
        <w:t xml:space="preserve"> accumulate</w:t>
      </w:r>
      <w:r w:rsidR="002C08A8">
        <w:rPr>
          <w:rFonts w:ascii="Times New Roman" w:hAnsi="Times New Roman" w:cs="Times New Roman"/>
          <w:sz w:val="24"/>
          <w:szCs w:val="24"/>
        </w:rPr>
        <w:t xml:space="preserve">d </w:t>
      </w:r>
      <w:r w:rsidR="00A65CDF" w:rsidRPr="00CB139C">
        <w:rPr>
          <w:rFonts w:ascii="Times New Roman" w:hAnsi="Times New Roman" w:cs="Times New Roman"/>
          <w:sz w:val="24"/>
          <w:szCs w:val="24"/>
        </w:rPr>
        <w:t>at least 30%</w:t>
      </w:r>
      <w:r w:rsidR="00A65CDF">
        <w:rPr>
          <w:rFonts w:ascii="Times New Roman" w:hAnsi="Times New Roman" w:cs="Times New Roman"/>
          <w:sz w:val="24"/>
          <w:szCs w:val="24"/>
        </w:rPr>
        <w:t xml:space="preserve">, </w:t>
      </w:r>
      <w:r w:rsidR="00A65CDF" w:rsidRPr="00FB5BF1">
        <w:rPr>
          <w:rFonts w:ascii="Times New Roman" w:hAnsi="Times New Roman" w:cs="Times New Roman"/>
          <w:sz w:val="24"/>
          <w:szCs w:val="24"/>
        </w:rPr>
        <w:t xml:space="preserve">reaching a maximum of </w:t>
      </w:r>
      <w:r w:rsidR="00A65CDF">
        <w:rPr>
          <w:rFonts w:ascii="Times New Roman" w:hAnsi="Times New Roman" w:cs="Times New Roman"/>
          <w:sz w:val="24"/>
          <w:szCs w:val="24"/>
        </w:rPr>
        <w:t>53.5</w:t>
      </w:r>
      <w:r w:rsidR="00A65CDF" w:rsidRPr="00FB5BF1">
        <w:rPr>
          <w:rFonts w:ascii="Times New Roman" w:hAnsi="Times New Roman" w:cs="Times New Roman"/>
          <w:sz w:val="24"/>
          <w:szCs w:val="24"/>
        </w:rPr>
        <w:t>% in 20</w:t>
      </w:r>
      <w:r w:rsidR="00A65CDF">
        <w:rPr>
          <w:rFonts w:ascii="Times New Roman" w:hAnsi="Times New Roman" w:cs="Times New Roman"/>
          <w:sz w:val="24"/>
          <w:szCs w:val="24"/>
        </w:rPr>
        <w:t>17</w:t>
      </w:r>
      <w:r w:rsidR="00A65CDF" w:rsidRPr="00FB5BF1">
        <w:rPr>
          <w:rFonts w:ascii="Times New Roman" w:hAnsi="Times New Roman" w:cs="Times New Roman"/>
          <w:sz w:val="24"/>
          <w:szCs w:val="24"/>
        </w:rPr>
        <w:t>,</w:t>
      </w:r>
      <w:r w:rsidR="00A65CDF" w:rsidRPr="00CB139C">
        <w:rPr>
          <w:rFonts w:ascii="Times New Roman" w:hAnsi="Times New Roman" w:cs="Times New Roman"/>
          <w:sz w:val="24"/>
          <w:szCs w:val="24"/>
        </w:rPr>
        <w:t xml:space="preserve"> </w:t>
      </w:r>
      <w:r w:rsidR="00EA49E4" w:rsidRPr="00EA49E4">
        <w:rPr>
          <w:rFonts w:ascii="Times New Roman" w:hAnsi="Times New Roman" w:cs="Times New Roman"/>
          <w:sz w:val="24"/>
          <w:szCs w:val="24"/>
        </w:rPr>
        <w:t xml:space="preserve">except </w:t>
      </w:r>
      <w:r w:rsidR="00A65CDF" w:rsidRPr="00CB139C">
        <w:rPr>
          <w:rFonts w:ascii="Times New Roman" w:hAnsi="Times New Roman" w:cs="Times New Roman"/>
          <w:sz w:val="24"/>
          <w:szCs w:val="24"/>
        </w:rPr>
        <w:t>1997</w:t>
      </w:r>
      <w:r w:rsidR="002C08A8">
        <w:rPr>
          <w:rFonts w:ascii="Times New Roman" w:hAnsi="Times New Roman" w:cs="Times New Roman"/>
          <w:sz w:val="24"/>
          <w:szCs w:val="24"/>
        </w:rPr>
        <w:t>,</w:t>
      </w:r>
      <w:r w:rsidR="00A65CDF" w:rsidRPr="00CB139C">
        <w:rPr>
          <w:rFonts w:ascii="Times New Roman" w:hAnsi="Times New Roman" w:cs="Times New Roman"/>
          <w:sz w:val="24"/>
          <w:szCs w:val="24"/>
        </w:rPr>
        <w:t xml:space="preserve"> where the telecommunication sector </w:t>
      </w:r>
      <w:r w:rsidR="002C08A8">
        <w:rPr>
          <w:rFonts w:ascii="Times New Roman" w:hAnsi="Times New Roman" w:cs="Times New Roman"/>
          <w:sz w:val="24"/>
          <w:szCs w:val="24"/>
        </w:rPr>
        <w:t>took</w:t>
      </w:r>
      <w:r w:rsidR="00A65CDF" w:rsidRPr="00CB139C">
        <w:rPr>
          <w:rFonts w:ascii="Times New Roman" w:hAnsi="Times New Roman" w:cs="Times New Roman"/>
          <w:sz w:val="24"/>
          <w:szCs w:val="24"/>
        </w:rPr>
        <w:t xml:space="preserve"> first </w:t>
      </w:r>
      <w:r w:rsidR="002C08A8">
        <w:rPr>
          <w:rFonts w:ascii="Times New Roman" w:hAnsi="Times New Roman" w:cs="Times New Roman"/>
          <w:sz w:val="24"/>
          <w:szCs w:val="24"/>
        </w:rPr>
        <w:t xml:space="preserve">rank </w:t>
      </w:r>
      <w:r w:rsidR="00A65CDF" w:rsidRPr="00CB139C">
        <w:rPr>
          <w:rFonts w:ascii="Times New Roman" w:hAnsi="Times New Roman" w:cs="Times New Roman"/>
          <w:sz w:val="24"/>
          <w:szCs w:val="24"/>
        </w:rPr>
        <w:t>(27.6%) ahead of the energy sector (24.9%).</w:t>
      </w:r>
      <w:r w:rsidR="00A65CDF">
        <w:rPr>
          <w:rFonts w:ascii="Times New Roman" w:hAnsi="Times New Roman" w:cs="Times New Roman"/>
          <w:sz w:val="24"/>
          <w:szCs w:val="24"/>
        </w:rPr>
        <w:t xml:space="preserve"> </w:t>
      </w:r>
      <w:r w:rsidR="002E21D2" w:rsidRPr="002E21D2">
        <w:rPr>
          <w:rFonts w:ascii="Times New Roman" w:hAnsi="Times New Roman" w:cs="Times New Roman"/>
          <w:sz w:val="24"/>
          <w:szCs w:val="24"/>
        </w:rPr>
        <w:t>In recent years, oil and gas, and transport sectors have shared second place with an average of 20% for both sectors between 2009 to 2018</w:t>
      </w:r>
      <w:r w:rsidR="00A65CDF">
        <w:rPr>
          <w:rFonts w:ascii="Times New Roman" w:hAnsi="Times New Roman" w:cs="Times New Roman"/>
          <w:sz w:val="24"/>
          <w:szCs w:val="24"/>
        </w:rPr>
        <w:t xml:space="preserve">. </w:t>
      </w:r>
    </w:p>
    <w:p w14:paraId="18004511" w14:textId="77777777" w:rsidR="00A65CDF" w:rsidRDefault="00A65CDF" w:rsidP="009074BF">
      <w:pPr>
        <w:spacing w:after="0"/>
        <w:rPr>
          <w:b/>
          <w:bCs/>
          <w:lang w:val="en-US"/>
        </w:rPr>
      </w:pPr>
      <w:r>
        <w:rPr>
          <w:noProof/>
        </w:rPr>
        <w:drawing>
          <wp:inline distT="0" distB="0" distL="0" distR="0" wp14:anchorId="0268168F" wp14:editId="6E3619F4">
            <wp:extent cx="5547360" cy="2880360"/>
            <wp:effectExtent l="0" t="0" r="15240" b="15240"/>
            <wp:docPr id="6" name="Chart 6">
              <a:extLst xmlns:a="http://schemas.openxmlformats.org/drawingml/2006/main">
                <a:ext uri="{FF2B5EF4-FFF2-40B4-BE49-F238E27FC236}">
                  <a16:creationId xmlns:a16="http://schemas.microsoft.com/office/drawing/2014/main" id="{54E4E862-4C9D-4ED0-8C7C-55BAF5E10F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8E2E27" w14:textId="1B389D3C" w:rsidR="000710D5" w:rsidRPr="000710D5" w:rsidRDefault="000710D5" w:rsidP="000710D5">
      <w:pPr>
        <w:spacing w:before="240" w:after="0" w:line="360" w:lineRule="auto"/>
        <w:jc w:val="both"/>
        <w:rPr>
          <w:rFonts w:ascii="Times New Roman" w:hAnsi="Times New Roman" w:cs="Times New Roman"/>
          <w:sz w:val="24"/>
          <w:szCs w:val="24"/>
        </w:rPr>
      </w:pPr>
      <w:r w:rsidRPr="000710D5">
        <w:rPr>
          <w:rFonts w:ascii="Times New Roman" w:hAnsi="Times New Roman" w:cs="Times New Roman"/>
          <w:i/>
          <w:iCs/>
          <w:sz w:val="24"/>
          <w:szCs w:val="24"/>
        </w:rPr>
        <w:t xml:space="preserve">Fig. </w:t>
      </w:r>
      <w:r w:rsidR="00A16958">
        <w:rPr>
          <w:rFonts w:ascii="Times New Roman" w:hAnsi="Times New Roman" w:cs="Times New Roman"/>
          <w:i/>
          <w:iCs/>
          <w:sz w:val="24"/>
          <w:szCs w:val="24"/>
        </w:rPr>
        <w:t>2.</w:t>
      </w:r>
      <w:r w:rsidRPr="000710D5">
        <w:rPr>
          <w:rFonts w:ascii="Times New Roman" w:hAnsi="Times New Roman" w:cs="Times New Roman"/>
          <w:i/>
          <w:iCs/>
          <w:sz w:val="24"/>
          <w:szCs w:val="24"/>
        </w:rPr>
        <w:fldChar w:fldCharType="begin"/>
      </w:r>
      <w:r w:rsidRPr="000710D5">
        <w:rPr>
          <w:rFonts w:ascii="Times New Roman" w:hAnsi="Times New Roman" w:cs="Times New Roman"/>
          <w:i/>
          <w:iCs/>
          <w:sz w:val="24"/>
          <w:szCs w:val="24"/>
        </w:rPr>
        <w:instrText xml:space="preserve"> SEQ Figure \* ARABIC </w:instrText>
      </w:r>
      <w:r w:rsidRPr="000710D5">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2</w:t>
      </w:r>
      <w:r w:rsidRPr="000710D5">
        <w:rPr>
          <w:rFonts w:ascii="Times New Roman" w:hAnsi="Times New Roman" w:cs="Times New Roman"/>
          <w:i/>
          <w:iCs/>
          <w:sz w:val="24"/>
          <w:szCs w:val="24"/>
        </w:rPr>
        <w:fldChar w:fldCharType="end"/>
      </w:r>
      <w:r>
        <w:rPr>
          <w:rFonts w:ascii="Times New Roman" w:hAnsi="Times New Roman" w:cs="Times New Roman"/>
          <w:sz w:val="24"/>
          <w:szCs w:val="24"/>
        </w:rPr>
        <w:t>.</w:t>
      </w:r>
      <w:r w:rsidRPr="000710D5">
        <w:rPr>
          <w:rFonts w:ascii="Times New Roman" w:hAnsi="Times New Roman" w:cs="Times New Roman"/>
          <w:sz w:val="24"/>
          <w:szCs w:val="24"/>
        </w:rPr>
        <w:t xml:space="preserve"> Sectoral structure of the global market for project finance in 2018</w:t>
      </w:r>
    </w:p>
    <w:p w14:paraId="3EA31889" w14:textId="50EA3A04" w:rsidR="009074BF" w:rsidRPr="00345605" w:rsidRDefault="009074BF" w:rsidP="009074BF">
      <w:pPr>
        <w:pStyle w:val="Caption"/>
        <w:spacing w:after="0"/>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p>
    <w:p w14:paraId="5D666122" w14:textId="7785784E" w:rsidR="00A65CDF" w:rsidRDefault="00A65CDF" w:rsidP="0008496D">
      <w:pPr>
        <w:suppressAutoHyphens/>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CB139C">
        <w:rPr>
          <w:rFonts w:ascii="Times New Roman" w:hAnsi="Times New Roman" w:cs="Times New Roman"/>
          <w:sz w:val="24"/>
          <w:szCs w:val="24"/>
        </w:rPr>
        <w:t>n 2018</w:t>
      </w:r>
      <w:r w:rsidR="002C08A8">
        <w:rPr>
          <w:rFonts w:ascii="Times New Roman" w:hAnsi="Times New Roman" w:cs="Times New Roman"/>
          <w:sz w:val="24"/>
          <w:szCs w:val="24"/>
        </w:rPr>
        <w:t>,</w:t>
      </w:r>
      <w:r w:rsidRPr="00CB139C">
        <w:rPr>
          <w:rFonts w:ascii="Times New Roman" w:hAnsi="Times New Roman" w:cs="Times New Roman"/>
          <w:sz w:val="24"/>
          <w:szCs w:val="24"/>
        </w:rPr>
        <w:t xml:space="preserve"> </w:t>
      </w:r>
      <w:r>
        <w:rPr>
          <w:rFonts w:ascii="Times New Roman" w:hAnsi="Times New Roman" w:cs="Times New Roman"/>
          <w:sz w:val="24"/>
          <w:szCs w:val="24"/>
        </w:rPr>
        <w:t>t</w:t>
      </w:r>
      <w:r w:rsidRPr="00CB139C">
        <w:rPr>
          <w:rFonts w:ascii="Times New Roman" w:hAnsi="Times New Roman" w:cs="Times New Roman"/>
          <w:sz w:val="24"/>
          <w:szCs w:val="24"/>
        </w:rPr>
        <w:t xml:space="preserve">he main industries that used </w:t>
      </w:r>
      <w:r w:rsidR="002C08A8">
        <w:rPr>
          <w:rFonts w:ascii="Times New Roman" w:hAnsi="Times New Roman" w:cs="Times New Roman"/>
          <w:sz w:val="24"/>
          <w:szCs w:val="24"/>
        </w:rPr>
        <w:t>transactions</w:t>
      </w:r>
      <w:r w:rsidRPr="00CB139C">
        <w:rPr>
          <w:rFonts w:ascii="Times New Roman" w:hAnsi="Times New Roman" w:cs="Times New Roman"/>
          <w:sz w:val="24"/>
          <w:szCs w:val="24"/>
        </w:rPr>
        <w:t xml:space="preserve"> involving project financ</w:t>
      </w:r>
      <w:r w:rsidR="002C08A8">
        <w:rPr>
          <w:rFonts w:ascii="Times New Roman" w:hAnsi="Times New Roman" w:cs="Times New Roman"/>
          <w:sz w:val="24"/>
          <w:szCs w:val="24"/>
        </w:rPr>
        <w:t>e</w:t>
      </w:r>
      <w:r>
        <w:rPr>
          <w:rFonts w:ascii="Times New Roman" w:hAnsi="Times New Roman" w:cs="Times New Roman"/>
          <w:sz w:val="24"/>
          <w:szCs w:val="24"/>
        </w:rPr>
        <w:t xml:space="preserve"> were</w:t>
      </w:r>
      <w:r w:rsidRPr="00CB139C">
        <w:rPr>
          <w:rFonts w:ascii="Times New Roman" w:hAnsi="Times New Roman" w:cs="Times New Roman"/>
          <w:sz w:val="24"/>
          <w:szCs w:val="24"/>
        </w:rPr>
        <w:t xml:space="preserve"> the power</w:t>
      </w:r>
      <w:r w:rsidR="00027AC8">
        <w:rPr>
          <w:rFonts w:ascii="Times New Roman" w:hAnsi="Times New Roman" w:cs="Times New Roman"/>
          <w:sz w:val="24"/>
          <w:szCs w:val="24"/>
        </w:rPr>
        <w:t xml:space="preserve"> generation</w:t>
      </w:r>
      <w:r w:rsidRPr="00CB139C">
        <w:rPr>
          <w:rFonts w:ascii="Times New Roman" w:hAnsi="Times New Roman" w:cs="Times New Roman"/>
          <w:sz w:val="24"/>
          <w:szCs w:val="24"/>
        </w:rPr>
        <w:t xml:space="preserve"> (48.7%</w:t>
      </w:r>
      <w:r w:rsidR="00027AC8">
        <w:rPr>
          <w:rFonts w:ascii="Times New Roman" w:hAnsi="Times New Roman" w:cs="Times New Roman"/>
          <w:sz w:val="24"/>
          <w:szCs w:val="24"/>
        </w:rPr>
        <w:t xml:space="preserve">, </w:t>
      </w:r>
      <w:r>
        <w:rPr>
          <w:rFonts w:ascii="Times New Roman" w:hAnsi="Times New Roman" w:cs="Times New Roman"/>
          <w:sz w:val="24"/>
          <w:szCs w:val="24"/>
        </w:rPr>
        <w:t>$137.63 bn</w:t>
      </w:r>
      <w:r w:rsidR="002C08A8">
        <w:rPr>
          <w:rFonts w:ascii="Times New Roman" w:hAnsi="Times New Roman" w:cs="Times New Roman"/>
          <w:sz w:val="24"/>
          <w:szCs w:val="24"/>
        </w:rPr>
        <w:t>)</w:t>
      </w:r>
      <w:r w:rsidRPr="00CB139C">
        <w:rPr>
          <w:rFonts w:ascii="Times New Roman" w:hAnsi="Times New Roman" w:cs="Times New Roman"/>
          <w:sz w:val="24"/>
          <w:szCs w:val="24"/>
        </w:rPr>
        <w:t>, oil and gas (19.1%</w:t>
      </w:r>
      <w:r w:rsidR="00027AC8">
        <w:rPr>
          <w:rFonts w:ascii="Times New Roman" w:hAnsi="Times New Roman" w:cs="Times New Roman"/>
          <w:sz w:val="24"/>
          <w:szCs w:val="24"/>
        </w:rPr>
        <w:t>,</w:t>
      </w:r>
      <w:r>
        <w:rPr>
          <w:rFonts w:ascii="Times New Roman" w:hAnsi="Times New Roman" w:cs="Times New Roman"/>
          <w:sz w:val="24"/>
          <w:szCs w:val="24"/>
        </w:rPr>
        <w:t xml:space="preserve"> $54.07 bn</w:t>
      </w:r>
      <w:r w:rsidR="00027AC8">
        <w:rPr>
          <w:rFonts w:ascii="Times New Roman" w:hAnsi="Times New Roman" w:cs="Times New Roman"/>
          <w:sz w:val="24"/>
          <w:szCs w:val="24"/>
        </w:rPr>
        <w:t>)</w:t>
      </w:r>
      <w:r w:rsidRPr="00CB139C">
        <w:rPr>
          <w:rFonts w:ascii="Times New Roman" w:hAnsi="Times New Roman" w:cs="Times New Roman"/>
          <w:sz w:val="24"/>
          <w:szCs w:val="24"/>
        </w:rPr>
        <w:t>, and transport (17.9%</w:t>
      </w:r>
      <w:r w:rsidR="003D701D">
        <w:rPr>
          <w:rFonts w:ascii="Times New Roman" w:hAnsi="Times New Roman" w:cs="Times New Roman"/>
          <w:sz w:val="24"/>
          <w:szCs w:val="24"/>
        </w:rPr>
        <w:t>, $50.51 bn</w:t>
      </w:r>
      <w:r w:rsidRPr="00CB139C">
        <w:rPr>
          <w:rFonts w:ascii="Times New Roman" w:hAnsi="Times New Roman" w:cs="Times New Roman"/>
          <w:sz w:val="24"/>
          <w:szCs w:val="24"/>
        </w:rPr>
        <w:t xml:space="preserve">) </w:t>
      </w:r>
      <w:r w:rsidR="00027AC8">
        <w:rPr>
          <w:rFonts w:ascii="Times New Roman" w:hAnsi="Times New Roman" w:cs="Times New Roman"/>
          <w:sz w:val="24"/>
          <w:szCs w:val="24"/>
        </w:rPr>
        <w:t xml:space="preserve">as shown </w:t>
      </w:r>
      <w:r w:rsidR="00027AC8" w:rsidRPr="000710D5">
        <w:rPr>
          <w:rFonts w:ascii="Times New Roman" w:hAnsi="Times New Roman" w:cs="Times New Roman"/>
          <w:sz w:val="24"/>
          <w:szCs w:val="24"/>
        </w:rPr>
        <w:t xml:space="preserve">in </w:t>
      </w:r>
      <w:r w:rsidR="00027AC8" w:rsidRPr="000710D5">
        <w:rPr>
          <w:rFonts w:ascii="Times New Roman" w:hAnsi="Times New Roman" w:cs="Times New Roman"/>
          <w:i/>
          <w:iCs/>
          <w:sz w:val="24"/>
          <w:szCs w:val="24"/>
        </w:rPr>
        <w:t xml:space="preserve">Fig. </w:t>
      </w:r>
      <w:r w:rsidR="00A16958">
        <w:rPr>
          <w:rFonts w:ascii="Times New Roman" w:hAnsi="Times New Roman" w:cs="Times New Roman"/>
          <w:i/>
          <w:iCs/>
          <w:sz w:val="24"/>
          <w:szCs w:val="24"/>
        </w:rPr>
        <w:t>2.</w:t>
      </w:r>
      <w:r w:rsidR="009074BF" w:rsidRPr="000710D5">
        <w:rPr>
          <w:rFonts w:ascii="Times New Roman" w:hAnsi="Times New Roman" w:cs="Times New Roman"/>
          <w:i/>
          <w:iCs/>
          <w:sz w:val="24"/>
          <w:szCs w:val="24"/>
        </w:rPr>
        <w:t>2</w:t>
      </w:r>
      <w:r w:rsidRPr="000710D5">
        <w:rPr>
          <w:rFonts w:ascii="Times New Roman" w:hAnsi="Times New Roman" w:cs="Times New Roman"/>
          <w:sz w:val="24"/>
          <w:szCs w:val="24"/>
        </w:rPr>
        <w:t>. These</w:t>
      </w:r>
      <w:r w:rsidRPr="00CB139C">
        <w:rPr>
          <w:rFonts w:ascii="Times New Roman" w:hAnsi="Times New Roman" w:cs="Times New Roman"/>
          <w:sz w:val="24"/>
          <w:szCs w:val="24"/>
        </w:rPr>
        <w:t xml:space="preserve"> fairly capital-intensive sectors form a significant part of the national infrastructure</w:t>
      </w:r>
      <w:r w:rsidR="00B543FD">
        <w:rPr>
          <w:rFonts w:ascii="Times New Roman" w:hAnsi="Times New Roman" w:cs="Times New Roman"/>
          <w:sz w:val="24"/>
          <w:szCs w:val="24"/>
        </w:rPr>
        <w:t xml:space="preserve"> and</w:t>
      </w:r>
      <w:r w:rsidRPr="00CB139C">
        <w:rPr>
          <w:rFonts w:ascii="Times New Roman" w:hAnsi="Times New Roman" w:cs="Times New Roman"/>
          <w:sz w:val="24"/>
          <w:szCs w:val="24"/>
        </w:rPr>
        <w:t xml:space="preserve"> have predictable sources of income, </w:t>
      </w:r>
      <w:r w:rsidR="00B543FD">
        <w:rPr>
          <w:rFonts w:ascii="Times New Roman" w:hAnsi="Times New Roman" w:cs="Times New Roman"/>
          <w:sz w:val="24"/>
          <w:szCs w:val="24"/>
        </w:rPr>
        <w:t>making</w:t>
      </w:r>
      <w:r w:rsidRPr="00CB139C">
        <w:rPr>
          <w:rFonts w:ascii="Times New Roman" w:hAnsi="Times New Roman" w:cs="Times New Roman"/>
          <w:sz w:val="24"/>
          <w:szCs w:val="24"/>
        </w:rPr>
        <w:t xml:space="preserve"> them suitable for project financing.</w:t>
      </w:r>
      <w:r>
        <w:rPr>
          <w:rStyle w:val="FootnoteReference"/>
          <w:lang w:val="en-US"/>
        </w:rPr>
        <w:footnoteReference w:id="45"/>
      </w:r>
    </w:p>
    <w:p w14:paraId="05FF0A0B" w14:textId="77777777" w:rsidR="007B7A8B" w:rsidRDefault="00A65CDF" w:rsidP="007B7A8B">
      <w:pPr>
        <w:keepNext/>
        <w:spacing w:after="0" w:line="360" w:lineRule="auto"/>
        <w:jc w:val="both"/>
      </w:pPr>
      <w:r>
        <w:rPr>
          <w:noProof/>
        </w:rPr>
        <w:lastRenderedPageBreak/>
        <w:drawing>
          <wp:inline distT="0" distB="0" distL="0" distR="0" wp14:anchorId="2C8E93B7" wp14:editId="74C59770">
            <wp:extent cx="5692140" cy="2743200"/>
            <wp:effectExtent l="0" t="0" r="3810" b="0"/>
            <wp:docPr id="1" name="Chart 1">
              <a:extLst xmlns:a="http://schemas.openxmlformats.org/drawingml/2006/main">
                <a:ext uri="{FF2B5EF4-FFF2-40B4-BE49-F238E27FC236}">
                  <a16:creationId xmlns:a16="http://schemas.microsoft.com/office/drawing/2014/main" id="{4A197CA1-C817-4EEE-8560-673BAAEFF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693379" w14:textId="256A4B10" w:rsidR="00A65CDF" w:rsidRPr="00CB139C" w:rsidRDefault="007B7A8B" w:rsidP="007B7A8B">
      <w:pPr>
        <w:spacing w:before="240" w:after="0" w:line="360" w:lineRule="auto"/>
        <w:jc w:val="both"/>
        <w:rPr>
          <w:rFonts w:ascii="Times New Roman" w:hAnsi="Times New Roman" w:cs="Times New Roman"/>
          <w:sz w:val="24"/>
          <w:szCs w:val="24"/>
        </w:rPr>
      </w:pPr>
      <w:r w:rsidRPr="007B7A8B">
        <w:rPr>
          <w:rFonts w:ascii="Times New Roman" w:hAnsi="Times New Roman" w:cs="Times New Roman"/>
          <w:i/>
          <w:iCs/>
          <w:sz w:val="24"/>
          <w:szCs w:val="24"/>
        </w:rPr>
        <w:t xml:space="preserve">Fig. </w:t>
      </w:r>
      <w:r w:rsidR="00A16958">
        <w:rPr>
          <w:rFonts w:ascii="Times New Roman" w:hAnsi="Times New Roman" w:cs="Times New Roman"/>
          <w:i/>
          <w:iCs/>
          <w:sz w:val="24"/>
          <w:szCs w:val="24"/>
        </w:rPr>
        <w:t>2.</w:t>
      </w:r>
      <w:r w:rsidRPr="007B7A8B">
        <w:rPr>
          <w:rFonts w:ascii="Times New Roman" w:hAnsi="Times New Roman" w:cs="Times New Roman"/>
          <w:i/>
          <w:iCs/>
          <w:sz w:val="24"/>
          <w:szCs w:val="24"/>
        </w:rPr>
        <w:fldChar w:fldCharType="begin"/>
      </w:r>
      <w:r w:rsidRPr="007B7A8B">
        <w:rPr>
          <w:rFonts w:ascii="Times New Roman" w:hAnsi="Times New Roman" w:cs="Times New Roman"/>
          <w:i/>
          <w:iCs/>
          <w:sz w:val="24"/>
          <w:szCs w:val="24"/>
        </w:rPr>
        <w:instrText xml:space="preserve"> SEQ Figure \* ARABIC </w:instrText>
      </w:r>
      <w:r w:rsidRPr="007B7A8B">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3</w:t>
      </w:r>
      <w:r w:rsidRPr="007B7A8B">
        <w:rPr>
          <w:rFonts w:ascii="Times New Roman" w:hAnsi="Times New Roman" w:cs="Times New Roman"/>
          <w:i/>
          <w:iCs/>
          <w:sz w:val="24"/>
          <w:szCs w:val="24"/>
        </w:rPr>
        <w:fldChar w:fldCharType="end"/>
      </w:r>
      <w:r w:rsidRPr="007B7A8B">
        <w:rPr>
          <w:rFonts w:ascii="Times New Roman" w:hAnsi="Times New Roman" w:cs="Times New Roman"/>
          <w:i/>
          <w:iCs/>
          <w:sz w:val="24"/>
          <w:szCs w:val="24"/>
        </w:rPr>
        <w:t>.</w:t>
      </w:r>
      <w:r w:rsidRPr="007B7A8B">
        <w:rPr>
          <w:rFonts w:ascii="Times New Roman" w:hAnsi="Times New Roman" w:cs="Times New Roman"/>
          <w:sz w:val="24"/>
          <w:szCs w:val="24"/>
        </w:rPr>
        <w:t xml:space="preserve"> The distribution of project finance transactions by region for the period 2007-2018</w:t>
      </w:r>
    </w:p>
    <w:p w14:paraId="0AB12A77" w14:textId="44C09BD8" w:rsidR="009074BF" w:rsidRPr="00345605" w:rsidRDefault="009074BF" w:rsidP="009074BF">
      <w:pPr>
        <w:pStyle w:val="Caption"/>
        <w:spacing w:after="0"/>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p>
    <w:p w14:paraId="4DE86D37" w14:textId="44062623" w:rsidR="00A65CDF" w:rsidRDefault="00A65CDF" w:rsidP="0008496D">
      <w:pPr>
        <w:suppressAutoHyphens/>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On a regional basis</w:t>
      </w:r>
      <w:r w:rsidR="000710D5">
        <w:rPr>
          <w:rFonts w:ascii="Times New Roman" w:hAnsi="Times New Roman" w:cs="Times New Roman"/>
          <w:sz w:val="24"/>
          <w:szCs w:val="24"/>
        </w:rPr>
        <w:t xml:space="preserve">, </w:t>
      </w:r>
      <w:r w:rsidR="000710D5" w:rsidRPr="000710D5">
        <w:rPr>
          <w:rFonts w:ascii="Times New Roman" w:hAnsi="Times New Roman" w:cs="Times New Roman"/>
          <w:sz w:val="24"/>
          <w:szCs w:val="24"/>
        </w:rPr>
        <w:t xml:space="preserve">the distribution of project finance transactions </w:t>
      </w:r>
      <w:r w:rsidR="00264581">
        <w:rPr>
          <w:rFonts w:ascii="Times New Roman" w:hAnsi="Times New Roman" w:cs="Times New Roman"/>
          <w:sz w:val="24"/>
          <w:szCs w:val="24"/>
        </w:rPr>
        <w:t xml:space="preserve">by region is shown in </w:t>
      </w:r>
      <w:r w:rsidR="00264581" w:rsidRPr="00264581">
        <w:rPr>
          <w:rFonts w:ascii="Times New Roman" w:hAnsi="Times New Roman" w:cs="Times New Roman"/>
          <w:i/>
          <w:iCs/>
          <w:sz w:val="24"/>
          <w:szCs w:val="24"/>
        </w:rPr>
        <w:t xml:space="preserve">Fig. </w:t>
      </w:r>
      <w:r w:rsidR="00A16958">
        <w:rPr>
          <w:rFonts w:ascii="Times New Roman" w:hAnsi="Times New Roman" w:cs="Times New Roman"/>
          <w:i/>
          <w:iCs/>
          <w:sz w:val="24"/>
          <w:szCs w:val="24"/>
        </w:rPr>
        <w:t>2.</w:t>
      </w:r>
      <w:r w:rsidR="00264581" w:rsidRPr="00264581">
        <w:rPr>
          <w:rFonts w:ascii="Times New Roman" w:hAnsi="Times New Roman" w:cs="Times New Roman"/>
          <w:i/>
          <w:iCs/>
          <w:sz w:val="24"/>
          <w:szCs w:val="24"/>
        </w:rPr>
        <w:t>3</w:t>
      </w:r>
      <w:r w:rsidR="00264581">
        <w:rPr>
          <w:rFonts w:ascii="Times New Roman" w:hAnsi="Times New Roman" w:cs="Times New Roman"/>
          <w:sz w:val="24"/>
          <w:szCs w:val="24"/>
        </w:rPr>
        <w:t xml:space="preserve"> </w:t>
      </w:r>
      <w:r w:rsidR="005B0856" w:rsidRPr="005B0856">
        <w:rPr>
          <w:rFonts w:ascii="Times New Roman" w:hAnsi="Times New Roman" w:cs="Times New Roman"/>
          <w:sz w:val="24"/>
          <w:szCs w:val="24"/>
        </w:rPr>
        <w:t>from 2007 through 2018</w:t>
      </w:r>
      <w:r w:rsidR="00264581">
        <w:rPr>
          <w:rFonts w:ascii="Times New Roman" w:hAnsi="Times New Roman" w:cs="Times New Roman"/>
          <w:sz w:val="24"/>
          <w:szCs w:val="24"/>
        </w:rPr>
        <w:t>. T</w:t>
      </w:r>
      <w:r>
        <w:rPr>
          <w:rFonts w:ascii="Times New Roman" w:hAnsi="Times New Roman" w:cs="Times New Roman"/>
          <w:sz w:val="24"/>
          <w:szCs w:val="24"/>
        </w:rPr>
        <w:t>he market is divided into the Americas, EMEA</w:t>
      </w:r>
      <w:r w:rsidR="002C08A8">
        <w:rPr>
          <w:rFonts w:ascii="Times New Roman" w:hAnsi="Times New Roman" w:cs="Times New Roman"/>
          <w:sz w:val="24"/>
          <w:szCs w:val="24"/>
        </w:rPr>
        <w:t xml:space="preserve"> </w:t>
      </w:r>
      <w:r w:rsidR="002C08A8" w:rsidRPr="006440B8">
        <w:rPr>
          <w:rFonts w:ascii="Times New Roman" w:hAnsi="Times New Roman" w:cs="Times New Roman"/>
          <w:sz w:val="24"/>
          <w:szCs w:val="24"/>
        </w:rPr>
        <w:t>(Europa, Middle East</w:t>
      </w:r>
      <w:r w:rsidR="002C08A8">
        <w:rPr>
          <w:rFonts w:ascii="Times New Roman" w:hAnsi="Times New Roman" w:cs="Times New Roman"/>
          <w:sz w:val="24"/>
          <w:szCs w:val="24"/>
        </w:rPr>
        <w:t>,</w:t>
      </w:r>
      <w:r w:rsidR="002C08A8" w:rsidRPr="006440B8">
        <w:rPr>
          <w:rFonts w:ascii="Times New Roman" w:hAnsi="Times New Roman" w:cs="Times New Roman"/>
          <w:sz w:val="24"/>
          <w:szCs w:val="24"/>
        </w:rPr>
        <w:t xml:space="preserve"> and Africa)</w:t>
      </w:r>
      <w:r w:rsidR="00720110">
        <w:rPr>
          <w:rFonts w:ascii="Times New Roman" w:hAnsi="Times New Roman" w:cs="Times New Roman"/>
          <w:sz w:val="24"/>
          <w:szCs w:val="24"/>
        </w:rPr>
        <w:t>,</w:t>
      </w:r>
      <w:r>
        <w:rPr>
          <w:rFonts w:ascii="Times New Roman" w:hAnsi="Times New Roman" w:cs="Times New Roman"/>
          <w:sz w:val="24"/>
          <w:szCs w:val="24"/>
        </w:rPr>
        <w:t xml:space="preserve"> and </w:t>
      </w:r>
      <w:r w:rsidR="00720110">
        <w:rPr>
          <w:rFonts w:ascii="Times New Roman" w:hAnsi="Times New Roman" w:cs="Times New Roman"/>
          <w:sz w:val="24"/>
          <w:szCs w:val="24"/>
        </w:rPr>
        <w:t xml:space="preserve">the </w:t>
      </w:r>
      <w:r>
        <w:rPr>
          <w:rFonts w:ascii="Times New Roman" w:hAnsi="Times New Roman" w:cs="Times New Roman"/>
          <w:sz w:val="24"/>
          <w:szCs w:val="24"/>
        </w:rPr>
        <w:t>Asia Pacific. Until 2009</w:t>
      </w:r>
      <w:r w:rsidR="002C08A8">
        <w:rPr>
          <w:rFonts w:ascii="Times New Roman" w:hAnsi="Times New Roman" w:cs="Times New Roman"/>
          <w:sz w:val="24"/>
          <w:szCs w:val="24"/>
        </w:rPr>
        <w:t>,</w:t>
      </w:r>
      <w:r>
        <w:rPr>
          <w:rFonts w:ascii="Times New Roman" w:hAnsi="Times New Roman" w:cs="Times New Roman"/>
          <w:sz w:val="24"/>
          <w:szCs w:val="24"/>
        </w:rPr>
        <w:t xml:space="preserve"> </w:t>
      </w:r>
      <w:r w:rsidRPr="006440B8">
        <w:rPr>
          <w:rFonts w:ascii="Times New Roman" w:hAnsi="Times New Roman" w:cs="Times New Roman"/>
          <w:sz w:val="24"/>
          <w:szCs w:val="24"/>
        </w:rPr>
        <w:t xml:space="preserve">EMEA </w:t>
      </w:r>
      <w:r>
        <w:rPr>
          <w:rFonts w:ascii="Times New Roman" w:hAnsi="Times New Roman" w:cs="Times New Roman"/>
          <w:sz w:val="24"/>
          <w:szCs w:val="24"/>
        </w:rPr>
        <w:t>was</w:t>
      </w:r>
      <w:r w:rsidRPr="006440B8">
        <w:rPr>
          <w:rFonts w:ascii="Times New Roman" w:hAnsi="Times New Roman" w:cs="Times New Roman"/>
          <w:sz w:val="24"/>
          <w:szCs w:val="24"/>
        </w:rPr>
        <w:t xml:space="preserve"> the leader in the number and volume of project finance transactions</w:t>
      </w:r>
      <w:r>
        <w:rPr>
          <w:rFonts w:ascii="Times New Roman" w:hAnsi="Times New Roman" w:cs="Times New Roman"/>
          <w:sz w:val="24"/>
          <w:szCs w:val="24"/>
        </w:rPr>
        <w:t xml:space="preserve"> followed by the Asia-Pacific region. Asian project finance activity has been driven by infrastructure finance in India</w:t>
      </w:r>
      <w:r w:rsidR="005B0856">
        <w:rPr>
          <w:rFonts w:ascii="Times New Roman" w:hAnsi="Times New Roman" w:cs="Times New Roman"/>
          <w:sz w:val="24"/>
          <w:szCs w:val="24"/>
        </w:rPr>
        <w:t>,</w:t>
      </w:r>
      <w:r>
        <w:rPr>
          <w:rFonts w:ascii="Times New Roman" w:hAnsi="Times New Roman" w:cs="Times New Roman"/>
          <w:sz w:val="24"/>
          <w:szCs w:val="24"/>
        </w:rPr>
        <w:t xml:space="preserve"> and the natural resources sector in Australia</w:t>
      </w:r>
      <w:r>
        <w:rPr>
          <w:rStyle w:val="FootnoteReference"/>
          <w:rFonts w:ascii="Times New Roman" w:hAnsi="Times New Roman" w:cs="Times New Roman"/>
          <w:sz w:val="24"/>
          <w:szCs w:val="24"/>
        </w:rPr>
        <w:footnoteReference w:id="46"/>
      </w:r>
      <w:r w:rsidR="005B0856">
        <w:rPr>
          <w:rFonts w:ascii="Times New Roman" w:hAnsi="Times New Roman" w:cs="Times New Roman"/>
          <w:sz w:val="24"/>
          <w:szCs w:val="24"/>
        </w:rPr>
        <w:t>.</w:t>
      </w:r>
      <w:r>
        <w:rPr>
          <w:rFonts w:ascii="Times New Roman" w:hAnsi="Times New Roman" w:cs="Times New Roman"/>
          <w:sz w:val="24"/>
          <w:szCs w:val="24"/>
        </w:rPr>
        <w:t xml:space="preserve"> </w:t>
      </w:r>
      <w:r w:rsidR="005B0856">
        <w:rPr>
          <w:rFonts w:ascii="Times New Roman" w:hAnsi="Times New Roman" w:cs="Times New Roman"/>
          <w:sz w:val="24"/>
          <w:szCs w:val="24"/>
        </w:rPr>
        <w:t>I</w:t>
      </w:r>
      <w:r>
        <w:rPr>
          <w:rFonts w:ascii="Times New Roman" w:hAnsi="Times New Roman" w:cs="Times New Roman"/>
          <w:sz w:val="24"/>
          <w:szCs w:val="24"/>
        </w:rPr>
        <w:t>n 2011</w:t>
      </w:r>
      <w:r w:rsidR="005B0856">
        <w:rPr>
          <w:rFonts w:ascii="Times New Roman" w:hAnsi="Times New Roman" w:cs="Times New Roman"/>
          <w:sz w:val="24"/>
          <w:szCs w:val="24"/>
        </w:rPr>
        <w:t>,</w:t>
      </w:r>
      <w:r>
        <w:rPr>
          <w:rFonts w:ascii="Times New Roman" w:hAnsi="Times New Roman" w:cs="Times New Roman"/>
          <w:sz w:val="24"/>
          <w:szCs w:val="24"/>
        </w:rPr>
        <w:t xml:space="preserve"> India and Australia made up one-third of the project</w:t>
      </w:r>
      <w:r w:rsidR="005B0856">
        <w:rPr>
          <w:rFonts w:ascii="Times New Roman" w:hAnsi="Times New Roman" w:cs="Times New Roman"/>
          <w:sz w:val="24"/>
          <w:szCs w:val="24"/>
        </w:rPr>
        <w:t xml:space="preserve"> finance</w:t>
      </w:r>
      <w:r>
        <w:rPr>
          <w:rFonts w:ascii="Times New Roman" w:hAnsi="Times New Roman" w:cs="Times New Roman"/>
          <w:sz w:val="24"/>
          <w:szCs w:val="24"/>
        </w:rPr>
        <w:t xml:space="preserve"> loans market</w:t>
      </w:r>
      <w:r w:rsidR="002C08A8">
        <w:rPr>
          <w:rFonts w:ascii="Times New Roman" w:hAnsi="Times New Roman" w:cs="Times New Roman"/>
          <w:sz w:val="24"/>
          <w:szCs w:val="24"/>
        </w:rPr>
        <w:t>.</w:t>
      </w:r>
      <w:r w:rsidR="00274F29">
        <w:rPr>
          <w:rFonts w:ascii="Times New Roman" w:hAnsi="Times New Roman" w:cs="Times New Roman"/>
          <w:sz w:val="24"/>
          <w:szCs w:val="24"/>
        </w:rPr>
        <w:t xml:space="preserve"> W</w:t>
      </w:r>
      <w:r>
        <w:rPr>
          <w:rFonts w:ascii="Times New Roman" w:hAnsi="Times New Roman" w:cs="Times New Roman"/>
          <w:sz w:val="24"/>
          <w:szCs w:val="24"/>
        </w:rPr>
        <w:t xml:space="preserve">hen </w:t>
      </w:r>
      <w:r w:rsidRPr="00DE6194">
        <w:rPr>
          <w:rFonts w:ascii="Times New Roman" w:hAnsi="Times New Roman" w:cs="Times New Roman"/>
          <w:sz w:val="24"/>
          <w:szCs w:val="24"/>
        </w:rPr>
        <w:t xml:space="preserve">the global financial crisis </w:t>
      </w:r>
      <w:r w:rsidR="00274F29">
        <w:rPr>
          <w:rFonts w:ascii="Times New Roman" w:hAnsi="Times New Roman" w:cs="Times New Roman"/>
          <w:sz w:val="24"/>
          <w:szCs w:val="24"/>
        </w:rPr>
        <w:t>happened</w:t>
      </w:r>
      <w:r>
        <w:rPr>
          <w:rFonts w:ascii="Times New Roman" w:hAnsi="Times New Roman" w:cs="Times New Roman"/>
          <w:sz w:val="24"/>
          <w:szCs w:val="24"/>
        </w:rPr>
        <w:t xml:space="preserve">, </w:t>
      </w:r>
      <w:r w:rsidRPr="00DE6194">
        <w:rPr>
          <w:rFonts w:ascii="Times New Roman" w:hAnsi="Times New Roman" w:cs="Times New Roman"/>
          <w:sz w:val="24"/>
          <w:szCs w:val="24"/>
        </w:rPr>
        <w:t xml:space="preserve">a reduction in the volume of transactions in the European region, </w:t>
      </w:r>
      <w:r>
        <w:rPr>
          <w:rFonts w:ascii="Times New Roman" w:hAnsi="Times New Roman" w:cs="Times New Roman"/>
          <w:sz w:val="24"/>
          <w:szCs w:val="24"/>
        </w:rPr>
        <w:t xml:space="preserve">and the </w:t>
      </w:r>
      <w:r w:rsidRPr="003E35DD">
        <w:rPr>
          <w:rFonts w:ascii="Times New Roman" w:hAnsi="Times New Roman" w:cs="Times New Roman"/>
          <w:sz w:val="24"/>
          <w:szCs w:val="24"/>
        </w:rPr>
        <w:t>Asia</w:t>
      </w:r>
      <w:r>
        <w:rPr>
          <w:rFonts w:ascii="Times New Roman" w:hAnsi="Times New Roman" w:cs="Times New Roman"/>
          <w:sz w:val="24"/>
          <w:szCs w:val="24"/>
        </w:rPr>
        <w:t>-Pacific region</w:t>
      </w:r>
      <w:r w:rsidRPr="003E35DD">
        <w:rPr>
          <w:rFonts w:ascii="Times New Roman" w:hAnsi="Times New Roman" w:cs="Times New Roman"/>
          <w:sz w:val="24"/>
          <w:szCs w:val="24"/>
        </w:rPr>
        <w:t xml:space="preserve"> </w:t>
      </w:r>
      <w:r w:rsidR="00FB1DB1">
        <w:rPr>
          <w:rFonts w:ascii="Times New Roman" w:hAnsi="Times New Roman" w:cs="Times New Roman"/>
          <w:sz w:val="24"/>
          <w:szCs w:val="24"/>
        </w:rPr>
        <w:t>took</w:t>
      </w:r>
      <w:r w:rsidRPr="003E35DD">
        <w:rPr>
          <w:rFonts w:ascii="Times New Roman" w:hAnsi="Times New Roman" w:cs="Times New Roman"/>
          <w:sz w:val="24"/>
          <w:szCs w:val="24"/>
        </w:rPr>
        <w:t xml:space="preserve"> first place</w:t>
      </w:r>
      <w:r>
        <w:rPr>
          <w:rFonts w:ascii="Times New Roman" w:hAnsi="Times New Roman" w:cs="Times New Roman"/>
          <w:sz w:val="24"/>
          <w:szCs w:val="24"/>
        </w:rPr>
        <w:t xml:space="preserve"> for the years from 2010 to 2012.</w:t>
      </w:r>
    </w:p>
    <w:p w14:paraId="68B2C306" w14:textId="1351E246" w:rsidR="00A65CDF" w:rsidRDefault="00A65CDF" w:rsidP="0008496D">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s</w:t>
      </w:r>
      <w:r w:rsidRPr="00DE6194">
        <w:rPr>
          <w:rFonts w:ascii="Times New Roman" w:hAnsi="Times New Roman" w:cs="Times New Roman"/>
          <w:sz w:val="24"/>
          <w:szCs w:val="24"/>
        </w:rPr>
        <w:t xml:space="preserve">ince 2013, </w:t>
      </w:r>
      <w:r w:rsidR="005B0856">
        <w:rPr>
          <w:rFonts w:ascii="Times New Roman" w:hAnsi="Times New Roman" w:cs="Times New Roman"/>
          <w:sz w:val="24"/>
          <w:szCs w:val="24"/>
        </w:rPr>
        <w:t xml:space="preserve">the </w:t>
      </w:r>
      <w:r w:rsidRPr="00DE6194">
        <w:rPr>
          <w:rFonts w:ascii="Times New Roman" w:hAnsi="Times New Roman" w:cs="Times New Roman"/>
          <w:sz w:val="24"/>
          <w:szCs w:val="24"/>
        </w:rPr>
        <w:t xml:space="preserve">EMEA region </w:t>
      </w:r>
      <w:r w:rsidR="00FB1DB1">
        <w:rPr>
          <w:rFonts w:ascii="Times New Roman" w:hAnsi="Times New Roman" w:cs="Times New Roman"/>
          <w:sz w:val="24"/>
          <w:szCs w:val="24"/>
        </w:rPr>
        <w:t>has again</w:t>
      </w:r>
      <w:r w:rsidR="00FB1DB1" w:rsidRPr="00BB76C9">
        <w:rPr>
          <w:rFonts w:ascii="Times New Roman" w:hAnsi="Times New Roman" w:cs="Times New Roman"/>
          <w:sz w:val="24"/>
          <w:szCs w:val="24"/>
        </w:rPr>
        <w:t xml:space="preserve"> </w:t>
      </w:r>
      <w:r w:rsidRPr="00BB76C9">
        <w:rPr>
          <w:rFonts w:ascii="Times New Roman" w:hAnsi="Times New Roman" w:cs="Times New Roman"/>
          <w:sz w:val="24"/>
          <w:szCs w:val="24"/>
        </w:rPr>
        <w:t>dominated</w:t>
      </w:r>
      <w:r>
        <w:rPr>
          <w:rFonts w:ascii="Times New Roman" w:hAnsi="Times New Roman" w:cs="Times New Roman"/>
          <w:sz w:val="24"/>
          <w:szCs w:val="24"/>
        </w:rPr>
        <w:t>, with</w:t>
      </w:r>
      <w:r w:rsidRPr="00093455">
        <w:rPr>
          <w:rFonts w:ascii="Times New Roman" w:hAnsi="Times New Roman" w:cs="Times New Roman"/>
          <w:sz w:val="24"/>
          <w:szCs w:val="24"/>
        </w:rPr>
        <w:t xml:space="preserve"> an average of</w:t>
      </w:r>
      <w:r>
        <w:rPr>
          <w:rFonts w:ascii="Times New Roman" w:hAnsi="Times New Roman" w:cs="Times New Roman"/>
          <w:sz w:val="24"/>
          <w:szCs w:val="24"/>
        </w:rPr>
        <w:t xml:space="preserve"> 41.19% of the global market between 2013-2018. </w:t>
      </w:r>
      <w:r w:rsidRPr="00093455">
        <w:rPr>
          <w:rFonts w:ascii="Times New Roman" w:hAnsi="Times New Roman" w:cs="Times New Roman"/>
          <w:sz w:val="24"/>
          <w:szCs w:val="24"/>
        </w:rPr>
        <w:t xml:space="preserve">The majority of transactions are conducted in </w:t>
      </w:r>
      <w:r w:rsidR="00720110">
        <w:rPr>
          <w:rFonts w:ascii="Times New Roman" w:hAnsi="Times New Roman" w:cs="Times New Roman"/>
          <w:sz w:val="24"/>
          <w:szCs w:val="24"/>
        </w:rPr>
        <w:t xml:space="preserve">the </w:t>
      </w:r>
      <w:r w:rsidRPr="00093455">
        <w:rPr>
          <w:rFonts w:ascii="Times New Roman" w:hAnsi="Times New Roman" w:cs="Times New Roman"/>
          <w:sz w:val="24"/>
          <w:szCs w:val="24"/>
        </w:rPr>
        <w:t>U</w:t>
      </w:r>
      <w:r w:rsidR="00027AC8">
        <w:rPr>
          <w:rFonts w:ascii="Times New Roman" w:hAnsi="Times New Roman" w:cs="Times New Roman"/>
          <w:sz w:val="24"/>
          <w:szCs w:val="24"/>
        </w:rPr>
        <w:t>K</w:t>
      </w:r>
      <w:r w:rsidRPr="00093455">
        <w:rPr>
          <w:rFonts w:ascii="Times New Roman" w:hAnsi="Times New Roman" w:cs="Times New Roman"/>
          <w:sz w:val="24"/>
          <w:szCs w:val="24"/>
        </w:rPr>
        <w:t>, France, Turkey</w:t>
      </w:r>
      <w:r w:rsidR="00720110">
        <w:rPr>
          <w:rFonts w:ascii="Times New Roman" w:hAnsi="Times New Roman" w:cs="Times New Roman"/>
          <w:sz w:val="24"/>
          <w:szCs w:val="24"/>
        </w:rPr>
        <w:t>,</w:t>
      </w:r>
      <w:r w:rsidRPr="00093455">
        <w:rPr>
          <w:rFonts w:ascii="Times New Roman" w:hAnsi="Times New Roman" w:cs="Times New Roman"/>
          <w:sz w:val="24"/>
          <w:szCs w:val="24"/>
        </w:rPr>
        <w:t xml:space="preserve"> and Saudi Arabia. </w:t>
      </w:r>
      <w:r w:rsidR="00FB1DB1">
        <w:rPr>
          <w:rFonts w:ascii="Times New Roman" w:hAnsi="Times New Roman" w:cs="Times New Roman"/>
          <w:sz w:val="24"/>
          <w:szCs w:val="24"/>
        </w:rPr>
        <w:t>T</w:t>
      </w:r>
      <w:r w:rsidRPr="00093455">
        <w:rPr>
          <w:rFonts w:ascii="Times New Roman" w:hAnsi="Times New Roman" w:cs="Times New Roman"/>
          <w:sz w:val="24"/>
          <w:szCs w:val="24"/>
        </w:rPr>
        <w:t>he project finance market in the Asia-Pacific region is mainly represented by Australia, India, Japan</w:t>
      </w:r>
      <w:r w:rsidR="00720110">
        <w:rPr>
          <w:rFonts w:ascii="Times New Roman" w:hAnsi="Times New Roman" w:cs="Times New Roman"/>
          <w:sz w:val="24"/>
          <w:szCs w:val="24"/>
        </w:rPr>
        <w:t>,</w:t>
      </w:r>
      <w:r w:rsidRPr="00093455">
        <w:rPr>
          <w:rFonts w:ascii="Times New Roman" w:hAnsi="Times New Roman" w:cs="Times New Roman"/>
          <w:sz w:val="24"/>
          <w:szCs w:val="24"/>
        </w:rPr>
        <w:t xml:space="preserve"> and Indonesia</w:t>
      </w:r>
      <w:r w:rsidR="00DA63EF">
        <w:rPr>
          <w:rFonts w:ascii="Times New Roman" w:hAnsi="Times New Roman" w:cs="Times New Roman"/>
          <w:sz w:val="24"/>
          <w:szCs w:val="24"/>
        </w:rPr>
        <w:t>.</w:t>
      </w:r>
      <w:r>
        <w:rPr>
          <w:rFonts w:ascii="Times New Roman" w:hAnsi="Times New Roman" w:cs="Times New Roman"/>
          <w:sz w:val="24"/>
          <w:szCs w:val="24"/>
        </w:rPr>
        <w:t xml:space="preserve"> </w:t>
      </w:r>
      <w:r w:rsidR="00DA63EF">
        <w:rPr>
          <w:rFonts w:ascii="Times New Roman" w:hAnsi="Times New Roman" w:cs="Times New Roman"/>
          <w:sz w:val="24"/>
          <w:szCs w:val="24"/>
        </w:rPr>
        <w:t>M</w:t>
      </w:r>
      <w:r>
        <w:rPr>
          <w:rFonts w:ascii="Times New Roman" w:hAnsi="Times New Roman" w:cs="Times New Roman"/>
          <w:sz w:val="24"/>
          <w:szCs w:val="24"/>
        </w:rPr>
        <w:t>ore than 60% of the project finance transactions in the Americas region take place in the USA.</w:t>
      </w:r>
    </w:p>
    <w:p w14:paraId="4B7F9703" w14:textId="58086521" w:rsidR="00E0092C" w:rsidRDefault="00A65CDF" w:rsidP="0008496D">
      <w:pPr>
        <w:suppressAutoHyphens/>
        <w:spacing w:before="240" w:line="360" w:lineRule="auto"/>
        <w:ind w:firstLine="567"/>
        <w:jc w:val="both"/>
        <w:rPr>
          <w:rFonts w:ascii="Times New Roman" w:hAnsi="Times New Roman" w:cs="Times New Roman"/>
          <w:sz w:val="24"/>
          <w:szCs w:val="24"/>
        </w:rPr>
      </w:pPr>
      <w:r w:rsidRPr="00476356">
        <w:rPr>
          <w:rFonts w:ascii="Times New Roman" w:hAnsi="Times New Roman" w:cs="Times New Roman"/>
          <w:i/>
          <w:iCs/>
          <w:sz w:val="24"/>
          <w:szCs w:val="24"/>
        </w:rPr>
        <w:t>Table</w:t>
      </w:r>
      <w:r w:rsidR="00A0626A">
        <w:rPr>
          <w:rFonts w:ascii="Times New Roman" w:hAnsi="Times New Roman" w:cs="Times New Roman"/>
          <w:i/>
          <w:iCs/>
          <w:sz w:val="24"/>
          <w:szCs w:val="24"/>
        </w:rPr>
        <w:t xml:space="preserve"> </w:t>
      </w:r>
      <w:r w:rsidR="00E0092C">
        <w:rPr>
          <w:rFonts w:ascii="Times New Roman" w:hAnsi="Times New Roman" w:cs="Times New Roman"/>
          <w:i/>
          <w:iCs/>
          <w:sz w:val="24"/>
          <w:szCs w:val="24"/>
        </w:rPr>
        <w:t>2.2</w:t>
      </w:r>
      <w:r w:rsidRPr="00476356">
        <w:rPr>
          <w:rFonts w:ascii="Times New Roman" w:hAnsi="Times New Roman" w:cs="Times New Roman"/>
          <w:sz w:val="24"/>
          <w:szCs w:val="24"/>
        </w:rPr>
        <w:t xml:space="preserve"> shows the geographic</w:t>
      </w:r>
      <w:r w:rsidRPr="00D664C9">
        <w:rPr>
          <w:rFonts w:ascii="Times New Roman" w:hAnsi="Times New Roman" w:cs="Times New Roman"/>
          <w:sz w:val="24"/>
          <w:szCs w:val="24"/>
        </w:rPr>
        <w:t xml:space="preserve"> distribution of project finance </w:t>
      </w:r>
      <w:r w:rsidR="00FB1DB1">
        <w:rPr>
          <w:rFonts w:ascii="Times New Roman" w:hAnsi="Times New Roman" w:cs="Times New Roman"/>
          <w:sz w:val="24"/>
          <w:szCs w:val="24"/>
        </w:rPr>
        <w:t xml:space="preserve">transactions </w:t>
      </w:r>
      <w:r w:rsidRPr="00D664C9">
        <w:rPr>
          <w:rFonts w:ascii="Times New Roman" w:hAnsi="Times New Roman" w:cs="Times New Roman"/>
          <w:sz w:val="24"/>
          <w:szCs w:val="24"/>
        </w:rPr>
        <w:t>for the</w:t>
      </w:r>
      <w:r w:rsidR="00FB1DB1">
        <w:rPr>
          <w:rFonts w:ascii="Times New Roman" w:hAnsi="Times New Roman" w:cs="Times New Roman"/>
          <w:sz w:val="24"/>
          <w:szCs w:val="24"/>
        </w:rPr>
        <w:t xml:space="preserve"> top</w:t>
      </w:r>
      <w:r w:rsidRPr="00D664C9">
        <w:rPr>
          <w:rFonts w:ascii="Times New Roman" w:hAnsi="Times New Roman" w:cs="Times New Roman"/>
          <w:sz w:val="24"/>
          <w:szCs w:val="24"/>
        </w:rPr>
        <w:t xml:space="preserve"> 15 countries </w:t>
      </w:r>
      <w:r w:rsidR="00FB1DB1">
        <w:rPr>
          <w:rFonts w:ascii="Times New Roman" w:hAnsi="Times New Roman" w:cs="Times New Roman"/>
          <w:sz w:val="24"/>
          <w:szCs w:val="24"/>
        </w:rPr>
        <w:t>in 2018</w:t>
      </w:r>
      <w:r>
        <w:rPr>
          <w:rFonts w:ascii="Times New Roman" w:hAnsi="Times New Roman" w:cs="Times New Roman"/>
          <w:sz w:val="24"/>
          <w:szCs w:val="24"/>
        </w:rPr>
        <w:t>.</w:t>
      </w:r>
      <w:r w:rsidR="00E0092C">
        <w:rPr>
          <w:rFonts w:ascii="Times New Roman" w:hAnsi="Times New Roman" w:cs="Times New Roman"/>
          <w:sz w:val="24"/>
          <w:szCs w:val="24"/>
        </w:rPr>
        <w:t xml:space="preserve"> </w:t>
      </w:r>
      <w:r w:rsidR="00E0092C" w:rsidRPr="00DE366B">
        <w:rPr>
          <w:rFonts w:ascii="Times New Roman" w:hAnsi="Times New Roman" w:cs="Times New Roman"/>
          <w:sz w:val="24"/>
          <w:szCs w:val="24"/>
        </w:rPr>
        <w:t xml:space="preserve">The leading position </w:t>
      </w:r>
      <w:r w:rsidR="00E0092C">
        <w:rPr>
          <w:rFonts w:ascii="Times New Roman" w:hAnsi="Times New Roman" w:cs="Times New Roman"/>
          <w:sz w:val="24"/>
          <w:szCs w:val="24"/>
        </w:rPr>
        <w:t xml:space="preserve">in 2018 </w:t>
      </w:r>
      <w:r w:rsidR="00E0092C" w:rsidRPr="00DE366B">
        <w:rPr>
          <w:rFonts w:ascii="Times New Roman" w:hAnsi="Times New Roman" w:cs="Times New Roman"/>
          <w:sz w:val="24"/>
          <w:szCs w:val="24"/>
        </w:rPr>
        <w:t>in terms of bank loans in the project finance market is</w:t>
      </w:r>
      <w:r w:rsidR="00191E9A">
        <w:rPr>
          <w:rFonts w:ascii="Times New Roman" w:hAnsi="Times New Roman" w:cs="Times New Roman"/>
          <w:sz w:val="24"/>
          <w:szCs w:val="24"/>
        </w:rPr>
        <w:t xml:space="preserve"> for</w:t>
      </w:r>
      <w:r w:rsidR="00E0092C">
        <w:rPr>
          <w:rFonts w:ascii="Times New Roman" w:hAnsi="Times New Roman" w:cs="Times New Roman"/>
          <w:sz w:val="24"/>
          <w:szCs w:val="24"/>
        </w:rPr>
        <w:t xml:space="preserve"> the</w:t>
      </w:r>
      <w:r w:rsidR="00E0092C" w:rsidRPr="00DE366B">
        <w:rPr>
          <w:rFonts w:ascii="Times New Roman" w:hAnsi="Times New Roman" w:cs="Times New Roman"/>
          <w:sz w:val="24"/>
          <w:szCs w:val="24"/>
        </w:rPr>
        <w:t xml:space="preserve"> </w:t>
      </w:r>
      <w:r w:rsidR="00E0092C" w:rsidRPr="00476356">
        <w:rPr>
          <w:rFonts w:ascii="Times New Roman" w:hAnsi="Times New Roman" w:cs="Times New Roman"/>
          <w:sz w:val="24"/>
          <w:szCs w:val="24"/>
        </w:rPr>
        <w:t>USA</w:t>
      </w:r>
      <w:r w:rsidR="00E0092C">
        <w:rPr>
          <w:rFonts w:ascii="Times New Roman" w:hAnsi="Times New Roman" w:cs="Times New Roman"/>
          <w:sz w:val="24"/>
          <w:szCs w:val="24"/>
        </w:rPr>
        <w:t>, volumes ha</w:t>
      </w:r>
      <w:r w:rsidR="005B0856">
        <w:rPr>
          <w:rFonts w:ascii="Times New Roman" w:hAnsi="Times New Roman" w:cs="Times New Roman"/>
          <w:sz w:val="24"/>
          <w:szCs w:val="24"/>
        </w:rPr>
        <w:t>ve</w:t>
      </w:r>
      <w:r w:rsidR="00E0092C">
        <w:rPr>
          <w:rFonts w:ascii="Times New Roman" w:hAnsi="Times New Roman" w:cs="Times New Roman"/>
          <w:sz w:val="24"/>
          <w:szCs w:val="24"/>
        </w:rPr>
        <w:t xml:space="preserve"> increased by 38% compared to 2017 </w:t>
      </w:r>
      <w:r w:rsidR="00E0092C" w:rsidRPr="0077304D">
        <w:rPr>
          <w:rFonts w:ascii="Times New Roman" w:hAnsi="Times New Roman" w:cs="Times New Roman"/>
          <w:sz w:val="24"/>
          <w:szCs w:val="24"/>
        </w:rPr>
        <w:t>and amounted to</w:t>
      </w:r>
      <w:r w:rsidR="00E0092C">
        <w:rPr>
          <w:rFonts w:ascii="Times New Roman" w:hAnsi="Times New Roman" w:cs="Times New Roman"/>
          <w:sz w:val="24"/>
          <w:szCs w:val="24"/>
        </w:rPr>
        <w:t xml:space="preserve"> $58.67 bn, this is about 21% of the total world project finance market. The volumes of project finance in Australia have increased by almost 30%, amounted to $31.83 bn. However, it still lags behind the level of 2012 when Australia reached its maximum ($43 bn). </w:t>
      </w:r>
      <w:r w:rsidR="005410D9" w:rsidRPr="005410D9">
        <w:rPr>
          <w:rFonts w:ascii="Times New Roman" w:hAnsi="Times New Roman" w:cs="Times New Roman"/>
          <w:sz w:val="24"/>
          <w:szCs w:val="24"/>
        </w:rPr>
        <w:t>The UK and Japan's project finance market</w:t>
      </w:r>
      <w:r w:rsidR="00D24F13">
        <w:rPr>
          <w:rFonts w:ascii="Times New Roman" w:hAnsi="Times New Roman" w:cs="Times New Roman"/>
          <w:sz w:val="24"/>
          <w:szCs w:val="24"/>
        </w:rPr>
        <w:t>s</w:t>
      </w:r>
      <w:r w:rsidR="005410D9" w:rsidRPr="005410D9">
        <w:rPr>
          <w:rFonts w:ascii="Times New Roman" w:hAnsi="Times New Roman" w:cs="Times New Roman"/>
          <w:sz w:val="24"/>
          <w:szCs w:val="24"/>
        </w:rPr>
        <w:t xml:space="preserve"> </w:t>
      </w:r>
      <w:r w:rsidR="00D24F13" w:rsidRPr="005410D9">
        <w:rPr>
          <w:rFonts w:ascii="Times New Roman" w:hAnsi="Times New Roman" w:cs="Times New Roman"/>
          <w:sz w:val="24"/>
          <w:szCs w:val="24"/>
        </w:rPr>
        <w:t>are</w:t>
      </w:r>
      <w:r w:rsidR="005410D9" w:rsidRPr="005410D9">
        <w:rPr>
          <w:rFonts w:ascii="Times New Roman" w:hAnsi="Times New Roman" w:cs="Times New Roman"/>
          <w:sz w:val="24"/>
          <w:szCs w:val="24"/>
        </w:rPr>
        <w:t xml:space="preserve"> quite </w:t>
      </w:r>
      <w:r w:rsidR="005410D9" w:rsidRPr="005410D9">
        <w:rPr>
          <w:rFonts w:ascii="Times New Roman" w:hAnsi="Times New Roman" w:cs="Times New Roman"/>
          <w:sz w:val="24"/>
          <w:szCs w:val="24"/>
        </w:rPr>
        <w:lastRenderedPageBreak/>
        <w:t>stable, while the volume of project financing in Brazil increased by about five times, reaching an amount of $12.33 bn distributed on 50 transactions.</w:t>
      </w:r>
    </w:p>
    <w:p w14:paraId="5D36D828" w14:textId="1DD816A5" w:rsidR="00476356" w:rsidRPr="00E0092C" w:rsidRDefault="009074BF" w:rsidP="007745EF">
      <w:pPr>
        <w:spacing w:after="0" w:line="360" w:lineRule="auto"/>
        <w:jc w:val="right"/>
        <w:rPr>
          <w:rFonts w:ascii="Times New Roman" w:hAnsi="Times New Roman" w:cs="Times New Roman"/>
          <w:i/>
          <w:iCs/>
          <w:sz w:val="24"/>
          <w:szCs w:val="24"/>
        </w:rPr>
      </w:pPr>
      <w:r w:rsidRPr="00E0092C">
        <w:rPr>
          <w:rFonts w:ascii="Times New Roman" w:hAnsi="Times New Roman" w:cs="Times New Roman"/>
          <w:i/>
          <w:iCs/>
          <w:sz w:val="24"/>
          <w:szCs w:val="24"/>
        </w:rPr>
        <w:t xml:space="preserve">Table </w:t>
      </w:r>
      <w:r w:rsidR="00E0092C" w:rsidRPr="00E0092C">
        <w:rPr>
          <w:rFonts w:ascii="Times New Roman" w:hAnsi="Times New Roman" w:cs="Times New Roman"/>
          <w:i/>
          <w:iCs/>
          <w:sz w:val="24"/>
          <w:szCs w:val="24"/>
        </w:rPr>
        <w:t>2.</w:t>
      </w:r>
      <w:r w:rsidR="00E0092C">
        <w:rPr>
          <w:rFonts w:ascii="Times New Roman" w:hAnsi="Times New Roman" w:cs="Times New Roman"/>
          <w:i/>
          <w:iCs/>
          <w:sz w:val="24"/>
          <w:szCs w:val="24"/>
        </w:rPr>
        <w:t>2</w:t>
      </w:r>
    </w:p>
    <w:p w14:paraId="3C5B9B25" w14:textId="1BE15556" w:rsidR="009074BF" w:rsidRPr="007745EF" w:rsidRDefault="009074BF" w:rsidP="00E0092C">
      <w:pPr>
        <w:spacing w:line="360" w:lineRule="auto"/>
        <w:jc w:val="center"/>
        <w:rPr>
          <w:rFonts w:ascii="Times New Roman" w:hAnsi="Times New Roman" w:cs="Times New Roman"/>
          <w:sz w:val="24"/>
          <w:szCs w:val="24"/>
        </w:rPr>
      </w:pPr>
      <w:r w:rsidRPr="007745EF">
        <w:rPr>
          <w:rFonts w:ascii="Times New Roman" w:hAnsi="Times New Roman" w:cs="Times New Roman"/>
          <w:sz w:val="24"/>
          <w:szCs w:val="24"/>
        </w:rPr>
        <w:t>The volume of loans issued by the banking sector for project financing</w:t>
      </w:r>
      <w:r w:rsidR="00A26FA3" w:rsidRPr="007745EF">
        <w:rPr>
          <w:rFonts w:ascii="Times New Roman" w:hAnsi="Times New Roman" w:cs="Times New Roman"/>
          <w:sz w:val="24"/>
          <w:szCs w:val="24"/>
        </w:rPr>
        <w:t xml:space="preserve"> in</w:t>
      </w:r>
      <w:r w:rsidRPr="007745EF">
        <w:rPr>
          <w:rFonts w:ascii="Times New Roman" w:hAnsi="Times New Roman" w:cs="Times New Roman"/>
          <w:sz w:val="24"/>
          <w:szCs w:val="24"/>
        </w:rPr>
        <w:t xml:space="preserve"> 2017-2018</w:t>
      </w:r>
    </w:p>
    <w:tbl>
      <w:tblPr>
        <w:tblStyle w:val="TableGrid"/>
        <w:tblW w:w="9738" w:type="dxa"/>
        <w:jc w:val="center"/>
        <w:tblInd w:w="0" w:type="dxa"/>
        <w:tblLook w:val="04A0" w:firstRow="1" w:lastRow="0" w:firstColumn="1" w:lastColumn="0" w:noHBand="0" w:noVBand="1"/>
      </w:tblPr>
      <w:tblGrid>
        <w:gridCol w:w="1019"/>
        <w:gridCol w:w="1953"/>
        <w:gridCol w:w="1701"/>
        <w:gridCol w:w="1701"/>
        <w:gridCol w:w="1670"/>
        <w:gridCol w:w="1694"/>
      </w:tblGrid>
      <w:tr w:rsidR="00A65CDF" w:rsidRPr="00AF7515" w14:paraId="461C1652" w14:textId="77777777" w:rsidTr="00F60AC3">
        <w:trPr>
          <w:trHeight w:val="308"/>
          <w:jc w:val="center"/>
        </w:trPr>
        <w:tc>
          <w:tcPr>
            <w:tcW w:w="1019" w:type="dxa"/>
            <w:vMerge w:val="restart"/>
            <w:vAlign w:val="center"/>
          </w:tcPr>
          <w:p w14:paraId="600D80D1"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Top</w:t>
            </w:r>
            <w:r w:rsidRPr="00454CA4">
              <w:rPr>
                <w:rFonts w:asciiTheme="majorBidi" w:hAnsiTheme="majorBidi" w:cstheme="majorBidi"/>
                <w:b/>
                <w:bCs/>
                <w:color w:val="000000"/>
                <w:sz w:val="20"/>
                <w:szCs w:val="20"/>
                <w:lang w:val="en-US"/>
              </w:rPr>
              <w:br/>
              <w:t>(2018)</w:t>
            </w:r>
          </w:p>
        </w:tc>
        <w:tc>
          <w:tcPr>
            <w:tcW w:w="1953" w:type="dxa"/>
            <w:vMerge w:val="restart"/>
            <w:vAlign w:val="center"/>
          </w:tcPr>
          <w:p w14:paraId="0113B343"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Country</w:t>
            </w:r>
          </w:p>
        </w:tc>
        <w:tc>
          <w:tcPr>
            <w:tcW w:w="3402" w:type="dxa"/>
            <w:gridSpan w:val="2"/>
            <w:vAlign w:val="center"/>
          </w:tcPr>
          <w:p w14:paraId="6BD0C2F1"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2017</w:t>
            </w:r>
          </w:p>
        </w:tc>
        <w:tc>
          <w:tcPr>
            <w:tcW w:w="3364" w:type="dxa"/>
            <w:gridSpan w:val="2"/>
            <w:vAlign w:val="center"/>
          </w:tcPr>
          <w:p w14:paraId="42D37AD5"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2018</w:t>
            </w:r>
          </w:p>
        </w:tc>
      </w:tr>
      <w:tr w:rsidR="00C6536F" w:rsidRPr="00AF7515" w14:paraId="54AC41EC" w14:textId="77777777" w:rsidTr="00F60AC3">
        <w:trPr>
          <w:trHeight w:val="635"/>
          <w:jc w:val="center"/>
        </w:trPr>
        <w:tc>
          <w:tcPr>
            <w:tcW w:w="1019" w:type="dxa"/>
            <w:vMerge/>
            <w:vAlign w:val="center"/>
          </w:tcPr>
          <w:p w14:paraId="3E911291" w14:textId="77777777" w:rsidR="00A65CDF" w:rsidRPr="00454CA4" w:rsidRDefault="00A65CDF" w:rsidP="00C6536F">
            <w:pPr>
              <w:jc w:val="center"/>
              <w:rPr>
                <w:rFonts w:asciiTheme="majorBidi" w:hAnsiTheme="majorBidi" w:cstheme="majorBidi"/>
                <w:b/>
                <w:bCs/>
                <w:color w:val="000000"/>
                <w:sz w:val="20"/>
                <w:szCs w:val="20"/>
                <w:lang w:val="en-US"/>
              </w:rPr>
            </w:pPr>
          </w:p>
        </w:tc>
        <w:tc>
          <w:tcPr>
            <w:tcW w:w="1953" w:type="dxa"/>
            <w:vMerge/>
            <w:vAlign w:val="center"/>
          </w:tcPr>
          <w:p w14:paraId="5E822927" w14:textId="77777777" w:rsidR="00A65CDF" w:rsidRPr="00454CA4" w:rsidRDefault="00A65CDF" w:rsidP="00C6536F">
            <w:pPr>
              <w:jc w:val="center"/>
              <w:rPr>
                <w:rFonts w:asciiTheme="majorBidi" w:hAnsiTheme="majorBidi" w:cstheme="majorBidi"/>
                <w:b/>
                <w:bCs/>
                <w:color w:val="000000"/>
                <w:sz w:val="20"/>
                <w:szCs w:val="20"/>
                <w:lang w:val="en-US"/>
              </w:rPr>
            </w:pPr>
          </w:p>
        </w:tc>
        <w:tc>
          <w:tcPr>
            <w:tcW w:w="1701" w:type="dxa"/>
            <w:vAlign w:val="center"/>
          </w:tcPr>
          <w:p w14:paraId="4271AD43" w14:textId="0385E129"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 xml:space="preserve">Total </w:t>
            </w:r>
            <w:r w:rsidR="00454CA4">
              <w:rPr>
                <w:rFonts w:asciiTheme="majorBidi" w:hAnsiTheme="majorBidi" w:cstheme="majorBidi"/>
                <w:b/>
                <w:bCs/>
                <w:color w:val="000000"/>
                <w:sz w:val="20"/>
                <w:szCs w:val="20"/>
                <w:lang w:val="en-US"/>
              </w:rPr>
              <w:t>l</w:t>
            </w:r>
            <w:r w:rsidRPr="00454CA4">
              <w:rPr>
                <w:rFonts w:asciiTheme="majorBidi" w:hAnsiTheme="majorBidi" w:cstheme="majorBidi"/>
                <w:b/>
                <w:bCs/>
                <w:color w:val="000000"/>
                <w:sz w:val="20"/>
                <w:szCs w:val="20"/>
                <w:lang w:val="en-US"/>
              </w:rPr>
              <w:t xml:space="preserve">oans </w:t>
            </w:r>
            <w:r w:rsidR="00F60AC3">
              <w:rPr>
                <w:rFonts w:asciiTheme="majorBidi" w:hAnsiTheme="majorBidi" w:cstheme="majorBidi"/>
                <w:b/>
                <w:bCs/>
                <w:color w:val="000000"/>
                <w:sz w:val="20"/>
                <w:szCs w:val="20"/>
                <w:lang w:val="en-US"/>
              </w:rPr>
              <w:br/>
            </w:r>
            <w:r w:rsidR="00A26FA3" w:rsidRPr="00454CA4">
              <w:rPr>
                <w:rFonts w:asciiTheme="majorBidi" w:hAnsiTheme="majorBidi" w:cstheme="majorBidi"/>
                <w:b/>
                <w:bCs/>
                <w:color w:val="000000"/>
                <w:sz w:val="20"/>
                <w:szCs w:val="20"/>
                <w:lang w:val="en-US"/>
              </w:rPr>
              <w:t>($ bn)</w:t>
            </w:r>
          </w:p>
        </w:tc>
        <w:tc>
          <w:tcPr>
            <w:tcW w:w="1701" w:type="dxa"/>
            <w:vAlign w:val="center"/>
          </w:tcPr>
          <w:p w14:paraId="1E10B2FE"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Share among all countries, %</w:t>
            </w:r>
          </w:p>
        </w:tc>
        <w:tc>
          <w:tcPr>
            <w:tcW w:w="1670" w:type="dxa"/>
            <w:vAlign w:val="center"/>
          </w:tcPr>
          <w:p w14:paraId="01AF70FA" w14:textId="421B8915"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 xml:space="preserve">Total </w:t>
            </w:r>
            <w:r w:rsidR="00454CA4">
              <w:rPr>
                <w:rFonts w:asciiTheme="majorBidi" w:hAnsiTheme="majorBidi" w:cstheme="majorBidi"/>
                <w:b/>
                <w:bCs/>
                <w:color w:val="000000"/>
                <w:sz w:val="20"/>
                <w:szCs w:val="20"/>
                <w:lang w:val="en-US"/>
              </w:rPr>
              <w:t>l</w:t>
            </w:r>
            <w:r w:rsidRPr="00454CA4">
              <w:rPr>
                <w:rFonts w:asciiTheme="majorBidi" w:hAnsiTheme="majorBidi" w:cstheme="majorBidi"/>
                <w:b/>
                <w:bCs/>
                <w:color w:val="000000"/>
                <w:sz w:val="20"/>
                <w:szCs w:val="20"/>
                <w:lang w:val="en-US"/>
              </w:rPr>
              <w:t xml:space="preserve">oans </w:t>
            </w:r>
            <w:r w:rsidR="00F60AC3">
              <w:rPr>
                <w:rFonts w:asciiTheme="majorBidi" w:hAnsiTheme="majorBidi" w:cstheme="majorBidi"/>
                <w:b/>
                <w:bCs/>
                <w:color w:val="000000"/>
                <w:sz w:val="20"/>
                <w:szCs w:val="20"/>
                <w:lang w:val="en-US"/>
              </w:rPr>
              <w:br/>
            </w:r>
            <w:r w:rsidRPr="00454CA4">
              <w:rPr>
                <w:rFonts w:asciiTheme="majorBidi" w:hAnsiTheme="majorBidi" w:cstheme="majorBidi"/>
                <w:b/>
                <w:bCs/>
                <w:color w:val="000000"/>
                <w:sz w:val="20"/>
                <w:szCs w:val="20"/>
                <w:lang w:val="en-US"/>
              </w:rPr>
              <w:t>(</w:t>
            </w:r>
            <w:r w:rsidR="00A26FA3" w:rsidRPr="00454CA4">
              <w:rPr>
                <w:rFonts w:asciiTheme="majorBidi" w:hAnsiTheme="majorBidi" w:cstheme="majorBidi"/>
                <w:b/>
                <w:bCs/>
                <w:color w:val="000000"/>
                <w:sz w:val="20"/>
                <w:szCs w:val="20"/>
                <w:lang w:val="en-US"/>
              </w:rPr>
              <w:t>$ bn</w:t>
            </w:r>
            <w:r w:rsidRPr="00454CA4">
              <w:rPr>
                <w:rFonts w:asciiTheme="majorBidi" w:hAnsiTheme="majorBidi" w:cstheme="majorBidi"/>
                <w:b/>
                <w:bCs/>
                <w:color w:val="000000"/>
                <w:sz w:val="20"/>
                <w:szCs w:val="20"/>
                <w:lang w:val="en-US"/>
              </w:rPr>
              <w:t>)</w:t>
            </w:r>
          </w:p>
        </w:tc>
        <w:tc>
          <w:tcPr>
            <w:tcW w:w="1694" w:type="dxa"/>
            <w:vAlign w:val="center"/>
          </w:tcPr>
          <w:p w14:paraId="428DCADC"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Share among all countries, %</w:t>
            </w:r>
          </w:p>
        </w:tc>
      </w:tr>
      <w:tr w:rsidR="00C6536F" w14:paraId="195898D7" w14:textId="77777777" w:rsidTr="00F60AC3">
        <w:trPr>
          <w:trHeight w:val="308"/>
          <w:jc w:val="center"/>
        </w:trPr>
        <w:tc>
          <w:tcPr>
            <w:tcW w:w="1019" w:type="dxa"/>
            <w:vAlign w:val="center"/>
          </w:tcPr>
          <w:p w14:paraId="6F69F01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w:t>
            </w:r>
          </w:p>
        </w:tc>
        <w:tc>
          <w:tcPr>
            <w:tcW w:w="1953" w:type="dxa"/>
            <w:vAlign w:val="center"/>
          </w:tcPr>
          <w:p w14:paraId="4E2BCD9C"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USA</w:t>
            </w:r>
          </w:p>
        </w:tc>
        <w:tc>
          <w:tcPr>
            <w:tcW w:w="1701" w:type="dxa"/>
            <w:vAlign w:val="center"/>
          </w:tcPr>
          <w:p w14:paraId="017BC93F"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42.506</w:t>
            </w:r>
          </w:p>
        </w:tc>
        <w:tc>
          <w:tcPr>
            <w:tcW w:w="1701" w:type="dxa"/>
            <w:vAlign w:val="center"/>
          </w:tcPr>
          <w:p w14:paraId="04E414C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18.52%</w:t>
            </w:r>
          </w:p>
        </w:tc>
        <w:tc>
          <w:tcPr>
            <w:tcW w:w="1670" w:type="dxa"/>
            <w:vAlign w:val="center"/>
          </w:tcPr>
          <w:p w14:paraId="3CFD2A0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58.669</w:t>
            </w:r>
          </w:p>
        </w:tc>
        <w:tc>
          <w:tcPr>
            <w:tcW w:w="1694" w:type="dxa"/>
            <w:vAlign w:val="center"/>
          </w:tcPr>
          <w:p w14:paraId="5741FB75"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20.75%</w:t>
            </w:r>
          </w:p>
        </w:tc>
      </w:tr>
      <w:tr w:rsidR="00C6536F" w14:paraId="5FCEA54D" w14:textId="77777777" w:rsidTr="00F60AC3">
        <w:trPr>
          <w:trHeight w:val="308"/>
          <w:jc w:val="center"/>
        </w:trPr>
        <w:tc>
          <w:tcPr>
            <w:tcW w:w="1019" w:type="dxa"/>
            <w:vAlign w:val="center"/>
          </w:tcPr>
          <w:p w14:paraId="76EC21B4"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w:t>
            </w:r>
          </w:p>
        </w:tc>
        <w:tc>
          <w:tcPr>
            <w:tcW w:w="1953" w:type="dxa"/>
            <w:vAlign w:val="center"/>
          </w:tcPr>
          <w:p w14:paraId="5BD60008"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Australia</w:t>
            </w:r>
          </w:p>
        </w:tc>
        <w:tc>
          <w:tcPr>
            <w:tcW w:w="1701" w:type="dxa"/>
            <w:vAlign w:val="center"/>
          </w:tcPr>
          <w:p w14:paraId="3BCC26AC"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24.568</w:t>
            </w:r>
          </w:p>
        </w:tc>
        <w:tc>
          <w:tcPr>
            <w:tcW w:w="1701" w:type="dxa"/>
            <w:vAlign w:val="center"/>
          </w:tcPr>
          <w:p w14:paraId="21F46050"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10.7%</w:t>
            </w:r>
          </w:p>
        </w:tc>
        <w:tc>
          <w:tcPr>
            <w:tcW w:w="1670" w:type="dxa"/>
            <w:vAlign w:val="center"/>
          </w:tcPr>
          <w:p w14:paraId="371FB00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31.826</w:t>
            </w:r>
          </w:p>
        </w:tc>
        <w:tc>
          <w:tcPr>
            <w:tcW w:w="1694" w:type="dxa"/>
            <w:vAlign w:val="center"/>
          </w:tcPr>
          <w:p w14:paraId="55B0197D"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11.26%</w:t>
            </w:r>
          </w:p>
        </w:tc>
      </w:tr>
      <w:tr w:rsidR="00C6536F" w14:paraId="08FBF024" w14:textId="77777777" w:rsidTr="00F60AC3">
        <w:trPr>
          <w:trHeight w:val="308"/>
          <w:jc w:val="center"/>
        </w:trPr>
        <w:tc>
          <w:tcPr>
            <w:tcW w:w="1019" w:type="dxa"/>
            <w:vAlign w:val="center"/>
          </w:tcPr>
          <w:p w14:paraId="15A8737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w:t>
            </w:r>
          </w:p>
        </w:tc>
        <w:tc>
          <w:tcPr>
            <w:tcW w:w="1953" w:type="dxa"/>
            <w:vAlign w:val="center"/>
          </w:tcPr>
          <w:p w14:paraId="7A622C56"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UK</w:t>
            </w:r>
          </w:p>
        </w:tc>
        <w:tc>
          <w:tcPr>
            <w:tcW w:w="1701" w:type="dxa"/>
            <w:vAlign w:val="center"/>
          </w:tcPr>
          <w:p w14:paraId="234BE178"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21.159</w:t>
            </w:r>
          </w:p>
        </w:tc>
        <w:tc>
          <w:tcPr>
            <w:tcW w:w="1701" w:type="dxa"/>
            <w:vAlign w:val="center"/>
          </w:tcPr>
          <w:p w14:paraId="311586BF"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9.22%</w:t>
            </w:r>
          </w:p>
        </w:tc>
        <w:tc>
          <w:tcPr>
            <w:tcW w:w="1670" w:type="dxa"/>
            <w:vAlign w:val="center"/>
          </w:tcPr>
          <w:p w14:paraId="21DF122C"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22.441</w:t>
            </w:r>
          </w:p>
        </w:tc>
        <w:tc>
          <w:tcPr>
            <w:tcW w:w="1694" w:type="dxa"/>
            <w:vAlign w:val="center"/>
          </w:tcPr>
          <w:p w14:paraId="05C8F21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7.94%</w:t>
            </w:r>
          </w:p>
        </w:tc>
      </w:tr>
      <w:tr w:rsidR="00C6536F" w14:paraId="60197A68" w14:textId="77777777" w:rsidTr="00F60AC3">
        <w:trPr>
          <w:trHeight w:val="308"/>
          <w:jc w:val="center"/>
        </w:trPr>
        <w:tc>
          <w:tcPr>
            <w:tcW w:w="1019" w:type="dxa"/>
            <w:vAlign w:val="center"/>
          </w:tcPr>
          <w:p w14:paraId="443846C1"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4</w:t>
            </w:r>
          </w:p>
        </w:tc>
        <w:tc>
          <w:tcPr>
            <w:tcW w:w="1953" w:type="dxa"/>
            <w:vAlign w:val="center"/>
          </w:tcPr>
          <w:p w14:paraId="3DFF445D"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Italy</w:t>
            </w:r>
          </w:p>
        </w:tc>
        <w:tc>
          <w:tcPr>
            <w:tcW w:w="1701" w:type="dxa"/>
            <w:vAlign w:val="center"/>
          </w:tcPr>
          <w:p w14:paraId="04EE6CFE"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3.931</w:t>
            </w:r>
          </w:p>
        </w:tc>
        <w:tc>
          <w:tcPr>
            <w:tcW w:w="1701" w:type="dxa"/>
            <w:vAlign w:val="center"/>
          </w:tcPr>
          <w:p w14:paraId="49D8118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1.71%</w:t>
            </w:r>
          </w:p>
        </w:tc>
        <w:tc>
          <w:tcPr>
            <w:tcW w:w="1670" w:type="dxa"/>
            <w:vAlign w:val="center"/>
          </w:tcPr>
          <w:p w14:paraId="01247BC7"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16.683</w:t>
            </w:r>
          </w:p>
        </w:tc>
        <w:tc>
          <w:tcPr>
            <w:tcW w:w="1694" w:type="dxa"/>
            <w:vAlign w:val="center"/>
          </w:tcPr>
          <w:p w14:paraId="6FAD22B5"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5.9%</w:t>
            </w:r>
          </w:p>
        </w:tc>
      </w:tr>
      <w:tr w:rsidR="00C6536F" w14:paraId="09AAE914" w14:textId="77777777" w:rsidTr="00F60AC3">
        <w:trPr>
          <w:trHeight w:val="308"/>
          <w:jc w:val="center"/>
        </w:trPr>
        <w:tc>
          <w:tcPr>
            <w:tcW w:w="1019" w:type="dxa"/>
            <w:vAlign w:val="center"/>
          </w:tcPr>
          <w:p w14:paraId="4C79C88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5</w:t>
            </w:r>
          </w:p>
        </w:tc>
        <w:tc>
          <w:tcPr>
            <w:tcW w:w="1953" w:type="dxa"/>
            <w:vAlign w:val="center"/>
          </w:tcPr>
          <w:p w14:paraId="770E3688"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Brazil</w:t>
            </w:r>
          </w:p>
        </w:tc>
        <w:tc>
          <w:tcPr>
            <w:tcW w:w="1701" w:type="dxa"/>
            <w:vAlign w:val="center"/>
          </w:tcPr>
          <w:p w14:paraId="774F03A7"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2.092</w:t>
            </w:r>
          </w:p>
        </w:tc>
        <w:tc>
          <w:tcPr>
            <w:tcW w:w="1701" w:type="dxa"/>
            <w:vAlign w:val="center"/>
          </w:tcPr>
          <w:p w14:paraId="2D4C0E70"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0.91%</w:t>
            </w:r>
          </w:p>
        </w:tc>
        <w:tc>
          <w:tcPr>
            <w:tcW w:w="1670" w:type="dxa"/>
            <w:vAlign w:val="center"/>
          </w:tcPr>
          <w:p w14:paraId="59D2A06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12.326</w:t>
            </w:r>
          </w:p>
        </w:tc>
        <w:tc>
          <w:tcPr>
            <w:tcW w:w="1694" w:type="dxa"/>
            <w:vAlign w:val="center"/>
          </w:tcPr>
          <w:p w14:paraId="00604E5D"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4.36%</w:t>
            </w:r>
          </w:p>
        </w:tc>
      </w:tr>
      <w:tr w:rsidR="00C6536F" w14:paraId="76F531A8" w14:textId="77777777" w:rsidTr="00F60AC3">
        <w:trPr>
          <w:trHeight w:val="308"/>
          <w:jc w:val="center"/>
        </w:trPr>
        <w:tc>
          <w:tcPr>
            <w:tcW w:w="1019" w:type="dxa"/>
            <w:vAlign w:val="center"/>
          </w:tcPr>
          <w:p w14:paraId="7CBC6CF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6</w:t>
            </w:r>
          </w:p>
        </w:tc>
        <w:tc>
          <w:tcPr>
            <w:tcW w:w="1953" w:type="dxa"/>
            <w:vAlign w:val="center"/>
          </w:tcPr>
          <w:p w14:paraId="63AC6F79"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Japan</w:t>
            </w:r>
          </w:p>
        </w:tc>
        <w:tc>
          <w:tcPr>
            <w:tcW w:w="1701" w:type="dxa"/>
            <w:vAlign w:val="center"/>
          </w:tcPr>
          <w:p w14:paraId="693D5157"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8.538</w:t>
            </w:r>
          </w:p>
        </w:tc>
        <w:tc>
          <w:tcPr>
            <w:tcW w:w="1701" w:type="dxa"/>
            <w:vAlign w:val="center"/>
          </w:tcPr>
          <w:p w14:paraId="7066756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3.72%</w:t>
            </w:r>
          </w:p>
        </w:tc>
        <w:tc>
          <w:tcPr>
            <w:tcW w:w="1670" w:type="dxa"/>
            <w:vAlign w:val="center"/>
          </w:tcPr>
          <w:p w14:paraId="25B21755"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9.523</w:t>
            </w:r>
          </w:p>
        </w:tc>
        <w:tc>
          <w:tcPr>
            <w:tcW w:w="1694" w:type="dxa"/>
            <w:vAlign w:val="center"/>
          </w:tcPr>
          <w:p w14:paraId="3C35CC8E"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3.37%</w:t>
            </w:r>
          </w:p>
        </w:tc>
      </w:tr>
      <w:tr w:rsidR="00C6536F" w14:paraId="23927A38" w14:textId="77777777" w:rsidTr="00F60AC3">
        <w:trPr>
          <w:trHeight w:val="308"/>
          <w:jc w:val="center"/>
        </w:trPr>
        <w:tc>
          <w:tcPr>
            <w:tcW w:w="1019" w:type="dxa"/>
            <w:vAlign w:val="center"/>
          </w:tcPr>
          <w:p w14:paraId="377F049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w:t>
            </w:r>
          </w:p>
        </w:tc>
        <w:tc>
          <w:tcPr>
            <w:tcW w:w="1953" w:type="dxa"/>
            <w:vAlign w:val="center"/>
          </w:tcPr>
          <w:p w14:paraId="1EDF4FB3"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France</w:t>
            </w:r>
          </w:p>
        </w:tc>
        <w:tc>
          <w:tcPr>
            <w:tcW w:w="1701" w:type="dxa"/>
            <w:vAlign w:val="center"/>
          </w:tcPr>
          <w:p w14:paraId="780146C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5.294</w:t>
            </w:r>
          </w:p>
        </w:tc>
        <w:tc>
          <w:tcPr>
            <w:tcW w:w="1701" w:type="dxa"/>
            <w:vAlign w:val="center"/>
          </w:tcPr>
          <w:p w14:paraId="6404A4A4"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2.31%</w:t>
            </w:r>
          </w:p>
        </w:tc>
        <w:tc>
          <w:tcPr>
            <w:tcW w:w="1670" w:type="dxa"/>
            <w:vAlign w:val="center"/>
          </w:tcPr>
          <w:p w14:paraId="212D26E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8.223</w:t>
            </w:r>
          </w:p>
        </w:tc>
        <w:tc>
          <w:tcPr>
            <w:tcW w:w="1694" w:type="dxa"/>
            <w:vAlign w:val="center"/>
          </w:tcPr>
          <w:p w14:paraId="5C3976E1"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2.91%</w:t>
            </w:r>
          </w:p>
        </w:tc>
      </w:tr>
      <w:tr w:rsidR="00C6536F" w14:paraId="1613EBA1" w14:textId="77777777" w:rsidTr="00F60AC3">
        <w:trPr>
          <w:trHeight w:val="308"/>
          <w:jc w:val="center"/>
        </w:trPr>
        <w:tc>
          <w:tcPr>
            <w:tcW w:w="1019" w:type="dxa"/>
            <w:vAlign w:val="center"/>
          </w:tcPr>
          <w:p w14:paraId="4567801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8</w:t>
            </w:r>
          </w:p>
        </w:tc>
        <w:tc>
          <w:tcPr>
            <w:tcW w:w="1953" w:type="dxa"/>
            <w:vAlign w:val="center"/>
          </w:tcPr>
          <w:p w14:paraId="2EA9288D"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Turkey</w:t>
            </w:r>
          </w:p>
        </w:tc>
        <w:tc>
          <w:tcPr>
            <w:tcW w:w="1701" w:type="dxa"/>
            <w:vAlign w:val="center"/>
          </w:tcPr>
          <w:p w14:paraId="2A858649"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3.64</w:t>
            </w:r>
          </w:p>
        </w:tc>
        <w:tc>
          <w:tcPr>
            <w:tcW w:w="1701" w:type="dxa"/>
            <w:vAlign w:val="center"/>
          </w:tcPr>
          <w:p w14:paraId="5F7D68EC"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1.59%</w:t>
            </w:r>
          </w:p>
        </w:tc>
        <w:tc>
          <w:tcPr>
            <w:tcW w:w="1670" w:type="dxa"/>
            <w:vAlign w:val="center"/>
          </w:tcPr>
          <w:p w14:paraId="692F0DBC"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8.001</w:t>
            </w:r>
          </w:p>
        </w:tc>
        <w:tc>
          <w:tcPr>
            <w:tcW w:w="1694" w:type="dxa"/>
            <w:vAlign w:val="center"/>
          </w:tcPr>
          <w:p w14:paraId="4D2EC3A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2.83%</w:t>
            </w:r>
          </w:p>
        </w:tc>
      </w:tr>
      <w:tr w:rsidR="00C6536F" w14:paraId="4FA75D4E" w14:textId="77777777" w:rsidTr="00F60AC3">
        <w:trPr>
          <w:trHeight w:val="308"/>
          <w:jc w:val="center"/>
        </w:trPr>
        <w:tc>
          <w:tcPr>
            <w:tcW w:w="1019" w:type="dxa"/>
            <w:vAlign w:val="center"/>
          </w:tcPr>
          <w:p w14:paraId="154347CC"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9</w:t>
            </w:r>
          </w:p>
        </w:tc>
        <w:tc>
          <w:tcPr>
            <w:tcW w:w="1953" w:type="dxa"/>
            <w:vAlign w:val="center"/>
          </w:tcPr>
          <w:p w14:paraId="51261B73"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Indonesia</w:t>
            </w:r>
          </w:p>
        </w:tc>
        <w:tc>
          <w:tcPr>
            <w:tcW w:w="1701" w:type="dxa"/>
            <w:vAlign w:val="center"/>
          </w:tcPr>
          <w:p w14:paraId="3DF7E96A"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13.814</w:t>
            </w:r>
          </w:p>
        </w:tc>
        <w:tc>
          <w:tcPr>
            <w:tcW w:w="1701" w:type="dxa"/>
            <w:vAlign w:val="center"/>
          </w:tcPr>
          <w:p w14:paraId="6AC24ACB"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6.02%</w:t>
            </w:r>
          </w:p>
        </w:tc>
        <w:tc>
          <w:tcPr>
            <w:tcW w:w="1670" w:type="dxa"/>
            <w:vAlign w:val="center"/>
          </w:tcPr>
          <w:p w14:paraId="3ABC2BEE"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7.471</w:t>
            </w:r>
          </w:p>
        </w:tc>
        <w:tc>
          <w:tcPr>
            <w:tcW w:w="1694" w:type="dxa"/>
            <w:vAlign w:val="center"/>
          </w:tcPr>
          <w:p w14:paraId="5FEE2FA9"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2.64%</w:t>
            </w:r>
          </w:p>
        </w:tc>
      </w:tr>
      <w:tr w:rsidR="00C6536F" w14:paraId="7D3D0C7D" w14:textId="77777777" w:rsidTr="00F60AC3">
        <w:trPr>
          <w:trHeight w:val="308"/>
          <w:jc w:val="center"/>
        </w:trPr>
        <w:tc>
          <w:tcPr>
            <w:tcW w:w="1019" w:type="dxa"/>
            <w:vAlign w:val="center"/>
          </w:tcPr>
          <w:p w14:paraId="62B35D4A"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10</w:t>
            </w:r>
          </w:p>
        </w:tc>
        <w:tc>
          <w:tcPr>
            <w:tcW w:w="1953" w:type="dxa"/>
            <w:vAlign w:val="center"/>
          </w:tcPr>
          <w:p w14:paraId="160EC590"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India</w:t>
            </w:r>
          </w:p>
        </w:tc>
        <w:tc>
          <w:tcPr>
            <w:tcW w:w="1701" w:type="dxa"/>
            <w:vAlign w:val="center"/>
          </w:tcPr>
          <w:p w14:paraId="4FBDEB72"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17.932</w:t>
            </w:r>
          </w:p>
        </w:tc>
        <w:tc>
          <w:tcPr>
            <w:tcW w:w="1701" w:type="dxa"/>
            <w:vAlign w:val="center"/>
          </w:tcPr>
          <w:p w14:paraId="43FE4EDA"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7.81%</w:t>
            </w:r>
          </w:p>
        </w:tc>
        <w:tc>
          <w:tcPr>
            <w:tcW w:w="1670" w:type="dxa"/>
            <w:vAlign w:val="center"/>
          </w:tcPr>
          <w:p w14:paraId="0E23E441"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7.374</w:t>
            </w:r>
          </w:p>
        </w:tc>
        <w:tc>
          <w:tcPr>
            <w:tcW w:w="1694" w:type="dxa"/>
            <w:vAlign w:val="center"/>
          </w:tcPr>
          <w:p w14:paraId="11F84A0A"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2.61%</w:t>
            </w:r>
          </w:p>
        </w:tc>
      </w:tr>
      <w:tr w:rsidR="00C6536F" w14:paraId="13D22175" w14:textId="77777777" w:rsidTr="00F60AC3">
        <w:trPr>
          <w:trHeight w:val="308"/>
          <w:jc w:val="center"/>
        </w:trPr>
        <w:tc>
          <w:tcPr>
            <w:tcW w:w="1019" w:type="dxa"/>
            <w:vAlign w:val="center"/>
          </w:tcPr>
          <w:p w14:paraId="2A1513B8"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11</w:t>
            </w:r>
          </w:p>
        </w:tc>
        <w:tc>
          <w:tcPr>
            <w:tcW w:w="1953" w:type="dxa"/>
            <w:vAlign w:val="center"/>
          </w:tcPr>
          <w:p w14:paraId="05A23A83"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Netherlands</w:t>
            </w:r>
          </w:p>
        </w:tc>
        <w:tc>
          <w:tcPr>
            <w:tcW w:w="1701" w:type="dxa"/>
            <w:vAlign w:val="center"/>
          </w:tcPr>
          <w:p w14:paraId="3BAB5DB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2.730</w:t>
            </w:r>
          </w:p>
        </w:tc>
        <w:tc>
          <w:tcPr>
            <w:tcW w:w="1701" w:type="dxa"/>
            <w:vAlign w:val="center"/>
          </w:tcPr>
          <w:p w14:paraId="38367904"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1.19%</w:t>
            </w:r>
          </w:p>
        </w:tc>
        <w:tc>
          <w:tcPr>
            <w:tcW w:w="1670" w:type="dxa"/>
            <w:vAlign w:val="center"/>
          </w:tcPr>
          <w:p w14:paraId="1CCD51E4"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7.359</w:t>
            </w:r>
          </w:p>
        </w:tc>
        <w:tc>
          <w:tcPr>
            <w:tcW w:w="1694" w:type="dxa"/>
            <w:vAlign w:val="center"/>
          </w:tcPr>
          <w:p w14:paraId="0BCB5D97"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2.60%</w:t>
            </w:r>
          </w:p>
        </w:tc>
      </w:tr>
      <w:tr w:rsidR="00C6536F" w14:paraId="3917F726" w14:textId="77777777" w:rsidTr="00F60AC3">
        <w:trPr>
          <w:trHeight w:val="308"/>
          <w:jc w:val="center"/>
        </w:trPr>
        <w:tc>
          <w:tcPr>
            <w:tcW w:w="1019" w:type="dxa"/>
            <w:vAlign w:val="center"/>
          </w:tcPr>
          <w:p w14:paraId="7F5A306F"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12</w:t>
            </w:r>
          </w:p>
        </w:tc>
        <w:tc>
          <w:tcPr>
            <w:tcW w:w="1953" w:type="dxa"/>
            <w:vAlign w:val="center"/>
          </w:tcPr>
          <w:p w14:paraId="42011599"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Germany</w:t>
            </w:r>
          </w:p>
        </w:tc>
        <w:tc>
          <w:tcPr>
            <w:tcW w:w="1701" w:type="dxa"/>
            <w:vAlign w:val="center"/>
          </w:tcPr>
          <w:p w14:paraId="3EA6716A"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4.518</w:t>
            </w:r>
          </w:p>
        </w:tc>
        <w:tc>
          <w:tcPr>
            <w:tcW w:w="1701" w:type="dxa"/>
            <w:vAlign w:val="center"/>
          </w:tcPr>
          <w:p w14:paraId="1259B964"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1.97%</w:t>
            </w:r>
          </w:p>
        </w:tc>
        <w:tc>
          <w:tcPr>
            <w:tcW w:w="1670" w:type="dxa"/>
            <w:vAlign w:val="center"/>
          </w:tcPr>
          <w:p w14:paraId="1729E88E"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6.279</w:t>
            </w:r>
          </w:p>
        </w:tc>
        <w:tc>
          <w:tcPr>
            <w:tcW w:w="1694" w:type="dxa"/>
            <w:vAlign w:val="center"/>
          </w:tcPr>
          <w:p w14:paraId="3DCB3E0B"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2.22%</w:t>
            </w:r>
          </w:p>
        </w:tc>
      </w:tr>
      <w:tr w:rsidR="00C6536F" w14:paraId="4AEDCB49" w14:textId="77777777" w:rsidTr="00F60AC3">
        <w:trPr>
          <w:trHeight w:val="308"/>
          <w:jc w:val="center"/>
        </w:trPr>
        <w:tc>
          <w:tcPr>
            <w:tcW w:w="1019" w:type="dxa"/>
            <w:vAlign w:val="center"/>
          </w:tcPr>
          <w:p w14:paraId="67714DC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13</w:t>
            </w:r>
          </w:p>
        </w:tc>
        <w:tc>
          <w:tcPr>
            <w:tcW w:w="1953" w:type="dxa"/>
            <w:vAlign w:val="center"/>
          </w:tcPr>
          <w:p w14:paraId="00C10D55"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Canada</w:t>
            </w:r>
          </w:p>
        </w:tc>
        <w:tc>
          <w:tcPr>
            <w:tcW w:w="1701" w:type="dxa"/>
            <w:vAlign w:val="center"/>
          </w:tcPr>
          <w:p w14:paraId="0929210B"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7.466</w:t>
            </w:r>
          </w:p>
        </w:tc>
        <w:tc>
          <w:tcPr>
            <w:tcW w:w="1701" w:type="dxa"/>
            <w:vAlign w:val="center"/>
          </w:tcPr>
          <w:p w14:paraId="09E54817"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3.25%</w:t>
            </w:r>
          </w:p>
        </w:tc>
        <w:tc>
          <w:tcPr>
            <w:tcW w:w="1670" w:type="dxa"/>
            <w:vAlign w:val="center"/>
          </w:tcPr>
          <w:p w14:paraId="3C0B55F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5.933</w:t>
            </w:r>
          </w:p>
        </w:tc>
        <w:tc>
          <w:tcPr>
            <w:tcW w:w="1694" w:type="dxa"/>
            <w:vAlign w:val="center"/>
          </w:tcPr>
          <w:p w14:paraId="19ED980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2.1%</w:t>
            </w:r>
          </w:p>
        </w:tc>
      </w:tr>
      <w:tr w:rsidR="00C6536F" w14:paraId="32F0CDB9" w14:textId="77777777" w:rsidTr="00F60AC3">
        <w:trPr>
          <w:trHeight w:val="308"/>
          <w:jc w:val="center"/>
        </w:trPr>
        <w:tc>
          <w:tcPr>
            <w:tcW w:w="1019" w:type="dxa"/>
            <w:vAlign w:val="center"/>
          </w:tcPr>
          <w:p w14:paraId="1F9C96B3"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14</w:t>
            </w:r>
          </w:p>
        </w:tc>
        <w:tc>
          <w:tcPr>
            <w:tcW w:w="1953" w:type="dxa"/>
            <w:vAlign w:val="center"/>
          </w:tcPr>
          <w:p w14:paraId="554E0913"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Spain</w:t>
            </w:r>
          </w:p>
        </w:tc>
        <w:tc>
          <w:tcPr>
            <w:tcW w:w="1701" w:type="dxa"/>
            <w:vAlign w:val="center"/>
          </w:tcPr>
          <w:p w14:paraId="2DBEF2A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5.384</w:t>
            </w:r>
          </w:p>
        </w:tc>
        <w:tc>
          <w:tcPr>
            <w:tcW w:w="1701" w:type="dxa"/>
            <w:vAlign w:val="center"/>
          </w:tcPr>
          <w:p w14:paraId="116F8E7E"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2.35%</w:t>
            </w:r>
          </w:p>
        </w:tc>
        <w:tc>
          <w:tcPr>
            <w:tcW w:w="1670" w:type="dxa"/>
            <w:vAlign w:val="center"/>
          </w:tcPr>
          <w:p w14:paraId="7FBA367C"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4.943</w:t>
            </w:r>
          </w:p>
        </w:tc>
        <w:tc>
          <w:tcPr>
            <w:tcW w:w="1694" w:type="dxa"/>
            <w:vAlign w:val="center"/>
          </w:tcPr>
          <w:p w14:paraId="25C93486"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1.75%</w:t>
            </w:r>
          </w:p>
        </w:tc>
      </w:tr>
      <w:tr w:rsidR="00C6536F" w14:paraId="244301FB" w14:textId="77777777" w:rsidTr="00F60AC3">
        <w:trPr>
          <w:trHeight w:val="308"/>
          <w:jc w:val="center"/>
        </w:trPr>
        <w:tc>
          <w:tcPr>
            <w:tcW w:w="1019" w:type="dxa"/>
            <w:vAlign w:val="center"/>
          </w:tcPr>
          <w:p w14:paraId="5B111244"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15</w:t>
            </w:r>
          </w:p>
        </w:tc>
        <w:tc>
          <w:tcPr>
            <w:tcW w:w="1953" w:type="dxa"/>
            <w:vAlign w:val="center"/>
          </w:tcPr>
          <w:p w14:paraId="38F68F4C" w14:textId="77777777" w:rsidR="00A65CDF" w:rsidRPr="00454CA4" w:rsidRDefault="00A65CDF" w:rsidP="00C6536F">
            <w:pPr>
              <w:jc w:val="center"/>
              <w:rPr>
                <w:rFonts w:asciiTheme="majorBidi" w:hAnsiTheme="majorBidi" w:cstheme="majorBidi"/>
                <w:b/>
                <w:bCs/>
                <w:color w:val="000000"/>
                <w:sz w:val="20"/>
                <w:szCs w:val="20"/>
                <w:lang w:val="en-US"/>
              </w:rPr>
            </w:pPr>
            <w:r w:rsidRPr="00454CA4">
              <w:rPr>
                <w:rFonts w:asciiTheme="majorBidi" w:hAnsiTheme="majorBidi" w:cstheme="majorBidi"/>
                <w:b/>
                <w:bCs/>
                <w:color w:val="000000"/>
                <w:sz w:val="20"/>
                <w:szCs w:val="20"/>
                <w:lang w:val="en-US"/>
              </w:rPr>
              <w:t>Oman</w:t>
            </w:r>
          </w:p>
        </w:tc>
        <w:tc>
          <w:tcPr>
            <w:tcW w:w="1701" w:type="dxa"/>
            <w:vAlign w:val="center"/>
          </w:tcPr>
          <w:p w14:paraId="65E43338"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1.368</w:t>
            </w:r>
          </w:p>
        </w:tc>
        <w:tc>
          <w:tcPr>
            <w:tcW w:w="1701" w:type="dxa"/>
            <w:vAlign w:val="center"/>
          </w:tcPr>
          <w:p w14:paraId="7E8DD8A9"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0.60%</w:t>
            </w:r>
          </w:p>
        </w:tc>
        <w:tc>
          <w:tcPr>
            <w:tcW w:w="1670" w:type="dxa"/>
            <w:vAlign w:val="center"/>
          </w:tcPr>
          <w:p w14:paraId="22BDCC20"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4.872</w:t>
            </w:r>
          </w:p>
        </w:tc>
        <w:tc>
          <w:tcPr>
            <w:tcW w:w="1694" w:type="dxa"/>
            <w:vAlign w:val="center"/>
          </w:tcPr>
          <w:p w14:paraId="664C9D7F" w14:textId="77777777" w:rsidR="00A65CDF" w:rsidRPr="00454CA4" w:rsidRDefault="00A65CDF" w:rsidP="00C6536F">
            <w:pPr>
              <w:jc w:val="center"/>
              <w:rPr>
                <w:rFonts w:asciiTheme="majorBidi" w:hAnsiTheme="majorBidi" w:cstheme="majorBidi"/>
                <w:color w:val="000000"/>
                <w:sz w:val="20"/>
                <w:szCs w:val="20"/>
                <w:lang w:val="en-US"/>
              </w:rPr>
            </w:pPr>
            <w:r w:rsidRPr="00454CA4">
              <w:rPr>
                <w:rFonts w:asciiTheme="majorBidi" w:hAnsiTheme="majorBidi" w:cstheme="majorBidi"/>
                <w:color w:val="000000"/>
                <w:sz w:val="20"/>
                <w:szCs w:val="20"/>
                <w:lang w:val="en-US"/>
              </w:rPr>
              <w:t>1.72%</w:t>
            </w:r>
          </w:p>
        </w:tc>
      </w:tr>
    </w:tbl>
    <w:p w14:paraId="6B22B270" w14:textId="2C2798FE" w:rsidR="009074BF" w:rsidRPr="00345605" w:rsidRDefault="009074BF" w:rsidP="00E0092C">
      <w:pPr>
        <w:pStyle w:val="Caption"/>
        <w:spacing w:before="240"/>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p>
    <w:p w14:paraId="26D09999" w14:textId="0BC1F1BB" w:rsidR="00A65CDF" w:rsidRDefault="00E0092C" w:rsidP="0008496D">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A65CDF">
        <w:rPr>
          <w:rFonts w:ascii="Times New Roman" w:hAnsi="Times New Roman" w:cs="Times New Roman"/>
          <w:sz w:val="24"/>
          <w:szCs w:val="24"/>
        </w:rPr>
        <w:t xml:space="preserve">he accumulated volume of project finance transactions since 1995 in </w:t>
      </w:r>
      <w:r w:rsidR="00720110">
        <w:rPr>
          <w:rFonts w:ascii="Times New Roman" w:hAnsi="Times New Roman" w:cs="Times New Roman"/>
          <w:sz w:val="24"/>
          <w:szCs w:val="24"/>
        </w:rPr>
        <w:t xml:space="preserve">the </w:t>
      </w:r>
      <w:r w:rsidR="00A65CDF">
        <w:rPr>
          <w:rFonts w:ascii="Times New Roman" w:hAnsi="Times New Roman" w:cs="Times New Roman"/>
          <w:sz w:val="24"/>
          <w:szCs w:val="24"/>
        </w:rPr>
        <w:t>USA</w:t>
      </w:r>
      <w:r w:rsidR="00FB1DB1">
        <w:rPr>
          <w:rFonts w:ascii="Times New Roman" w:hAnsi="Times New Roman" w:cs="Times New Roman"/>
          <w:sz w:val="24"/>
          <w:szCs w:val="24"/>
        </w:rPr>
        <w:t xml:space="preserve"> is</w:t>
      </w:r>
      <w:r w:rsidR="00A65CDF">
        <w:rPr>
          <w:rFonts w:ascii="Times New Roman" w:hAnsi="Times New Roman" w:cs="Times New Roman"/>
          <w:sz w:val="24"/>
          <w:szCs w:val="24"/>
        </w:rPr>
        <w:t xml:space="preserve"> $578.72 bn</w:t>
      </w:r>
      <w:r w:rsidR="00FB1DB1">
        <w:rPr>
          <w:rFonts w:ascii="Times New Roman" w:hAnsi="Times New Roman" w:cs="Times New Roman"/>
          <w:sz w:val="24"/>
          <w:szCs w:val="24"/>
        </w:rPr>
        <w:t xml:space="preserve"> </w:t>
      </w:r>
      <w:r w:rsidR="00A65CDF">
        <w:rPr>
          <w:rFonts w:ascii="Times New Roman" w:hAnsi="Times New Roman" w:cs="Times New Roman"/>
          <w:sz w:val="24"/>
          <w:szCs w:val="24"/>
        </w:rPr>
        <w:t>followed by Australia ($370.21 bn), Uk ($313.34 bn)</w:t>
      </w:r>
      <w:r w:rsidR="00FB1DB1">
        <w:rPr>
          <w:rFonts w:ascii="Times New Roman" w:hAnsi="Times New Roman" w:cs="Times New Roman"/>
          <w:sz w:val="24"/>
          <w:szCs w:val="24"/>
        </w:rPr>
        <w:t>,</w:t>
      </w:r>
      <w:r w:rsidR="00A65CDF">
        <w:rPr>
          <w:rFonts w:ascii="Times New Roman" w:hAnsi="Times New Roman" w:cs="Times New Roman"/>
          <w:sz w:val="24"/>
          <w:szCs w:val="24"/>
        </w:rPr>
        <w:t xml:space="preserve"> and India ($274.83 bn).</w:t>
      </w:r>
    </w:p>
    <w:p w14:paraId="2BA150BC" w14:textId="6D8AA652" w:rsidR="00A65CDF" w:rsidRDefault="00A65CDF" w:rsidP="0008496D">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terms of the major players in the market, international commercial banks have dominated </w:t>
      </w:r>
      <w:r w:rsidRPr="007F623B">
        <w:rPr>
          <w:rFonts w:ascii="Times New Roman" w:hAnsi="Times New Roman" w:cs="Times New Roman"/>
          <w:sz w:val="24"/>
          <w:szCs w:val="24"/>
        </w:rPr>
        <w:t>the sector</w:t>
      </w:r>
      <w:r w:rsidR="005B0856">
        <w:rPr>
          <w:rFonts w:ascii="Times New Roman" w:hAnsi="Times New Roman" w:cs="Times New Roman"/>
          <w:sz w:val="24"/>
          <w:szCs w:val="24"/>
        </w:rPr>
        <w:t>. T</w:t>
      </w:r>
      <w:r w:rsidRPr="007F623B">
        <w:rPr>
          <w:rFonts w:ascii="Times New Roman" w:hAnsi="Times New Roman" w:cs="Times New Roman"/>
          <w:sz w:val="24"/>
          <w:szCs w:val="24"/>
        </w:rPr>
        <w:t xml:space="preserve">he top five commercial bank providers of project finance debt in 2018 are listed in </w:t>
      </w:r>
      <w:r w:rsidRPr="007F623B">
        <w:rPr>
          <w:rFonts w:ascii="Times New Roman" w:hAnsi="Times New Roman" w:cs="Times New Roman"/>
          <w:i/>
          <w:iCs/>
          <w:sz w:val="24"/>
          <w:szCs w:val="24"/>
        </w:rPr>
        <w:t xml:space="preserve">Table </w:t>
      </w:r>
      <w:r w:rsidR="00E0092C">
        <w:rPr>
          <w:rFonts w:ascii="Times New Roman" w:hAnsi="Times New Roman" w:cs="Times New Roman"/>
          <w:i/>
          <w:iCs/>
          <w:sz w:val="24"/>
          <w:szCs w:val="24"/>
        </w:rPr>
        <w:t>2.3</w:t>
      </w:r>
      <w:r w:rsidR="009074BF" w:rsidRPr="007F623B">
        <w:rPr>
          <w:rFonts w:ascii="Times New Roman" w:hAnsi="Times New Roman" w:cs="Times New Roman"/>
          <w:sz w:val="24"/>
          <w:szCs w:val="24"/>
        </w:rPr>
        <w:t>.</w:t>
      </w:r>
    </w:p>
    <w:p w14:paraId="44A3F74D" w14:textId="6F459D29" w:rsidR="00476356" w:rsidRPr="00E0092C" w:rsidRDefault="009074BF" w:rsidP="00E0092C">
      <w:pPr>
        <w:spacing w:before="240" w:after="0" w:line="360" w:lineRule="auto"/>
        <w:jc w:val="right"/>
        <w:rPr>
          <w:rFonts w:ascii="Times New Roman" w:hAnsi="Times New Roman" w:cs="Times New Roman"/>
          <w:i/>
          <w:iCs/>
          <w:sz w:val="24"/>
          <w:szCs w:val="24"/>
        </w:rPr>
      </w:pPr>
      <w:r w:rsidRPr="00E0092C">
        <w:rPr>
          <w:rFonts w:ascii="Times New Roman" w:hAnsi="Times New Roman" w:cs="Times New Roman"/>
          <w:i/>
          <w:iCs/>
          <w:sz w:val="24"/>
          <w:szCs w:val="24"/>
        </w:rPr>
        <w:t xml:space="preserve">Table </w:t>
      </w:r>
      <w:r w:rsidR="00E0092C" w:rsidRPr="00E0092C">
        <w:rPr>
          <w:rFonts w:ascii="Times New Roman" w:hAnsi="Times New Roman" w:cs="Times New Roman"/>
          <w:i/>
          <w:iCs/>
          <w:sz w:val="24"/>
          <w:szCs w:val="24"/>
        </w:rPr>
        <w:t>2.3</w:t>
      </w:r>
    </w:p>
    <w:p w14:paraId="46417131" w14:textId="34BA07C2" w:rsidR="009074BF" w:rsidRPr="00E0092C" w:rsidRDefault="009074BF" w:rsidP="00E0092C">
      <w:pPr>
        <w:spacing w:line="360" w:lineRule="auto"/>
        <w:jc w:val="center"/>
        <w:rPr>
          <w:rFonts w:ascii="Times New Roman" w:hAnsi="Times New Roman" w:cs="Times New Roman"/>
          <w:sz w:val="24"/>
          <w:szCs w:val="24"/>
        </w:rPr>
      </w:pPr>
      <w:r w:rsidRPr="00E0092C">
        <w:rPr>
          <w:rFonts w:ascii="Times New Roman" w:hAnsi="Times New Roman" w:cs="Times New Roman"/>
          <w:sz w:val="24"/>
          <w:szCs w:val="24"/>
        </w:rPr>
        <w:t xml:space="preserve">Top </w:t>
      </w:r>
      <w:r w:rsidR="000A4432" w:rsidRPr="00E0092C">
        <w:rPr>
          <w:rFonts w:ascii="Times New Roman" w:hAnsi="Times New Roman" w:cs="Times New Roman"/>
          <w:sz w:val="24"/>
          <w:szCs w:val="24"/>
        </w:rPr>
        <w:t>c</w:t>
      </w:r>
      <w:r w:rsidRPr="00E0092C">
        <w:rPr>
          <w:rFonts w:ascii="Times New Roman" w:hAnsi="Times New Roman" w:cs="Times New Roman"/>
          <w:sz w:val="24"/>
          <w:szCs w:val="24"/>
        </w:rPr>
        <w:t xml:space="preserve">ommercial </w:t>
      </w:r>
      <w:r w:rsidR="000A4432" w:rsidRPr="00E0092C">
        <w:rPr>
          <w:rFonts w:ascii="Times New Roman" w:hAnsi="Times New Roman" w:cs="Times New Roman"/>
          <w:sz w:val="24"/>
          <w:szCs w:val="24"/>
        </w:rPr>
        <w:t>b</w:t>
      </w:r>
      <w:r w:rsidRPr="00E0092C">
        <w:rPr>
          <w:rFonts w:ascii="Times New Roman" w:hAnsi="Times New Roman" w:cs="Times New Roman"/>
          <w:sz w:val="24"/>
          <w:szCs w:val="24"/>
        </w:rPr>
        <w:t xml:space="preserve">ank </w:t>
      </w:r>
      <w:r w:rsidR="000A4432" w:rsidRPr="00E0092C">
        <w:rPr>
          <w:rFonts w:ascii="Times New Roman" w:hAnsi="Times New Roman" w:cs="Times New Roman"/>
          <w:sz w:val="24"/>
          <w:szCs w:val="24"/>
        </w:rPr>
        <w:t>p</w:t>
      </w:r>
      <w:r w:rsidRPr="00E0092C">
        <w:rPr>
          <w:rFonts w:ascii="Times New Roman" w:hAnsi="Times New Roman" w:cs="Times New Roman"/>
          <w:sz w:val="24"/>
          <w:szCs w:val="24"/>
        </w:rPr>
        <w:t xml:space="preserve">roviders of </w:t>
      </w:r>
      <w:r w:rsidR="000A4432" w:rsidRPr="00E0092C">
        <w:rPr>
          <w:rFonts w:ascii="Times New Roman" w:hAnsi="Times New Roman" w:cs="Times New Roman"/>
          <w:sz w:val="24"/>
          <w:szCs w:val="24"/>
        </w:rPr>
        <w:t>p</w:t>
      </w:r>
      <w:r w:rsidRPr="00E0092C">
        <w:rPr>
          <w:rFonts w:ascii="Times New Roman" w:hAnsi="Times New Roman" w:cs="Times New Roman"/>
          <w:sz w:val="24"/>
          <w:szCs w:val="24"/>
        </w:rPr>
        <w:t xml:space="preserve">roject </w:t>
      </w:r>
      <w:r w:rsidR="000A4432" w:rsidRPr="00E0092C">
        <w:rPr>
          <w:rFonts w:ascii="Times New Roman" w:hAnsi="Times New Roman" w:cs="Times New Roman"/>
          <w:sz w:val="24"/>
          <w:szCs w:val="24"/>
        </w:rPr>
        <w:t>f</w:t>
      </w:r>
      <w:r w:rsidRPr="00E0092C">
        <w:rPr>
          <w:rFonts w:ascii="Times New Roman" w:hAnsi="Times New Roman" w:cs="Times New Roman"/>
          <w:sz w:val="24"/>
          <w:szCs w:val="24"/>
        </w:rPr>
        <w:t xml:space="preserve">inance </w:t>
      </w:r>
      <w:r w:rsidR="000A4432" w:rsidRPr="00E0092C">
        <w:rPr>
          <w:rFonts w:ascii="Times New Roman" w:hAnsi="Times New Roman" w:cs="Times New Roman"/>
          <w:sz w:val="24"/>
          <w:szCs w:val="24"/>
        </w:rPr>
        <w:t>d</w:t>
      </w:r>
      <w:r w:rsidRPr="00E0092C">
        <w:rPr>
          <w:rFonts w:ascii="Times New Roman" w:hAnsi="Times New Roman" w:cs="Times New Roman"/>
          <w:sz w:val="24"/>
          <w:szCs w:val="24"/>
        </w:rPr>
        <w:t>ebt in 2018</w:t>
      </w:r>
    </w:p>
    <w:tbl>
      <w:tblPr>
        <w:tblStyle w:val="TableGrid"/>
        <w:tblW w:w="0" w:type="auto"/>
        <w:jc w:val="center"/>
        <w:tblInd w:w="0" w:type="dxa"/>
        <w:tblLook w:val="04A0" w:firstRow="1" w:lastRow="0" w:firstColumn="1" w:lastColumn="0" w:noHBand="0" w:noVBand="1"/>
      </w:tblPr>
      <w:tblGrid>
        <w:gridCol w:w="3717"/>
        <w:gridCol w:w="2070"/>
        <w:gridCol w:w="1968"/>
        <w:gridCol w:w="1815"/>
      </w:tblGrid>
      <w:tr w:rsidR="00A65CDF" w14:paraId="1D269692" w14:textId="77777777" w:rsidTr="00E0092C">
        <w:trPr>
          <w:trHeight w:val="392"/>
          <w:jc w:val="center"/>
        </w:trPr>
        <w:tc>
          <w:tcPr>
            <w:tcW w:w="3717" w:type="dxa"/>
            <w:vAlign w:val="center"/>
          </w:tcPr>
          <w:p w14:paraId="166D52BB" w14:textId="77777777" w:rsidR="00A65CDF" w:rsidRPr="00DE6F7E" w:rsidRDefault="00A65CDF" w:rsidP="00C6536F">
            <w:pPr>
              <w:jc w:val="both"/>
              <w:rPr>
                <w:rFonts w:ascii="Times New Roman" w:hAnsi="Times New Roman" w:cs="Times New Roman"/>
                <w:sz w:val="20"/>
                <w:szCs w:val="20"/>
              </w:rPr>
            </w:pPr>
          </w:p>
        </w:tc>
        <w:tc>
          <w:tcPr>
            <w:tcW w:w="2070" w:type="dxa"/>
            <w:vAlign w:val="center"/>
          </w:tcPr>
          <w:p w14:paraId="7B0B8A13" w14:textId="56F82BA8" w:rsidR="00A65CDF" w:rsidRPr="00DE6F7E" w:rsidRDefault="00A65CDF" w:rsidP="00C6536F">
            <w:pPr>
              <w:jc w:val="center"/>
              <w:rPr>
                <w:rFonts w:asciiTheme="majorBidi" w:hAnsiTheme="majorBidi" w:cstheme="majorBidi"/>
                <w:b/>
                <w:bCs/>
                <w:color w:val="000000"/>
                <w:sz w:val="20"/>
                <w:szCs w:val="20"/>
                <w:lang w:val="en-US"/>
              </w:rPr>
            </w:pPr>
            <w:r w:rsidRPr="00DE6F7E">
              <w:rPr>
                <w:rFonts w:asciiTheme="majorBidi" w:hAnsiTheme="majorBidi" w:cstheme="majorBidi"/>
                <w:b/>
                <w:bCs/>
                <w:color w:val="000000"/>
                <w:sz w:val="20"/>
                <w:szCs w:val="20"/>
                <w:lang w:val="en-US"/>
              </w:rPr>
              <w:t>Loans (</w:t>
            </w:r>
            <w:r w:rsidR="00F842D0" w:rsidRPr="00DE6F7E">
              <w:rPr>
                <w:rFonts w:asciiTheme="majorBidi" w:hAnsiTheme="majorBidi" w:cstheme="majorBidi"/>
                <w:b/>
                <w:bCs/>
                <w:color w:val="000000"/>
                <w:sz w:val="20"/>
                <w:szCs w:val="20"/>
                <w:lang w:val="en-US"/>
              </w:rPr>
              <w:t>$ bn</w:t>
            </w:r>
            <w:r w:rsidRPr="00DE6F7E">
              <w:rPr>
                <w:rFonts w:asciiTheme="majorBidi" w:hAnsiTheme="majorBidi" w:cstheme="majorBidi"/>
                <w:b/>
                <w:bCs/>
                <w:color w:val="000000"/>
                <w:sz w:val="20"/>
                <w:szCs w:val="20"/>
                <w:lang w:val="en-US"/>
              </w:rPr>
              <w:t>)</w:t>
            </w:r>
          </w:p>
        </w:tc>
        <w:tc>
          <w:tcPr>
            <w:tcW w:w="1968" w:type="dxa"/>
            <w:vAlign w:val="center"/>
          </w:tcPr>
          <w:p w14:paraId="04BCF94F" w14:textId="77777777" w:rsidR="00A65CDF" w:rsidRPr="00DE6F7E" w:rsidRDefault="00A65CDF" w:rsidP="00C6536F">
            <w:pPr>
              <w:jc w:val="center"/>
              <w:rPr>
                <w:rFonts w:asciiTheme="majorBidi" w:hAnsiTheme="majorBidi" w:cstheme="majorBidi"/>
                <w:b/>
                <w:bCs/>
                <w:color w:val="000000"/>
                <w:sz w:val="20"/>
                <w:szCs w:val="20"/>
                <w:lang w:val="en-US"/>
              </w:rPr>
            </w:pPr>
            <w:r w:rsidRPr="00DE6F7E">
              <w:rPr>
                <w:rFonts w:asciiTheme="majorBidi" w:hAnsiTheme="majorBidi" w:cstheme="majorBidi"/>
                <w:b/>
                <w:bCs/>
                <w:color w:val="000000"/>
                <w:sz w:val="20"/>
                <w:szCs w:val="20"/>
                <w:lang w:val="en-US"/>
              </w:rPr>
              <w:t>No of deals</w:t>
            </w:r>
          </w:p>
        </w:tc>
        <w:tc>
          <w:tcPr>
            <w:tcW w:w="1815" w:type="dxa"/>
            <w:vAlign w:val="center"/>
          </w:tcPr>
          <w:p w14:paraId="60B50FA8" w14:textId="77777777" w:rsidR="00A65CDF" w:rsidRPr="00DE6F7E" w:rsidRDefault="00A65CDF" w:rsidP="00C6536F">
            <w:pPr>
              <w:jc w:val="center"/>
              <w:rPr>
                <w:rFonts w:asciiTheme="majorBidi" w:hAnsiTheme="majorBidi" w:cstheme="majorBidi"/>
                <w:b/>
                <w:bCs/>
                <w:color w:val="000000"/>
                <w:sz w:val="20"/>
                <w:szCs w:val="20"/>
                <w:lang w:val="en-US"/>
              </w:rPr>
            </w:pPr>
            <w:r w:rsidRPr="00DE6F7E">
              <w:rPr>
                <w:rFonts w:asciiTheme="majorBidi" w:hAnsiTheme="majorBidi" w:cstheme="majorBidi"/>
                <w:b/>
                <w:bCs/>
                <w:color w:val="000000"/>
                <w:sz w:val="20"/>
                <w:szCs w:val="20"/>
                <w:lang w:val="en-US"/>
              </w:rPr>
              <w:t>Market Share</w:t>
            </w:r>
          </w:p>
        </w:tc>
      </w:tr>
      <w:tr w:rsidR="00A65CDF" w14:paraId="610AA59E" w14:textId="77777777" w:rsidTr="00E0092C">
        <w:trPr>
          <w:trHeight w:val="404"/>
          <w:jc w:val="center"/>
        </w:trPr>
        <w:tc>
          <w:tcPr>
            <w:tcW w:w="3717" w:type="dxa"/>
            <w:vAlign w:val="center"/>
          </w:tcPr>
          <w:p w14:paraId="6C6B2026"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MUFG (Japan)</w:t>
            </w:r>
          </w:p>
        </w:tc>
        <w:tc>
          <w:tcPr>
            <w:tcW w:w="2070" w:type="dxa"/>
            <w:vAlign w:val="center"/>
          </w:tcPr>
          <w:p w14:paraId="64BD4C16"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18.07</w:t>
            </w:r>
          </w:p>
        </w:tc>
        <w:tc>
          <w:tcPr>
            <w:tcW w:w="1968" w:type="dxa"/>
            <w:vAlign w:val="center"/>
          </w:tcPr>
          <w:p w14:paraId="4D1CD29D"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148</w:t>
            </w:r>
          </w:p>
        </w:tc>
        <w:tc>
          <w:tcPr>
            <w:tcW w:w="1815" w:type="dxa"/>
            <w:vAlign w:val="center"/>
          </w:tcPr>
          <w:p w14:paraId="65C8BD14"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6.4%</w:t>
            </w:r>
          </w:p>
        </w:tc>
      </w:tr>
      <w:tr w:rsidR="00A65CDF" w14:paraId="309A878C" w14:textId="77777777" w:rsidTr="00E0092C">
        <w:trPr>
          <w:trHeight w:val="392"/>
          <w:jc w:val="center"/>
        </w:trPr>
        <w:tc>
          <w:tcPr>
            <w:tcW w:w="3717" w:type="dxa"/>
            <w:vAlign w:val="center"/>
          </w:tcPr>
          <w:p w14:paraId="70809A2D"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SMBC (Japan)</w:t>
            </w:r>
          </w:p>
        </w:tc>
        <w:tc>
          <w:tcPr>
            <w:tcW w:w="2070" w:type="dxa"/>
            <w:vAlign w:val="center"/>
          </w:tcPr>
          <w:p w14:paraId="10A7B340"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12.39</w:t>
            </w:r>
          </w:p>
        </w:tc>
        <w:tc>
          <w:tcPr>
            <w:tcW w:w="1968" w:type="dxa"/>
            <w:vAlign w:val="center"/>
          </w:tcPr>
          <w:p w14:paraId="0C945E51"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127</w:t>
            </w:r>
          </w:p>
        </w:tc>
        <w:tc>
          <w:tcPr>
            <w:tcW w:w="1815" w:type="dxa"/>
            <w:vAlign w:val="center"/>
          </w:tcPr>
          <w:p w14:paraId="32F30884"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4.4%</w:t>
            </w:r>
          </w:p>
        </w:tc>
      </w:tr>
      <w:tr w:rsidR="00A65CDF" w14:paraId="10A2827D" w14:textId="77777777" w:rsidTr="00E0092C">
        <w:trPr>
          <w:trHeight w:val="392"/>
          <w:jc w:val="center"/>
        </w:trPr>
        <w:tc>
          <w:tcPr>
            <w:tcW w:w="3717" w:type="dxa"/>
            <w:vAlign w:val="center"/>
          </w:tcPr>
          <w:p w14:paraId="334EC64C"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Santander (Spain)</w:t>
            </w:r>
          </w:p>
        </w:tc>
        <w:tc>
          <w:tcPr>
            <w:tcW w:w="2070" w:type="dxa"/>
            <w:vAlign w:val="center"/>
          </w:tcPr>
          <w:p w14:paraId="701A338A"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10.26</w:t>
            </w:r>
          </w:p>
        </w:tc>
        <w:tc>
          <w:tcPr>
            <w:tcW w:w="1968" w:type="dxa"/>
            <w:vAlign w:val="center"/>
          </w:tcPr>
          <w:p w14:paraId="38381E7C"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131</w:t>
            </w:r>
          </w:p>
        </w:tc>
        <w:tc>
          <w:tcPr>
            <w:tcW w:w="1815" w:type="dxa"/>
            <w:vAlign w:val="center"/>
          </w:tcPr>
          <w:p w14:paraId="5BF63D82"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3.6%</w:t>
            </w:r>
          </w:p>
        </w:tc>
      </w:tr>
      <w:tr w:rsidR="00A65CDF" w14:paraId="487E9239" w14:textId="77777777" w:rsidTr="00E0092C">
        <w:trPr>
          <w:trHeight w:val="404"/>
          <w:jc w:val="center"/>
        </w:trPr>
        <w:tc>
          <w:tcPr>
            <w:tcW w:w="3717" w:type="dxa"/>
            <w:vAlign w:val="center"/>
          </w:tcPr>
          <w:p w14:paraId="4574BC38"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Credit Agricole (France)</w:t>
            </w:r>
          </w:p>
        </w:tc>
        <w:tc>
          <w:tcPr>
            <w:tcW w:w="2070" w:type="dxa"/>
            <w:vAlign w:val="center"/>
          </w:tcPr>
          <w:p w14:paraId="2A657CC6"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9.32</w:t>
            </w:r>
          </w:p>
        </w:tc>
        <w:tc>
          <w:tcPr>
            <w:tcW w:w="1968" w:type="dxa"/>
            <w:vAlign w:val="center"/>
          </w:tcPr>
          <w:p w14:paraId="127075E6"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96</w:t>
            </w:r>
          </w:p>
        </w:tc>
        <w:tc>
          <w:tcPr>
            <w:tcW w:w="1815" w:type="dxa"/>
            <w:vAlign w:val="center"/>
          </w:tcPr>
          <w:p w14:paraId="7F67B458"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3.3%</w:t>
            </w:r>
          </w:p>
        </w:tc>
      </w:tr>
      <w:tr w:rsidR="00A65CDF" w14:paraId="7D817DB0" w14:textId="77777777" w:rsidTr="00E0092C">
        <w:trPr>
          <w:trHeight w:val="392"/>
          <w:jc w:val="center"/>
        </w:trPr>
        <w:tc>
          <w:tcPr>
            <w:tcW w:w="3717" w:type="dxa"/>
            <w:vAlign w:val="center"/>
          </w:tcPr>
          <w:p w14:paraId="3ABC7118"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ING (Netherlands)</w:t>
            </w:r>
          </w:p>
        </w:tc>
        <w:tc>
          <w:tcPr>
            <w:tcW w:w="2070" w:type="dxa"/>
            <w:vAlign w:val="center"/>
          </w:tcPr>
          <w:p w14:paraId="6A4B7E22"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9.16</w:t>
            </w:r>
          </w:p>
        </w:tc>
        <w:tc>
          <w:tcPr>
            <w:tcW w:w="1968" w:type="dxa"/>
            <w:vAlign w:val="center"/>
          </w:tcPr>
          <w:p w14:paraId="6D32C513"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94</w:t>
            </w:r>
          </w:p>
        </w:tc>
        <w:tc>
          <w:tcPr>
            <w:tcW w:w="1815" w:type="dxa"/>
            <w:vAlign w:val="center"/>
          </w:tcPr>
          <w:p w14:paraId="4FBF6B3A" w14:textId="77777777" w:rsidR="00A65CDF" w:rsidRPr="00DE6F7E" w:rsidRDefault="00A65CDF" w:rsidP="00C6536F">
            <w:pPr>
              <w:jc w:val="center"/>
              <w:rPr>
                <w:rFonts w:ascii="Times New Roman" w:hAnsi="Times New Roman" w:cs="Times New Roman"/>
                <w:sz w:val="20"/>
                <w:szCs w:val="20"/>
              </w:rPr>
            </w:pPr>
            <w:r w:rsidRPr="00DE6F7E">
              <w:rPr>
                <w:rFonts w:ascii="Times New Roman" w:hAnsi="Times New Roman" w:cs="Times New Roman"/>
                <w:sz w:val="20"/>
                <w:szCs w:val="20"/>
              </w:rPr>
              <w:t>3.2%</w:t>
            </w:r>
          </w:p>
        </w:tc>
      </w:tr>
    </w:tbl>
    <w:p w14:paraId="68BA8601" w14:textId="062514DB" w:rsidR="009074BF" w:rsidRPr="00345605" w:rsidRDefault="009074BF" w:rsidP="00E0092C">
      <w:pPr>
        <w:pStyle w:val="Caption"/>
        <w:spacing w:before="240" w:after="0"/>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p>
    <w:p w14:paraId="6BBFBF2C" w14:textId="560CF8C9" w:rsidR="00A65CDF" w:rsidRDefault="00A65CDF" w:rsidP="0008496D">
      <w:pPr>
        <w:suppressAutoHyphens/>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Additionally, at this historical stage, </w:t>
      </w:r>
      <w:r w:rsidR="00DE6F7E">
        <w:rPr>
          <w:rFonts w:ascii="Times New Roman" w:hAnsi="Times New Roman" w:cs="Times New Roman"/>
          <w:sz w:val="24"/>
          <w:szCs w:val="24"/>
        </w:rPr>
        <w:t>applying</w:t>
      </w:r>
      <w:r>
        <w:rPr>
          <w:rFonts w:ascii="Times New Roman" w:hAnsi="Times New Roman" w:cs="Times New Roman"/>
          <w:sz w:val="24"/>
          <w:szCs w:val="24"/>
        </w:rPr>
        <w:t xml:space="preserve"> the project financing mechanism is used as one of the sources of economic growth. </w:t>
      </w:r>
      <w:r w:rsidR="00DE6F7E">
        <w:rPr>
          <w:rFonts w:ascii="Times New Roman" w:hAnsi="Times New Roman" w:cs="Times New Roman"/>
          <w:sz w:val="24"/>
          <w:szCs w:val="24"/>
        </w:rPr>
        <w:t>We have proved t</w:t>
      </w:r>
      <w:r>
        <w:rPr>
          <w:rFonts w:ascii="Times New Roman" w:hAnsi="Times New Roman" w:cs="Times New Roman"/>
          <w:sz w:val="24"/>
          <w:szCs w:val="24"/>
        </w:rPr>
        <w:t xml:space="preserve">his fact </w:t>
      </w:r>
      <w:r w:rsidR="00DE6F7E">
        <w:rPr>
          <w:rFonts w:ascii="Times New Roman" w:hAnsi="Times New Roman" w:cs="Times New Roman"/>
          <w:sz w:val="24"/>
          <w:szCs w:val="24"/>
        </w:rPr>
        <w:t>by</w:t>
      </w:r>
      <w:r>
        <w:rPr>
          <w:rFonts w:ascii="Times New Roman" w:hAnsi="Times New Roman" w:cs="Times New Roman"/>
          <w:sz w:val="24"/>
          <w:szCs w:val="24"/>
        </w:rPr>
        <w:t xml:space="preserve"> using regression analysis.</w:t>
      </w:r>
    </w:p>
    <w:p w14:paraId="0235CA80" w14:textId="6A43D906" w:rsidR="00A65CDF" w:rsidRPr="009074BF" w:rsidRDefault="00A65CDF" w:rsidP="0008496D">
      <w:pPr>
        <w:suppressAutoHyphens/>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By comparing the data on the volume of world GDP in</w:t>
      </w:r>
      <w:r w:rsidR="00DE51CF">
        <w:rPr>
          <w:rFonts w:ascii="Times New Roman" w:hAnsi="Times New Roman" w:cs="Times New Roman"/>
          <w:sz w:val="24"/>
          <w:szCs w:val="24"/>
        </w:rPr>
        <w:t xml:space="preserve"> </w:t>
      </w:r>
      <w:r w:rsidR="00DE51CF" w:rsidRPr="00DE51CF">
        <w:rPr>
          <w:rFonts w:ascii="Times New Roman" w:hAnsi="Times New Roman" w:cs="Times New Roman"/>
          <w:i/>
          <w:iCs/>
          <w:sz w:val="24"/>
          <w:szCs w:val="24"/>
        </w:rPr>
        <w:t xml:space="preserve">Table </w:t>
      </w:r>
      <w:r w:rsidR="00D92837">
        <w:rPr>
          <w:rFonts w:ascii="Times New Roman" w:hAnsi="Times New Roman" w:cs="Times New Roman"/>
          <w:i/>
          <w:iCs/>
          <w:sz w:val="24"/>
          <w:szCs w:val="24"/>
        </w:rPr>
        <w:t>2.4</w:t>
      </w:r>
      <w:r>
        <w:rPr>
          <w:rFonts w:ascii="Times New Roman" w:hAnsi="Times New Roman" w:cs="Times New Roman"/>
          <w:sz w:val="24"/>
          <w:szCs w:val="24"/>
        </w:rPr>
        <w:t xml:space="preserve">, and </w:t>
      </w:r>
      <w:r w:rsidR="00DE6F7E">
        <w:rPr>
          <w:rFonts w:ascii="Times New Roman" w:hAnsi="Times New Roman" w:cs="Times New Roman"/>
          <w:sz w:val="24"/>
          <w:szCs w:val="24"/>
        </w:rPr>
        <w:t xml:space="preserve">the data on </w:t>
      </w:r>
      <w:r>
        <w:rPr>
          <w:rFonts w:ascii="Times New Roman" w:hAnsi="Times New Roman" w:cs="Times New Roman"/>
          <w:sz w:val="24"/>
          <w:szCs w:val="24"/>
        </w:rPr>
        <w:t xml:space="preserve">the </w:t>
      </w:r>
      <w:r w:rsidR="00DA63EF">
        <w:rPr>
          <w:rFonts w:ascii="Times New Roman" w:hAnsi="Times New Roman" w:cs="Times New Roman"/>
          <w:sz w:val="24"/>
          <w:szCs w:val="24"/>
        </w:rPr>
        <w:t>siz</w:t>
      </w:r>
      <w:r w:rsidR="003C00B6">
        <w:rPr>
          <w:rFonts w:ascii="Times New Roman" w:hAnsi="Times New Roman" w:cs="Times New Roman"/>
          <w:sz w:val="24"/>
          <w:szCs w:val="24"/>
        </w:rPr>
        <w:t>e</w:t>
      </w:r>
      <w:r>
        <w:rPr>
          <w:rFonts w:ascii="Times New Roman" w:hAnsi="Times New Roman" w:cs="Times New Roman"/>
          <w:sz w:val="24"/>
          <w:szCs w:val="24"/>
        </w:rPr>
        <w:t xml:space="preserve"> of project financ</w:t>
      </w:r>
      <w:r w:rsidR="00DA63EF">
        <w:rPr>
          <w:rFonts w:ascii="Times New Roman" w:hAnsi="Times New Roman" w:cs="Times New Roman"/>
          <w:sz w:val="24"/>
          <w:szCs w:val="24"/>
        </w:rPr>
        <w:t>e</w:t>
      </w:r>
      <w:r>
        <w:rPr>
          <w:rFonts w:ascii="Times New Roman" w:hAnsi="Times New Roman" w:cs="Times New Roman"/>
          <w:sz w:val="24"/>
          <w:szCs w:val="24"/>
        </w:rPr>
        <w:t xml:space="preserve"> from </w:t>
      </w:r>
      <w:r w:rsidR="00DE51CF" w:rsidRPr="00DE51CF">
        <w:rPr>
          <w:rFonts w:ascii="Times New Roman" w:hAnsi="Times New Roman" w:cs="Times New Roman"/>
          <w:i/>
          <w:iCs/>
          <w:sz w:val="24"/>
          <w:szCs w:val="24"/>
        </w:rPr>
        <w:t xml:space="preserve">Table </w:t>
      </w:r>
      <w:r w:rsidR="002867BA">
        <w:rPr>
          <w:rFonts w:ascii="Times New Roman" w:hAnsi="Times New Roman" w:cs="Times New Roman"/>
          <w:i/>
          <w:iCs/>
          <w:sz w:val="24"/>
          <w:szCs w:val="24"/>
        </w:rPr>
        <w:t>2.4</w:t>
      </w:r>
      <w:r w:rsidR="00DE51CF">
        <w:rPr>
          <w:rFonts w:ascii="Times New Roman" w:hAnsi="Times New Roman" w:cs="Times New Roman"/>
          <w:i/>
          <w:iCs/>
          <w:sz w:val="24"/>
          <w:szCs w:val="24"/>
        </w:rPr>
        <w:t xml:space="preserve"> </w:t>
      </w:r>
      <w:r>
        <w:rPr>
          <w:rFonts w:ascii="Times New Roman" w:hAnsi="Times New Roman" w:cs="Times New Roman"/>
          <w:sz w:val="24"/>
          <w:szCs w:val="24"/>
        </w:rPr>
        <w:t xml:space="preserve">between 2001 to 2018, </w:t>
      </w:r>
      <w:r w:rsidR="00DE6F7E">
        <w:rPr>
          <w:rFonts w:ascii="Times New Roman" w:hAnsi="Times New Roman" w:cs="Times New Roman"/>
          <w:sz w:val="24"/>
          <w:szCs w:val="24"/>
        </w:rPr>
        <w:t>arranging</w:t>
      </w:r>
      <w:r>
        <w:rPr>
          <w:rFonts w:ascii="Times New Roman" w:hAnsi="Times New Roman" w:cs="Times New Roman"/>
          <w:sz w:val="24"/>
          <w:szCs w:val="24"/>
        </w:rPr>
        <w:t xml:space="preserve"> them in order of increasing factor x (the volume of project financing), it is possible to establish direct relationships between the studied characteristics. Such a study will establish a relationship between the </w:t>
      </w:r>
      <w:r w:rsidR="00DE6F7E">
        <w:rPr>
          <w:rFonts w:ascii="Times New Roman" w:hAnsi="Times New Roman" w:cs="Times New Roman"/>
          <w:sz w:val="24"/>
          <w:szCs w:val="24"/>
        </w:rPr>
        <w:t>growth of</w:t>
      </w:r>
      <w:r>
        <w:rPr>
          <w:rFonts w:ascii="Times New Roman" w:hAnsi="Times New Roman" w:cs="Times New Roman"/>
          <w:sz w:val="24"/>
          <w:szCs w:val="24"/>
        </w:rPr>
        <w:t xml:space="preserve"> project finance and the</w:t>
      </w:r>
      <w:r w:rsidR="00DE6F7E">
        <w:rPr>
          <w:rFonts w:ascii="Times New Roman" w:hAnsi="Times New Roman" w:cs="Times New Roman"/>
          <w:sz w:val="24"/>
          <w:szCs w:val="24"/>
        </w:rPr>
        <w:t xml:space="preserve"> world</w:t>
      </w:r>
      <w:r>
        <w:rPr>
          <w:rFonts w:ascii="Times New Roman" w:hAnsi="Times New Roman" w:cs="Times New Roman"/>
          <w:sz w:val="24"/>
          <w:szCs w:val="24"/>
        </w:rPr>
        <w:t xml:space="preserve"> GDP</w:t>
      </w:r>
      <w:r w:rsidR="00E0092C">
        <w:rPr>
          <w:rFonts w:ascii="Times New Roman" w:hAnsi="Times New Roman" w:cs="Times New Roman"/>
          <w:sz w:val="24"/>
          <w:szCs w:val="24"/>
        </w:rPr>
        <w:t>.</w:t>
      </w:r>
    </w:p>
    <w:p w14:paraId="5CE326AE" w14:textId="73452E37" w:rsidR="00476356" w:rsidRPr="00E0092C" w:rsidRDefault="009074BF" w:rsidP="00E0092C">
      <w:pPr>
        <w:spacing w:before="240" w:after="0" w:line="360" w:lineRule="auto"/>
        <w:jc w:val="right"/>
        <w:rPr>
          <w:rFonts w:ascii="Times New Roman" w:hAnsi="Times New Roman" w:cs="Times New Roman"/>
          <w:i/>
          <w:iCs/>
          <w:sz w:val="24"/>
          <w:szCs w:val="24"/>
        </w:rPr>
      </w:pPr>
      <w:r w:rsidRPr="00E0092C">
        <w:rPr>
          <w:rFonts w:ascii="Times New Roman" w:hAnsi="Times New Roman" w:cs="Times New Roman"/>
          <w:i/>
          <w:iCs/>
          <w:sz w:val="24"/>
          <w:szCs w:val="24"/>
        </w:rPr>
        <w:t xml:space="preserve">Table </w:t>
      </w:r>
      <w:r w:rsidR="002867BA">
        <w:rPr>
          <w:rFonts w:ascii="Times New Roman" w:hAnsi="Times New Roman" w:cs="Times New Roman"/>
          <w:i/>
          <w:iCs/>
          <w:sz w:val="24"/>
          <w:szCs w:val="24"/>
        </w:rPr>
        <w:t>2.4</w:t>
      </w:r>
    </w:p>
    <w:p w14:paraId="377473F3" w14:textId="134B9B24" w:rsidR="009074BF" w:rsidRPr="009504F3" w:rsidRDefault="009074BF" w:rsidP="00E0092C">
      <w:pPr>
        <w:spacing w:line="360" w:lineRule="auto"/>
        <w:jc w:val="center"/>
        <w:rPr>
          <w:rFonts w:ascii="Times New Roman" w:hAnsi="Times New Roman" w:cs="Times New Roman"/>
          <w:sz w:val="24"/>
          <w:szCs w:val="24"/>
        </w:rPr>
      </w:pPr>
      <w:r w:rsidRPr="009504F3">
        <w:rPr>
          <w:rFonts w:ascii="Times New Roman" w:hAnsi="Times New Roman" w:cs="Times New Roman"/>
          <w:sz w:val="24"/>
          <w:szCs w:val="24"/>
        </w:rPr>
        <w:t>World</w:t>
      </w:r>
      <w:r w:rsidR="00E20029" w:rsidRPr="00E20029">
        <w:rPr>
          <w:rFonts w:ascii="Times New Roman" w:hAnsi="Times New Roman" w:cs="Times New Roman"/>
          <w:sz w:val="24"/>
          <w:szCs w:val="24"/>
        </w:rPr>
        <w:t>'</w:t>
      </w:r>
      <w:r w:rsidRPr="009504F3">
        <w:rPr>
          <w:rFonts w:ascii="Times New Roman" w:hAnsi="Times New Roman" w:cs="Times New Roman"/>
          <w:sz w:val="24"/>
          <w:szCs w:val="24"/>
        </w:rPr>
        <w:t xml:space="preserve">s GDP between 2000 and 2018 </w:t>
      </w:r>
      <w:r w:rsidR="009504F3" w:rsidRPr="009504F3">
        <w:rPr>
          <w:rFonts w:ascii="Times New Roman" w:hAnsi="Times New Roman" w:cs="Times New Roman"/>
          <w:sz w:val="24"/>
          <w:szCs w:val="24"/>
        </w:rPr>
        <w:t>(</w:t>
      </w:r>
      <w:r w:rsidRPr="009504F3">
        <w:rPr>
          <w:rFonts w:ascii="Times New Roman" w:hAnsi="Times New Roman" w:cs="Times New Roman"/>
          <w:sz w:val="24"/>
          <w:szCs w:val="24"/>
        </w:rPr>
        <w:t>$ bn</w:t>
      </w:r>
      <w:r w:rsidR="009504F3" w:rsidRPr="009504F3">
        <w:rPr>
          <w:rFonts w:ascii="Times New Roman" w:hAnsi="Times New Roman" w:cs="Times New Roman"/>
          <w:sz w:val="24"/>
          <w:szCs w:val="24"/>
        </w:rPr>
        <w:t>)</w:t>
      </w:r>
    </w:p>
    <w:tbl>
      <w:tblPr>
        <w:tblW w:w="9571" w:type="dxa"/>
        <w:jc w:val="center"/>
        <w:tblLayout w:type="fixed"/>
        <w:tblCellMar>
          <w:left w:w="10" w:type="dxa"/>
          <w:right w:w="10" w:type="dxa"/>
        </w:tblCellMar>
        <w:tblLook w:val="0000" w:firstRow="0" w:lastRow="0" w:firstColumn="0" w:lastColumn="0" w:noHBand="0" w:noVBand="0"/>
      </w:tblPr>
      <w:tblGrid>
        <w:gridCol w:w="1876"/>
        <w:gridCol w:w="855"/>
        <w:gridCol w:w="855"/>
        <w:gridCol w:w="855"/>
        <w:gridCol w:w="855"/>
        <w:gridCol w:w="855"/>
        <w:gridCol w:w="855"/>
        <w:gridCol w:w="855"/>
        <w:gridCol w:w="855"/>
        <w:gridCol w:w="855"/>
      </w:tblGrid>
      <w:tr w:rsidR="00A65CDF" w:rsidRPr="00A40EC9" w14:paraId="4041E63D" w14:textId="77777777" w:rsidTr="006A6E11">
        <w:trPr>
          <w:trHeight w:val="463"/>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51FC" w14:textId="77777777" w:rsidR="00A65CDF" w:rsidRPr="009504F3" w:rsidRDefault="00A65CDF" w:rsidP="00C6536F">
            <w:pPr>
              <w:keepNext/>
              <w:spacing w:after="0" w:line="240" w:lineRule="auto"/>
              <w:jc w:val="center"/>
              <w:rPr>
                <w:rFonts w:asciiTheme="majorBidi" w:hAnsiTheme="majorBidi" w:cstheme="majorBidi"/>
                <w:b/>
                <w:bCs/>
                <w:sz w:val="20"/>
                <w:szCs w:val="20"/>
                <w:lang w:val="en-US"/>
              </w:rPr>
            </w:pPr>
            <w:r w:rsidRPr="009504F3">
              <w:rPr>
                <w:rFonts w:asciiTheme="majorBidi" w:hAnsiTheme="majorBidi" w:cstheme="majorBidi"/>
                <w:b/>
                <w:bCs/>
                <w:sz w:val="20"/>
                <w:szCs w:val="20"/>
                <w:lang w:val="en-US"/>
              </w:rPr>
              <w:t>Year</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4274F"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EEB8"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6EDB2"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9B23C"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78935"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76ED2"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373D0"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EC06A"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871C8"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2009</w:t>
            </w:r>
          </w:p>
        </w:tc>
      </w:tr>
      <w:tr w:rsidR="00A65CDF" w:rsidRPr="00A40EC9" w14:paraId="1A60282C" w14:textId="77777777" w:rsidTr="00E0092C">
        <w:trPr>
          <w:trHeight w:val="673"/>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A912B"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Size of world GDP</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004BF" w14:textId="56752BFA" w:rsidR="00A65CDF" w:rsidRPr="009504F3" w:rsidRDefault="0069076E" w:rsidP="00C6536F">
            <w:pPr>
              <w:keepNext/>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33397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30354" w14:textId="22CB52BA" w:rsidR="00A65CDF" w:rsidRPr="009504F3" w:rsidRDefault="0069076E" w:rsidP="00C6536F">
            <w:pPr>
              <w:keepNext/>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34675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395BF" w14:textId="342EF724" w:rsidR="00A65CDF" w:rsidRPr="009504F3" w:rsidRDefault="0069076E" w:rsidP="00C6536F">
            <w:pPr>
              <w:keepNext/>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38904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466E6" w14:textId="50C9BAD9" w:rsidR="00A65CDF" w:rsidRPr="009504F3" w:rsidRDefault="0069076E" w:rsidP="00C6536F">
            <w:pPr>
              <w:keepNext/>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43818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C6D55" w14:textId="6595F52C" w:rsidR="00A65CDF" w:rsidRPr="009504F3" w:rsidRDefault="00A273D1" w:rsidP="00C6536F">
            <w:pPr>
              <w:keepNext/>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47458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364F" w14:textId="305A9721" w:rsidR="00A65CDF" w:rsidRPr="009504F3" w:rsidRDefault="00A273D1" w:rsidP="00C6536F">
            <w:pPr>
              <w:keepNext/>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51448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F6C23" w14:textId="44AA12A1"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5796</w:t>
            </w:r>
            <w:r w:rsidR="00A273D1">
              <w:rPr>
                <w:rFonts w:asciiTheme="majorBidi" w:hAnsiTheme="majorBidi" w:cstheme="majorBidi"/>
                <w:color w:val="000000"/>
                <w:sz w:val="20"/>
                <w:szCs w:val="20"/>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442E0" w14:textId="77777777"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63616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63BC7" w14:textId="38625A12"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6034</w:t>
            </w:r>
            <w:r w:rsidR="00A273D1">
              <w:rPr>
                <w:rFonts w:asciiTheme="majorBidi" w:hAnsiTheme="majorBidi" w:cstheme="majorBidi"/>
                <w:color w:val="000000"/>
                <w:sz w:val="20"/>
                <w:szCs w:val="20"/>
              </w:rPr>
              <w:t>4</w:t>
            </w:r>
          </w:p>
        </w:tc>
      </w:tr>
      <w:tr w:rsidR="00A65CDF" w:rsidRPr="00A40EC9" w14:paraId="678C461F" w14:textId="77777777" w:rsidTr="006A6E11">
        <w:trPr>
          <w:trHeight w:val="435"/>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1E298" w14:textId="77777777" w:rsidR="00A65CDF" w:rsidRPr="009504F3" w:rsidRDefault="00A65CDF" w:rsidP="00C6536F">
            <w:pPr>
              <w:keepNext/>
              <w:spacing w:after="0" w:line="240" w:lineRule="auto"/>
              <w:jc w:val="center"/>
              <w:rPr>
                <w:rFonts w:asciiTheme="majorBidi" w:hAnsiTheme="majorBidi" w:cstheme="majorBidi"/>
                <w:b/>
                <w:bCs/>
                <w:sz w:val="20"/>
                <w:szCs w:val="20"/>
                <w:lang w:val="en-US"/>
              </w:rPr>
            </w:pPr>
            <w:r w:rsidRPr="009504F3">
              <w:rPr>
                <w:rFonts w:asciiTheme="majorBidi" w:hAnsiTheme="majorBidi" w:cstheme="majorBidi"/>
                <w:b/>
                <w:bCs/>
                <w:sz w:val="20"/>
                <w:szCs w:val="20"/>
                <w:lang w:val="en-US"/>
              </w:rPr>
              <w:t>Year</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ECD6A"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4070"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3D5DC"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05C93"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C2C6B"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10DD7"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CCC71"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BF500"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2D4D9"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2018</w:t>
            </w:r>
          </w:p>
        </w:tc>
      </w:tr>
      <w:tr w:rsidR="00A65CDF" w:rsidRPr="00A40EC9" w14:paraId="0D102489" w14:textId="77777777" w:rsidTr="00E0092C">
        <w:trPr>
          <w:trHeight w:val="712"/>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036F" w14:textId="77777777" w:rsidR="00A65CDF" w:rsidRPr="009504F3" w:rsidRDefault="00A65CDF" w:rsidP="00C6536F">
            <w:pPr>
              <w:keepNext/>
              <w:spacing w:after="0" w:line="240" w:lineRule="auto"/>
              <w:jc w:val="center"/>
              <w:rPr>
                <w:rFonts w:asciiTheme="majorBidi" w:hAnsiTheme="majorBidi" w:cstheme="majorBidi"/>
                <w:sz w:val="20"/>
                <w:szCs w:val="20"/>
              </w:rPr>
            </w:pPr>
            <w:r w:rsidRPr="009504F3">
              <w:rPr>
                <w:rFonts w:asciiTheme="majorBidi" w:hAnsiTheme="majorBidi" w:cstheme="majorBidi"/>
                <w:b/>
                <w:bCs/>
                <w:color w:val="000000"/>
                <w:sz w:val="20"/>
                <w:szCs w:val="20"/>
              </w:rPr>
              <w:t>Size of world GDP</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F6995" w14:textId="435F7D52"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660</w:t>
            </w:r>
            <w:r w:rsidR="00A273D1">
              <w:rPr>
                <w:rFonts w:asciiTheme="majorBidi" w:hAnsiTheme="majorBidi" w:cstheme="majorBidi"/>
                <w:color w:val="000000"/>
                <w:sz w:val="20"/>
                <w:szCs w:val="20"/>
              </w:rPr>
              <w:t>49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22BB6" w14:textId="73F02513"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733</w:t>
            </w:r>
            <w:r w:rsidR="00A273D1">
              <w:rPr>
                <w:rFonts w:asciiTheme="majorBidi" w:hAnsiTheme="majorBidi" w:cstheme="majorBidi"/>
                <w:color w:val="000000"/>
                <w:sz w:val="20"/>
                <w:szCs w:val="20"/>
              </w:rPr>
              <w:t>91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8989" w14:textId="51B00AFC"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750</w:t>
            </w:r>
            <w:r w:rsidR="00A273D1">
              <w:rPr>
                <w:rFonts w:asciiTheme="majorBidi" w:hAnsiTheme="majorBidi" w:cstheme="majorBidi"/>
                <w:color w:val="000000"/>
                <w:sz w:val="20"/>
                <w:szCs w:val="20"/>
              </w:rPr>
              <w:t>83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00AE2" w14:textId="0F282095"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77</w:t>
            </w:r>
            <w:r w:rsidR="00A273D1">
              <w:rPr>
                <w:rFonts w:asciiTheme="majorBidi" w:hAnsiTheme="majorBidi" w:cstheme="majorBidi"/>
                <w:color w:val="000000"/>
                <w:sz w:val="20"/>
                <w:szCs w:val="20"/>
              </w:rPr>
              <w:t>236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E7031" w14:textId="134B8B38"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79</w:t>
            </w:r>
            <w:r w:rsidR="00A273D1">
              <w:rPr>
                <w:rFonts w:asciiTheme="majorBidi" w:hAnsiTheme="majorBidi" w:cstheme="majorBidi"/>
                <w:color w:val="000000"/>
                <w:sz w:val="20"/>
                <w:szCs w:val="20"/>
              </w:rPr>
              <w:t>334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2FDD0" w14:textId="44392960"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750</w:t>
            </w:r>
            <w:r w:rsidR="00A273D1">
              <w:rPr>
                <w:rFonts w:asciiTheme="majorBidi" w:hAnsiTheme="majorBidi" w:cstheme="majorBidi"/>
                <w:color w:val="000000"/>
                <w:sz w:val="20"/>
                <w:szCs w:val="20"/>
              </w:rPr>
              <w:t>52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FF1B2" w14:textId="4BF0B13A"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761</w:t>
            </w:r>
            <w:r w:rsidR="00A273D1">
              <w:rPr>
                <w:rFonts w:asciiTheme="majorBidi" w:hAnsiTheme="majorBidi" w:cstheme="majorBidi"/>
                <w:color w:val="000000"/>
                <w:sz w:val="20"/>
                <w:szCs w:val="20"/>
              </w:rPr>
              <w:t>66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83166" w14:textId="38410468"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80</w:t>
            </w:r>
            <w:r w:rsidR="00A273D1">
              <w:rPr>
                <w:rFonts w:asciiTheme="majorBidi" w:hAnsiTheme="majorBidi" w:cstheme="majorBidi"/>
                <w:color w:val="000000"/>
                <w:sz w:val="20"/>
                <w:szCs w:val="20"/>
              </w:rPr>
              <w:t>963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BF9EF" w14:textId="0816E62F" w:rsidR="00A65CDF" w:rsidRPr="009504F3" w:rsidRDefault="00A65CDF" w:rsidP="00C6536F">
            <w:pPr>
              <w:keepNext/>
              <w:spacing w:after="0" w:line="240" w:lineRule="auto"/>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85</w:t>
            </w:r>
            <w:r w:rsidR="00A273D1">
              <w:rPr>
                <w:rFonts w:asciiTheme="majorBidi" w:hAnsiTheme="majorBidi" w:cstheme="majorBidi"/>
                <w:color w:val="000000"/>
                <w:sz w:val="20"/>
                <w:szCs w:val="20"/>
              </w:rPr>
              <w:t>931</w:t>
            </w:r>
          </w:p>
        </w:tc>
      </w:tr>
    </w:tbl>
    <w:p w14:paraId="03476F8E" w14:textId="3F126E68" w:rsidR="0096385D" w:rsidRPr="00345605" w:rsidRDefault="0096385D" w:rsidP="00E0092C">
      <w:pPr>
        <w:pStyle w:val="Caption"/>
        <w:spacing w:before="240"/>
        <w:rPr>
          <w:color w:val="auto"/>
          <w:sz w:val="22"/>
          <w:szCs w:val="22"/>
          <w:lang w:val="en-US"/>
        </w:rPr>
      </w:pPr>
      <w:r w:rsidRPr="00345605">
        <w:rPr>
          <w:rFonts w:ascii="Times New Roman" w:hAnsi="Times New Roman" w:cs="Times New Roman"/>
          <w:color w:val="auto"/>
          <w:sz w:val="22"/>
          <w:szCs w:val="22"/>
          <w:lang w:val="en-US"/>
        </w:rPr>
        <w:t xml:space="preserve">Source: </w:t>
      </w:r>
      <w:r w:rsidR="003F7D25" w:rsidRPr="003F7D25">
        <w:rPr>
          <w:rFonts w:ascii="Times New Roman" w:hAnsi="Times New Roman" w:cs="Times New Roman"/>
          <w:i w:val="0"/>
          <w:iCs w:val="0"/>
          <w:color w:val="auto"/>
          <w:sz w:val="22"/>
          <w:szCs w:val="22"/>
          <w:lang w:val="en-US"/>
        </w:rPr>
        <w:t xml:space="preserve">compiled by the author based on </w:t>
      </w:r>
      <w:r w:rsidRPr="00345605">
        <w:rPr>
          <w:rFonts w:ascii="Times New Roman" w:hAnsi="Times New Roman" w:cs="Times New Roman"/>
          <w:i w:val="0"/>
          <w:iCs w:val="0"/>
          <w:color w:val="auto"/>
          <w:sz w:val="22"/>
          <w:szCs w:val="22"/>
          <w:lang w:val="en-US"/>
        </w:rPr>
        <w:t xml:space="preserve">World </w:t>
      </w:r>
      <w:r w:rsidR="00840657">
        <w:rPr>
          <w:rFonts w:ascii="Times New Roman" w:hAnsi="Times New Roman" w:cs="Times New Roman"/>
          <w:i w:val="0"/>
          <w:iCs w:val="0"/>
          <w:color w:val="auto"/>
          <w:sz w:val="22"/>
          <w:szCs w:val="22"/>
          <w:lang w:val="en-US"/>
        </w:rPr>
        <w:t>B</w:t>
      </w:r>
      <w:r w:rsidRPr="00345605">
        <w:rPr>
          <w:rFonts w:ascii="Times New Roman" w:hAnsi="Times New Roman" w:cs="Times New Roman"/>
          <w:i w:val="0"/>
          <w:iCs w:val="0"/>
          <w:color w:val="auto"/>
          <w:sz w:val="22"/>
          <w:szCs w:val="22"/>
          <w:lang w:val="en-US"/>
        </w:rPr>
        <w:t>ank data.</w:t>
      </w:r>
      <w:r w:rsidRPr="00345605">
        <w:rPr>
          <w:rStyle w:val="FootnoteReference"/>
          <w:rFonts w:asciiTheme="majorBidi" w:hAnsiTheme="majorBidi" w:cstheme="majorBidi"/>
          <w:i w:val="0"/>
          <w:iCs w:val="0"/>
          <w:color w:val="auto"/>
          <w:lang w:val="en-US"/>
        </w:rPr>
        <w:footnoteReference w:id="47"/>
      </w:r>
    </w:p>
    <w:p w14:paraId="3F566606" w14:textId="77777777" w:rsidR="00A65CDF" w:rsidRDefault="00A65CDF" w:rsidP="0008496D">
      <w:pPr>
        <w:suppressAutoHyphens/>
        <w:spacing w:before="240" w:line="360" w:lineRule="auto"/>
        <w:ind w:firstLine="720"/>
        <w:jc w:val="both"/>
      </w:pPr>
      <w:r>
        <w:rPr>
          <w:rFonts w:ascii="Times New Roman" w:hAnsi="Times New Roman" w:cs="Times New Roman"/>
          <w:sz w:val="24"/>
          <w:szCs w:val="24"/>
        </w:rPr>
        <w:t>It can be assumed that the relationship between global GDP and project finance is direct, which can be described by the equation of the line. To establish the parameters of the linear regression equation y = a + b * x, we used the built-in statistical function (Linear), which allowed us to establish the value of coefficient b, coefficient a, determination coefficient R</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7094CE3E" w14:textId="77777777" w:rsidR="00A65CDF" w:rsidRPr="00EC31B1" w:rsidRDefault="00A65CDF" w:rsidP="0008496D">
      <w:pPr>
        <w:suppressAutoHyphens/>
        <w:spacing w:line="360" w:lineRule="auto"/>
        <w:ind w:firstLine="720"/>
        <w:jc w:val="both"/>
        <w:rPr>
          <w:rFonts w:ascii="Times New Roman" w:hAnsi="Times New Roman" w:cs="Times New Roman"/>
          <w:sz w:val="24"/>
          <w:szCs w:val="24"/>
          <w:rtl/>
        </w:rPr>
      </w:pPr>
      <w:r w:rsidRPr="00EC31B1">
        <w:rPr>
          <w:rFonts w:ascii="Times New Roman" w:hAnsi="Times New Roman" w:cs="Times New Roman"/>
          <w:sz w:val="24"/>
          <w:szCs w:val="24"/>
        </w:rPr>
        <w:t>As a result of our calculations, we obtained the following regression equation, which reflects the relationship between global GDP and project finance</w:t>
      </w:r>
      <w:r w:rsidRPr="00EC31B1">
        <w:rPr>
          <w:rFonts w:ascii="Times New Roman" w:hAnsi="Times New Roman" w:cs="Times New Roman"/>
          <w:sz w:val="24"/>
          <w:szCs w:val="24"/>
          <w:rtl/>
        </w:rPr>
        <w:t>:</w:t>
      </w:r>
    </w:p>
    <w:p w14:paraId="17B9071A" w14:textId="77777777" w:rsidR="00A65CDF" w:rsidRDefault="00A65CDF" w:rsidP="002867B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Y = 209 * X + 23508 </w:t>
      </w:r>
    </w:p>
    <w:p w14:paraId="30523D8C" w14:textId="77BD878F" w:rsidR="00A65CDF" w:rsidRDefault="00A65CDF" w:rsidP="0008496D">
      <w:pPr>
        <w:suppressAutoHyphens/>
        <w:ind w:firstLine="720"/>
        <w:jc w:val="both"/>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0.78, which is fairly good. It means that </w:t>
      </w:r>
      <w:r w:rsidR="00DE6F7E">
        <w:rPr>
          <w:rFonts w:ascii="Times New Roman" w:hAnsi="Times New Roman" w:cs="Times New Roman"/>
          <w:sz w:val="24"/>
          <w:szCs w:val="24"/>
        </w:rPr>
        <w:t>78</w:t>
      </w:r>
      <w:r>
        <w:rPr>
          <w:rFonts w:ascii="Times New Roman" w:hAnsi="Times New Roman" w:cs="Times New Roman"/>
          <w:sz w:val="24"/>
          <w:szCs w:val="24"/>
        </w:rPr>
        <w:t>% of our values fit the regression analysis model.</w:t>
      </w:r>
    </w:p>
    <w:p w14:paraId="5E0FFA2D" w14:textId="7A8BD95D" w:rsidR="00A65CDF" w:rsidRDefault="00A65CDF" w:rsidP="0008496D">
      <w:pPr>
        <w:suppressAutoHyphens/>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experience of applying project financing in the Russian economy is rather small compar</w:t>
      </w:r>
      <w:r w:rsidR="005A3864">
        <w:rPr>
          <w:rFonts w:ascii="Times New Roman" w:hAnsi="Times New Roman" w:cs="Times New Roman"/>
          <w:sz w:val="24"/>
          <w:szCs w:val="24"/>
        </w:rPr>
        <w:t>ed</w:t>
      </w:r>
      <w:r>
        <w:rPr>
          <w:rFonts w:ascii="Times New Roman" w:hAnsi="Times New Roman" w:cs="Times New Roman"/>
          <w:sz w:val="24"/>
          <w:szCs w:val="24"/>
        </w:rPr>
        <w:t xml:space="preserve"> </w:t>
      </w:r>
      <w:r w:rsidR="005A3864">
        <w:rPr>
          <w:rFonts w:ascii="Times New Roman" w:hAnsi="Times New Roman" w:cs="Times New Roman"/>
          <w:sz w:val="24"/>
          <w:szCs w:val="24"/>
        </w:rPr>
        <w:t>to</w:t>
      </w:r>
      <w:r>
        <w:rPr>
          <w:rFonts w:ascii="Times New Roman" w:hAnsi="Times New Roman" w:cs="Times New Roman"/>
          <w:sz w:val="24"/>
          <w:szCs w:val="24"/>
        </w:rPr>
        <w:t xml:space="preserve"> foreign practice</w:t>
      </w:r>
      <w:r w:rsidR="005A3864">
        <w:rPr>
          <w:rFonts w:ascii="Times New Roman" w:hAnsi="Times New Roman" w:cs="Times New Roman"/>
          <w:sz w:val="24"/>
          <w:szCs w:val="24"/>
        </w:rPr>
        <w:t>;</w:t>
      </w:r>
      <w:r>
        <w:rPr>
          <w:rFonts w:ascii="Times New Roman" w:hAnsi="Times New Roman" w:cs="Times New Roman"/>
          <w:sz w:val="24"/>
          <w:szCs w:val="24"/>
        </w:rPr>
        <w:t xml:space="preserve"> the total amount of project finance has reached $73 bn in Russia between 1995 and 2018.</w:t>
      </w:r>
    </w:p>
    <w:p w14:paraId="25FD73C8" w14:textId="047CA5BF" w:rsidR="00A65CDF" w:rsidRDefault="00A65CDF" w:rsidP="0008496D">
      <w:pPr>
        <w:suppressAutoHyphens/>
        <w:spacing w:line="360" w:lineRule="auto"/>
        <w:ind w:firstLine="720"/>
        <w:jc w:val="both"/>
        <w:rPr>
          <w:b/>
          <w:bCs/>
          <w:lang w:val="en-US"/>
        </w:rPr>
      </w:pPr>
      <w:r>
        <w:rPr>
          <w:rFonts w:ascii="Times New Roman" w:hAnsi="Times New Roman" w:cs="Times New Roman"/>
          <w:sz w:val="24"/>
          <w:szCs w:val="24"/>
        </w:rPr>
        <w:t xml:space="preserve">The 2008 crisis </w:t>
      </w:r>
      <w:r w:rsidR="00BD05A9">
        <w:rPr>
          <w:rFonts w:ascii="Times New Roman" w:hAnsi="Times New Roman" w:cs="Times New Roman"/>
          <w:sz w:val="24"/>
          <w:szCs w:val="24"/>
        </w:rPr>
        <w:t xml:space="preserve">has </w:t>
      </w:r>
      <w:r w:rsidR="00BD05A9" w:rsidRPr="00BD05A9">
        <w:rPr>
          <w:rFonts w:ascii="Times New Roman" w:hAnsi="Times New Roman" w:cs="Times New Roman"/>
          <w:sz w:val="24"/>
          <w:szCs w:val="24"/>
        </w:rPr>
        <w:t>negatively affected</w:t>
      </w:r>
      <w:r w:rsidR="00BD05A9">
        <w:rPr>
          <w:rFonts w:ascii="Times New Roman" w:hAnsi="Times New Roman" w:cs="Times New Roman"/>
          <w:sz w:val="24"/>
          <w:szCs w:val="24"/>
        </w:rPr>
        <w:t xml:space="preserve"> </w:t>
      </w:r>
      <w:r>
        <w:rPr>
          <w:rFonts w:ascii="Times New Roman" w:hAnsi="Times New Roman" w:cs="Times New Roman"/>
          <w:sz w:val="24"/>
          <w:szCs w:val="24"/>
        </w:rPr>
        <w:t>the Russian project finance market</w:t>
      </w:r>
      <w:r w:rsidR="005A3864">
        <w:rPr>
          <w:rFonts w:ascii="Times New Roman" w:hAnsi="Times New Roman" w:cs="Times New Roman"/>
          <w:sz w:val="24"/>
          <w:szCs w:val="24"/>
        </w:rPr>
        <w:t>,</w:t>
      </w:r>
      <w:r w:rsidR="00C43B75">
        <w:rPr>
          <w:rFonts w:ascii="Times New Roman" w:hAnsi="Times New Roman" w:cs="Times New Roman"/>
          <w:sz w:val="24"/>
          <w:szCs w:val="24"/>
        </w:rPr>
        <w:t xml:space="preserve"> </w:t>
      </w:r>
      <w:r w:rsidR="00C43B75" w:rsidRPr="00C43B75">
        <w:rPr>
          <w:rFonts w:ascii="Times New Roman" w:hAnsi="Times New Roman" w:cs="Times New Roman"/>
          <w:sz w:val="24"/>
          <w:szCs w:val="24"/>
        </w:rPr>
        <w:t xml:space="preserve">as reflected in </w:t>
      </w:r>
      <w:r w:rsidR="00C43B75" w:rsidRPr="00C43B75">
        <w:rPr>
          <w:rFonts w:ascii="Times New Roman" w:hAnsi="Times New Roman" w:cs="Times New Roman"/>
          <w:i/>
          <w:iCs/>
          <w:sz w:val="24"/>
          <w:szCs w:val="24"/>
        </w:rPr>
        <w:t xml:space="preserve">Fig. </w:t>
      </w:r>
      <w:r w:rsidR="002867BA">
        <w:rPr>
          <w:rFonts w:ascii="Times New Roman" w:hAnsi="Times New Roman" w:cs="Times New Roman"/>
          <w:i/>
          <w:iCs/>
          <w:sz w:val="24"/>
          <w:szCs w:val="24"/>
        </w:rPr>
        <w:t>2.</w:t>
      </w:r>
      <w:r w:rsidR="00C43B75" w:rsidRPr="00C43B75">
        <w:rPr>
          <w:rFonts w:ascii="Times New Roman" w:hAnsi="Times New Roman" w:cs="Times New Roman"/>
          <w:i/>
          <w:iCs/>
          <w:sz w:val="24"/>
          <w:szCs w:val="24"/>
        </w:rPr>
        <w:t>4</w:t>
      </w:r>
      <w:r>
        <w:rPr>
          <w:rFonts w:ascii="Times New Roman" w:hAnsi="Times New Roman" w:cs="Times New Roman"/>
          <w:sz w:val="24"/>
          <w:szCs w:val="24"/>
        </w:rPr>
        <w:t xml:space="preserve">, the volume of transactions in 2009 and 2010 had decreased by 69% and amounted to $2.75 bn at </w:t>
      </w:r>
      <w:r>
        <w:rPr>
          <w:rFonts w:ascii="Times New Roman" w:hAnsi="Times New Roman" w:cs="Times New Roman"/>
          <w:sz w:val="24"/>
          <w:szCs w:val="24"/>
        </w:rPr>
        <w:lastRenderedPageBreak/>
        <w:t>the end of 2010. However, in 2011</w:t>
      </w:r>
      <w:r w:rsidR="00BD05A9">
        <w:rPr>
          <w:rFonts w:ascii="Times New Roman" w:hAnsi="Times New Roman" w:cs="Times New Roman"/>
          <w:sz w:val="24"/>
          <w:szCs w:val="24"/>
        </w:rPr>
        <w:t>,</w:t>
      </w:r>
      <w:r>
        <w:rPr>
          <w:rFonts w:ascii="Times New Roman" w:hAnsi="Times New Roman" w:cs="Times New Roman"/>
          <w:sz w:val="24"/>
          <w:szCs w:val="24"/>
        </w:rPr>
        <w:t xml:space="preserve"> the volume of </w:t>
      </w:r>
      <w:r w:rsidR="001D52BB">
        <w:rPr>
          <w:rFonts w:ascii="Times New Roman" w:hAnsi="Times New Roman" w:cs="Times New Roman"/>
          <w:sz w:val="24"/>
          <w:szCs w:val="24"/>
        </w:rPr>
        <w:t>p</w:t>
      </w:r>
      <w:r>
        <w:rPr>
          <w:rFonts w:ascii="Times New Roman" w:hAnsi="Times New Roman" w:cs="Times New Roman"/>
          <w:sz w:val="24"/>
          <w:szCs w:val="24"/>
        </w:rPr>
        <w:t>roject finance in Russia had quadrupled and amounted to $11.3 bn. In the period 2012-2015</w:t>
      </w:r>
      <w:r w:rsidR="00720110">
        <w:rPr>
          <w:rFonts w:ascii="Times New Roman" w:hAnsi="Times New Roman" w:cs="Times New Roman"/>
          <w:sz w:val="24"/>
          <w:szCs w:val="24"/>
        </w:rPr>
        <w:t>,</w:t>
      </w:r>
      <w:r>
        <w:rPr>
          <w:rFonts w:ascii="Times New Roman" w:hAnsi="Times New Roman" w:cs="Times New Roman"/>
          <w:sz w:val="24"/>
          <w:szCs w:val="24"/>
        </w:rPr>
        <w:t xml:space="preserve"> transactions decreased by 95% and amounted to $0.61 bn at the end of 2015</w:t>
      </w:r>
      <w:r w:rsidR="00A307E0">
        <w:rPr>
          <w:rFonts w:ascii="Times New Roman" w:hAnsi="Times New Roman" w:cs="Times New Roman"/>
          <w:sz w:val="24"/>
          <w:szCs w:val="24"/>
        </w:rPr>
        <w:t>.</w:t>
      </w:r>
      <w:r>
        <w:rPr>
          <w:rFonts w:ascii="Times New Roman" w:hAnsi="Times New Roman" w:cs="Times New Roman"/>
          <w:sz w:val="24"/>
          <w:szCs w:val="24"/>
        </w:rPr>
        <w:t xml:space="preserve"> </w:t>
      </w:r>
      <w:r w:rsidR="00A307E0">
        <w:rPr>
          <w:rFonts w:ascii="Times New Roman" w:hAnsi="Times New Roman" w:cs="Times New Roman"/>
          <w:sz w:val="24"/>
          <w:szCs w:val="24"/>
        </w:rPr>
        <w:t>S</w:t>
      </w:r>
      <w:r>
        <w:rPr>
          <w:rFonts w:ascii="Times New Roman" w:hAnsi="Times New Roman" w:cs="Times New Roman"/>
          <w:sz w:val="24"/>
          <w:szCs w:val="24"/>
        </w:rPr>
        <w:t>uch a significant reduction in the volume of project finance transactions is caused by the limited access to foreign sources of financing in connection with western sanctions</w:t>
      </w:r>
      <w:r w:rsidR="00BD05A9">
        <w:rPr>
          <w:rFonts w:ascii="Times New Roman" w:hAnsi="Times New Roman" w:cs="Times New Roman"/>
          <w:sz w:val="24"/>
          <w:szCs w:val="24"/>
        </w:rPr>
        <w:t xml:space="preserve"> on the Russian economy</w:t>
      </w:r>
      <w:r>
        <w:rPr>
          <w:rFonts w:ascii="Times New Roman" w:hAnsi="Times New Roman" w:cs="Times New Roman"/>
          <w:sz w:val="24"/>
          <w:szCs w:val="24"/>
        </w:rPr>
        <w:t xml:space="preserve">. In 2016, the maximum volume of project finance in Russia was noted, and amounted to $19.08 </w:t>
      </w:r>
      <w:r w:rsidR="00F842D0">
        <w:rPr>
          <w:rFonts w:ascii="Times New Roman" w:hAnsi="Times New Roman" w:cs="Times New Roman"/>
          <w:sz w:val="24"/>
          <w:szCs w:val="24"/>
        </w:rPr>
        <w:t>bn</w:t>
      </w:r>
      <w:r>
        <w:rPr>
          <w:rFonts w:ascii="Times New Roman" w:hAnsi="Times New Roman" w:cs="Times New Roman"/>
          <w:sz w:val="24"/>
          <w:szCs w:val="24"/>
        </w:rPr>
        <w:t xml:space="preserve"> which exceeds the volume of transactions in 2015 by 18 times</w:t>
      </w:r>
      <w:r w:rsidR="00BD05A9">
        <w:rPr>
          <w:rFonts w:ascii="Times New Roman" w:hAnsi="Times New Roman" w:cs="Times New Roman"/>
          <w:sz w:val="24"/>
          <w:szCs w:val="24"/>
        </w:rPr>
        <w:t>,</w:t>
      </w:r>
      <w:r>
        <w:rPr>
          <w:rFonts w:ascii="Times New Roman" w:hAnsi="Times New Roman" w:cs="Times New Roman"/>
          <w:sz w:val="24"/>
          <w:szCs w:val="24"/>
        </w:rPr>
        <w:t xml:space="preserve"> accounting for 8.1% of the global project finance market and ranked as the third o</w:t>
      </w:r>
      <w:r w:rsidRPr="00586D31">
        <w:rPr>
          <w:rFonts w:ascii="Times New Roman" w:hAnsi="Times New Roman" w:cs="Times New Roman"/>
          <w:sz w:val="24"/>
          <w:szCs w:val="24"/>
        </w:rPr>
        <w:t xml:space="preserve">n the international project finance market according to </w:t>
      </w:r>
      <w:r>
        <w:rPr>
          <w:rFonts w:ascii="Times New Roman" w:hAnsi="Times New Roman" w:cs="Times New Roman"/>
          <w:sz w:val="24"/>
          <w:szCs w:val="24"/>
        </w:rPr>
        <w:t>2015</w:t>
      </w:r>
      <w:r w:rsidRPr="00586D31">
        <w:rPr>
          <w:rFonts w:ascii="Times New Roman" w:hAnsi="Times New Roman" w:cs="Times New Roman"/>
          <w:sz w:val="24"/>
          <w:szCs w:val="24"/>
        </w:rPr>
        <w:t xml:space="preserve"> data </w:t>
      </w:r>
      <w:r>
        <w:rPr>
          <w:rFonts w:ascii="Times New Roman" w:hAnsi="Times New Roman" w:cs="Times New Roman"/>
          <w:sz w:val="24"/>
          <w:szCs w:val="24"/>
        </w:rPr>
        <w:t xml:space="preserve">after USA and Australia, </w:t>
      </w:r>
      <w:r w:rsidR="00BD05A9">
        <w:rPr>
          <w:rFonts w:ascii="Times New Roman" w:hAnsi="Times New Roman" w:cs="Times New Roman"/>
          <w:sz w:val="24"/>
          <w:szCs w:val="24"/>
        </w:rPr>
        <w:t>this</w:t>
      </w:r>
      <w:r>
        <w:rPr>
          <w:rFonts w:ascii="Times New Roman" w:hAnsi="Times New Roman" w:cs="Times New Roman"/>
          <w:sz w:val="24"/>
          <w:szCs w:val="24"/>
        </w:rPr>
        <w:t xml:space="preserve"> </w:t>
      </w:r>
      <w:r w:rsidR="00BD05A9">
        <w:rPr>
          <w:rFonts w:ascii="Times New Roman" w:hAnsi="Times New Roman" w:cs="Times New Roman"/>
          <w:sz w:val="24"/>
          <w:szCs w:val="24"/>
        </w:rPr>
        <w:t>increase</w:t>
      </w:r>
      <w:r>
        <w:rPr>
          <w:rFonts w:ascii="Times New Roman" w:hAnsi="Times New Roman" w:cs="Times New Roman"/>
          <w:sz w:val="24"/>
          <w:szCs w:val="24"/>
        </w:rPr>
        <w:t xml:space="preserve"> in the volume of transactions is associated with the investment in the oil and gas </w:t>
      </w:r>
      <w:r w:rsidR="00BD05A9">
        <w:rPr>
          <w:rFonts w:ascii="Times New Roman" w:hAnsi="Times New Roman" w:cs="Times New Roman"/>
          <w:sz w:val="24"/>
          <w:szCs w:val="24"/>
        </w:rPr>
        <w:t>sector</w:t>
      </w:r>
      <w:r>
        <w:rPr>
          <w:rFonts w:ascii="Times New Roman" w:hAnsi="Times New Roman" w:cs="Times New Roman"/>
          <w:sz w:val="24"/>
          <w:szCs w:val="24"/>
        </w:rPr>
        <w:t xml:space="preserve"> </w:t>
      </w:r>
      <w:r w:rsidR="00BD05A9">
        <w:rPr>
          <w:rFonts w:ascii="Times New Roman" w:hAnsi="Times New Roman" w:cs="Times New Roman"/>
          <w:sz w:val="24"/>
          <w:szCs w:val="24"/>
        </w:rPr>
        <w:t>(</w:t>
      </w:r>
      <w:r>
        <w:rPr>
          <w:rFonts w:ascii="Times New Roman" w:hAnsi="Times New Roman" w:cs="Times New Roman"/>
          <w:sz w:val="24"/>
          <w:szCs w:val="24"/>
        </w:rPr>
        <w:t>Yamal LNG</w:t>
      </w:r>
      <w:r w:rsidR="00BD05A9">
        <w:rPr>
          <w:rFonts w:ascii="Times New Roman" w:hAnsi="Times New Roman" w:cs="Times New Roman"/>
          <w:sz w:val="24"/>
          <w:szCs w:val="24"/>
        </w:rPr>
        <w:t>)</w:t>
      </w:r>
      <w:r>
        <w:rPr>
          <w:rFonts w:ascii="Times New Roman" w:hAnsi="Times New Roman" w:cs="Times New Roman"/>
          <w:sz w:val="24"/>
          <w:szCs w:val="24"/>
        </w:rPr>
        <w:t xml:space="preserve">. In 2018 </w:t>
      </w:r>
      <w:r w:rsidR="00BD05A9">
        <w:rPr>
          <w:rFonts w:ascii="Times New Roman" w:hAnsi="Times New Roman" w:cs="Times New Roman"/>
          <w:sz w:val="24"/>
          <w:szCs w:val="24"/>
        </w:rPr>
        <w:t>the transactions</w:t>
      </w:r>
      <w:r w:rsidR="00810EC1" w:rsidRPr="00810EC1">
        <w:rPr>
          <w:rFonts w:ascii="Times New Roman" w:hAnsi="Times New Roman" w:cs="Times New Roman"/>
          <w:sz w:val="24"/>
          <w:szCs w:val="24"/>
        </w:rPr>
        <w:t>'</w:t>
      </w:r>
      <w:r w:rsidR="00BD05A9">
        <w:rPr>
          <w:rFonts w:ascii="Times New Roman" w:hAnsi="Times New Roman" w:cs="Times New Roman"/>
          <w:sz w:val="24"/>
          <w:szCs w:val="24"/>
        </w:rPr>
        <w:t xml:space="preserve"> volume </w:t>
      </w:r>
      <w:r>
        <w:rPr>
          <w:rFonts w:ascii="Times New Roman" w:hAnsi="Times New Roman" w:cs="Times New Roman"/>
          <w:sz w:val="24"/>
          <w:szCs w:val="24"/>
        </w:rPr>
        <w:t>dropped to $1.9 bn because Yamal LNG</w:t>
      </w:r>
      <w:r w:rsidR="00C43B75">
        <w:rPr>
          <w:rFonts w:ascii="Times New Roman" w:hAnsi="Times New Roman" w:cs="Times New Roman"/>
          <w:sz w:val="24"/>
          <w:szCs w:val="24"/>
        </w:rPr>
        <w:t xml:space="preserve"> (</w:t>
      </w:r>
      <w:r w:rsidR="00C43B75" w:rsidRPr="00C43B75">
        <w:rPr>
          <w:rFonts w:ascii="Times New Roman" w:hAnsi="Times New Roman" w:cs="Times New Roman"/>
          <w:sz w:val="24"/>
          <w:szCs w:val="24"/>
        </w:rPr>
        <w:t>Liquefied Natural Gas</w:t>
      </w:r>
      <w:r w:rsidR="00C43B75" w:rsidRPr="00C43B75">
        <w:t>)</w:t>
      </w:r>
      <w:r>
        <w:rPr>
          <w:rFonts w:ascii="Times New Roman" w:hAnsi="Times New Roman" w:cs="Times New Roman"/>
          <w:sz w:val="24"/>
          <w:szCs w:val="24"/>
        </w:rPr>
        <w:t xml:space="preserve"> scheme was financed in 2016 and not repeated, also because of the continuing sanctions on Russia following the Ukrainian crisis in 2014.</w:t>
      </w:r>
    </w:p>
    <w:p w14:paraId="5B0CCA71" w14:textId="77777777" w:rsidR="00C43B75" w:rsidRDefault="00A65CDF" w:rsidP="00C43B75">
      <w:pPr>
        <w:keepNext/>
        <w:spacing w:after="0" w:line="360" w:lineRule="auto"/>
        <w:jc w:val="both"/>
      </w:pPr>
      <w:r>
        <w:rPr>
          <w:noProof/>
        </w:rPr>
        <w:drawing>
          <wp:inline distT="0" distB="0" distL="0" distR="0" wp14:anchorId="5B4F9A39" wp14:editId="794792A5">
            <wp:extent cx="5731510" cy="2529840"/>
            <wp:effectExtent l="0" t="0" r="2540" b="3810"/>
            <wp:docPr id="3" name="Chart 3">
              <a:extLst xmlns:a="http://schemas.openxmlformats.org/drawingml/2006/main">
                <a:ext uri="{FF2B5EF4-FFF2-40B4-BE49-F238E27FC236}">
                  <a16:creationId xmlns:a16="http://schemas.microsoft.com/office/drawing/2014/main" id="{955C6543-6317-4EB6-AFEE-2E4F84BF2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374E92" w14:textId="6642B7B3" w:rsidR="00A65CDF" w:rsidRPr="00C43B75" w:rsidRDefault="00C43B75" w:rsidP="00C43B75">
      <w:pPr>
        <w:spacing w:after="0" w:line="360" w:lineRule="auto"/>
        <w:jc w:val="both"/>
        <w:rPr>
          <w:rFonts w:ascii="Times New Roman" w:hAnsi="Times New Roman" w:cs="Times New Roman"/>
          <w:sz w:val="24"/>
          <w:szCs w:val="24"/>
        </w:rPr>
      </w:pPr>
      <w:r w:rsidRPr="00C43B75">
        <w:rPr>
          <w:rFonts w:ascii="Times New Roman" w:hAnsi="Times New Roman" w:cs="Times New Roman"/>
          <w:i/>
          <w:iCs/>
          <w:sz w:val="24"/>
          <w:szCs w:val="24"/>
        </w:rPr>
        <w:t xml:space="preserve">Fig. </w:t>
      </w:r>
      <w:r w:rsidR="002867BA">
        <w:rPr>
          <w:rFonts w:ascii="Times New Roman" w:hAnsi="Times New Roman" w:cs="Times New Roman"/>
          <w:i/>
          <w:iCs/>
          <w:sz w:val="24"/>
          <w:szCs w:val="24"/>
        </w:rPr>
        <w:t>2.</w:t>
      </w:r>
      <w:r w:rsidRPr="00C43B75">
        <w:rPr>
          <w:rFonts w:ascii="Times New Roman" w:hAnsi="Times New Roman" w:cs="Times New Roman"/>
          <w:i/>
          <w:iCs/>
          <w:sz w:val="24"/>
          <w:szCs w:val="24"/>
        </w:rPr>
        <w:fldChar w:fldCharType="begin"/>
      </w:r>
      <w:r w:rsidRPr="00C43B75">
        <w:rPr>
          <w:rFonts w:ascii="Times New Roman" w:hAnsi="Times New Roman" w:cs="Times New Roman"/>
          <w:i/>
          <w:iCs/>
          <w:sz w:val="24"/>
          <w:szCs w:val="24"/>
        </w:rPr>
        <w:instrText xml:space="preserve"> SEQ Figure \* ARABIC </w:instrText>
      </w:r>
      <w:r w:rsidRPr="00C43B75">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4</w:t>
      </w:r>
      <w:r w:rsidRPr="00C43B75">
        <w:rPr>
          <w:rFonts w:ascii="Times New Roman" w:hAnsi="Times New Roman" w:cs="Times New Roman"/>
          <w:i/>
          <w:iCs/>
          <w:sz w:val="24"/>
          <w:szCs w:val="24"/>
        </w:rPr>
        <w:fldChar w:fldCharType="end"/>
      </w:r>
      <w:r w:rsidRPr="00C43B75">
        <w:rPr>
          <w:rFonts w:ascii="Times New Roman" w:hAnsi="Times New Roman" w:cs="Times New Roman"/>
          <w:sz w:val="24"/>
          <w:szCs w:val="24"/>
        </w:rPr>
        <w:t xml:space="preserve">. </w:t>
      </w:r>
      <w:r>
        <w:rPr>
          <w:rFonts w:ascii="Times New Roman" w:hAnsi="Times New Roman" w:cs="Times New Roman"/>
          <w:sz w:val="24"/>
          <w:szCs w:val="24"/>
        </w:rPr>
        <w:t>S</w:t>
      </w:r>
      <w:r w:rsidRPr="00C43B75">
        <w:rPr>
          <w:rFonts w:ascii="Times New Roman" w:hAnsi="Times New Roman" w:cs="Times New Roman"/>
          <w:sz w:val="24"/>
          <w:szCs w:val="24"/>
        </w:rPr>
        <w:t>ize of project finance transactions in Russia from 2007 to 2018</w:t>
      </w:r>
    </w:p>
    <w:p w14:paraId="265D963B" w14:textId="591F87FF" w:rsidR="00DE51CF" w:rsidRPr="00345605" w:rsidRDefault="00DE51CF" w:rsidP="002867BA">
      <w:pPr>
        <w:pStyle w:val="Caption"/>
        <w:spacing w:line="360" w:lineRule="auto"/>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p>
    <w:p w14:paraId="485CFF1E" w14:textId="79E3D581" w:rsidR="00A65CDF" w:rsidRPr="004808B0" w:rsidRDefault="00A65CDF" w:rsidP="002867BA">
      <w:pPr>
        <w:spacing w:before="240" w:line="360" w:lineRule="auto"/>
        <w:jc w:val="both"/>
        <w:rPr>
          <w:rFonts w:asciiTheme="majorBidi" w:hAnsiTheme="majorBidi" w:cstheme="majorBidi"/>
          <w:sz w:val="28"/>
          <w:szCs w:val="28"/>
          <w:lang w:val="en-US"/>
        </w:rPr>
      </w:pPr>
      <w:r w:rsidRPr="004808B0">
        <w:rPr>
          <w:rFonts w:asciiTheme="majorBidi" w:hAnsiTheme="majorBidi" w:cstheme="majorBidi"/>
          <w:sz w:val="28"/>
          <w:szCs w:val="28"/>
        </w:rPr>
        <w:t xml:space="preserve">2.2 The </w:t>
      </w:r>
      <w:r w:rsidR="00450A8B" w:rsidRPr="004808B0">
        <w:rPr>
          <w:rFonts w:asciiTheme="majorBidi" w:hAnsiTheme="majorBidi" w:cstheme="majorBidi"/>
          <w:sz w:val="28"/>
          <w:szCs w:val="28"/>
        </w:rPr>
        <w:t>growth</w:t>
      </w:r>
      <w:r w:rsidRPr="004808B0">
        <w:rPr>
          <w:rFonts w:asciiTheme="majorBidi" w:hAnsiTheme="majorBidi" w:cstheme="majorBidi"/>
          <w:sz w:val="28"/>
          <w:szCs w:val="28"/>
        </w:rPr>
        <w:t xml:space="preserve"> of project finance in the Arab </w:t>
      </w:r>
      <w:r w:rsidR="00450A8B" w:rsidRPr="004808B0">
        <w:rPr>
          <w:rFonts w:asciiTheme="majorBidi" w:hAnsiTheme="majorBidi" w:cstheme="majorBidi"/>
          <w:sz w:val="28"/>
          <w:szCs w:val="28"/>
        </w:rPr>
        <w:t>world</w:t>
      </w:r>
    </w:p>
    <w:p w14:paraId="32B3F78B" w14:textId="5AC18A38" w:rsidR="00A65CDF" w:rsidRPr="007D7E3C" w:rsidRDefault="00A65CDF" w:rsidP="0008496D">
      <w:pPr>
        <w:suppressAutoHyphens/>
        <w:spacing w:before="240" w:line="360" w:lineRule="auto"/>
        <w:ind w:firstLine="567"/>
        <w:jc w:val="both"/>
        <w:rPr>
          <w:rFonts w:ascii="Times New Roman" w:hAnsi="Times New Roman" w:cs="Times New Roman"/>
          <w:sz w:val="24"/>
          <w:szCs w:val="24"/>
        </w:rPr>
      </w:pPr>
      <w:r w:rsidRPr="00A47F7B">
        <w:rPr>
          <w:rFonts w:ascii="Times New Roman" w:hAnsi="Times New Roman" w:cs="Times New Roman"/>
          <w:sz w:val="24"/>
          <w:szCs w:val="24"/>
        </w:rPr>
        <w:t xml:space="preserve">Arab countries are not the most developed markets in terms of considering examples of project financing compared </w:t>
      </w:r>
      <w:r w:rsidR="00BD05A9">
        <w:rPr>
          <w:rFonts w:ascii="Times New Roman" w:hAnsi="Times New Roman" w:cs="Times New Roman"/>
          <w:sz w:val="24"/>
          <w:szCs w:val="24"/>
        </w:rPr>
        <w:t>to</w:t>
      </w:r>
      <w:r w:rsidRPr="00A47F7B">
        <w:rPr>
          <w:rFonts w:ascii="Times New Roman" w:hAnsi="Times New Roman" w:cs="Times New Roman"/>
          <w:sz w:val="24"/>
          <w:szCs w:val="24"/>
        </w:rPr>
        <w:t xml:space="preserve"> European countries or the USA.</w:t>
      </w:r>
      <w:r>
        <w:rPr>
          <w:rFonts w:ascii="Times New Roman" w:hAnsi="Times New Roman" w:cs="Times New Roman"/>
          <w:sz w:val="24"/>
          <w:szCs w:val="24"/>
        </w:rPr>
        <w:t xml:space="preserve"> </w:t>
      </w:r>
      <w:r w:rsidRPr="00A47F7B">
        <w:rPr>
          <w:rFonts w:ascii="Times New Roman" w:hAnsi="Times New Roman" w:cs="Times New Roman"/>
          <w:sz w:val="24"/>
          <w:szCs w:val="24"/>
        </w:rPr>
        <w:t xml:space="preserve">However, the </w:t>
      </w:r>
      <w:r w:rsidR="00027AC8">
        <w:rPr>
          <w:rFonts w:ascii="Times New Roman" w:hAnsi="Times New Roman" w:cs="Times New Roman"/>
          <w:sz w:val="24"/>
          <w:szCs w:val="24"/>
        </w:rPr>
        <w:t>G</w:t>
      </w:r>
      <w:r w:rsidRPr="00A47F7B">
        <w:rPr>
          <w:rFonts w:ascii="Times New Roman" w:hAnsi="Times New Roman" w:cs="Times New Roman"/>
          <w:sz w:val="24"/>
          <w:szCs w:val="24"/>
        </w:rPr>
        <w:t>ulf countries stand apart</w:t>
      </w:r>
      <w:r w:rsidR="00BD05A9">
        <w:rPr>
          <w:rFonts w:ascii="Times New Roman" w:hAnsi="Times New Roman" w:cs="Times New Roman"/>
          <w:sz w:val="24"/>
          <w:szCs w:val="24"/>
        </w:rPr>
        <w:t>,</w:t>
      </w:r>
      <w:r>
        <w:rPr>
          <w:rFonts w:ascii="Times New Roman" w:hAnsi="Times New Roman" w:cs="Times New Roman"/>
          <w:sz w:val="24"/>
          <w:szCs w:val="24"/>
        </w:rPr>
        <w:t xml:space="preserve"> </w:t>
      </w:r>
      <w:r w:rsidR="00BD05A9">
        <w:rPr>
          <w:rFonts w:ascii="Times New Roman" w:hAnsi="Times New Roman" w:cs="Times New Roman"/>
          <w:sz w:val="24"/>
          <w:szCs w:val="24"/>
        </w:rPr>
        <w:t>they</w:t>
      </w:r>
      <w:r w:rsidRPr="007D7E3C">
        <w:rPr>
          <w:rFonts w:ascii="Times New Roman" w:hAnsi="Times New Roman" w:cs="Times New Roman"/>
          <w:sz w:val="24"/>
          <w:szCs w:val="24"/>
        </w:rPr>
        <w:t xml:space="preserve"> </w:t>
      </w:r>
      <w:r w:rsidR="00BD05A9">
        <w:rPr>
          <w:rFonts w:ascii="Times New Roman" w:hAnsi="Times New Roman" w:cs="Times New Roman"/>
          <w:sz w:val="24"/>
          <w:szCs w:val="24"/>
        </w:rPr>
        <w:t>have</w:t>
      </w:r>
      <w:r w:rsidRPr="007D7E3C">
        <w:rPr>
          <w:rFonts w:ascii="Times New Roman" w:hAnsi="Times New Roman" w:cs="Times New Roman"/>
          <w:sz w:val="24"/>
          <w:szCs w:val="24"/>
        </w:rPr>
        <w:t xml:space="preserve"> become a popular investment destination, given </w:t>
      </w:r>
      <w:r w:rsidR="00BD05A9">
        <w:rPr>
          <w:rFonts w:ascii="Times New Roman" w:hAnsi="Times New Roman" w:cs="Times New Roman"/>
          <w:sz w:val="24"/>
          <w:szCs w:val="24"/>
        </w:rPr>
        <w:t>their</w:t>
      </w:r>
      <w:r w:rsidRPr="007D7E3C">
        <w:rPr>
          <w:rFonts w:ascii="Times New Roman" w:hAnsi="Times New Roman" w:cs="Times New Roman"/>
          <w:sz w:val="24"/>
          <w:szCs w:val="24"/>
        </w:rPr>
        <w:t xml:space="preserve"> extensive energy resources and </w:t>
      </w:r>
      <w:r w:rsidR="0089701B">
        <w:rPr>
          <w:rFonts w:ascii="Times New Roman" w:hAnsi="Times New Roman" w:cs="Times New Roman"/>
          <w:sz w:val="24"/>
          <w:szCs w:val="24"/>
        </w:rPr>
        <w:t xml:space="preserve">a </w:t>
      </w:r>
      <w:r w:rsidRPr="007D7E3C">
        <w:rPr>
          <w:rFonts w:ascii="Times New Roman" w:hAnsi="Times New Roman" w:cs="Times New Roman"/>
          <w:sz w:val="24"/>
          <w:szCs w:val="24"/>
        </w:rPr>
        <w:t>rapidly growing population</w:t>
      </w:r>
      <w:bookmarkStart w:id="2" w:name="_Hlk20750288"/>
      <w:r w:rsidR="00BD05A9">
        <w:rPr>
          <w:rFonts w:ascii="Times New Roman" w:hAnsi="Times New Roman" w:cs="Times New Roman"/>
          <w:sz w:val="24"/>
          <w:szCs w:val="24"/>
        </w:rPr>
        <w:t>. T</w:t>
      </w:r>
      <w:r w:rsidRPr="007D7E3C">
        <w:rPr>
          <w:rFonts w:ascii="Times New Roman" w:hAnsi="Times New Roman" w:cs="Times New Roman"/>
          <w:sz w:val="24"/>
          <w:szCs w:val="24"/>
        </w:rPr>
        <w:t xml:space="preserve">here is still a huge </w:t>
      </w:r>
      <w:r w:rsidR="00BD05A9">
        <w:rPr>
          <w:rFonts w:ascii="Times New Roman" w:hAnsi="Times New Roman" w:cs="Times New Roman"/>
          <w:sz w:val="24"/>
          <w:szCs w:val="24"/>
        </w:rPr>
        <w:t>need</w:t>
      </w:r>
      <w:r w:rsidRPr="007D7E3C">
        <w:rPr>
          <w:rFonts w:ascii="Times New Roman" w:hAnsi="Times New Roman" w:cs="Times New Roman"/>
          <w:sz w:val="24"/>
          <w:szCs w:val="24"/>
        </w:rPr>
        <w:t xml:space="preserve"> for infrastructure (including </w:t>
      </w:r>
      <w:r w:rsidR="00BD05A9">
        <w:rPr>
          <w:rFonts w:ascii="Times New Roman" w:hAnsi="Times New Roman" w:cs="Times New Roman"/>
          <w:sz w:val="24"/>
          <w:szCs w:val="24"/>
        </w:rPr>
        <w:t>energy</w:t>
      </w:r>
      <w:r w:rsidRPr="007D7E3C">
        <w:rPr>
          <w:rFonts w:ascii="Times New Roman" w:hAnsi="Times New Roman" w:cs="Times New Roman"/>
          <w:sz w:val="24"/>
          <w:szCs w:val="24"/>
        </w:rPr>
        <w:t>, water</w:t>
      </w:r>
      <w:r w:rsidR="00720110">
        <w:rPr>
          <w:rFonts w:ascii="Times New Roman" w:hAnsi="Times New Roman" w:cs="Times New Roman"/>
          <w:sz w:val="24"/>
          <w:szCs w:val="24"/>
        </w:rPr>
        <w:t>,</w:t>
      </w:r>
      <w:r w:rsidRPr="007D7E3C">
        <w:rPr>
          <w:rFonts w:ascii="Times New Roman" w:hAnsi="Times New Roman" w:cs="Times New Roman"/>
          <w:sz w:val="24"/>
          <w:szCs w:val="24"/>
        </w:rPr>
        <w:t xml:space="preserve"> and sewerage treatment) </w:t>
      </w:r>
      <w:r w:rsidR="009921FF">
        <w:rPr>
          <w:rFonts w:ascii="Times New Roman" w:hAnsi="Times New Roman" w:cs="Times New Roman"/>
          <w:sz w:val="24"/>
          <w:szCs w:val="24"/>
        </w:rPr>
        <w:t>throughout</w:t>
      </w:r>
      <w:r w:rsidRPr="007D7E3C">
        <w:rPr>
          <w:rFonts w:ascii="Times New Roman" w:hAnsi="Times New Roman" w:cs="Times New Roman"/>
          <w:sz w:val="24"/>
          <w:szCs w:val="24"/>
        </w:rPr>
        <w:t xml:space="preserve"> the region.</w:t>
      </w:r>
    </w:p>
    <w:p w14:paraId="3D2C5A93" w14:textId="220D3B0D" w:rsidR="00A65CDF" w:rsidRDefault="00DE51CF" w:rsidP="0008496D">
      <w:pPr>
        <w:suppressAutoHyphens/>
        <w:spacing w:line="360" w:lineRule="auto"/>
        <w:ind w:firstLine="567"/>
        <w:jc w:val="both"/>
        <w:rPr>
          <w:rFonts w:ascii="Times New Roman" w:hAnsi="Times New Roman" w:cs="Times New Roman"/>
          <w:sz w:val="24"/>
          <w:szCs w:val="24"/>
        </w:rPr>
      </w:pPr>
      <w:r w:rsidRPr="00DE51CF">
        <w:rPr>
          <w:rFonts w:ascii="Times New Roman" w:hAnsi="Times New Roman" w:cs="Times New Roman"/>
          <w:i/>
          <w:iCs/>
          <w:sz w:val="24"/>
          <w:szCs w:val="24"/>
        </w:rPr>
        <w:t>T</w:t>
      </w:r>
      <w:r w:rsidR="00A65CDF" w:rsidRPr="00DE51CF">
        <w:rPr>
          <w:rFonts w:ascii="Times New Roman" w:hAnsi="Times New Roman" w:cs="Times New Roman"/>
          <w:i/>
          <w:iCs/>
          <w:sz w:val="24"/>
          <w:szCs w:val="24"/>
        </w:rPr>
        <w:t xml:space="preserve">able </w:t>
      </w:r>
      <w:r w:rsidR="00C6536F">
        <w:rPr>
          <w:rFonts w:ascii="Times New Roman" w:hAnsi="Times New Roman" w:cs="Times New Roman"/>
          <w:i/>
          <w:iCs/>
          <w:sz w:val="24"/>
          <w:szCs w:val="24"/>
        </w:rPr>
        <w:t>2.5</w:t>
      </w:r>
      <w:r w:rsidR="00A65CDF" w:rsidRPr="007D7E3C">
        <w:rPr>
          <w:rFonts w:ascii="Times New Roman" w:hAnsi="Times New Roman" w:cs="Times New Roman"/>
          <w:sz w:val="24"/>
          <w:szCs w:val="24"/>
        </w:rPr>
        <w:t xml:space="preserve"> illustrates the evolution of transaction</w:t>
      </w:r>
      <w:r w:rsidR="009921FF">
        <w:rPr>
          <w:rFonts w:ascii="Times New Roman" w:hAnsi="Times New Roman" w:cs="Times New Roman"/>
          <w:sz w:val="24"/>
          <w:szCs w:val="24"/>
        </w:rPr>
        <w:t>s</w:t>
      </w:r>
      <w:r w:rsidR="00E20029" w:rsidRPr="00E20029">
        <w:rPr>
          <w:rFonts w:ascii="Times New Roman" w:hAnsi="Times New Roman" w:cs="Times New Roman"/>
          <w:sz w:val="24"/>
          <w:szCs w:val="24"/>
        </w:rPr>
        <w:t>'</w:t>
      </w:r>
      <w:r w:rsidR="00A65CDF" w:rsidRPr="007D7E3C">
        <w:rPr>
          <w:rFonts w:ascii="Times New Roman" w:hAnsi="Times New Roman" w:cs="Times New Roman"/>
          <w:sz w:val="24"/>
          <w:szCs w:val="24"/>
        </w:rPr>
        <w:t xml:space="preserve"> volume carried out in</w:t>
      </w:r>
      <w:r w:rsidR="00A65CDF">
        <w:rPr>
          <w:rFonts w:ascii="Times New Roman" w:hAnsi="Times New Roman" w:cs="Times New Roman"/>
          <w:sz w:val="24"/>
          <w:szCs w:val="24"/>
        </w:rPr>
        <w:t xml:space="preserve"> all</w:t>
      </w:r>
      <w:r w:rsidR="00A65CDF" w:rsidRPr="007D7E3C">
        <w:rPr>
          <w:rFonts w:ascii="Times New Roman" w:hAnsi="Times New Roman" w:cs="Times New Roman"/>
          <w:sz w:val="24"/>
          <w:szCs w:val="24"/>
        </w:rPr>
        <w:t xml:space="preserve"> Arab</w:t>
      </w:r>
      <w:r w:rsidR="008E24FE">
        <w:rPr>
          <w:rFonts w:ascii="Times New Roman" w:hAnsi="Times New Roman" w:cs="Times New Roman"/>
          <w:sz w:val="24"/>
          <w:szCs w:val="24"/>
        </w:rPr>
        <w:t xml:space="preserve"> </w:t>
      </w:r>
      <w:r w:rsidR="00A65CDF" w:rsidRPr="007D7E3C">
        <w:rPr>
          <w:rFonts w:ascii="Times New Roman" w:hAnsi="Times New Roman" w:cs="Times New Roman"/>
          <w:sz w:val="24"/>
          <w:szCs w:val="24"/>
        </w:rPr>
        <w:t xml:space="preserve">countries from 1995 to 2018 and their share </w:t>
      </w:r>
      <w:r w:rsidR="009921FF">
        <w:rPr>
          <w:rFonts w:ascii="Times New Roman" w:hAnsi="Times New Roman" w:cs="Times New Roman"/>
          <w:sz w:val="24"/>
          <w:szCs w:val="24"/>
        </w:rPr>
        <w:t>in</w:t>
      </w:r>
      <w:r w:rsidR="00A65CDF" w:rsidRPr="007D7E3C">
        <w:rPr>
          <w:rFonts w:ascii="Times New Roman" w:hAnsi="Times New Roman" w:cs="Times New Roman"/>
          <w:sz w:val="24"/>
          <w:szCs w:val="24"/>
        </w:rPr>
        <w:t xml:space="preserve"> the global </w:t>
      </w:r>
      <w:r w:rsidR="009921FF">
        <w:rPr>
          <w:rFonts w:ascii="Times New Roman" w:hAnsi="Times New Roman" w:cs="Times New Roman"/>
          <w:sz w:val="24"/>
          <w:szCs w:val="24"/>
        </w:rPr>
        <w:t>market</w:t>
      </w:r>
      <w:r>
        <w:rPr>
          <w:rFonts w:ascii="Times New Roman" w:hAnsi="Times New Roman" w:cs="Times New Roman"/>
          <w:sz w:val="24"/>
          <w:szCs w:val="24"/>
        </w:rPr>
        <w:t>.</w:t>
      </w:r>
    </w:p>
    <w:p w14:paraId="316A238F" w14:textId="645898F6" w:rsidR="00476356" w:rsidRPr="00C6536F" w:rsidRDefault="00DE51CF" w:rsidP="009504F3">
      <w:pPr>
        <w:spacing w:after="0" w:line="360" w:lineRule="auto"/>
        <w:jc w:val="right"/>
        <w:rPr>
          <w:rFonts w:ascii="Times New Roman" w:hAnsi="Times New Roman" w:cs="Times New Roman"/>
          <w:i/>
          <w:iCs/>
          <w:sz w:val="24"/>
          <w:szCs w:val="24"/>
        </w:rPr>
      </w:pPr>
      <w:r w:rsidRPr="00C6536F">
        <w:rPr>
          <w:rFonts w:ascii="Times New Roman" w:hAnsi="Times New Roman" w:cs="Times New Roman"/>
          <w:i/>
          <w:iCs/>
          <w:sz w:val="24"/>
          <w:szCs w:val="24"/>
        </w:rPr>
        <w:lastRenderedPageBreak/>
        <w:t xml:space="preserve">Table </w:t>
      </w:r>
      <w:r w:rsidR="00C6536F">
        <w:rPr>
          <w:rFonts w:ascii="Times New Roman" w:hAnsi="Times New Roman" w:cs="Times New Roman"/>
          <w:i/>
          <w:iCs/>
          <w:sz w:val="24"/>
          <w:szCs w:val="24"/>
        </w:rPr>
        <w:t>2.5</w:t>
      </w:r>
      <w:r w:rsidRPr="00C6536F">
        <w:rPr>
          <w:rFonts w:ascii="Times New Roman" w:hAnsi="Times New Roman" w:cs="Times New Roman"/>
          <w:i/>
          <w:iCs/>
          <w:sz w:val="24"/>
          <w:szCs w:val="24"/>
        </w:rPr>
        <w:t xml:space="preserve"> </w:t>
      </w:r>
    </w:p>
    <w:p w14:paraId="4F7253DB" w14:textId="4E5F7A58" w:rsidR="00DE51CF" w:rsidRPr="009504F3" w:rsidRDefault="00DE51CF" w:rsidP="00C6536F">
      <w:pPr>
        <w:spacing w:line="360" w:lineRule="auto"/>
        <w:ind w:left="720" w:right="720"/>
        <w:jc w:val="center"/>
        <w:rPr>
          <w:rFonts w:ascii="Times New Roman" w:hAnsi="Times New Roman" w:cs="Times New Roman"/>
          <w:sz w:val="24"/>
          <w:szCs w:val="24"/>
        </w:rPr>
      </w:pPr>
      <w:r w:rsidRPr="009504F3">
        <w:rPr>
          <w:rFonts w:ascii="Times New Roman" w:hAnsi="Times New Roman" w:cs="Times New Roman"/>
          <w:sz w:val="24"/>
          <w:szCs w:val="24"/>
        </w:rPr>
        <w:t xml:space="preserve">The </w:t>
      </w:r>
      <w:r w:rsidR="00A26FA3" w:rsidRPr="009504F3">
        <w:rPr>
          <w:rFonts w:ascii="Times New Roman" w:hAnsi="Times New Roman" w:cs="Times New Roman"/>
          <w:sz w:val="24"/>
          <w:szCs w:val="24"/>
        </w:rPr>
        <w:t>a</w:t>
      </w:r>
      <w:r w:rsidRPr="009504F3">
        <w:rPr>
          <w:rFonts w:ascii="Times New Roman" w:hAnsi="Times New Roman" w:cs="Times New Roman"/>
          <w:sz w:val="24"/>
          <w:szCs w:val="24"/>
        </w:rPr>
        <w:t xml:space="preserve">nnual </w:t>
      </w:r>
      <w:r w:rsidR="00A26FA3" w:rsidRPr="009504F3">
        <w:rPr>
          <w:rFonts w:ascii="Times New Roman" w:hAnsi="Times New Roman" w:cs="Times New Roman"/>
          <w:sz w:val="24"/>
          <w:szCs w:val="24"/>
        </w:rPr>
        <w:t>v</w:t>
      </w:r>
      <w:r w:rsidRPr="009504F3">
        <w:rPr>
          <w:rFonts w:ascii="Times New Roman" w:hAnsi="Times New Roman" w:cs="Times New Roman"/>
          <w:sz w:val="24"/>
          <w:szCs w:val="24"/>
        </w:rPr>
        <w:t xml:space="preserve">olume and </w:t>
      </w:r>
      <w:r w:rsidR="00A26FA3" w:rsidRPr="009504F3">
        <w:rPr>
          <w:rFonts w:ascii="Times New Roman" w:hAnsi="Times New Roman" w:cs="Times New Roman"/>
          <w:sz w:val="24"/>
          <w:szCs w:val="24"/>
        </w:rPr>
        <w:t>n</w:t>
      </w:r>
      <w:r w:rsidRPr="009504F3">
        <w:rPr>
          <w:rFonts w:ascii="Times New Roman" w:hAnsi="Times New Roman" w:cs="Times New Roman"/>
          <w:sz w:val="24"/>
          <w:szCs w:val="24"/>
        </w:rPr>
        <w:t xml:space="preserve">umber of </w:t>
      </w:r>
      <w:r w:rsidR="00A26FA3" w:rsidRPr="009504F3">
        <w:rPr>
          <w:rFonts w:ascii="Times New Roman" w:hAnsi="Times New Roman" w:cs="Times New Roman"/>
          <w:sz w:val="24"/>
          <w:szCs w:val="24"/>
        </w:rPr>
        <w:t>project finance t</w:t>
      </w:r>
      <w:r w:rsidRPr="009504F3">
        <w:rPr>
          <w:rFonts w:ascii="Times New Roman" w:hAnsi="Times New Roman" w:cs="Times New Roman"/>
          <w:sz w:val="24"/>
          <w:szCs w:val="24"/>
        </w:rPr>
        <w:t>ransactions in the Arab world from 1995 to 2018</w:t>
      </w:r>
    </w:p>
    <w:tbl>
      <w:tblPr>
        <w:tblStyle w:val="TableGrid"/>
        <w:tblW w:w="0" w:type="auto"/>
        <w:jc w:val="center"/>
        <w:tblInd w:w="0" w:type="dxa"/>
        <w:tblLook w:val="04A0" w:firstRow="1" w:lastRow="0" w:firstColumn="1" w:lastColumn="0" w:noHBand="0" w:noVBand="1"/>
      </w:tblPr>
      <w:tblGrid>
        <w:gridCol w:w="846"/>
        <w:gridCol w:w="850"/>
        <w:gridCol w:w="1276"/>
        <w:gridCol w:w="1701"/>
        <w:gridCol w:w="851"/>
        <w:gridCol w:w="850"/>
        <w:gridCol w:w="1276"/>
        <w:gridCol w:w="1905"/>
      </w:tblGrid>
      <w:tr w:rsidR="00A65CDF" w14:paraId="7663A2E6" w14:textId="77777777" w:rsidTr="00C6536F">
        <w:trPr>
          <w:jc w:val="center"/>
        </w:trPr>
        <w:tc>
          <w:tcPr>
            <w:tcW w:w="846" w:type="dxa"/>
            <w:vAlign w:val="center"/>
          </w:tcPr>
          <w:p w14:paraId="107242F1"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Year</w:t>
            </w:r>
          </w:p>
        </w:tc>
        <w:tc>
          <w:tcPr>
            <w:tcW w:w="850" w:type="dxa"/>
            <w:vAlign w:val="center"/>
          </w:tcPr>
          <w:p w14:paraId="0A7EC257" w14:textId="25EA9995"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 xml:space="preserve">Total </w:t>
            </w:r>
            <w:r w:rsidR="009504F3" w:rsidRPr="009504F3">
              <w:rPr>
                <w:rFonts w:asciiTheme="majorBidi" w:hAnsiTheme="majorBidi" w:cstheme="majorBidi"/>
                <w:b/>
                <w:bCs/>
                <w:color w:val="000000"/>
                <w:sz w:val="20"/>
                <w:szCs w:val="20"/>
                <w:lang w:val="en-US"/>
              </w:rPr>
              <w:t>l</w:t>
            </w:r>
            <w:r w:rsidRPr="009504F3">
              <w:rPr>
                <w:rFonts w:asciiTheme="majorBidi" w:hAnsiTheme="majorBidi" w:cstheme="majorBidi"/>
                <w:b/>
                <w:bCs/>
                <w:color w:val="000000"/>
                <w:sz w:val="20"/>
                <w:szCs w:val="20"/>
                <w:lang w:val="en-US"/>
              </w:rPr>
              <w:t>oans (</w:t>
            </w:r>
            <w:r w:rsidR="00476356" w:rsidRPr="009504F3">
              <w:rPr>
                <w:rFonts w:asciiTheme="majorBidi" w:hAnsiTheme="majorBidi" w:cstheme="majorBidi"/>
                <w:b/>
                <w:bCs/>
                <w:color w:val="000000"/>
                <w:sz w:val="20"/>
                <w:szCs w:val="20"/>
                <w:lang w:val="en-US"/>
              </w:rPr>
              <w:t>$</w:t>
            </w:r>
            <w:r w:rsidRPr="009504F3">
              <w:rPr>
                <w:rFonts w:asciiTheme="majorBidi" w:hAnsiTheme="majorBidi" w:cstheme="majorBidi"/>
                <w:b/>
                <w:bCs/>
                <w:color w:val="000000"/>
                <w:sz w:val="20"/>
                <w:szCs w:val="20"/>
                <w:lang w:val="en-US"/>
              </w:rPr>
              <w:t xml:space="preserve"> </w:t>
            </w:r>
            <w:r w:rsidR="00476356" w:rsidRPr="009504F3">
              <w:rPr>
                <w:rFonts w:asciiTheme="majorBidi" w:hAnsiTheme="majorBidi" w:cstheme="majorBidi"/>
                <w:b/>
                <w:bCs/>
                <w:color w:val="000000"/>
                <w:sz w:val="20"/>
                <w:szCs w:val="20"/>
                <w:lang w:val="en-US"/>
              </w:rPr>
              <w:t>bn</w:t>
            </w:r>
            <w:r w:rsidRPr="009504F3">
              <w:rPr>
                <w:rFonts w:asciiTheme="majorBidi" w:hAnsiTheme="majorBidi" w:cstheme="majorBidi"/>
                <w:b/>
                <w:bCs/>
                <w:color w:val="000000"/>
                <w:sz w:val="20"/>
                <w:szCs w:val="20"/>
                <w:lang w:val="en-US"/>
              </w:rPr>
              <w:t>)</w:t>
            </w:r>
          </w:p>
        </w:tc>
        <w:tc>
          <w:tcPr>
            <w:tcW w:w="1276" w:type="dxa"/>
            <w:vAlign w:val="center"/>
          </w:tcPr>
          <w:p w14:paraId="3BF22C38" w14:textId="0C9BD6EA"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 xml:space="preserve">Total </w:t>
            </w:r>
            <w:r w:rsidR="00F60AC3">
              <w:rPr>
                <w:rFonts w:asciiTheme="majorBidi" w:hAnsiTheme="majorBidi" w:cstheme="majorBidi"/>
                <w:b/>
                <w:bCs/>
                <w:color w:val="000000"/>
                <w:sz w:val="20"/>
                <w:szCs w:val="20"/>
                <w:lang w:val="en-US"/>
              </w:rPr>
              <w:br/>
            </w:r>
            <w:r w:rsidRPr="009504F3">
              <w:rPr>
                <w:rFonts w:asciiTheme="majorBidi" w:hAnsiTheme="majorBidi" w:cstheme="majorBidi"/>
                <w:b/>
                <w:bCs/>
                <w:color w:val="000000"/>
                <w:sz w:val="20"/>
                <w:szCs w:val="20"/>
                <w:lang w:val="en-US"/>
              </w:rPr>
              <w:t xml:space="preserve">number of </w:t>
            </w:r>
            <w:r w:rsidR="00A26FA3" w:rsidRPr="009504F3">
              <w:rPr>
                <w:rFonts w:asciiTheme="majorBidi" w:hAnsiTheme="majorBidi" w:cstheme="majorBidi"/>
                <w:b/>
                <w:bCs/>
                <w:color w:val="000000"/>
                <w:sz w:val="20"/>
                <w:szCs w:val="20"/>
                <w:lang w:val="en-US"/>
              </w:rPr>
              <w:t>transactions</w:t>
            </w:r>
          </w:p>
        </w:tc>
        <w:tc>
          <w:tcPr>
            <w:tcW w:w="1701" w:type="dxa"/>
            <w:vAlign w:val="center"/>
          </w:tcPr>
          <w:p w14:paraId="5497250D"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Share among all countries, %</w:t>
            </w:r>
          </w:p>
        </w:tc>
        <w:tc>
          <w:tcPr>
            <w:tcW w:w="851" w:type="dxa"/>
            <w:vAlign w:val="center"/>
          </w:tcPr>
          <w:p w14:paraId="45755337"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Year</w:t>
            </w:r>
          </w:p>
        </w:tc>
        <w:tc>
          <w:tcPr>
            <w:tcW w:w="850" w:type="dxa"/>
            <w:vAlign w:val="center"/>
          </w:tcPr>
          <w:p w14:paraId="4106499C" w14:textId="48773769"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 xml:space="preserve">Total </w:t>
            </w:r>
            <w:r w:rsidR="009504F3" w:rsidRPr="009504F3">
              <w:rPr>
                <w:rFonts w:asciiTheme="majorBidi" w:hAnsiTheme="majorBidi" w:cstheme="majorBidi"/>
                <w:b/>
                <w:bCs/>
                <w:color w:val="000000"/>
                <w:sz w:val="20"/>
                <w:szCs w:val="20"/>
                <w:lang w:val="en-US"/>
              </w:rPr>
              <w:t>l</w:t>
            </w:r>
            <w:r w:rsidRPr="009504F3">
              <w:rPr>
                <w:rFonts w:asciiTheme="majorBidi" w:hAnsiTheme="majorBidi" w:cstheme="majorBidi"/>
                <w:b/>
                <w:bCs/>
                <w:color w:val="000000"/>
                <w:sz w:val="20"/>
                <w:szCs w:val="20"/>
                <w:lang w:val="en-US"/>
              </w:rPr>
              <w:t>oans (</w:t>
            </w:r>
            <w:r w:rsidR="00476356" w:rsidRPr="009504F3">
              <w:rPr>
                <w:rFonts w:asciiTheme="majorBidi" w:hAnsiTheme="majorBidi" w:cstheme="majorBidi"/>
                <w:b/>
                <w:bCs/>
                <w:color w:val="000000"/>
                <w:sz w:val="20"/>
                <w:szCs w:val="20"/>
                <w:lang w:val="en-US"/>
              </w:rPr>
              <w:t>$ bn</w:t>
            </w:r>
            <w:r w:rsidRPr="009504F3">
              <w:rPr>
                <w:rFonts w:asciiTheme="majorBidi" w:hAnsiTheme="majorBidi" w:cstheme="majorBidi"/>
                <w:b/>
                <w:bCs/>
                <w:color w:val="000000"/>
                <w:sz w:val="20"/>
                <w:szCs w:val="20"/>
                <w:lang w:val="en-US"/>
              </w:rPr>
              <w:t>)</w:t>
            </w:r>
          </w:p>
        </w:tc>
        <w:tc>
          <w:tcPr>
            <w:tcW w:w="1276" w:type="dxa"/>
            <w:vAlign w:val="center"/>
          </w:tcPr>
          <w:p w14:paraId="2942BD57" w14:textId="51909969"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 xml:space="preserve">Total </w:t>
            </w:r>
            <w:r w:rsidR="00F60AC3">
              <w:rPr>
                <w:rFonts w:asciiTheme="majorBidi" w:hAnsiTheme="majorBidi" w:cstheme="majorBidi"/>
                <w:b/>
                <w:bCs/>
                <w:color w:val="000000"/>
                <w:sz w:val="20"/>
                <w:szCs w:val="20"/>
                <w:lang w:val="en-US"/>
              </w:rPr>
              <w:br/>
            </w:r>
            <w:r w:rsidRPr="009504F3">
              <w:rPr>
                <w:rFonts w:asciiTheme="majorBidi" w:hAnsiTheme="majorBidi" w:cstheme="majorBidi"/>
                <w:b/>
                <w:bCs/>
                <w:color w:val="000000"/>
                <w:sz w:val="20"/>
                <w:szCs w:val="20"/>
                <w:lang w:val="en-US"/>
              </w:rPr>
              <w:t xml:space="preserve">number of </w:t>
            </w:r>
            <w:r w:rsidR="00A26FA3" w:rsidRPr="009504F3">
              <w:rPr>
                <w:rFonts w:asciiTheme="majorBidi" w:hAnsiTheme="majorBidi" w:cstheme="majorBidi"/>
                <w:b/>
                <w:bCs/>
                <w:color w:val="000000"/>
                <w:sz w:val="20"/>
                <w:szCs w:val="20"/>
                <w:lang w:val="en-US"/>
              </w:rPr>
              <w:t>transactions</w:t>
            </w:r>
          </w:p>
        </w:tc>
        <w:tc>
          <w:tcPr>
            <w:tcW w:w="1905" w:type="dxa"/>
            <w:vAlign w:val="center"/>
          </w:tcPr>
          <w:p w14:paraId="00667A04"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lang w:val="en-US"/>
              </w:rPr>
              <w:t>Share among all countries, %</w:t>
            </w:r>
          </w:p>
        </w:tc>
      </w:tr>
      <w:tr w:rsidR="00A65CDF" w:rsidRPr="00F2543E" w14:paraId="2B2CF23F" w14:textId="77777777" w:rsidTr="00C6536F">
        <w:trPr>
          <w:trHeight w:val="368"/>
          <w:jc w:val="center"/>
        </w:trPr>
        <w:tc>
          <w:tcPr>
            <w:tcW w:w="846" w:type="dxa"/>
            <w:vAlign w:val="center"/>
          </w:tcPr>
          <w:p w14:paraId="676D3B47"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1995</w:t>
            </w:r>
          </w:p>
        </w:tc>
        <w:tc>
          <w:tcPr>
            <w:tcW w:w="850" w:type="dxa"/>
            <w:vAlign w:val="center"/>
          </w:tcPr>
          <w:p w14:paraId="64880668"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0.10</w:t>
            </w:r>
          </w:p>
        </w:tc>
        <w:tc>
          <w:tcPr>
            <w:tcW w:w="1276" w:type="dxa"/>
            <w:vAlign w:val="center"/>
          </w:tcPr>
          <w:p w14:paraId="516AA809"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w:t>
            </w:r>
          </w:p>
        </w:tc>
        <w:tc>
          <w:tcPr>
            <w:tcW w:w="1701" w:type="dxa"/>
            <w:vAlign w:val="center"/>
          </w:tcPr>
          <w:p w14:paraId="03BD3C7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0.43%</w:t>
            </w:r>
          </w:p>
        </w:tc>
        <w:tc>
          <w:tcPr>
            <w:tcW w:w="851" w:type="dxa"/>
            <w:vAlign w:val="center"/>
          </w:tcPr>
          <w:p w14:paraId="0DC53085"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2008</w:t>
            </w:r>
          </w:p>
        </w:tc>
        <w:tc>
          <w:tcPr>
            <w:tcW w:w="850" w:type="dxa"/>
            <w:vAlign w:val="center"/>
          </w:tcPr>
          <w:p w14:paraId="60E313E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25.72</w:t>
            </w:r>
          </w:p>
        </w:tc>
        <w:tc>
          <w:tcPr>
            <w:tcW w:w="1276" w:type="dxa"/>
            <w:vAlign w:val="center"/>
          </w:tcPr>
          <w:p w14:paraId="027EE6CD"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28</w:t>
            </w:r>
          </w:p>
        </w:tc>
        <w:tc>
          <w:tcPr>
            <w:tcW w:w="1905" w:type="dxa"/>
            <w:vAlign w:val="center"/>
          </w:tcPr>
          <w:p w14:paraId="5968F93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10.27%</w:t>
            </w:r>
          </w:p>
        </w:tc>
      </w:tr>
      <w:tr w:rsidR="00A65CDF" w:rsidRPr="00F2543E" w14:paraId="7902A2BB" w14:textId="77777777" w:rsidTr="00C6536F">
        <w:trPr>
          <w:trHeight w:val="359"/>
          <w:jc w:val="center"/>
        </w:trPr>
        <w:tc>
          <w:tcPr>
            <w:tcW w:w="846" w:type="dxa"/>
            <w:vAlign w:val="center"/>
          </w:tcPr>
          <w:p w14:paraId="765627C3"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1996</w:t>
            </w:r>
          </w:p>
        </w:tc>
        <w:tc>
          <w:tcPr>
            <w:tcW w:w="850" w:type="dxa"/>
            <w:vAlign w:val="center"/>
          </w:tcPr>
          <w:p w14:paraId="62404B9D"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4.92</w:t>
            </w:r>
          </w:p>
        </w:tc>
        <w:tc>
          <w:tcPr>
            <w:tcW w:w="1276" w:type="dxa"/>
            <w:vAlign w:val="center"/>
          </w:tcPr>
          <w:p w14:paraId="57A1B5E7"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w:t>
            </w:r>
          </w:p>
        </w:tc>
        <w:tc>
          <w:tcPr>
            <w:tcW w:w="1701" w:type="dxa"/>
            <w:vAlign w:val="center"/>
          </w:tcPr>
          <w:p w14:paraId="71CC400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11.48%</w:t>
            </w:r>
          </w:p>
        </w:tc>
        <w:tc>
          <w:tcPr>
            <w:tcW w:w="851" w:type="dxa"/>
            <w:vAlign w:val="center"/>
          </w:tcPr>
          <w:p w14:paraId="43C10F9B"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2009</w:t>
            </w:r>
          </w:p>
        </w:tc>
        <w:tc>
          <w:tcPr>
            <w:tcW w:w="850" w:type="dxa"/>
            <w:vAlign w:val="center"/>
          </w:tcPr>
          <w:p w14:paraId="608076A9"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11.92</w:t>
            </w:r>
          </w:p>
        </w:tc>
        <w:tc>
          <w:tcPr>
            <w:tcW w:w="1276" w:type="dxa"/>
            <w:vAlign w:val="center"/>
          </w:tcPr>
          <w:p w14:paraId="3B552AEE"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15</w:t>
            </w:r>
          </w:p>
        </w:tc>
        <w:tc>
          <w:tcPr>
            <w:tcW w:w="1905" w:type="dxa"/>
            <w:vAlign w:val="center"/>
          </w:tcPr>
          <w:p w14:paraId="4D5CB7C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8.56%</w:t>
            </w:r>
          </w:p>
        </w:tc>
      </w:tr>
      <w:tr w:rsidR="00A65CDF" w:rsidRPr="00F2543E" w14:paraId="01E19141" w14:textId="77777777" w:rsidTr="00C6536F">
        <w:trPr>
          <w:trHeight w:val="341"/>
          <w:jc w:val="center"/>
        </w:trPr>
        <w:tc>
          <w:tcPr>
            <w:tcW w:w="846" w:type="dxa"/>
            <w:vAlign w:val="center"/>
          </w:tcPr>
          <w:p w14:paraId="7529D98A"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1997</w:t>
            </w:r>
          </w:p>
        </w:tc>
        <w:tc>
          <w:tcPr>
            <w:tcW w:w="850" w:type="dxa"/>
            <w:vAlign w:val="center"/>
          </w:tcPr>
          <w:p w14:paraId="618B7BD7"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7.07</w:t>
            </w:r>
          </w:p>
        </w:tc>
        <w:tc>
          <w:tcPr>
            <w:tcW w:w="1276" w:type="dxa"/>
            <w:vAlign w:val="center"/>
          </w:tcPr>
          <w:p w14:paraId="3F1AD8EC"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w:t>
            </w:r>
          </w:p>
        </w:tc>
        <w:tc>
          <w:tcPr>
            <w:tcW w:w="1701" w:type="dxa"/>
            <w:vAlign w:val="center"/>
          </w:tcPr>
          <w:p w14:paraId="0400AC35"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10.49%</w:t>
            </w:r>
          </w:p>
        </w:tc>
        <w:tc>
          <w:tcPr>
            <w:tcW w:w="851" w:type="dxa"/>
            <w:vAlign w:val="center"/>
          </w:tcPr>
          <w:p w14:paraId="28DB11E5"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2010</w:t>
            </w:r>
          </w:p>
        </w:tc>
        <w:tc>
          <w:tcPr>
            <w:tcW w:w="850" w:type="dxa"/>
            <w:vAlign w:val="center"/>
          </w:tcPr>
          <w:p w14:paraId="774A5135"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14.62</w:t>
            </w:r>
          </w:p>
        </w:tc>
        <w:tc>
          <w:tcPr>
            <w:tcW w:w="1276" w:type="dxa"/>
            <w:vAlign w:val="center"/>
          </w:tcPr>
          <w:p w14:paraId="791A6858"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w:t>
            </w:r>
          </w:p>
        </w:tc>
        <w:tc>
          <w:tcPr>
            <w:tcW w:w="1905" w:type="dxa"/>
            <w:vAlign w:val="center"/>
          </w:tcPr>
          <w:p w14:paraId="0521EF2F"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7.02%</w:t>
            </w:r>
          </w:p>
        </w:tc>
      </w:tr>
      <w:tr w:rsidR="00A65CDF" w:rsidRPr="00F2543E" w14:paraId="2A569EF3" w14:textId="77777777" w:rsidTr="00C6536F">
        <w:trPr>
          <w:trHeight w:val="359"/>
          <w:jc w:val="center"/>
        </w:trPr>
        <w:tc>
          <w:tcPr>
            <w:tcW w:w="846" w:type="dxa"/>
            <w:vAlign w:val="center"/>
          </w:tcPr>
          <w:p w14:paraId="458E2069"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1998</w:t>
            </w:r>
          </w:p>
        </w:tc>
        <w:tc>
          <w:tcPr>
            <w:tcW w:w="850" w:type="dxa"/>
            <w:vAlign w:val="center"/>
          </w:tcPr>
          <w:p w14:paraId="787E4604"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3.21</w:t>
            </w:r>
          </w:p>
        </w:tc>
        <w:tc>
          <w:tcPr>
            <w:tcW w:w="1276" w:type="dxa"/>
            <w:vAlign w:val="center"/>
          </w:tcPr>
          <w:p w14:paraId="1F51118C"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10</w:t>
            </w:r>
          </w:p>
        </w:tc>
        <w:tc>
          <w:tcPr>
            <w:tcW w:w="1701" w:type="dxa"/>
            <w:vAlign w:val="center"/>
          </w:tcPr>
          <w:p w14:paraId="041AF8B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5.66%</w:t>
            </w:r>
          </w:p>
        </w:tc>
        <w:tc>
          <w:tcPr>
            <w:tcW w:w="851" w:type="dxa"/>
            <w:vAlign w:val="center"/>
          </w:tcPr>
          <w:p w14:paraId="19C41139"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2011</w:t>
            </w:r>
          </w:p>
        </w:tc>
        <w:tc>
          <w:tcPr>
            <w:tcW w:w="850" w:type="dxa"/>
            <w:vAlign w:val="center"/>
          </w:tcPr>
          <w:p w14:paraId="11D5668A"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10.49</w:t>
            </w:r>
          </w:p>
        </w:tc>
        <w:tc>
          <w:tcPr>
            <w:tcW w:w="1276" w:type="dxa"/>
            <w:vAlign w:val="center"/>
          </w:tcPr>
          <w:p w14:paraId="42CB83C4"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12</w:t>
            </w:r>
          </w:p>
        </w:tc>
        <w:tc>
          <w:tcPr>
            <w:tcW w:w="1905" w:type="dxa"/>
            <w:vAlign w:val="center"/>
          </w:tcPr>
          <w:p w14:paraId="148AC28F"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4.91%</w:t>
            </w:r>
          </w:p>
        </w:tc>
      </w:tr>
      <w:tr w:rsidR="00A65CDF" w:rsidRPr="00F2543E" w14:paraId="607A7B3E" w14:textId="77777777" w:rsidTr="00C6536F">
        <w:trPr>
          <w:trHeight w:val="341"/>
          <w:jc w:val="center"/>
        </w:trPr>
        <w:tc>
          <w:tcPr>
            <w:tcW w:w="846" w:type="dxa"/>
            <w:vAlign w:val="center"/>
          </w:tcPr>
          <w:p w14:paraId="581C9031"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1999</w:t>
            </w:r>
          </w:p>
        </w:tc>
        <w:tc>
          <w:tcPr>
            <w:tcW w:w="850" w:type="dxa"/>
            <w:vAlign w:val="center"/>
          </w:tcPr>
          <w:p w14:paraId="5AD47F51"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4.40</w:t>
            </w:r>
          </w:p>
        </w:tc>
        <w:tc>
          <w:tcPr>
            <w:tcW w:w="1276" w:type="dxa"/>
            <w:vAlign w:val="center"/>
          </w:tcPr>
          <w:p w14:paraId="2525264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w:t>
            </w:r>
          </w:p>
        </w:tc>
        <w:tc>
          <w:tcPr>
            <w:tcW w:w="1701" w:type="dxa"/>
            <w:vAlign w:val="center"/>
          </w:tcPr>
          <w:p w14:paraId="1D399808"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6.07%</w:t>
            </w:r>
          </w:p>
        </w:tc>
        <w:tc>
          <w:tcPr>
            <w:tcW w:w="851" w:type="dxa"/>
            <w:vAlign w:val="center"/>
          </w:tcPr>
          <w:p w14:paraId="458A2D84"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2012</w:t>
            </w:r>
          </w:p>
        </w:tc>
        <w:tc>
          <w:tcPr>
            <w:tcW w:w="850" w:type="dxa"/>
            <w:vAlign w:val="center"/>
          </w:tcPr>
          <w:p w14:paraId="61010D2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9.13</w:t>
            </w:r>
          </w:p>
        </w:tc>
        <w:tc>
          <w:tcPr>
            <w:tcW w:w="1276" w:type="dxa"/>
            <w:vAlign w:val="center"/>
          </w:tcPr>
          <w:p w14:paraId="00624FBD"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15</w:t>
            </w:r>
          </w:p>
        </w:tc>
        <w:tc>
          <w:tcPr>
            <w:tcW w:w="1905" w:type="dxa"/>
            <w:vAlign w:val="center"/>
          </w:tcPr>
          <w:p w14:paraId="5699AC79"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4.59%</w:t>
            </w:r>
          </w:p>
        </w:tc>
      </w:tr>
      <w:tr w:rsidR="00A65CDF" w:rsidRPr="00F2543E" w14:paraId="299BE1B5" w14:textId="77777777" w:rsidTr="00C6536F">
        <w:trPr>
          <w:trHeight w:val="359"/>
          <w:jc w:val="center"/>
        </w:trPr>
        <w:tc>
          <w:tcPr>
            <w:tcW w:w="846" w:type="dxa"/>
            <w:vAlign w:val="center"/>
          </w:tcPr>
          <w:p w14:paraId="55D6E738"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2000</w:t>
            </w:r>
          </w:p>
        </w:tc>
        <w:tc>
          <w:tcPr>
            <w:tcW w:w="850" w:type="dxa"/>
            <w:vAlign w:val="center"/>
          </w:tcPr>
          <w:p w14:paraId="30712630"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3.67</w:t>
            </w:r>
          </w:p>
        </w:tc>
        <w:tc>
          <w:tcPr>
            <w:tcW w:w="1276" w:type="dxa"/>
            <w:vAlign w:val="center"/>
          </w:tcPr>
          <w:p w14:paraId="7FD2C6EA"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w:t>
            </w:r>
          </w:p>
        </w:tc>
        <w:tc>
          <w:tcPr>
            <w:tcW w:w="1701" w:type="dxa"/>
            <w:vAlign w:val="center"/>
          </w:tcPr>
          <w:p w14:paraId="54260A2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3.31%</w:t>
            </w:r>
          </w:p>
        </w:tc>
        <w:tc>
          <w:tcPr>
            <w:tcW w:w="851" w:type="dxa"/>
            <w:vAlign w:val="center"/>
          </w:tcPr>
          <w:p w14:paraId="5260397B"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2013</w:t>
            </w:r>
          </w:p>
        </w:tc>
        <w:tc>
          <w:tcPr>
            <w:tcW w:w="850" w:type="dxa"/>
            <w:vAlign w:val="center"/>
          </w:tcPr>
          <w:p w14:paraId="508A102E"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16.73</w:t>
            </w:r>
          </w:p>
        </w:tc>
        <w:tc>
          <w:tcPr>
            <w:tcW w:w="1276" w:type="dxa"/>
            <w:vAlign w:val="center"/>
          </w:tcPr>
          <w:p w14:paraId="5B9B8F2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13</w:t>
            </w:r>
          </w:p>
        </w:tc>
        <w:tc>
          <w:tcPr>
            <w:tcW w:w="1905" w:type="dxa"/>
            <w:vAlign w:val="center"/>
          </w:tcPr>
          <w:p w14:paraId="79CF87DB"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8.24%</w:t>
            </w:r>
          </w:p>
        </w:tc>
      </w:tr>
      <w:tr w:rsidR="00A65CDF" w:rsidRPr="00F2543E" w14:paraId="5AF864EF" w14:textId="77777777" w:rsidTr="00C6536F">
        <w:trPr>
          <w:trHeight w:val="341"/>
          <w:jc w:val="center"/>
        </w:trPr>
        <w:tc>
          <w:tcPr>
            <w:tcW w:w="846" w:type="dxa"/>
            <w:vAlign w:val="center"/>
          </w:tcPr>
          <w:p w14:paraId="5C2EAE0D"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2001</w:t>
            </w:r>
          </w:p>
        </w:tc>
        <w:tc>
          <w:tcPr>
            <w:tcW w:w="850" w:type="dxa"/>
            <w:vAlign w:val="center"/>
          </w:tcPr>
          <w:p w14:paraId="05D805A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8.60</w:t>
            </w:r>
          </w:p>
        </w:tc>
        <w:tc>
          <w:tcPr>
            <w:tcW w:w="1276" w:type="dxa"/>
            <w:vAlign w:val="center"/>
          </w:tcPr>
          <w:p w14:paraId="4B5CFAAE"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16</w:t>
            </w:r>
          </w:p>
        </w:tc>
        <w:tc>
          <w:tcPr>
            <w:tcW w:w="1701" w:type="dxa"/>
            <w:vAlign w:val="center"/>
          </w:tcPr>
          <w:p w14:paraId="4909D574"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7.93%</w:t>
            </w:r>
          </w:p>
        </w:tc>
        <w:tc>
          <w:tcPr>
            <w:tcW w:w="851" w:type="dxa"/>
            <w:vAlign w:val="center"/>
          </w:tcPr>
          <w:p w14:paraId="194EA0BB"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2014</w:t>
            </w:r>
          </w:p>
        </w:tc>
        <w:tc>
          <w:tcPr>
            <w:tcW w:w="850" w:type="dxa"/>
            <w:vAlign w:val="center"/>
          </w:tcPr>
          <w:p w14:paraId="7878D46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13.48</w:t>
            </w:r>
          </w:p>
        </w:tc>
        <w:tc>
          <w:tcPr>
            <w:tcW w:w="1276" w:type="dxa"/>
            <w:vAlign w:val="center"/>
          </w:tcPr>
          <w:p w14:paraId="4E78CB7B"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25</w:t>
            </w:r>
          </w:p>
        </w:tc>
        <w:tc>
          <w:tcPr>
            <w:tcW w:w="1905" w:type="dxa"/>
            <w:vAlign w:val="center"/>
          </w:tcPr>
          <w:p w14:paraId="0B230EB8"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5.18%</w:t>
            </w:r>
          </w:p>
        </w:tc>
      </w:tr>
      <w:tr w:rsidR="00A65CDF" w:rsidRPr="00F2543E" w14:paraId="22F9D356" w14:textId="77777777" w:rsidTr="00C6536F">
        <w:trPr>
          <w:trHeight w:val="359"/>
          <w:jc w:val="center"/>
        </w:trPr>
        <w:tc>
          <w:tcPr>
            <w:tcW w:w="846" w:type="dxa"/>
            <w:vAlign w:val="center"/>
          </w:tcPr>
          <w:p w14:paraId="06451898"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2002</w:t>
            </w:r>
          </w:p>
        </w:tc>
        <w:tc>
          <w:tcPr>
            <w:tcW w:w="850" w:type="dxa"/>
            <w:vAlign w:val="center"/>
          </w:tcPr>
          <w:p w14:paraId="23CD24AF"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2.39</w:t>
            </w:r>
          </w:p>
        </w:tc>
        <w:tc>
          <w:tcPr>
            <w:tcW w:w="1276" w:type="dxa"/>
            <w:vAlign w:val="center"/>
          </w:tcPr>
          <w:p w14:paraId="1005208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w:t>
            </w:r>
          </w:p>
        </w:tc>
        <w:tc>
          <w:tcPr>
            <w:tcW w:w="1701" w:type="dxa"/>
            <w:vAlign w:val="center"/>
          </w:tcPr>
          <w:p w14:paraId="2FBD6B14"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3.84%</w:t>
            </w:r>
          </w:p>
        </w:tc>
        <w:tc>
          <w:tcPr>
            <w:tcW w:w="851" w:type="dxa"/>
            <w:vAlign w:val="center"/>
          </w:tcPr>
          <w:p w14:paraId="10C1B32A"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2015</w:t>
            </w:r>
          </w:p>
        </w:tc>
        <w:tc>
          <w:tcPr>
            <w:tcW w:w="850" w:type="dxa"/>
            <w:vAlign w:val="center"/>
          </w:tcPr>
          <w:p w14:paraId="7202FE0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16.49</w:t>
            </w:r>
          </w:p>
        </w:tc>
        <w:tc>
          <w:tcPr>
            <w:tcW w:w="1276" w:type="dxa"/>
            <w:vAlign w:val="center"/>
          </w:tcPr>
          <w:p w14:paraId="77D7BC49"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22</w:t>
            </w:r>
          </w:p>
        </w:tc>
        <w:tc>
          <w:tcPr>
            <w:tcW w:w="1905" w:type="dxa"/>
            <w:vAlign w:val="center"/>
          </w:tcPr>
          <w:p w14:paraId="2A5F3ED2"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5.94%</w:t>
            </w:r>
          </w:p>
        </w:tc>
      </w:tr>
      <w:tr w:rsidR="00A65CDF" w:rsidRPr="00F2543E" w14:paraId="5EA8565C" w14:textId="77777777" w:rsidTr="00C6536F">
        <w:trPr>
          <w:trHeight w:val="341"/>
          <w:jc w:val="center"/>
        </w:trPr>
        <w:tc>
          <w:tcPr>
            <w:tcW w:w="846" w:type="dxa"/>
            <w:vAlign w:val="center"/>
          </w:tcPr>
          <w:p w14:paraId="652D43EF"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2003</w:t>
            </w:r>
          </w:p>
        </w:tc>
        <w:tc>
          <w:tcPr>
            <w:tcW w:w="850" w:type="dxa"/>
            <w:vAlign w:val="center"/>
          </w:tcPr>
          <w:p w14:paraId="149422C9"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7.79</w:t>
            </w:r>
          </w:p>
        </w:tc>
        <w:tc>
          <w:tcPr>
            <w:tcW w:w="1276" w:type="dxa"/>
            <w:vAlign w:val="center"/>
          </w:tcPr>
          <w:p w14:paraId="12072F45"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12</w:t>
            </w:r>
          </w:p>
        </w:tc>
        <w:tc>
          <w:tcPr>
            <w:tcW w:w="1701" w:type="dxa"/>
            <w:vAlign w:val="center"/>
          </w:tcPr>
          <w:p w14:paraId="38AD310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11.19%</w:t>
            </w:r>
          </w:p>
        </w:tc>
        <w:tc>
          <w:tcPr>
            <w:tcW w:w="851" w:type="dxa"/>
            <w:vAlign w:val="center"/>
          </w:tcPr>
          <w:p w14:paraId="673E8D8B"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2016</w:t>
            </w:r>
          </w:p>
        </w:tc>
        <w:tc>
          <w:tcPr>
            <w:tcW w:w="850" w:type="dxa"/>
            <w:vAlign w:val="center"/>
          </w:tcPr>
          <w:p w14:paraId="65C8E995"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27.51</w:t>
            </w:r>
          </w:p>
        </w:tc>
        <w:tc>
          <w:tcPr>
            <w:tcW w:w="1276" w:type="dxa"/>
            <w:vAlign w:val="center"/>
          </w:tcPr>
          <w:p w14:paraId="67B5DC08"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28</w:t>
            </w:r>
          </w:p>
        </w:tc>
        <w:tc>
          <w:tcPr>
            <w:tcW w:w="1905" w:type="dxa"/>
            <w:vAlign w:val="center"/>
          </w:tcPr>
          <w:p w14:paraId="46C7161E"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11.63%</w:t>
            </w:r>
          </w:p>
        </w:tc>
      </w:tr>
      <w:tr w:rsidR="00A65CDF" w:rsidRPr="00F2543E" w14:paraId="13F8A745" w14:textId="77777777" w:rsidTr="00C6536F">
        <w:trPr>
          <w:trHeight w:val="359"/>
          <w:jc w:val="center"/>
        </w:trPr>
        <w:tc>
          <w:tcPr>
            <w:tcW w:w="846" w:type="dxa"/>
            <w:vAlign w:val="center"/>
          </w:tcPr>
          <w:p w14:paraId="7B0602FA"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2004</w:t>
            </w:r>
          </w:p>
        </w:tc>
        <w:tc>
          <w:tcPr>
            <w:tcW w:w="850" w:type="dxa"/>
            <w:vAlign w:val="center"/>
          </w:tcPr>
          <w:p w14:paraId="30AD1ED1"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18.25</w:t>
            </w:r>
          </w:p>
        </w:tc>
        <w:tc>
          <w:tcPr>
            <w:tcW w:w="1276" w:type="dxa"/>
            <w:vAlign w:val="center"/>
          </w:tcPr>
          <w:p w14:paraId="7C84044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25</w:t>
            </w:r>
          </w:p>
        </w:tc>
        <w:tc>
          <w:tcPr>
            <w:tcW w:w="1701" w:type="dxa"/>
            <w:vAlign w:val="center"/>
          </w:tcPr>
          <w:p w14:paraId="6FA4F527"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15.67%</w:t>
            </w:r>
          </w:p>
        </w:tc>
        <w:tc>
          <w:tcPr>
            <w:tcW w:w="851" w:type="dxa"/>
            <w:vAlign w:val="center"/>
          </w:tcPr>
          <w:p w14:paraId="265DBF99"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2017</w:t>
            </w:r>
          </w:p>
        </w:tc>
        <w:tc>
          <w:tcPr>
            <w:tcW w:w="850" w:type="dxa"/>
            <w:vAlign w:val="center"/>
          </w:tcPr>
          <w:p w14:paraId="758C0FBE"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11.59</w:t>
            </w:r>
          </w:p>
        </w:tc>
        <w:tc>
          <w:tcPr>
            <w:tcW w:w="1276" w:type="dxa"/>
            <w:vAlign w:val="center"/>
          </w:tcPr>
          <w:p w14:paraId="1944F0F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29</w:t>
            </w:r>
          </w:p>
        </w:tc>
        <w:tc>
          <w:tcPr>
            <w:tcW w:w="1905" w:type="dxa"/>
            <w:vAlign w:val="center"/>
          </w:tcPr>
          <w:p w14:paraId="04DC56C0"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5.05%</w:t>
            </w:r>
          </w:p>
        </w:tc>
      </w:tr>
      <w:tr w:rsidR="00A65CDF" w:rsidRPr="00F2543E" w14:paraId="7DC36AEF" w14:textId="77777777" w:rsidTr="00C6536F">
        <w:trPr>
          <w:trHeight w:val="341"/>
          <w:jc w:val="center"/>
        </w:trPr>
        <w:tc>
          <w:tcPr>
            <w:tcW w:w="846" w:type="dxa"/>
            <w:vAlign w:val="center"/>
          </w:tcPr>
          <w:p w14:paraId="4535B94A"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2005</w:t>
            </w:r>
          </w:p>
        </w:tc>
        <w:tc>
          <w:tcPr>
            <w:tcW w:w="850" w:type="dxa"/>
            <w:vAlign w:val="center"/>
          </w:tcPr>
          <w:p w14:paraId="391220B4"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29.06</w:t>
            </w:r>
          </w:p>
        </w:tc>
        <w:tc>
          <w:tcPr>
            <w:tcW w:w="1276" w:type="dxa"/>
            <w:vAlign w:val="center"/>
          </w:tcPr>
          <w:p w14:paraId="077D648C"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37</w:t>
            </w:r>
          </w:p>
        </w:tc>
        <w:tc>
          <w:tcPr>
            <w:tcW w:w="1701" w:type="dxa"/>
            <w:vAlign w:val="center"/>
          </w:tcPr>
          <w:p w14:paraId="7087097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20.71%</w:t>
            </w:r>
          </w:p>
        </w:tc>
        <w:tc>
          <w:tcPr>
            <w:tcW w:w="851" w:type="dxa"/>
            <w:vAlign w:val="center"/>
          </w:tcPr>
          <w:p w14:paraId="078282A2"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2018</w:t>
            </w:r>
          </w:p>
        </w:tc>
        <w:tc>
          <w:tcPr>
            <w:tcW w:w="850" w:type="dxa"/>
            <w:vAlign w:val="center"/>
          </w:tcPr>
          <w:p w14:paraId="34DA2C16"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9.59</w:t>
            </w:r>
          </w:p>
        </w:tc>
        <w:tc>
          <w:tcPr>
            <w:tcW w:w="1276" w:type="dxa"/>
            <w:vAlign w:val="center"/>
          </w:tcPr>
          <w:p w14:paraId="30DA1A6A"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16</w:t>
            </w:r>
          </w:p>
        </w:tc>
        <w:tc>
          <w:tcPr>
            <w:tcW w:w="1905" w:type="dxa"/>
            <w:vAlign w:val="center"/>
          </w:tcPr>
          <w:p w14:paraId="3A3426DB"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3.39%</w:t>
            </w:r>
          </w:p>
        </w:tc>
      </w:tr>
      <w:tr w:rsidR="00A65CDF" w:rsidRPr="00F2543E" w14:paraId="62E1B0A6" w14:textId="77777777" w:rsidTr="00C6536F">
        <w:trPr>
          <w:trHeight w:val="359"/>
          <w:jc w:val="center"/>
        </w:trPr>
        <w:tc>
          <w:tcPr>
            <w:tcW w:w="846" w:type="dxa"/>
            <w:vAlign w:val="center"/>
          </w:tcPr>
          <w:p w14:paraId="4CEA48B0"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2006</w:t>
            </w:r>
          </w:p>
        </w:tc>
        <w:tc>
          <w:tcPr>
            <w:tcW w:w="850" w:type="dxa"/>
            <w:vAlign w:val="center"/>
          </w:tcPr>
          <w:p w14:paraId="52F35723"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30.57</w:t>
            </w:r>
          </w:p>
        </w:tc>
        <w:tc>
          <w:tcPr>
            <w:tcW w:w="1276" w:type="dxa"/>
            <w:vAlign w:val="center"/>
          </w:tcPr>
          <w:p w14:paraId="5C62B354"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27</w:t>
            </w:r>
          </w:p>
        </w:tc>
        <w:tc>
          <w:tcPr>
            <w:tcW w:w="1701" w:type="dxa"/>
            <w:vAlign w:val="center"/>
          </w:tcPr>
          <w:p w14:paraId="518680A5" w14:textId="77777777" w:rsidR="00A65CDF" w:rsidRPr="009504F3" w:rsidRDefault="00A65CDF" w:rsidP="00C6536F">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16.92%</w:t>
            </w:r>
          </w:p>
        </w:tc>
        <w:tc>
          <w:tcPr>
            <w:tcW w:w="851" w:type="dxa"/>
            <w:vMerge w:val="restart"/>
            <w:vAlign w:val="center"/>
          </w:tcPr>
          <w:p w14:paraId="30021FB2" w14:textId="77777777" w:rsidR="00A65CDF" w:rsidRPr="009504F3" w:rsidRDefault="00A65CDF" w:rsidP="00C6536F">
            <w:pPr>
              <w:jc w:val="center"/>
              <w:rPr>
                <w:rFonts w:asciiTheme="majorBidi" w:hAnsiTheme="majorBidi" w:cstheme="majorBidi"/>
                <w:sz w:val="20"/>
                <w:szCs w:val="20"/>
              </w:rPr>
            </w:pPr>
            <w:r w:rsidRPr="009504F3">
              <w:rPr>
                <w:rFonts w:asciiTheme="majorBidi" w:hAnsiTheme="majorBidi" w:cstheme="majorBidi"/>
                <w:b/>
                <w:bCs/>
                <w:color w:val="000000"/>
                <w:sz w:val="20"/>
                <w:szCs w:val="20"/>
              </w:rPr>
              <w:t>Total</w:t>
            </w:r>
          </w:p>
        </w:tc>
        <w:tc>
          <w:tcPr>
            <w:tcW w:w="850" w:type="dxa"/>
            <w:vMerge w:val="restart"/>
            <w:vAlign w:val="center"/>
          </w:tcPr>
          <w:p w14:paraId="5C86BCC4" w14:textId="77777777" w:rsidR="00A65CDF" w:rsidRPr="009504F3" w:rsidRDefault="00A65CDF" w:rsidP="00C6536F">
            <w:pPr>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327.07</w:t>
            </w:r>
          </w:p>
        </w:tc>
        <w:tc>
          <w:tcPr>
            <w:tcW w:w="1276" w:type="dxa"/>
            <w:vMerge w:val="restart"/>
            <w:vAlign w:val="center"/>
          </w:tcPr>
          <w:p w14:paraId="38048185" w14:textId="77777777" w:rsidR="00A65CDF" w:rsidRPr="009504F3" w:rsidRDefault="00A65CDF" w:rsidP="00C6536F">
            <w:pPr>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423</w:t>
            </w:r>
          </w:p>
        </w:tc>
        <w:tc>
          <w:tcPr>
            <w:tcW w:w="1905" w:type="dxa"/>
            <w:vMerge w:val="restart"/>
            <w:vAlign w:val="center"/>
          </w:tcPr>
          <w:p w14:paraId="1FE9AEC0" w14:textId="77777777" w:rsidR="00A65CDF" w:rsidRPr="009504F3" w:rsidRDefault="00A65CDF" w:rsidP="00C6536F">
            <w:pPr>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8.67%</w:t>
            </w:r>
          </w:p>
        </w:tc>
      </w:tr>
      <w:tr w:rsidR="00A65CDF" w:rsidRPr="00F2543E" w14:paraId="09EB2FC5" w14:textId="77777777" w:rsidTr="00C6536F">
        <w:trPr>
          <w:trHeight w:val="395"/>
          <w:jc w:val="center"/>
        </w:trPr>
        <w:tc>
          <w:tcPr>
            <w:tcW w:w="846" w:type="dxa"/>
            <w:vAlign w:val="center"/>
          </w:tcPr>
          <w:p w14:paraId="0742B34A" w14:textId="77777777" w:rsidR="00A65CDF" w:rsidRPr="00C6536F" w:rsidRDefault="00A65CDF" w:rsidP="00C6536F">
            <w:pPr>
              <w:jc w:val="center"/>
              <w:rPr>
                <w:rFonts w:ascii="Times New Roman" w:hAnsi="Times New Roman" w:cs="Times New Roman"/>
                <w:b/>
                <w:bCs/>
                <w:color w:val="000000"/>
                <w:sz w:val="20"/>
                <w:szCs w:val="20"/>
              </w:rPr>
            </w:pPr>
            <w:r w:rsidRPr="00C6536F">
              <w:rPr>
                <w:rFonts w:ascii="Times New Roman" w:hAnsi="Times New Roman" w:cs="Times New Roman"/>
                <w:b/>
                <w:bCs/>
                <w:color w:val="000000"/>
                <w:sz w:val="20"/>
                <w:szCs w:val="20"/>
              </w:rPr>
              <w:t>2007</w:t>
            </w:r>
          </w:p>
        </w:tc>
        <w:tc>
          <w:tcPr>
            <w:tcW w:w="850" w:type="dxa"/>
            <w:vAlign w:val="center"/>
          </w:tcPr>
          <w:p w14:paraId="24E4CF56" w14:textId="77777777" w:rsidR="00A65CDF" w:rsidRPr="00C6536F" w:rsidRDefault="00A65CDF" w:rsidP="00C6536F">
            <w:pPr>
              <w:spacing w:line="276" w:lineRule="auto"/>
              <w:jc w:val="center"/>
              <w:rPr>
                <w:rFonts w:asciiTheme="majorBidi" w:hAnsiTheme="majorBidi" w:cstheme="majorBidi"/>
                <w:color w:val="000000"/>
                <w:sz w:val="20"/>
                <w:szCs w:val="20"/>
              </w:rPr>
            </w:pPr>
            <w:r w:rsidRPr="00C6536F">
              <w:rPr>
                <w:rFonts w:asciiTheme="majorBidi" w:hAnsiTheme="majorBidi" w:cstheme="majorBidi"/>
                <w:color w:val="000000"/>
                <w:sz w:val="20"/>
                <w:szCs w:val="20"/>
              </w:rPr>
              <w:t>39.78</w:t>
            </w:r>
          </w:p>
        </w:tc>
        <w:tc>
          <w:tcPr>
            <w:tcW w:w="1276" w:type="dxa"/>
            <w:vAlign w:val="center"/>
          </w:tcPr>
          <w:p w14:paraId="78F2EB95" w14:textId="77777777" w:rsidR="00A65CDF" w:rsidRPr="00C6536F" w:rsidRDefault="00A65CDF" w:rsidP="00C6536F">
            <w:pPr>
              <w:spacing w:line="276" w:lineRule="auto"/>
              <w:jc w:val="center"/>
              <w:rPr>
                <w:rFonts w:asciiTheme="majorBidi" w:hAnsiTheme="majorBidi" w:cstheme="majorBidi"/>
                <w:color w:val="000000"/>
                <w:sz w:val="20"/>
                <w:szCs w:val="20"/>
              </w:rPr>
            </w:pPr>
            <w:r w:rsidRPr="00C6536F">
              <w:rPr>
                <w:rFonts w:asciiTheme="majorBidi" w:hAnsiTheme="majorBidi" w:cstheme="majorBidi"/>
                <w:color w:val="000000"/>
                <w:sz w:val="20"/>
                <w:szCs w:val="20"/>
              </w:rPr>
              <w:t>40</w:t>
            </w:r>
          </w:p>
        </w:tc>
        <w:tc>
          <w:tcPr>
            <w:tcW w:w="1701" w:type="dxa"/>
            <w:vAlign w:val="center"/>
          </w:tcPr>
          <w:p w14:paraId="1A44AF10" w14:textId="77777777" w:rsidR="00A65CDF" w:rsidRPr="00C6536F" w:rsidRDefault="00A65CDF" w:rsidP="00C6536F">
            <w:pPr>
              <w:spacing w:line="276" w:lineRule="auto"/>
              <w:jc w:val="center"/>
              <w:rPr>
                <w:rFonts w:asciiTheme="majorBidi" w:hAnsiTheme="majorBidi" w:cstheme="majorBidi"/>
                <w:color w:val="000000"/>
                <w:sz w:val="20"/>
                <w:szCs w:val="20"/>
              </w:rPr>
            </w:pPr>
            <w:r w:rsidRPr="00C6536F">
              <w:rPr>
                <w:rFonts w:asciiTheme="majorBidi" w:hAnsiTheme="majorBidi" w:cstheme="majorBidi"/>
                <w:color w:val="000000"/>
                <w:sz w:val="20"/>
                <w:szCs w:val="20"/>
              </w:rPr>
              <w:t>18.08%</w:t>
            </w:r>
          </w:p>
        </w:tc>
        <w:tc>
          <w:tcPr>
            <w:tcW w:w="851" w:type="dxa"/>
            <w:vMerge/>
            <w:vAlign w:val="center"/>
          </w:tcPr>
          <w:p w14:paraId="57FCBD12" w14:textId="77777777" w:rsidR="00A65CDF" w:rsidRPr="00F2543E" w:rsidRDefault="00A65CDF" w:rsidP="0044728F">
            <w:pPr>
              <w:spacing w:line="360" w:lineRule="auto"/>
              <w:jc w:val="center"/>
              <w:rPr>
                <w:rFonts w:ascii="Times New Roman" w:hAnsi="Times New Roman" w:cs="Times New Roman"/>
                <w:b/>
                <w:bCs/>
                <w:color w:val="000000"/>
                <w:sz w:val="24"/>
                <w:szCs w:val="24"/>
              </w:rPr>
            </w:pPr>
          </w:p>
        </w:tc>
        <w:tc>
          <w:tcPr>
            <w:tcW w:w="850" w:type="dxa"/>
            <w:vMerge/>
            <w:vAlign w:val="center"/>
          </w:tcPr>
          <w:p w14:paraId="15EE4797" w14:textId="77777777" w:rsidR="00A65CDF" w:rsidRPr="00F2543E" w:rsidRDefault="00A65CDF" w:rsidP="0044728F">
            <w:pPr>
              <w:spacing w:line="360" w:lineRule="auto"/>
              <w:jc w:val="center"/>
              <w:rPr>
                <w:rFonts w:ascii="Times New Roman" w:hAnsi="Times New Roman" w:cs="Times New Roman"/>
                <w:b/>
                <w:bCs/>
                <w:color w:val="000000"/>
                <w:sz w:val="24"/>
                <w:szCs w:val="24"/>
              </w:rPr>
            </w:pPr>
          </w:p>
        </w:tc>
        <w:tc>
          <w:tcPr>
            <w:tcW w:w="1276" w:type="dxa"/>
            <w:vMerge/>
            <w:vAlign w:val="center"/>
          </w:tcPr>
          <w:p w14:paraId="713D1C7B" w14:textId="77777777" w:rsidR="00A65CDF" w:rsidRPr="00F2543E" w:rsidRDefault="00A65CDF" w:rsidP="0044728F">
            <w:pPr>
              <w:spacing w:line="360" w:lineRule="auto"/>
              <w:jc w:val="center"/>
              <w:rPr>
                <w:rFonts w:ascii="Times New Roman" w:hAnsi="Times New Roman" w:cs="Times New Roman"/>
                <w:b/>
                <w:bCs/>
                <w:color w:val="000000"/>
                <w:sz w:val="24"/>
                <w:szCs w:val="24"/>
              </w:rPr>
            </w:pPr>
          </w:p>
        </w:tc>
        <w:tc>
          <w:tcPr>
            <w:tcW w:w="1905" w:type="dxa"/>
            <w:vMerge/>
            <w:vAlign w:val="center"/>
          </w:tcPr>
          <w:p w14:paraId="507A9677" w14:textId="77777777" w:rsidR="00A65CDF" w:rsidRPr="00F2543E" w:rsidRDefault="00A65CDF" w:rsidP="0044728F">
            <w:pPr>
              <w:spacing w:line="360" w:lineRule="auto"/>
              <w:jc w:val="center"/>
              <w:rPr>
                <w:rFonts w:ascii="Times New Roman" w:hAnsi="Times New Roman" w:cs="Times New Roman"/>
                <w:b/>
                <w:bCs/>
                <w:color w:val="000000"/>
                <w:sz w:val="24"/>
                <w:szCs w:val="24"/>
              </w:rPr>
            </w:pPr>
          </w:p>
        </w:tc>
      </w:tr>
    </w:tbl>
    <w:p w14:paraId="57CD2E36" w14:textId="5048CDDF" w:rsidR="00DE51CF" w:rsidRPr="00E517C7" w:rsidRDefault="00DE51CF" w:rsidP="00C6536F">
      <w:pPr>
        <w:pStyle w:val="Caption"/>
        <w:spacing w:before="240" w:after="0"/>
        <w:jc w:val="both"/>
        <w:rPr>
          <w:rFonts w:ascii="Times New Roman" w:hAnsi="Times New Roman" w:cs="Times New Roman"/>
          <w:i w:val="0"/>
          <w:iCs w:val="0"/>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r w:rsidR="00E517C7" w:rsidRPr="00E517C7">
        <w:rPr>
          <w:rFonts w:ascii="Times New Roman" w:hAnsi="Times New Roman" w:cs="Times New Roman"/>
          <w:i w:val="0"/>
          <w:iCs w:val="0"/>
          <w:color w:val="auto"/>
          <w:sz w:val="22"/>
          <w:szCs w:val="22"/>
          <w:lang w:val="en-US"/>
        </w:rPr>
        <w:t xml:space="preserve"> (</w:t>
      </w:r>
      <w:r w:rsidR="0008440E">
        <w:rPr>
          <w:rFonts w:ascii="Times New Roman" w:hAnsi="Times New Roman" w:cs="Times New Roman"/>
          <w:i w:val="0"/>
          <w:iCs w:val="0"/>
          <w:color w:val="auto"/>
          <w:sz w:val="22"/>
          <w:szCs w:val="22"/>
          <w:lang w:val="en-US"/>
        </w:rPr>
        <w:t xml:space="preserve">for </w:t>
      </w:r>
      <w:r w:rsidR="009921FF">
        <w:rPr>
          <w:rFonts w:ascii="Times New Roman" w:hAnsi="Times New Roman" w:cs="Times New Roman"/>
          <w:i w:val="0"/>
          <w:iCs w:val="0"/>
          <w:color w:val="auto"/>
          <w:sz w:val="22"/>
          <w:szCs w:val="22"/>
          <w:lang w:val="en-US"/>
        </w:rPr>
        <w:t xml:space="preserve">details </w:t>
      </w:r>
      <w:r w:rsidR="0008440E">
        <w:rPr>
          <w:rFonts w:ascii="Times New Roman" w:hAnsi="Times New Roman" w:cs="Times New Roman"/>
          <w:i w:val="0"/>
          <w:iCs w:val="0"/>
          <w:color w:val="auto"/>
          <w:sz w:val="22"/>
          <w:szCs w:val="22"/>
          <w:lang w:val="en-US"/>
        </w:rPr>
        <w:t>see</w:t>
      </w:r>
      <w:r w:rsidR="00E517C7" w:rsidRPr="00E517C7">
        <w:rPr>
          <w:rFonts w:ascii="Times New Roman" w:hAnsi="Times New Roman" w:cs="Times New Roman"/>
          <w:i w:val="0"/>
          <w:iCs w:val="0"/>
          <w:color w:val="auto"/>
          <w:sz w:val="22"/>
          <w:szCs w:val="22"/>
          <w:lang w:val="en-US"/>
        </w:rPr>
        <w:t xml:space="preserve"> </w:t>
      </w:r>
      <w:r w:rsidR="004A6B4F" w:rsidRPr="004A6B4F">
        <w:rPr>
          <w:rFonts w:ascii="Times New Roman" w:hAnsi="Times New Roman" w:cs="Times New Roman"/>
          <w:i w:val="0"/>
          <w:iCs w:val="0"/>
          <w:color w:val="auto"/>
          <w:sz w:val="22"/>
          <w:szCs w:val="22"/>
          <w:lang w:val="en-US"/>
        </w:rPr>
        <w:t>appendices</w:t>
      </w:r>
      <w:r w:rsidR="004A6B4F">
        <w:rPr>
          <w:rFonts w:ascii="Times New Roman" w:hAnsi="Times New Roman" w:cs="Times New Roman"/>
          <w:i w:val="0"/>
          <w:iCs w:val="0"/>
          <w:color w:val="auto"/>
          <w:sz w:val="22"/>
          <w:szCs w:val="22"/>
          <w:lang w:val="en-US"/>
        </w:rPr>
        <w:t xml:space="preserve"> </w:t>
      </w:r>
      <w:r w:rsidR="00E517C7">
        <w:rPr>
          <w:rFonts w:ascii="Times New Roman" w:hAnsi="Times New Roman" w:cs="Times New Roman"/>
          <w:i w:val="0"/>
          <w:iCs w:val="0"/>
          <w:color w:val="auto"/>
          <w:sz w:val="22"/>
          <w:szCs w:val="22"/>
          <w:lang w:val="en-US"/>
        </w:rPr>
        <w:t>1</w:t>
      </w:r>
      <w:r w:rsidR="009921FF">
        <w:rPr>
          <w:rFonts w:ascii="Times New Roman" w:hAnsi="Times New Roman" w:cs="Times New Roman"/>
          <w:i w:val="0"/>
          <w:iCs w:val="0"/>
          <w:color w:val="auto"/>
          <w:sz w:val="22"/>
          <w:szCs w:val="22"/>
          <w:lang w:val="en-US"/>
        </w:rPr>
        <w:t xml:space="preserve"> and </w:t>
      </w:r>
      <w:r w:rsidR="00E517C7">
        <w:rPr>
          <w:rFonts w:ascii="Times New Roman" w:hAnsi="Times New Roman" w:cs="Times New Roman"/>
          <w:i w:val="0"/>
          <w:iCs w:val="0"/>
          <w:color w:val="auto"/>
          <w:sz w:val="22"/>
          <w:szCs w:val="22"/>
          <w:lang w:val="en-US"/>
        </w:rPr>
        <w:t>2</w:t>
      </w:r>
      <w:r w:rsidR="00E517C7" w:rsidRPr="00E517C7">
        <w:rPr>
          <w:rFonts w:ascii="Times New Roman" w:hAnsi="Times New Roman" w:cs="Times New Roman"/>
          <w:i w:val="0"/>
          <w:iCs w:val="0"/>
          <w:color w:val="auto"/>
          <w:sz w:val="22"/>
          <w:szCs w:val="22"/>
          <w:lang w:val="en-US"/>
        </w:rPr>
        <w:t>).</w:t>
      </w:r>
    </w:p>
    <w:p w14:paraId="2D5AABC2" w14:textId="4DE07D2E" w:rsidR="00720110" w:rsidRPr="00DE51CF" w:rsidRDefault="00720110" w:rsidP="0008496D">
      <w:pPr>
        <w:suppressAutoHyphens/>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can be seen in </w:t>
      </w:r>
      <w:r w:rsidRPr="00476356">
        <w:rPr>
          <w:rFonts w:ascii="Times New Roman" w:hAnsi="Times New Roman" w:cs="Times New Roman"/>
          <w:i/>
          <w:iCs/>
          <w:sz w:val="24"/>
          <w:szCs w:val="24"/>
        </w:rPr>
        <w:t xml:space="preserve">Table </w:t>
      </w:r>
      <w:r w:rsidR="00C6536F">
        <w:rPr>
          <w:rFonts w:ascii="Times New Roman" w:hAnsi="Times New Roman" w:cs="Times New Roman"/>
          <w:i/>
          <w:iCs/>
          <w:sz w:val="24"/>
          <w:szCs w:val="24"/>
        </w:rPr>
        <w:t>2.5</w:t>
      </w:r>
      <w:r>
        <w:rPr>
          <w:rFonts w:ascii="Times New Roman" w:hAnsi="Times New Roman" w:cs="Times New Roman"/>
          <w:sz w:val="24"/>
          <w:szCs w:val="24"/>
        </w:rPr>
        <w:t>, the project finance market boomed in 1996 and rose from virtually nothing to about $5 bn with 11.5% of the global market</w:t>
      </w:r>
      <w:r w:rsidR="00A73618">
        <w:rPr>
          <w:rFonts w:ascii="Times New Roman" w:hAnsi="Times New Roman" w:cs="Times New Roman"/>
          <w:sz w:val="24"/>
          <w:szCs w:val="24"/>
        </w:rPr>
        <w:t>.</w:t>
      </w:r>
      <w:r>
        <w:rPr>
          <w:rFonts w:ascii="Times New Roman" w:hAnsi="Times New Roman" w:cs="Times New Roman"/>
          <w:sz w:val="24"/>
          <w:szCs w:val="24"/>
        </w:rPr>
        <w:t xml:space="preserve"> </w:t>
      </w:r>
      <w:r w:rsidR="005220A1">
        <w:rPr>
          <w:rFonts w:ascii="Times New Roman" w:hAnsi="Times New Roman" w:cs="Times New Roman"/>
          <w:sz w:val="24"/>
          <w:szCs w:val="24"/>
        </w:rPr>
        <w:t>T</w:t>
      </w:r>
      <w:r>
        <w:rPr>
          <w:rFonts w:ascii="Times New Roman" w:hAnsi="Times New Roman" w:cs="Times New Roman"/>
          <w:sz w:val="24"/>
          <w:szCs w:val="24"/>
        </w:rPr>
        <w:t>he market stayed stable with less than 10% of the global market share until 2004</w:t>
      </w:r>
      <w:r w:rsidR="005220A1">
        <w:rPr>
          <w:rFonts w:ascii="Times New Roman" w:hAnsi="Times New Roman" w:cs="Times New Roman"/>
          <w:sz w:val="24"/>
          <w:szCs w:val="24"/>
        </w:rPr>
        <w:t xml:space="preserve"> </w:t>
      </w:r>
      <w:r>
        <w:rPr>
          <w:rFonts w:ascii="Times New Roman" w:hAnsi="Times New Roman" w:cs="Times New Roman"/>
          <w:sz w:val="24"/>
          <w:szCs w:val="24"/>
        </w:rPr>
        <w:t xml:space="preserve">when the </w:t>
      </w:r>
      <w:r w:rsidRPr="00AB6269">
        <w:rPr>
          <w:rFonts w:ascii="Times New Roman" w:hAnsi="Times New Roman" w:cs="Times New Roman"/>
          <w:sz w:val="24"/>
          <w:szCs w:val="24"/>
        </w:rPr>
        <w:t>project finance loan market increased by 134% compared to 2003 and jumped to $18.25 bn</w:t>
      </w:r>
      <w:r w:rsidR="005220A1">
        <w:rPr>
          <w:rFonts w:ascii="Times New Roman" w:hAnsi="Times New Roman" w:cs="Times New Roman"/>
          <w:sz w:val="24"/>
          <w:szCs w:val="24"/>
        </w:rPr>
        <w:t>,</w:t>
      </w:r>
      <w:r w:rsidRPr="00AB6269">
        <w:rPr>
          <w:rFonts w:ascii="Times New Roman" w:hAnsi="Times New Roman" w:cs="Times New Roman"/>
          <w:sz w:val="24"/>
          <w:szCs w:val="24"/>
        </w:rPr>
        <w:t xml:space="preserve"> which was 15.7% of the global market.</w:t>
      </w:r>
      <w:r>
        <w:rPr>
          <w:rFonts w:ascii="Times New Roman" w:hAnsi="Times New Roman" w:cs="Times New Roman"/>
          <w:sz w:val="24"/>
          <w:szCs w:val="24"/>
        </w:rPr>
        <w:t xml:space="preserve"> The volum</w:t>
      </w:r>
      <w:r w:rsidR="00A73618">
        <w:rPr>
          <w:rFonts w:ascii="Times New Roman" w:hAnsi="Times New Roman" w:cs="Times New Roman"/>
          <w:sz w:val="24"/>
          <w:szCs w:val="24"/>
        </w:rPr>
        <w:t>e</w:t>
      </w:r>
      <w:r>
        <w:rPr>
          <w:rFonts w:ascii="Times New Roman" w:hAnsi="Times New Roman" w:cs="Times New Roman"/>
          <w:sz w:val="24"/>
          <w:szCs w:val="24"/>
        </w:rPr>
        <w:t xml:space="preserve"> of transactions </w:t>
      </w:r>
      <w:r w:rsidR="00A73618">
        <w:rPr>
          <w:rFonts w:ascii="Times New Roman" w:hAnsi="Times New Roman" w:cs="Times New Roman"/>
          <w:sz w:val="24"/>
          <w:szCs w:val="24"/>
        </w:rPr>
        <w:t>continued</w:t>
      </w:r>
      <w:r>
        <w:rPr>
          <w:rFonts w:ascii="Times New Roman" w:hAnsi="Times New Roman" w:cs="Times New Roman"/>
          <w:sz w:val="24"/>
          <w:szCs w:val="24"/>
        </w:rPr>
        <w:t xml:space="preserve"> grow</w:t>
      </w:r>
      <w:r w:rsidR="00A73618">
        <w:rPr>
          <w:rFonts w:ascii="Times New Roman" w:hAnsi="Times New Roman" w:cs="Times New Roman"/>
          <w:sz w:val="24"/>
          <w:szCs w:val="24"/>
        </w:rPr>
        <w:t>ing</w:t>
      </w:r>
      <w:r>
        <w:rPr>
          <w:rFonts w:ascii="Times New Roman" w:hAnsi="Times New Roman" w:cs="Times New Roman"/>
          <w:sz w:val="24"/>
          <w:szCs w:val="24"/>
        </w:rPr>
        <w:t xml:space="preserve"> in Arab countries until 2008. </w:t>
      </w:r>
      <w:r w:rsidRPr="00E54E2E">
        <w:rPr>
          <w:rFonts w:ascii="Times New Roman" w:hAnsi="Times New Roman" w:cs="Times New Roman"/>
          <w:sz w:val="24"/>
          <w:szCs w:val="24"/>
        </w:rPr>
        <w:t>The 2008–2009 financial crisis had a sizeable impact on energy prices and, by association, on the development of energy and non-energy infrastructure</w:t>
      </w:r>
      <w:r w:rsidRPr="00457A83">
        <w:rPr>
          <w:rFonts w:ascii="Times New Roman" w:hAnsi="Times New Roman" w:cs="Times New Roman"/>
          <w:sz w:val="24"/>
          <w:szCs w:val="24"/>
        </w:rPr>
        <w:t xml:space="preserve"> where volumes </w:t>
      </w:r>
      <w:r>
        <w:rPr>
          <w:rFonts w:ascii="Times New Roman" w:hAnsi="Times New Roman" w:cs="Times New Roman"/>
          <w:sz w:val="24"/>
          <w:szCs w:val="24"/>
        </w:rPr>
        <w:t>decreased dramatically</w:t>
      </w:r>
      <w:r w:rsidRPr="00457A83">
        <w:rPr>
          <w:rFonts w:ascii="Times New Roman" w:hAnsi="Times New Roman" w:cs="Times New Roman"/>
          <w:sz w:val="24"/>
          <w:szCs w:val="24"/>
        </w:rPr>
        <w:t xml:space="preserve"> from about $40 bn in 2007 to just below $26 bn in 2008, a similar fall occurred in 2009 when the loan volumes dropped to about $12 bn.</w:t>
      </w:r>
      <w:r>
        <w:rPr>
          <w:rFonts w:ascii="Times New Roman" w:hAnsi="Times New Roman" w:cs="Times New Roman"/>
          <w:sz w:val="24"/>
          <w:szCs w:val="24"/>
        </w:rPr>
        <w:t xml:space="preserve"> Transactions</w:t>
      </w:r>
      <w:r w:rsidR="00E20029" w:rsidRPr="00E20029">
        <w:rPr>
          <w:rFonts w:ascii="Times New Roman" w:hAnsi="Times New Roman" w:cs="Times New Roman"/>
          <w:sz w:val="24"/>
          <w:szCs w:val="24"/>
        </w:rPr>
        <w:t>'</w:t>
      </w:r>
      <w:r>
        <w:rPr>
          <w:rFonts w:ascii="Times New Roman" w:hAnsi="Times New Roman" w:cs="Times New Roman"/>
          <w:sz w:val="24"/>
          <w:szCs w:val="24"/>
        </w:rPr>
        <w:t xml:space="preserve"> volume fluctuated significantly in the last decade</w:t>
      </w:r>
      <w:r w:rsidR="005220A1">
        <w:rPr>
          <w:rFonts w:ascii="Times New Roman" w:hAnsi="Times New Roman" w:cs="Times New Roman"/>
          <w:sz w:val="24"/>
          <w:szCs w:val="24"/>
        </w:rPr>
        <w:t>,</w:t>
      </w:r>
      <w:r>
        <w:rPr>
          <w:rFonts w:ascii="Times New Roman" w:hAnsi="Times New Roman" w:cs="Times New Roman"/>
          <w:sz w:val="24"/>
          <w:szCs w:val="24"/>
        </w:rPr>
        <w:t xml:space="preserve"> dropping off to $9.13 bn in 2012 and peaking at $27.51 bn in 2016.</w:t>
      </w:r>
    </w:p>
    <w:p w14:paraId="3C161E12" w14:textId="039EF11E" w:rsidR="00A65CDF" w:rsidRDefault="00A65CDF" w:rsidP="0008496D">
      <w:pPr>
        <w:suppressAutoHyphens/>
        <w:spacing w:before="240" w:line="360" w:lineRule="auto"/>
        <w:ind w:firstLine="567"/>
        <w:jc w:val="both"/>
        <w:rPr>
          <w:rFonts w:ascii="Times New Roman" w:hAnsi="Times New Roman" w:cs="Times New Roman"/>
          <w:sz w:val="24"/>
          <w:szCs w:val="24"/>
        </w:rPr>
      </w:pPr>
      <w:r w:rsidRPr="000A4432">
        <w:rPr>
          <w:rFonts w:ascii="Times New Roman" w:hAnsi="Times New Roman" w:cs="Times New Roman"/>
          <w:i/>
          <w:iCs/>
          <w:sz w:val="24"/>
          <w:szCs w:val="24"/>
        </w:rPr>
        <w:t xml:space="preserve">Table </w:t>
      </w:r>
      <w:r w:rsidR="00F765B7">
        <w:rPr>
          <w:rFonts w:ascii="Times New Roman" w:hAnsi="Times New Roman" w:cs="Times New Roman"/>
          <w:i/>
          <w:iCs/>
          <w:sz w:val="24"/>
          <w:szCs w:val="24"/>
        </w:rPr>
        <w:t>2.6</w:t>
      </w:r>
      <w:r w:rsidRPr="000A4432">
        <w:rPr>
          <w:rFonts w:ascii="Times New Roman" w:hAnsi="Times New Roman" w:cs="Times New Roman"/>
          <w:sz w:val="24"/>
          <w:szCs w:val="24"/>
        </w:rPr>
        <w:t xml:space="preserve"> lists</w:t>
      </w:r>
      <w:r w:rsidRPr="005C1804">
        <w:rPr>
          <w:rFonts w:ascii="Times New Roman" w:hAnsi="Times New Roman" w:cs="Times New Roman"/>
          <w:sz w:val="24"/>
          <w:szCs w:val="24"/>
        </w:rPr>
        <w:t xml:space="preserve"> the total volume of project finance for each Arab country by itself from 1995 to 2018.</w:t>
      </w:r>
      <w:r w:rsidR="00DE51CF">
        <w:rPr>
          <w:rFonts w:ascii="Times New Roman" w:hAnsi="Times New Roman" w:cs="Times New Roman"/>
          <w:sz w:val="24"/>
          <w:szCs w:val="24"/>
        </w:rPr>
        <w:t xml:space="preserve"> </w:t>
      </w:r>
      <w:r w:rsidR="00DE51CF" w:rsidRPr="005C1804">
        <w:rPr>
          <w:rFonts w:ascii="Times New Roman" w:hAnsi="Times New Roman" w:cs="Times New Roman"/>
          <w:sz w:val="24"/>
          <w:szCs w:val="24"/>
        </w:rPr>
        <w:t xml:space="preserve">Project financing is booming in Saudi Arabia, </w:t>
      </w:r>
      <w:r w:rsidR="00A73618">
        <w:rPr>
          <w:rFonts w:ascii="Times New Roman" w:hAnsi="Times New Roman" w:cs="Times New Roman"/>
          <w:sz w:val="24"/>
          <w:szCs w:val="24"/>
        </w:rPr>
        <w:t>leading</w:t>
      </w:r>
      <w:r w:rsidR="00DE51CF" w:rsidRPr="005C1804">
        <w:rPr>
          <w:rFonts w:ascii="Times New Roman" w:hAnsi="Times New Roman" w:cs="Times New Roman"/>
          <w:sz w:val="24"/>
          <w:szCs w:val="24"/>
        </w:rPr>
        <w:t xml:space="preserve"> Arab</w:t>
      </w:r>
      <w:r w:rsidR="009A3917">
        <w:rPr>
          <w:rFonts w:ascii="Times New Roman" w:hAnsi="Times New Roman" w:cs="Times New Roman"/>
          <w:sz w:val="24"/>
          <w:szCs w:val="24"/>
        </w:rPr>
        <w:t xml:space="preserve"> </w:t>
      </w:r>
      <w:r w:rsidR="00DE51CF" w:rsidRPr="005C1804">
        <w:rPr>
          <w:rFonts w:ascii="Times New Roman" w:hAnsi="Times New Roman" w:cs="Times New Roman"/>
          <w:sz w:val="24"/>
          <w:szCs w:val="24"/>
        </w:rPr>
        <w:t xml:space="preserve">countries in </w:t>
      </w:r>
      <w:r w:rsidR="00A73618">
        <w:rPr>
          <w:rFonts w:ascii="Times New Roman" w:hAnsi="Times New Roman" w:cs="Times New Roman"/>
          <w:sz w:val="24"/>
          <w:szCs w:val="24"/>
        </w:rPr>
        <w:t>transactions.</w:t>
      </w:r>
      <w:r w:rsidR="00DE51CF" w:rsidRPr="003515C0">
        <w:rPr>
          <w:rFonts w:ascii="Times New Roman" w:hAnsi="Times New Roman" w:cs="Times New Roman"/>
          <w:sz w:val="24"/>
          <w:szCs w:val="24"/>
        </w:rPr>
        <w:t xml:space="preserve"> </w:t>
      </w:r>
      <w:r w:rsidR="00A73618">
        <w:rPr>
          <w:rFonts w:ascii="Times New Roman" w:hAnsi="Times New Roman" w:cs="Times New Roman"/>
          <w:sz w:val="24"/>
          <w:szCs w:val="24"/>
        </w:rPr>
        <w:t>About</w:t>
      </w:r>
      <w:r w:rsidR="00DE51CF" w:rsidRPr="003515C0">
        <w:rPr>
          <w:rFonts w:ascii="Times New Roman" w:hAnsi="Times New Roman" w:cs="Times New Roman"/>
          <w:sz w:val="24"/>
          <w:szCs w:val="24"/>
        </w:rPr>
        <w:t xml:space="preserve"> 32% of the projects took place in the Kingdom of Saudi Arabia, the largest economy in the region</w:t>
      </w:r>
      <w:r w:rsidR="005220A1">
        <w:rPr>
          <w:rFonts w:ascii="Times New Roman" w:hAnsi="Times New Roman" w:cs="Times New Roman"/>
          <w:sz w:val="24"/>
          <w:szCs w:val="24"/>
        </w:rPr>
        <w:t>,</w:t>
      </w:r>
      <w:r w:rsidR="00DE51CF">
        <w:rPr>
          <w:rFonts w:ascii="Times New Roman" w:hAnsi="Times New Roman" w:cs="Times New Roman"/>
          <w:sz w:val="24"/>
          <w:szCs w:val="24"/>
        </w:rPr>
        <w:t xml:space="preserve"> with a total of 85 </w:t>
      </w:r>
      <w:r w:rsidR="00A73618">
        <w:rPr>
          <w:rFonts w:ascii="Times New Roman" w:hAnsi="Times New Roman" w:cs="Times New Roman"/>
          <w:sz w:val="24"/>
          <w:szCs w:val="24"/>
        </w:rPr>
        <w:t>transactions</w:t>
      </w:r>
      <w:r w:rsidR="00DE51CF">
        <w:rPr>
          <w:rFonts w:ascii="Times New Roman" w:hAnsi="Times New Roman" w:cs="Times New Roman"/>
          <w:sz w:val="24"/>
          <w:szCs w:val="24"/>
        </w:rPr>
        <w:t xml:space="preserve"> worth more than $104 bn</w:t>
      </w:r>
      <w:r w:rsidR="005220A1">
        <w:rPr>
          <w:rFonts w:ascii="Times New Roman" w:hAnsi="Times New Roman" w:cs="Times New Roman"/>
          <w:sz w:val="24"/>
          <w:szCs w:val="24"/>
        </w:rPr>
        <w:t>, f</w:t>
      </w:r>
      <w:r w:rsidR="00DE51CF" w:rsidRPr="003515C0">
        <w:rPr>
          <w:rFonts w:ascii="Times New Roman" w:hAnsi="Times New Roman" w:cs="Times New Roman"/>
          <w:sz w:val="24"/>
          <w:szCs w:val="24"/>
        </w:rPr>
        <w:t>ollowed by Qatar (17%)</w:t>
      </w:r>
      <w:r w:rsidR="00DE51CF">
        <w:rPr>
          <w:rFonts w:ascii="Times New Roman" w:hAnsi="Times New Roman" w:cs="Times New Roman"/>
          <w:sz w:val="24"/>
          <w:szCs w:val="24"/>
        </w:rPr>
        <w:t xml:space="preserve">, </w:t>
      </w:r>
      <w:r w:rsidR="00DE51CF" w:rsidRPr="003515C0">
        <w:rPr>
          <w:rFonts w:ascii="Times New Roman" w:hAnsi="Times New Roman" w:cs="Times New Roman"/>
          <w:sz w:val="24"/>
          <w:szCs w:val="24"/>
        </w:rPr>
        <w:t xml:space="preserve">the United Arab </w:t>
      </w:r>
      <w:r w:rsidR="00DE51CF" w:rsidRPr="003515C0">
        <w:rPr>
          <w:rFonts w:ascii="Times New Roman" w:hAnsi="Times New Roman" w:cs="Times New Roman"/>
          <w:sz w:val="24"/>
          <w:szCs w:val="24"/>
        </w:rPr>
        <w:lastRenderedPageBreak/>
        <w:t>Emirates (16%)</w:t>
      </w:r>
      <w:r w:rsidR="00DE51CF">
        <w:rPr>
          <w:rFonts w:ascii="Times New Roman" w:hAnsi="Times New Roman" w:cs="Times New Roman"/>
          <w:sz w:val="24"/>
          <w:szCs w:val="24"/>
        </w:rPr>
        <w:t xml:space="preserve"> and Oman (12.5%).</w:t>
      </w:r>
      <w:r w:rsidR="00DE51CF" w:rsidRPr="003515C0">
        <w:rPr>
          <w:rFonts w:ascii="Times New Roman" w:hAnsi="Times New Roman" w:cs="Times New Roman"/>
          <w:sz w:val="24"/>
          <w:szCs w:val="24"/>
        </w:rPr>
        <w:t xml:space="preserve"> Together, the Gulf Co-operation Council (GCC)</w:t>
      </w:r>
      <w:r w:rsidR="00DE51CF" w:rsidRPr="0041575F">
        <w:rPr>
          <w:rFonts w:ascii="Times New Roman" w:hAnsi="Times New Roman" w:cs="Times New Roman"/>
          <w:sz w:val="24"/>
          <w:szCs w:val="24"/>
          <w:vertAlign w:val="superscript"/>
        </w:rPr>
        <w:footnoteReference w:id="48"/>
      </w:r>
      <w:r w:rsidR="00DE51CF" w:rsidRPr="003515C0">
        <w:rPr>
          <w:rFonts w:ascii="Times New Roman" w:hAnsi="Times New Roman" w:cs="Times New Roman"/>
          <w:sz w:val="24"/>
          <w:szCs w:val="24"/>
        </w:rPr>
        <w:t xml:space="preserve"> account for 86% of the total </w:t>
      </w:r>
      <w:r w:rsidR="009A3917">
        <w:rPr>
          <w:rFonts w:ascii="Times New Roman" w:hAnsi="Times New Roman" w:cs="Times New Roman"/>
          <w:sz w:val="24"/>
          <w:szCs w:val="24"/>
        </w:rPr>
        <w:t>Arab</w:t>
      </w:r>
      <w:r w:rsidR="00DE51CF" w:rsidRPr="003515C0">
        <w:rPr>
          <w:rFonts w:ascii="Times New Roman" w:hAnsi="Times New Roman" w:cs="Times New Roman"/>
          <w:sz w:val="24"/>
          <w:szCs w:val="24"/>
        </w:rPr>
        <w:t xml:space="preserve"> project finance market.</w:t>
      </w:r>
    </w:p>
    <w:p w14:paraId="2CA0414D" w14:textId="2177A8ED" w:rsidR="000A4432" w:rsidRPr="00F765B7" w:rsidRDefault="00DE51CF" w:rsidP="009504F3">
      <w:pPr>
        <w:spacing w:before="240" w:after="0" w:line="360" w:lineRule="auto"/>
        <w:jc w:val="right"/>
        <w:rPr>
          <w:rFonts w:ascii="Times New Roman" w:hAnsi="Times New Roman" w:cs="Times New Roman"/>
          <w:i/>
          <w:iCs/>
          <w:sz w:val="24"/>
          <w:szCs w:val="24"/>
        </w:rPr>
      </w:pPr>
      <w:r w:rsidRPr="00F765B7">
        <w:rPr>
          <w:rFonts w:ascii="Times New Roman" w:hAnsi="Times New Roman" w:cs="Times New Roman"/>
          <w:i/>
          <w:iCs/>
          <w:sz w:val="24"/>
          <w:szCs w:val="24"/>
        </w:rPr>
        <w:t xml:space="preserve">Table </w:t>
      </w:r>
      <w:r w:rsidR="00F765B7">
        <w:rPr>
          <w:rFonts w:ascii="Times New Roman" w:hAnsi="Times New Roman" w:cs="Times New Roman"/>
          <w:i/>
          <w:iCs/>
          <w:sz w:val="24"/>
          <w:szCs w:val="24"/>
        </w:rPr>
        <w:t>2.6</w:t>
      </w:r>
    </w:p>
    <w:p w14:paraId="2CAB5D56" w14:textId="70000964" w:rsidR="00DE51CF" w:rsidRPr="009504F3" w:rsidRDefault="00DE51CF" w:rsidP="00F765B7">
      <w:pPr>
        <w:spacing w:line="360" w:lineRule="auto"/>
        <w:jc w:val="center"/>
        <w:rPr>
          <w:rFonts w:ascii="Times New Roman" w:hAnsi="Times New Roman" w:cs="Times New Roman"/>
          <w:sz w:val="24"/>
          <w:szCs w:val="24"/>
        </w:rPr>
      </w:pPr>
      <w:r w:rsidRPr="009504F3">
        <w:rPr>
          <w:rFonts w:ascii="Times New Roman" w:hAnsi="Times New Roman" w:cs="Times New Roman"/>
          <w:sz w:val="24"/>
          <w:szCs w:val="24"/>
        </w:rPr>
        <w:t xml:space="preserve">The </w:t>
      </w:r>
      <w:r w:rsidR="00A26FA3" w:rsidRPr="009504F3">
        <w:rPr>
          <w:rFonts w:ascii="Times New Roman" w:hAnsi="Times New Roman" w:cs="Times New Roman"/>
          <w:sz w:val="24"/>
          <w:szCs w:val="24"/>
        </w:rPr>
        <w:t>t</w:t>
      </w:r>
      <w:r w:rsidRPr="009504F3">
        <w:rPr>
          <w:rFonts w:ascii="Times New Roman" w:hAnsi="Times New Roman" w:cs="Times New Roman"/>
          <w:sz w:val="24"/>
          <w:szCs w:val="24"/>
        </w:rPr>
        <w:t xml:space="preserve">otal </w:t>
      </w:r>
      <w:r w:rsidR="00A26FA3" w:rsidRPr="009504F3">
        <w:rPr>
          <w:rFonts w:ascii="Times New Roman" w:hAnsi="Times New Roman" w:cs="Times New Roman"/>
          <w:sz w:val="24"/>
          <w:szCs w:val="24"/>
        </w:rPr>
        <w:t>v</w:t>
      </w:r>
      <w:r w:rsidRPr="009504F3">
        <w:rPr>
          <w:rFonts w:ascii="Times New Roman" w:hAnsi="Times New Roman" w:cs="Times New Roman"/>
          <w:sz w:val="24"/>
          <w:szCs w:val="24"/>
        </w:rPr>
        <w:t xml:space="preserve">olume of </w:t>
      </w:r>
      <w:r w:rsidR="00A26FA3" w:rsidRPr="009504F3">
        <w:rPr>
          <w:rFonts w:ascii="Times New Roman" w:hAnsi="Times New Roman" w:cs="Times New Roman"/>
          <w:sz w:val="24"/>
          <w:szCs w:val="24"/>
        </w:rPr>
        <w:t>p</w:t>
      </w:r>
      <w:r w:rsidRPr="009504F3">
        <w:rPr>
          <w:rFonts w:ascii="Times New Roman" w:hAnsi="Times New Roman" w:cs="Times New Roman"/>
          <w:sz w:val="24"/>
          <w:szCs w:val="24"/>
        </w:rPr>
        <w:t xml:space="preserve">roject </w:t>
      </w:r>
      <w:r w:rsidR="00A26FA3" w:rsidRPr="009504F3">
        <w:rPr>
          <w:rFonts w:ascii="Times New Roman" w:hAnsi="Times New Roman" w:cs="Times New Roman"/>
          <w:sz w:val="24"/>
          <w:szCs w:val="24"/>
        </w:rPr>
        <w:t>f</w:t>
      </w:r>
      <w:r w:rsidRPr="009504F3">
        <w:rPr>
          <w:rFonts w:ascii="Times New Roman" w:hAnsi="Times New Roman" w:cs="Times New Roman"/>
          <w:sz w:val="24"/>
          <w:szCs w:val="24"/>
        </w:rPr>
        <w:t xml:space="preserve">inance in each Arab </w:t>
      </w:r>
      <w:r w:rsidR="00A26FA3" w:rsidRPr="009504F3">
        <w:rPr>
          <w:rFonts w:ascii="Times New Roman" w:hAnsi="Times New Roman" w:cs="Times New Roman"/>
          <w:sz w:val="24"/>
          <w:szCs w:val="24"/>
        </w:rPr>
        <w:t>c</w:t>
      </w:r>
      <w:r w:rsidRPr="009504F3">
        <w:rPr>
          <w:rFonts w:ascii="Times New Roman" w:hAnsi="Times New Roman" w:cs="Times New Roman"/>
          <w:sz w:val="24"/>
          <w:szCs w:val="24"/>
        </w:rPr>
        <w:t>ountry from 1995 to 2018</w:t>
      </w:r>
      <w:r w:rsidR="00A26FA3" w:rsidRPr="009504F3">
        <w:rPr>
          <w:rFonts w:ascii="Times New Roman" w:hAnsi="Times New Roman" w:cs="Times New Roman"/>
          <w:sz w:val="24"/>
          <w:szCs w:val="24"/>
        </w:rPr>
        <w:t xml:space="preserve"> ($ bn)</w:t>
      </w:r>
    </w:p>
    <w:tbl>
      <w:tblPr>
        <w:tblStyle w:val="TableGrid"/>
        <w:tblW w:w="0" w:type="auto"/>
        <w:jc w:val="center"/>
        <w:tblInd w:w="0" w:type="dxa"/>
        <w:tblLook w:val="04A0" w:firstRow="1" w:lastRow="0" w:firstColumn="1" w:lastColumn="0" w:noHBand="0" w:noVBand="1"/>
      </w:tblPr>
      <w:tblGrid>
        <w:gridCol w:w="1325"/>
        <w:gridCol w:w="1520"/>
        <w:gridCol w:w="1913"/>
        <w:gridCol w:w="1317"/>
        <w:gridCol w:w="1615"/>
        <w:gridCol w:w="1827"/>
      </w:tblGrid>
      <w:tr w:rsidR="00A65CDF" w14:paraId="4DC96171" w14:textId="77777777" w:rsidTr="00F765B7">
        <w:trPr>
          <w:trHeight w:val="808"/>
          <w:jc w:val="center"/>
        </w:trPr>
        <w:tc>
          <w:tcPr>
            <w:tcW w:w="1325" w:type="dxa"/>
            <w:vAlign w:val="center"/>
          </w:tcPr>
          <w:p w14:paraId="2254A1AE"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Country</w:t>
            </w:r>
          </w:p>
        </w:tc>
        <w:tc>
          <w:tcPr>
            <w:tcW w:w="1520" w:type="dxa"/>
            <w:vAlign w:val="center"/>
          </w:tcPr>
          <w:p w14:paraId="23CB4F4D" w14:textId="4E5B29FB"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 xml:space="preserve">Total </w:t>
            </w:r>
            <w:r w:rsidR="00E517C7">
              <w:rPr>
                <w:rFonts w:asciiTheme="majorBidi" w:hAnsiTheme="majorBidi" w:cstheme="majorBidi"/>
                <w:b/>
                <w:bCs/>
                <w:color w:val="000000"/>
                <w:sz w:val="20"/>
                <w:szCs w:val="20"/>
                <w:lang w:val="en-US"/>
              </w:rPr>
              <w:t>l</w:t>
            </w:r>
            <w:r w:rsidRPr="009504F3">
              <w:rPr>
                <w:rFonts w:asciiTheme="majorBidi" w:hAnsiTheme="majorBidi" w:cstheme="majorBidi"/>
                <w:b/>
                <w:bCs/>
                <w:color w:val="000000"/>
                <w:sz w:val="20"/>
                <w:szCs w:val="20"/>
                <w:lang w:val="en-US"/>
              </w:rPr>
              <w:t xml:space="preserve">oans </w:t>
            </w:r>
          </w:p>
        </w:tc>
        <w:tc>
          <w:tcPr>
            <w:tcW w:w="1913" w:type="dxa"/>
            <w:vAlign w:val="center"/>
          </w:tcPr>
          <w:p w14:paraId="49AE1490" w14:textId="5D0162A0"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 xml:space="preserve">Total number of </w:t>
            </w:r>
            <w:r w:rsidR="00261542" w:rsidRPr="009504F3">
              <w:rPr>
                <w:rFonts w:asciiTheme="majorBidi" w:hAnsiTheme="majorBidi" w:cstheme="majorBidi"/>
                <w:b/>
                <w:bCs/>
                <w:color w:val="000000"/>
                <w:sz w:val="20"/>
                <w:szCs w:val="20"/>
                <w:lang w:val="en-US"/>
              </w:rPr>
              <w:t>transactions</w:t>
            </w:r>
          </w:p>
        </w:tc>
        <w:tc>
          <w:tcPr>
            <w:tcW w:w="1317" w:type="dxa"/>
            <w:vAlign w:val="center"/>
          </w:tcPr>
          <w:p w14:paraId="3657BF1D"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Country</w:t>
            </w:r>
          </w:p>
        </w:tc>
        <w:tc>
          <w:tcPr>
            <w:tcW w:w="1615" w:type="dxa"/>
            <w:vAlign w:val="center"/>
          </w:tcPr>
          <w:p w14:paraId="5F4B9D77" w14:textId="64E7D836"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 xml:space="preserve">Total </w:t>
            </w:r>
            <w:r w:rsidR="00E517C7">
              <w:rPr>
                <w:rFonts w:asciiTheme="majorBidi" w:hAnsiTheme="majorBidi" w:cstheme="majorBidi"/>
                <w:b/>
                <w:bCs/>
                <w:color w:val="000000"/>
                <w:sz w:val="20"/>
                <w:szCs w:val="20"/>
                <w:lang w:val="en-US"/>
              </w:rPr>
              <w:t>l</w:t>
            </w:r>
            <w:r w:rsidRPr="009504F3">
              <w:rPr>
                <w:rFonts w:asciiTheme="majorBidi" w:hAnsiTheme="majorBidi" w:cstheme="majorBidi"/>
                <w:b/>
                <w:bCs/>
                <w:color w:val="000000"/>
                <w:sz w:val="20"/>
                <w:szCs w:val="20"/>
                <w:lang w:val="en-US"/>
              </w:rPr>
              <w:t xml:space="preserve">oans </w:t>
            </w:r>
          </w:p>
        </w:tc>
        <w:tc>
          <w:tcPr>
            <w:tcW w:w="1827" w:type="dxa"/>
            <w:vAlign w:val="center"/>
          </w:tcPr>
          <w:p w14:paraId="72E4C794" w14:textId="25F64122"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 xml:space="preserve">Total number of </w:t>
            </w:r>
            <w:r w:rsidR="00261542" w:rsidRPr="009504F3">
              <w:rPr>
                <w:rFonts w:asciiTheme="majorBidi" w:hAnsiTheme="majorBidi" w:cstheme="majorBidi"/>
                <w:b/>
                <w:bCs/>
                <w:color w:val="000000"/>
                <w:sz w:val="20"/>
                <w:szCs w:val="20"/>
                <w:lang w:val="en-US"/>
              </w:rPr>
              <w:t>transactions</w:t>
            </w:r>
          </w:p>
        </w:tc>
      </w:tr>
      <w:tr w:rsidR="00A65CDF" w14:paraId="773BE203" w14:textId="77777777" w:rsidTr="00F765B7">
        <w:trPr>
          <w:trHeight w:val="648"/>
          <w:jc w:val="center"/>
        </w:trPr>
        <w:tc>
          <w:tcPr>
            <w:tcW w:w="1325" w:type="dxa"/>
            <w:vAlign w:val="center"/>
          </w:tcPr>
          <w:p w14:paraId="41ABFC73"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Saudi Arabia</w:t>
            </w:r>
          </w:p>
        </w:tc>
        <w:tc>
          <w:tcPr>
            <w:tcW w:w="1520" w:type="dxa"/>
            <w:vAlign w:val="center"/>
          </w:tcPr>
          <w:p w14:paraId="7E009DCB"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104.45</w:t>
            </w:r>
          </w:p>
        </w:tc>
        <w:tc>
          <w:tcPr>
            <w:tcW w:w="1913" w:type="dxa"/>
            <w:vAlign w:val="center"/>
          </w:tcPr>
          <w:p w14:paraId="78B262AA"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85</w:t>
            </w:r>
          </w:p>
        </w:tc>
        <w:tc>
          <w:tcPr>
            <w:tcW w:w="1317" w:type="dxa"/>
            <w:vAlign w:val="center"/>
          </w:tcPr>
          <w:p w14:paraId="6E7FFF94"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Algeria</w:t>
            </w:r>
          </w:p>
        </w:tc>
        <w:tc>
          <w:tcPr>
            <w:tcW w:w="1615" w:type="dxa"/>
            <w:vAlign w:val="center"/>
          </w:tcPr>
          <w:p w14:paraId="3F7CB94A"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2.16</w:t>
            </w:r>
          </w:p>
        </w:tc>
        <w:tc>
          <w:tcPr>
            <w:tcW w:w="1827" w:type="dxa"/>
            <w:vAlign w:val="center"/>
          </w:tcPr>
          <w:p w14:paraId="2EDD34B5"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7</w:t>
            </w:r>
          </w:p>
        </w:tc>
      </w:tr>
      <w:tr w:rsidR="00A65CDF" w14:paraId="4284CA23" w14:textId="77777777" w:rsidTr="00F765B7">
        <w:trPr>
          <w:trHeight w:val="450"/>
          <w:jc w:val="center"/>
        </w:trPr>
        <w:tc>
          <w:tcPr>
            <w:tcW w:w="1325" w:type="dxa"/>
            <w:vAlign w:val="center"/>
          </w:tcPr>
          <w:p w14:paraId="4F5A7A42"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Qatar</w:t>
            </w:r>
          </w:p>
        </w:tc>
        <w:tc>
          <w:tcPr>
            <w:tcW w:w="1520" w:type="dxa"/>
            <w:vAlign w:val="center"/>
          </w:tcPr>
          <w:p w14:paraId="5D1128D7"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56.59</w:t>
            </w:r>
          </w:p>
        </w:tc>
        <w:tc>
          <w:tcPr>
            <w:tcW w:w="1913" w:type="dxa"/>
            <w:vAlign w:val="center"/>
          </w:tcPr>
          <w:p w14:paraId="7658AB66"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52</w:t>
            </w:r>
          </w:p>
        </w:tc>
        <w:tc>
          <w:tcPr>
            <w:tcW w:w="1317" w:type="dxa"/>
            <w:vAlign w:val="center"/>
          </w:tcPr>
          <w:p w14:paraId="42B46C74"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Tunisia</w:t>
            </w:r>
          </w:p>
        </w:tc>
        <w:tc>
          <w:tcPr>
            <w:tcW w:w="1615" w:type="dxa"/>
            <w:vAlign w:val="center"/>
          </w:tcPr>
          <w:p w14:paraId="1EB1767C"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1.103</w:t>
            </w:r>
          </w:p>
        </w:tc>
        <w:tc>
          <w:tcPr>
            <w:tcW w:w="1827" w:type="dxa"/>
            <w:vAlign w:val="center"/>
          </w:tcPr>
          <w:p w14:paraId="191B2C72"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4</w:t>
            </w:r>
          </w:p>
        </w:tc>
      </w:tr>
      <w:tr w:rsidR="00A65CDF" w14:paraId="4A80D018" w14:textId="77777777" w:rsidTr="00F765B7">
        <w:trPr>
          <w:trHeight w:val="375"/>
          <w:jc w:val="center"/>
        </w:trPr>
        <w:tc>
          <w:tcPr>
            <w:tcW w:w="1325" w:type="dxa"/>
            <w:vAlign w:val="center"/>
          </w:tcPr>
          <w:p w14:paraId="7B4B6772"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UAE</w:t>
            </w:r>
          </w:p>
        </w:tc>
        <w:tc>
          <w:tcPr>
            <w:tcW w:w="1520" w:type="dxa"/>
            <w:vAlign w:val="center"/>
          </w:tcPr>
          <w:p w14:paraId="16CC6C3D"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51.84</w:t>
            </w:r>
          </w:p>
        </w:tc>
        <w:tc>
          <w:tcPr>
            <w:tcW w:w="1913" w:type="dxa"/>
            <w:vAlign w:val="center"/>
          </w:tcPr>
          <w:p w14:paraId="3B612253"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68</w:t>
            </w:r>
          </w:p>
        </w:tc>
        <w:tc>
          <w:tcPr>
            <w:tcW w:w="1317" w:type="dxa"/>
            <w:vAlign w:val="center"/>
          </w:tcPr>
          <w:p w14:paraId="186E8C8B"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Syria</w:t>
            </w:r>
          </w:p>
        </w:tc>
        <w:tc>
          <w:tcPr>
            <w:tcW w:w="1615" w:type="dxa"/>
            <w:vAlign w:val="center"/>
          </w:tcPr>
          <w:p w14:paraId="6412616C"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0.3</w:t>
            </w:r>
          </w:p>
        </w:tc>
        <w:tc>
          <w:tcPr>
            <w:tcW w:w="1827" w:type="dxa"/>
            <w:vAlign w:val="center"/>
          </w:tcPr>
          <w:p w14:paraId="30305D87"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w:t>
            </w:r>
          </w:p>
        </w:tc>
      </w:tr>
      <w:tr w:rsidR="00A65CDF" w14:paraId="6AB6D517" w14:textId="77777777" w:rsidTr="00F765B7">
        <w:trPr>
          <w:trHeight w:val="365"/>
          <w:jc w:val="center"/>
        </w:trPr>
        <w:tc>
          <w:tcPr>
            <w:tcW w:w="1325" w:type="dxa"/>
            <w:vAlign w:val="center"/>
          </w:tcPr>
          <w:p w14:paraId="4ABC1092"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Oman</w:t>
            </w:r>
          </w:p>
        </w:tc>
        <w:tc>
          <w:tcPr>
            <w:tcW w:w="1520" w:type="dxa"/>
            <w:vAlign w:val="center"/>
          </w:tcPr>
          <w:p w14:paraId="2BD48170"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40.59</w:t>
            </w:r>
          </w:p>
        </w:tc>
        <w:tc>
          <w:tcPr>
            <w:tcW w:w="1913" w:type="dxa"/>
            <w:vAlign w:val="center"/>
          </w:tcPr>
          <w:p w14:paraId="12767BB5"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69</w:t>
            </w:r>
          </w:p>
        </w:tc>
        <w:tc>
          <w:tcPr>
            <w:tcW w:w="1317" w:type="dxa"/>
            <w:vAlign w:val="center"/>
          </w:tcPr>
          <w:p w14:paraId="6674964F"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Lebanon</w:t>
            </w:r>
          </w:p>
        </w:tc>
        <w:tc>
          <w:tcPr>
            <w:tcW w:w="1615" w:type="dxa"/>
            <w:vAlign w:val="center"/>
          </w:tcPr>
          <w:p w14:paraId="21B74073"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0.1</w:t>
            </w:r>
          </w:p>
        </w:tc>
        <w:tc>
          <w:tcPr>
            <w:tcW w:w="1827" w:type="dxa"/>
            <w:vAlign w:val="center"/>
          </w:tcPr>
          <w:p w14:paraId="0E3036E6"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w:t>
            </w:r>
          </w:p>
        </w:tc>
      </w:tr>
      <w:tr w:rsidR="00A65CDF" w14:paraId="785811EE" w14:textId="77777777" w:rsidTr="00F765B7">
        <w:trPr>
          <w:trHeight w:val="365"/>
          <w:jc w:val="center"/>
        </w:trPr>
        <w:tc>
          <w:tcPr>
            <w:tcW w:w="1325" w:type="dxa"/>
            <w:vAlign w:val="center"/>
          </w:tcPr>
          <w:p w14:paraId="0319D4C3"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Egypt</w:t>
            </w:r>
          </w:p>
        </w:tc>
        <w:tc>
          <w:tcPr>
            <w:tcW w:w="1520" w:type="dxa"/>
            <w:vAlign w:val="center"/>
          </w:tcPr>
          <w:p w14:paraId="1103E48E"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24.65</w:t>
            </w:r>
          </w:p>
        </w:tc>
        <w:tc>
          <w:tcPr>
            <w:tcW w:w="1913" w:type="dxa"/>
            <w:vAlign w:val="center"/>
          </w:tcPr>
          <w:p w14:paraId="5D63D967"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51</w:t>
            </w:r>
          </w:p>
        </w:tc>
        <w:tc>
          <w:tcPr>
            <w:tcW w:w="1317" w:type="dxa"/>
            <w:vAlign w:val="center"/>
          </w:tcPr>
          <w:p w14:paraId="5A982FA4"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Libya</w:t>
            </w:r>
          </w:p>
        </w:tc>
        <w:tc>
          <w:tcPr>
            <w:tcW w:w="1615" w:type="dxa"/>
            <w:vAlign w:val="center"/>
          </w:tcPr>
          <w:p w14:paraId="1B687DA6"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0.1</w:t>
            </w:r>
          </w:p>
        </w:tc>
        <w:tc>
          <w:tcPr>
            <w:tcW w:w="1827" w:type="dxa"/>
            <w:vAlign w:val="center"/>
          </w:tcPr>
          <w:p w14:paraId="12A8FF55"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w:t>
            </w:r>
          </w:p>
        </w:tc>
      </w:tr>
      <w:tr w:rsidR="00A65CDF" w14:paraId="4C25B021" w14:textId="77777777" w:rsidTr="00F765B7">
        <w:trPr>
          <w:trHeight w:val="365"/>
          <w:jc w:val="center"/>
        </w:trPr>
        <w:tc>
          <w:tcPr>
            <w:tcW w:w="1325" w:type="dxa"/>
            <w:vAlign w:val="center"/>
          </w:tcPr>
          <w:p w14:paraId="65B4BE30"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Kuwait</w:t>
            </w:r>
          </w:p>
        </w:tc>
        <w:tc>
          <w:tcPr>
            <w:tcW w:w="1520" w:type="dxa"/>
            <w:vAlign w:val="center"/>
          </w:tcPr>
          <w:p w14:paraId="61F11279"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14.95</w:t>
            </w:r>
          </w:p>
        </w:tc>
        <w:tc>
          <w:tcPr>
            <w:tcW w:w="1913" w:type="dxa"/>
            <w:vAlign w:val="center"/>
          </w:tcPr>
          <w:p w14:paraId="785EA064"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13</w:t>
            </w:r>
          </w:p>
        </w:tc>
        <w:tc>
          <w:tcPr>
            <w:tcW w:w="1317" w:type="dxa"/>
            <w:vAlign w:val="center"/>
          </w:tcPr>
          <w:p w14:paraId="613C26DE"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Palestine</w:t>
            </w:r>
          </w:p>
        </w:tc>
        <w:tc>
          <w:tcPr>
            <w:tcW w:w="1615" w:type="dxa"/>
            <w:vAlign w:val="center"/>
          </w:tcPr>
          <w:p w14:paraId="5BAC0D4E"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0.098</w:t>
            </w:r>
          </w:p>
        </w:tc>
        <w:tc>
          <w:tcPr>
            <w:tcW w:w="1827" w:type="dxa"/>
            <w:vAlign w:val="center"/>
          </w:tcPr>
          <w:p w14:paraId="7287506F"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2</w:t>
            </w:r>
          </w:p>
        </w:tc>
      </w:tr>
      <w:tr w:rsidR="00A65CDF" w14:paraId="1ED3E75E" w14:textId="77777777" w:rsidTr="00F765B7">
        <w:trPr>
          <w:trHeight w:val="365"/>
          <w:jc w:val="center"/>
        </w:trPr>
        <w:tc>
          <w:tcPr>
            <w:tcW w:w="1325" w:type="dxa"/>
            <w:vAlign w:val="center"/>
          </w:tcPr>
          <w:p w14:paraId="5CE2BAED"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Bahrain</w:t>
            </w:r>
          </w:p>
        </w:tc>
        <w:tc>
          <w:tcPr>
            <w:tcW w:w="1520" w:type="dxa"/>
            <w:vAlign w:val="center"/>
          </w:tcPr>
          <w:p w14:paraId="012A073E"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12.75</w:t>
            </w:r>
          </w:p>
        </w:tc>
        <w:tc>
          <w:tcPr>
            <w:tcW w:w="1913" w:type="dxa"/>
            <w:vAlign w:val="center"/>
          </w:tcPr>
          <w:p w14:paraId="446493A4"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18</w:t>
            </w:r>
          </w:p>
        </w:tc>
        <w:tc>
          <w:tcPr>
            <w:tcW w:w="1317" w:type="dxa"/>
            <w:vAlign w:val="center"/>
          </w:tcPr>
          <w:p w14:paraId="6180C44F"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Sudan</w:t>
            </w:r>
          </w:p>
        </w:tc>
        <w:tc>
          <w:tcPr>
            <w:tcW w:w="1615" w:type="dxa"/>
            <w:vAlign w:val="center"/>
          </w:tcPr>
          <w:p w14:paraId="23F7E5D0"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0.025</w:t>
            </w:r>
          </w:p>
        </w:tc>
        <w:tc>
          <w:tcPr>
            <w:tcW w:w="1827" w:type="dxa"/>
            <w:vAlign w:val="center"/>
          </w:tcPr>
          <w:p w14:paraId="7838319A"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w:t>
            </w:r>
          </w:p>
        </w:tc>
      </w:tr>
      <w:tr w:rsidR="00A65CDF" w14:paraId="3C5740A7" w14:textId="77777777" w:rsidTr="00F765B7">
        <w:trPr>
          <w:trHeight w:val="365"/>
          <w:jc w:val="center"/>
        </w:trPr>
        <w:tc>
          <w:tcPr>
            <w:tcW w:w="1325" w:type="dxa"/>
            <w:vAlign w:val="center"/>
          </w:tcPr>
          <w:p w14:paraId="425FD5E4"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Morocco</w:t>
            </w:r>
          </w:p>
        </w:tc>
        <w:tc>
          <w:tcPr>
            <w:tcW w:w="1520" w:type="dxa"/>
            <w:vAlign w:val="center"/>
          </w:tcPr>
          <w:p w14:paraId="719D7660"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8.95</w:t>
            </w:r>
          </w:p>
        </w:tc>
        <w:tc>
          <w:tcPr>
            <w:tcW w:w="1913" w:type="dxa"/>
            <w:vAlign w:val="center"/>
          </w:tcPr>
          <w:p w14:paraId="40D325F4"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13</w:t>
            </w:r>
          </w:p>
        </w:tc>
        <w:tc>
          <w:tcPr>
            <w:tcW w:w="1317" w:type="dxa"/>
            <w:vAlign w:val="center"/>
          </w:tcPr>
          <w:p w14:paraId="7F63DCD3"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Djibouti</w:t>
            </w:r>
          </w:p>
        </w:tc>
        <w:tc>
          <w:tcPr>
            <w:tcW w:w="1615" w:type="dxa"/>
            <w:vAlign w:val="center"/>
          </w:tcPr>
          <w:p w14:paraId="351B8D07"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0.04</w:t>
            </w:r>
          </w:p>
        </w:tc>
        <w:tc>
          <w:tcPr>
            <w:tcW w:w="1827" w:type="dxa"/>
            <w:vAlign w:val="center"/>
          </w:tcPr>
          <w:p w14:paraId="7CFE217A"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1</w:t>
            </w:r>
          </w:p>
        </w:tc>
      </w:tr>
      <w:tr w:rsidR="00A65CDF" w14:paraId="68FD8271" w14:textId="77777777" w:rsidTr="00F765B7">
        <w:trPr>
          <w:trHeight w:val="365"/>
          <w:jc w:val="center"/>
        </w:trPr>
        <w:tc>
          <w:tcPr>
            <w:tcW w:w="1325" w:type="dxa"/>
            <w:vAlign w:val="center"/>
          </w:tcPr>
          <w:p w14:paraId="7A581FE8"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Jordan</w:t>
            </w:r>
          </w:p>
        </w:tc>
        <w:tc>
          <w:tcPr>
            <w:tcW w:w="1520" w:type="dxa"/>
            <w:vAlign w:val="center"/>
          </w:tcPr>
          <w:p w14:paraId="21CCEDEF"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5.58</w:t>
            </w:r>
          </w:p>
        </w:tc>
        <w:tc>
          <w:tcPr>
            <w:tcW w:w="1913" w:type="dxa"/>
            <w:vAlign w:val="center"/>
          </w:tcPr>
          <w:p w14:paraId="4DD0BDF8"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color w:val="000000"/>
                <w:sz w:val="20"/>
                <w:szCs w:val="20"/>
              </w:rPr>
              <w:t>34</w:t>
            </w:r>
          </w:p>
        </w:tc>
        <w:tc>
          <w:tcPr>
            <w:tcW w:w="1317" w:type="dxa"/>
            <w:vMerge w:val="restart"/>
            <w:vAlign w:val="center"/>
          </w:tcPr>
          <w:p w14:paraId="5C14AC42" w14:textId="77777777" w:rsidR="00A65CDF" w:rsidRPr="009504F3" w:rsidRDefault="00A65CDF" w:rsidP="00F765B7">
            <w:pPr>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rPr>
              <w:t>Total</w:t>
            </w:r>
          </w:p>
        </w:tc>
        <w:tc>
          <w:tcPr>
            <w:tcW w:w="1615" w:type="dxa"/>
            <w:vMerge w:val="restart"/>
            <w:vAlign w:val="center"/>
          </w:tcPr>
          <w:p w14:paraId="20213FAA"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b/>
                <w:bCs/>
                <w:color w:val="000000"/>
                <w:sz w:val="20"/>
                <w:szCs w:val="20"/>
              </w:rPr>
              <w:t>327.07</w:t>
            </w:r>
          </w:p>
        </w:tc>
        <w:tc>
          <w:tcPr>
            <w:tcW w:w="1827" w:type="dxa"/>
            <w:vMerge w:val="restart"/>
            <w:vAlign w:val="center"/>
          </w:tcPr>
          <w:p w14:paraId="36940E83" w14:textId="77777777" w:rsidR="00A65CDF" w:rsidRPr="009504F3" w:rsidRDefault="00A65CDF" w:rsidP="00F765B7">
            <w:pPr>
              <w:jc w:val="center"/>
              <w:rPr>
                <w:rFonts w:asciiTheme="majorBidi" w:hAnsiTheme="majorBidi" w:cstheme="majorBidi"/>
                <w:color w:val="000000"/>
                <w:sz w:val="20"/>
                <w:szCs w:val="20"/>
              </w:rPr>
            </w:pPr>
            <w:r w:rsidRPr="009504F3">
              <w:rPr>
                <w:rFonts w:asciiTheme="majorBidi" w:hAnsiTheme="majorBidi" w:cstheme="majorBidi"/>
                <w:b/>
                <w:bCs/>
                <w:color w:val="000000"/>
                <w:sz w:val="20"/>
                <w:szCs w:val="20"/>
              </w:rPr>
              <w:t>423</w:t>
            </w:r>
          </w:p>
        </w:tc>
      </w:tr>
      <w:tr w:rsidR="00A65CDF" w14:paraId="55A55ED9" w14:textId="77777777" w:rsidTr="00F765B7">
        <w:trPr>
          <w:trHeight w:val="363"/>
          <w:jc w:val="center"/>
        </w:trPr>
        <w:tc>
          <w:tcPr>
            <w:tcW w:w="1325" w:type="dxa"/>
            <w:vAlign w:val="center"/>
          </w:tcPr>
          <w:p w14:paraId="6082147F" w14:textId="77777777" w:rsidR="00A65CDF" w:rsidRPr="00E517C7" w:rsidRDefault="00A65CDF" w:rsidP="00F765B7">
            <w:pPr>
              <w:jc w:val="center"/>
              <w:rPr>
                <w:rFonts w:asciiTheme="majorBidi" w:hAnsiTheme="majorBidi" w:cstheme="majorBidi"/>
                <w:b/>
                <w:bCs/>
                <w:color w:val="000000"/>
                <w:sz w:val="20"/>
                <w:szCs w:val="20"/>
                <w:lang w:val="en-US"/>
              </w:rPr>
            </w:pPr>
            <w:r w:rsidRPr="00E517C7">
              <w:rPr>
                <w:rFonts w:asciiTheme="majorBidi" w:hAnsiTheme="majorBidi" w:cstheme="majorBidi"/>
                <w:b/>
                <w:bCs/>
                <w:color w:val="000000"/>
                <w:sz w:val="20"/>
                <w:szCs w:val="20"/>
                <w:lang w:val="en-US"/>
              </w:rPr>
              <w:t>Yemen</w:t>
            </w:r>
          </w:p>
        </w:tc>
        <w:tc>
          <w:tcPr>
            <w:tcW w:w="1520" w:type="dxa"/>
            <w:vAlign w:val="center"/>
          </w:tcPr>
          <w:p w14:paraId="7959381B" w14:textId="77777777" w:rsidR="00A65CDF" w:rsidRPr="00E517C7" w:rsidRDefault="00A65CDF" w:rsidP="00F765B7">
            <w:pPr>
              <w:jc w:val="center"/>
              <w:rPr>
                <w:rFonts w:asciiTheme="majorBidi" w:hAnsiTheme="majorBidi" w:cstheme="majorBidi"/>
                <w:color w:val="000000"/>
                <w:sz w:val="20"/>
                <w:szCs w:val="20"/>
              </w:rPr>
            </w:pPr>
            <w:r w:rsidRPr="00E517C7">
              <w:rPr>
                <w:rFonts w:asciiTheme="majorBidi" w:hAnsiTheme="majorBidi" w:cstheme="majorBidi"/>
                <w:color w:val="000000"/>
                <w:sz w:val="20"/>
                <w:szCs w:val="20"/>
              </w:rPr>
              <w:t>2.78</w:t>
            </w:r>
          </w:p>
        </w:tc>
        <w:tc>
          <w:tcPr>
            <w:tcW w:w="1913" w:type="dxa"/>
            <w:vAlign w:val="center"/>
          </w:tcPr>
          <w:p w14:paraId="6ECA5A31" w14:textId="77777777" w:rsidR="00A65CDF" w:rsidRPr="00E517C7" w:rsidRDefault="00A65CDF" w:rsidP="00F765B7">
            <w:pPr>
              <w:jc w:val="center"/>
              <w:rPr>
                <w:rFonts w:asciiTheme="majorBidi" w:hAnsiTheme="majorBidi" w:cstheme="majorBidi"/>
                <w:color w:val="000000"/>
                <w:sz w:val="20"/>
                <w:szCs w:val="20"/>
              </w:rPr>
            </w:pPr>
            <w:r w:rsidRPr="00E517C7">
              <w:rPr>
                <w:rFonts w:asciiTheme="majorBidi" w:hAnsiTheme="majorBidi" w:cstheme="majorBidi"/>
                <w:color w:val="000000"/>
                <w:sz w:val="20"/>
                <w:szCs w:val="20"/>
              </w:rPr>
              <w:t>1</w:t>
            </w:r>
          </w:p>
        </w:tc>
        <w:tc>
          <w:tcPr>
            <w:tcW w:w="1317" w:type="dxa"/>
            <w:vMerge/>
            <w:vAlign w:val="center"/>
          </w:tcPr>
          <w:p w14:paraId="63F309B4" w14:textId="77777777" w:rsidR="00A65CDF" w:rsidRDefault="00A65CDF" w:rsidP="00F765B7">
            <w:pPr>
              <w:jc w:val="center"/>
              <w:rPr>
                <w:rFonts w:asciiTheme="majorBidi" w:hAnsiTheme="majorBidi" w:cstheme="majorBidi"/>
                <w:b/>
                <w:bCs/>
                <w:color w:val="000000"/>
                <w:sz w:val="24"/>
                <w:szCs w:val="24"/>
                <w:lang w:val="en-US"/>
              </w:rPr>
            </w:pPr>
          </w:p>
        </w:tc>
        <w:tc>
          <w:tcPr>
            <w:tcW w:w="1615" w:type="dxa"/>
            <w:vMerge/>
            <w:vAlign w:val="center"/>
          </w:tcPr>
          <w:p w14:paraId="7DC81AA0" w14:textId="77777777" w:rsidR="00A65CDF" w:rsidRPr="00F2543E" w:rsidRDefault="00A65CDF" w:rsidP="00F765B7">
            <w:pPr>
              <w:jc w:val="center"/>
              <w:rPr>
                <w:rFonts w:ascii="Times New Roman" w:hAnsi="Times New Roman" w:cs="Times New Roman"/>
                <w:color w:val="000000"/>
                <w:sz w:val="24"/>
                <w:szCs w:val="24"/>
              </w:rPr>
            </w:pPr>
          </w:p>
        </w:tc>
        <w:tc>
          <w:tcPr>
            <w:tcW w:w="1827" w:type="dxa"/>
            <w:vMerge/>
            <w:vAlign w:val="center"/>
          </w:tcPr>
          <w:p w14:paraId="00B25CF9" w14:textId="77777777" w:rsidR="00A65CDF" w:rsidRPr="00F2543E" w:rsidRDefault="00A65CDF" w:rsidP="00F765B7">
            <w:pPr>
              <w:jc w:val="center"/>
              <w:rPr>
                <w:rFonts w:ascii="Times New Roman" w:hAnsi="Times New Roman" w:cs="Times New Roman"/>
                <w:color w:val="000000"/>
                <w:sz w:val="24"/>
                <w:szCs w:val="24"/>
              </w:rPr>
            </w:pPr>
          </w:p>
        </w:tc>
      </w:tr>
    </w:tbl>
    <w:p w14:paraId="49988140" w14:textId="78FA0984" w:rsidR="00A65CDF" w:rsidRPr="00345605" w:rsidRDefault="0084301A" w:rsidP="00F765B7">
      <w:pPr>
        <w:pStyle w:val="Caption"/>
        <w:spacing w:before="240" w:after="0"/>
        <w:rPr>
          <w:rFonts w:ascii="Times New Roman" w:hAnsi="Times New Roman" w:cs="Times New Roman"/>
          <w:i w:val="0"/>
          <w:iCs w:val="0"/>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r w:rsidR="00E517C7">
        <w:rPr>
          <w:rFonts w:ascii="Times New Roman" w:hAnsi="Times New Roman" w:cs="Times New Roman"/>
          <w:i w:val="0"/>
          <w:iCs w:val="0"/>
          <w:color w:val="auto"/>
          <w:sz w:val="22"/>
          <w:szCs w:val="22"/>
          <w:lang w:val="en-US"/>
        </w:rPr>
        <w:t xml:space="preserve"> </w:t>
      </w:r>
      <w:r w:rsidR="00E517C7" w:rsidRPr="00E517C7">
        <w:rPr>
          <w:rFonts w:ascii="Times New Roman" w:hAnsi="Times New Roman" w:cs="Times New Roman"/>
          <w:i w:val="0"/>
          <w:iCs w:val="0"/>
          <w:color w:val="auto"/>
          <w:sz w:val="22"/>
          <w:szCs w:val="22"/>
          <w:lang w:val="en-US"/>
        </w:rPr>
        <w:t>(</w:t>
      </w:r>
      <w:r w:rsidR="0008440E">
        <w:rPr>
          <w:rFonts w:ascii="Times New Roman" w:hAnsi="Times New Roman" w:cs="Times New Roman"/>
          <w:i w:val="0"/>
          <w:iCs w:val="0"/>
          <w:color w:val="auto"/>
          <w:sz w:val="22"/>
          <w:szCs w:val="22"/>
          <w:lang w:val="en-US"/>
        </w:rPr>
        <w:t>for details see</w:t>
      </w:r>
      <w:r w:rsidR="0008440E" w:rsidRPr="00E517C7">
        <w:rPr>
          <w:rFonts w:ascii="Times New Roman" w:hAnsi="Times New Roman" w:cs="Times New Roman"/>
          <w:i w:val="0"/>
          <w:iCs w:val="0"/>
          <w:color w:val="auto"/>
          <w:sz w:val="22"/>
          <w:szCs w:val="22"/>
          <w:lang w:val="en-US"/>
        </w:rPr>
        <w:t xml:space="preserve"> </w:t>
      </w:r>
      <w:r w:rsidR="004A6B4F" w:rsidRPr="004A6B4F">
        <w:rPr>
          <w:rFonts w:ascii="Times New Roman" w:hAnsi="Times New Roman" w:cs="Times New Roman"/>
          <w:i w:val="0"/>
          <w:iCs w:val="0"/>
          <w:color w:val="auto"/>
          <w:sz w:val="22"/>
          <w:szCs w:val="22"/>
          <w:lang w:val="en-US"/>
        </w:rPr>
        <w:t>appendices</w:t>
      </w:r>
      <w:r w:rsidR="004A6B4F">
        <w:rPr>
          <w:rFonts w:ascii="Times New Roman" w:hAnsi="Times New Roman" w:cs="Times New Roman"/>
          <w:i w:val="0"/>
          <w:iCs w:val="0"/>
          <w:color w:val="auto"/>
          <w:sz w:val="22"/>
          <w:szCs w:val="22"/>
          <w:lang w:val="en-US"/>
        </w:rPr>
        <w:t xml:space="preserve"> </w:t>
      </w:r>
      <w:r w:rsidR="0008440E">
        <w:rPr>
          <w:rFonts w:ascii="Times New Roman" w:hAnsi="Times New Roman" w:cs="Times New Roman"/>
          <w:i w:val="0"/>
          <w:iCs w:val="0"/>
          <w:color w:val="auto"/>
          <w:sz w:val="22"/>
          <w:szCs w:val="22"/>
          <w:lang w:val="en-US"/>
        </w:rPr>
        <w:t>1 and 2</w:t>
      </w:r>
      <w:r w:rsidR="00E517C7" w:rsidRPr="00E517C7">
        <w:rPr>
          <w:rFonts w:ascii="Times New Roman" w:hAnsi="Times New Roman" w:cs="Times New Roman"/>
          <w:i w:val="0"/>
          <w:iCs w:val="0"/>
          <w:color w:val="auto"/>
          <w:sz w:val="22"/>
          <w:szCs w:val="22"/>
          <w:lang w:val="en-US"/>
        </w:rPr>
        <w:t>).</w:t>
      </w:r>
    </w:p>
    <w:p w14:paraId="714A794F" w14:textId="1B2A19AC" w:rsidR="00720110" w:rsidRDefault="00720110" w:rsidP="0008496D">
      <w:pPr>
        <w:suppressAutoHyphens/>
        <w:spacing w:before="240" w:line="360" w:lineRule="auto"/>
        <w:ind w:firstLine="567"/>
        <w:jc w:val="both"/>
        <w:rPr>
          <w:rFonts w:ascii="Times New Roman" w:hAnsi="Times New Roman" w:cs="Times New Roman"/>
          <w:sz w:val="24"/>
          <w:szCs w:val="24"/>
        </w:rPr>
      </w:pPr>
      <w:r w:rsidRPr="00C43B75">
        <w:rPr>
          <w:rFonts w:ascii="Times New Roman" w:hAnsi="Times New Roman" w:cs="Times New Roman"/>
          <w:i/>
          <w:iCs/>
          <w:sz w:val="24"/>
          <w:szCs w:val="24"/>
        </w:rPr>
        <w:t xml:space="preserve">Fig. </w:t>
      </w:r>
      <w:r w:rsidR="00F765B7">
        <w:rPr>
          <w:rFonts w:ascii="Times New Roman" w:hAnsi="Times New Roman" w:cs="Times New Roman"/>
          <w:i/>
          <w:iCs/>
          <w:sz w:val="24"/>
          <w:szCs w:val="24"/>
        </w:rPr>
        <w:t>2.</w:t>
      </w:r>
      <w:r w:rsidRPr="00C43B75">
        <w:rPr>
          <w:rFonts w:ascii="Times New Roman" w:hAnsi="Times New Roman" w:cs="Times New Roman"/>
          <w:i/>
          <w:iCs/>
          <w:sz w:val="24"/>
          <w:szCs w:val="24"/>
        </w:rPr>
        <w:t>5</w:t>
      </w:r>
      <w:r w:rsidRPr="00C43B75">
        <w:rPr>
          <w:rFonts w:ascii="Times New Roman" w:hAnsi="Times New Roman" w:cs="Times New Roman"/>
          <w:sz w:val="24"/>
          <w:szCs w:val="24"/>
        </w:rPr>
        <w:t xml:space="preserve"> shows</w:t>
      </w:r>
      <w:r w:rsidRPr="00E36138">
        <w:rPr>
          <w:rFonts w:ascii="Times New Roman" w:hAnsi="Times New Roman" w:cs="Times New Roman"/>
          <w:sz w:val="24"/>
          <w:szCs w:val="24"/>
        </w:rPr>
        <w:t xml:space="preserve"> the transactions</w:t>
      </w:r>
      <w:r w:rsidR="00E20029" w:rsidRPr="00E20029">
        <w:rPr>
          <w:rFonts w:ascii="Times New Roman" w:hAnsi="Times New Roman" w:cs="Times New Roman"/>
          <w:sz w:val="24"/>
          <w:szCs w:val="24"/>
        </w:rPr>
        <w:t>'</w:t>
      </w:r>
      <w:r w:rsidRPr="00E36138">
        <w:rPr>
          <w:rFonts w:ascii="Times New Roman" w:hAnsi="Times New Roman" w:cs="Times New Roman"/>
          <w:sz w:val="24"/>
          <w:szCs w:val="24"/>
        </w:rPr>
        <w:t xml:space="preserve"> volume</w:t>
      </w:r>
      <w:r>
        <w:rPr>
          <w:rFonts w:ascii="Times New Roman" w:hAnsi="Times New Roman" w:cs="Times New Roman"/>
          <w:sz w:val="24"/>
          <w:szCs w:val="24"/>
        </w:rPr>
        <w:t xml:space="preserve"> in the last 16 years for</w:t>
      </w:r>
      <w:r w:rsidRPr="00E36138">
        <w:rPr>
          <w:rFonts w:ascii="Times New Roman" w:hAnsi="Times New Roman" w:cs="Times New Roman"/>
          <w:sz w:val="24"/>
          <w:szCs w:val="24"/>
        </w:rPr>
        <w:t xml:space="preserve"> the </w:t>
      </w:r>
      <w:r w:rsidRPr="0041575F">
        <w:rPr>
          <w:rFonts w:ascii="Times New Roman" w:hAnsi="Times New Roman" w:cs="Times New Roman"/>
          <w:sz w:val="24"/>
          <w:szCs w:val="24"/>
        </w:rPr>
        <w:t>Gulf Cooperation Council</w:t>
      </w:r>
      <w:r>
        <w:rPr>
          <w:rFonts w:ascii="Times New Roman" w:hAnsi="Times New Roman" w:cs="Times New Roman"/>
          <w:sz w:val="24"/>
          <w:szCs w:val="24"/>
        </w:rPr>
        <w:t xml:space="preserve"> </w:t>
      </w:r>
      <w:r w:rsidRPr="0041575F">
        <w:rPr>
          <w:rFonts w:ascii="Times New Roman" w:hAnsi="Times New Roman" w:cs="Times New Roman"/>
          <w:sz w:val="24"/>
          <w:szCs w:val="24"/>
        </w:rPr>
        <w:t>(GCC) region</w:t>
      </w:r>
      <w:r>
        <w:rPr>
          <w:rFonts w:ascii="Times New Roman" w:hAnsi="Times New Roman" w:cs="Times New Roman"/>
          <w:sz w:val="24"/>
          <w:szCs w:val="24"/>
        </w:rPr>
        <w:t xml:space="preserve">. </w:t>
      </w:r>
      <w:r w:rsidRPr="0041575F">
        <w:rPr>
          <w:rFonts w:ascii="Times New Roman" w:hAnsi="Times New Roman" w:cs="Times New Roman"/>
          <w:sz w:val="24"/>
          <w:szCs w:val="24"/>
        </w:rPr>
        <w:t>The Gulf Cooperation Council</w:t>
      </w:r>
      <w:r>
        <w:rPr>
          <w:rFonts w:ascii="Times New Roman" w:hAnsi="Times New Roman" w:cs="Times New Roman"/>
          <w:sz w:val="24"/>
          <w:szCs w:val="24"/>
        </w:rPr>
        <w:t xml:space="preserve"> </w:t>
      </w:r>
      <w:r w:rsidRPr="0041575F">
        <w:rPr>
          <w:rFonts w:ascii="Times New Roman" w:hAnsi="Times New Roman" w:cs="Times New Roman"/>
          <w:sz w:val="24"/>
          <w:szCs w:val="24"/>
        </w:rPr>
        <w:t xml:space="preserve">(GCC) region comprises fast-growing economies with government revenues fuelled by </w:t>
      </w:r>
      <w:r w:rsidR="00A73618" w:rsidRPr="00A73618">
        <w:rPr>
          <w:rFonts w:ascii="Times New Roman" w:hAnsi="Times New Roman" w:cs="Times New Roman"/>
          <w:sz w:val="24"/>
          <w:szCs w:val="24"/>
        </w:rPr>
        <w:t>considerable</w:t>
      </w:r>
      <w:r w:rsidR="00A73618" w:rsidRPr="0041575F">
        <w:rPr>
          <w:rFonts w:ascii="Times New Roman" w:hAnsi="Times New Roman" w:cs="Times New Roman"/>
          <w:sz w:val="24"/>
          <w:szCs w:val="24"/>
        </w:rPr>
        <w:t xml:space="preserve"> </w:t>
      </w:r>
      <w:r w:rsidRPr="0041575F">
        <w:rPr>
          <w:rFonts w:ascii="Times New Roman" w:hAnsi="Times New Roman" w:cs="Times New Roman"/>
          <w:sz w:val="24"/>
          <w:szCs w:val="24"/>
        </w:rPr>
        <w:t xml:space="preserve">oil revenues. Investment in energy infrastructures is a crucial pillar of the GCC </w:t>
      </w:r>
      <w:r w:rsidR="00A64CF9">
        <w:rPr>
          <w:rFonts w:ascii="Times New Roman" w:hAnsi="Times New Roman" w:cs="Times New Roman"/>
          <w:sz w:val="24"/>
          <w:szCs w:val="24"/>
        </w:rPr>
        <w:t>g</w:t>
      </w:r>
      <w:r w:rsidRPr="0041575F">
        <w:rPr>
          <w:rFonts w:ascii="Times New Roman" w:hAnsi="Times New Roman" w:cs="Times New Roman"/>
          <w:sz w:val="24"/>
          <w:szCs w:val="24"/>
        </w:rPr>
        <w:t xml:space="preserve">overnments policy strategies for regional economic development. Furthermore, GCC economies </w:t>
      </w:r>
      <w:r w:rsidR="005220A1" w:rsidRPr="0041575F">
        <w:rPr>
          <w:rFonts w:ascii="Times New Roman" w:hAnsi="Times New Roman" w:cs="Times New Roman"/>
          <w:sz w:val="24"/>
          <w:szCs w:val="24"/>
        </w:rPr>
        <w:t>usually</w:t>
      </w:r>
      <w:r w:rsidR="005220A1">
        <w:rPr>
          <w:rFonts w:ascii="Times New Roman" w:hAnsi="Times New Roman" w:cs="Times New Roman" w:hint="eastAsia"/>
          <w:sz w:val="24"/>
          <w:szCs w:val="24"/>
        </w:rPr>
        <w:t xml:space="preserve"> </w:t>
      </w:r>
      <w:r w:rsidRPr="0041575F">
        <w:rPr>
          <w:rFonts w:ascii="Times New Roman" w:hAnsi="Times New Roman" w:cs="Times New Roman"/>
          <w:sz w:val="24"/>
          <w:szCs w:val="24"/>
        </w:rPr>
        <w:t>have speciﬁc tax legislations that can inﬂuence</w:t>
      </w:r>
      <w:r w:rsidR="00A73618">
        <w:rPr>
          <w:rFonts w:ascii="Times New Roman" w:hAnsi="Times New Roman" w:cs="Times New Roman"/>
          <w:sz w:val="24"/>
          <w:szCs w:val="24"/>
        </w:rPr>
        <w:t xml:space="preserve"> on</w:t>
      </w:r>
      <w:r w:rsidRPr="0041575F">
        <w:rPr>
          <w:rFonts w:ascii="Times New Roman" w:hAnsi="Times New Roman" w:cs="Times New Roman"/>
          <w:sz w:val="24"/>
          <w:szCs w:val="24"/>
        </w:rPr>
        <w:t xml:space="preserve"> the capital structure of large investment projects. </w:t>
      </w:r>
      <w:r w:rsidR="00A64CF9">
        <w:rPr>
          <w:rFonts w:ascii="Times New Roman" w:hAnsi="Times New Roman" w:cs="Times New Roman"/>
          <w:sz w:val="24"/>
          <w:szCs w:val="24"/>
        </w:rPr>
        <w:t>E</w:t>
      </w:r>
      <w:r w:rsidRPr="0041575F">
        <w:rPr>
          <w:rFonts w:ascii="Times New Roman" w:hAnsi="Times New Roman" w:cs="Times New Roman"/>
          <w:sz w:val="24"/>
          <w:szCs w:val="24"/>
        </w:rPr>
        <w:t>xcept</w:t>
      </w:r>
      <w:r w:rsidR="00A64CF9">
        <w:rPr>
          <w:rFonts w:ascii="Times New Roman" w:hAnsi="Times New Roman" w:cs="Times New Roman"/>
          <w:sz w:val="24"/>
          <w:szCs w:val="24"/>
        </w:rPr>
        <w:t xml:space="preserve"> </w:t>
      </w:r>
      <w:r w:rsidR="005220A1">
        <w:rPr>
          <w:rFonts w:ascii="Times New Roman" w:hAnsi="Times New Roman" w:cs="Times New Roman"/>
          <w:sz w:val="24"/>
          <w:szCs w:val="24"/>
        </w:rPr>
        <w:t xml:space="preserve">for </w:t>
      </w:r>
      <w:r w:rsidRPr="0041575F">
        <w:rPr>
          <w:rFonts w:ascii="Times New Roman" w:hAnsi="Times New Roman" w:cs="Times New Roman"/>
          <w:sz w:val="24"/>
          <w:szCs w:val="24"/>
        </w:rPr>
        <w:t xml:space="preserve">Oman, GCC countries did not historically levy </w:t>
      </w:r>
      <w:r w:rsidR="00A64CF9">
        <w:rPr>
          <w:rFonts w:ascii="Times New Roman" w:hAnsi="Times New Roman" w:cs="Times New Roman"/>
          <w:sz w:val="24"/>
          <w:szCs w:val="24"/>
        </w:rPr>
        <w:t xml:space="preserve">a </w:t>
      </w:r>
      <w:r w:rsidRPr="0041575F">
        <w:rPr>
          <w:rFonts w:ascii="Times New Roman" w:hAnsi="Times New Roman" w:cs="Times New Roman"/>
          <w:sz w:val="24"/>
          <w:szCs w:val="24"/>
        </w:rPr>
        <w:t>sizable corporate tax on locally owned domestic companies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p>
    <w:p w14:paraId="2E91C7E7" w14:textId="1F8552D7" w:rsidR="00F765B7" w:rsidRDefault="00F765B7" w:rsidP="0008496D">
      <w:pPr>
        <w:suppressAutoHyphens/>
        <w:spacing w:line="360" w:lineRule="auto"/>
        <w:ind w:firstLine="567"/>
        <w:jc w:val="both"/>
        <w:rPr>
          <w:rFonts w:ascii="Times New Roman" w:hAnsi="Times New Roman" w:cs="Times New Roman"/>
          <w:sz w:val="24"/>
          <w:szCs w:val="24"/>
        </w:rPr>
      </w:pPr>
      <w:r w:rsidRPr="0041575F">
        <w:rPr>
          <w:rFonts w:ascii="Times New Roman" w:hAnsi="Times New Roman" w:cs="Times New Roman"/>
          <w:sz w:val="24"/>
          <w:szCs w:val="24"/>
        </w:rPr>
        <w:t>The project finance market of the Gulf Co-operation Council (GCC)</w:t>
      </w:r>
      <w:r>
        <w:rPr>
          <w:rFonts w:ascii="Times New Roman" w:hAnsi="Times New Roman" w:cs="Times New Roman"/>
          <w:sz w:val="24"/>
          <w:szCs w:val="24"/>
        </w:rPr>
        <w:t xml:space="preserve"> reached its highest levels in 2005-2007 and recorded its maximum in 2007 with $34.7 bn as a result of high oil prices. However, since 2008, due to the global financial crisis, </w:t>
      </w:r>
      <w:r w:rsidR="005220A1">
        <w:rPr>
          <w:rFonts w:ascii="Times New Roman" w:hAnsi="Times New Roman" w:cs="Times New Roman"/>
          <w:sz w:val="24"/>
          <w:szCs w:val="24"/>
        </w:rPr>
        <w:t xml:space="preserve">the </w:t>
      </w:r>
      <w:r>
        <w:rPr>
          <w:rFonts w:ascii="Times New Roman" w:hAnsi="Times New Roman" w:cs="Times New Roman"/>
          <w:sz w:val="24"/>
          <w:szCs w:val="24"/>
        </w:rPr>
        <w:t xml:space="preserve">European fiscal crisis, and political and economic instabilities following the Arab Spring have </w:t>
      </w:r>
      <w:r w:rsidRPr="00A73618">
        <w:rPr>
          <w:rFonts w:ascii="Times New Roman" w:hAnsi="Times New Roman" w:cs="Times New Roman"/>
          <w:sz w:val="24"/>
          <w:szCs w:val="24"/>
        </w:rPr>
        <w:t>led to a sharp reduction</w:t>
      </w:r>
      <w:r>
        <w:rPr>
          <w:rFonts w:ascii="Times New Roman" w:hAnsi="Times New Roman" w:cs="Times New Roman"/>
          <w:sz w:val="24"/>
          <w:szCs w:val="24"/>
        </w:rPr>
        <w:t xml:space="preserve"> in the GCC project finance market. The g</w:t>
      </w:r>
      <w:r w:rsidRPr="0041575F">
        <w:rPr>
          <w:rFonts w:ascii="Times New Roman" w:hAnsi="Times New Roman" w:cs="Times New Roman"/>
          <w:sz w:val="24"/>
          <w:szCs w:val="24"/>
        </w:rPr>
        <w:t xml:space="preserve">overnments </w:t>
      </w:r>
      <w:r>
        <w:rPr>
          <w:rFonts w:ascii="Times New Roman" w:hAnsi="Times New Roman" w:cs="Times New Roman"/>
          <w:sz w:val="24"/>
          <w:szCs w:val="24"/>
        </w:rPr>
        <w:t>throughout</w:t>
      </w:r>
      <w:r w:rsidRPr="0041575F">
        <w:rPr>
          <w:rFonts w:ascii="Times New Roman" w:hAnsi="Times New Roman" w:cs="Times New Roman"/>
          <w:sz w:val="24"/>
          <w:szCs w:val="24"/>
        </w:rPr>
        <w:t xml:space="preserve"> the region are </w:t>
      </w:r>
      <w:r>
        <w:rPr>
          <w:rFonts w:ascii="Times New Roman" w:hAnsi="Times New Roman" w:cs="Times New Roman"/>
          <w:sz w:val="24"/>
          <w:szCs w:val="24"/>
        </w:rPr>
        <w:t>investing</w:t>
      </w:r>
      <w:r w:rsidRPr="0041575F">
        <w:rPr>
          <w:rFonts w:ascii="Times New Roman" w:hAnsi="Times New Roman" w:cs="Times New Roman"/>
          <w:sz w:val="24"/>
          <w:szCs w:val="24"/>
        </w:rPr>
        <w:t xml:space="preserve"> in power generation,</w:t>
      </w:r>
      <w:r>
        <w:rPr>
          <w:rFonts w:ascii="Times New Roman" w:hAnsi="Times New Roman" w:cs="Times New Roman"/>
          <w:sz w:val="24"/>
          <w:szCs w:val="24"/>
        </w:rPr>
        <w:t xml:space="preserve"> petrochemical, oil </w:t>
      </w:r>
      <w:r>
        <w:rPr>
          <w:rFonts w:ascii="Times New Roman" w:hAnsi="Times New Roman" w:cs="Times New Roman"/>
          <w:sz w:val="24"/>
          <w:szCs w:val="24"/>
        </w:rPr>
        <w:lastRenderedPageBreak/>
        <w:t>and gas,</w:t>
      </w:r>
      <w:r w:rsidRPr="0041575F">
        <w:rPr>
          <w:rFonts w:ascii="Times New Roman" w:hAnsi="Times New Roman" w:cs="Times New Roman"/>
          <w:sz w:val="24"/>
          <w:szCs w:val="24"/>
        </w:rPr>
        <w:t xml:space="preserve"> transport</w:t>
      </w:r>
      <w:r w:rsidR="005220A1">
        <w:rPr>
          <w:rFonts w:ascii="Times New Roman" w:hAnsi="Times New Roman" w:cs="Times New Roman"/>
          <w:sz w:val="24"/>
          <w:szCs w:val="24"/>
        </w:rPr>
        <w:t xml:space="preserve">, </w:t>
      </w:r>
      <w:r>
        <w:rPr>
          <w:rFonts w:ascii="Times New Roman" w:hAnsi="Times New Roman" w:cs="Times New Roman"/>
          <w:sz w:val="24"/>
          <w:szCs w:val="24"/>
        </w:rPr>
        <w:t>and</w:t>
      </w:r>
      <w:r w:rsidRPr="0041575F">
        <w:rPr>
          <w:rFonts w:ascii="Times New Roman" w:hAnsi="Times New Roman" w:cs="Times New Roman"/>
          <w:sz w:val="24"/>
          <w:szCs w:val="24"/>
        </w:rPr>
        <w:t xml:space="preserve"> other </w:t>
      </w:r>
      <w:r>
        <w:rPr>
          <w:rFonts w:ascii="Times New Roman" w:hAnsi="Times New Roman" w:cs="Times New Roman"/>
          <w:sz w:val="24"/>
          <w:szCs w:val="24"/>
        </w:rPr>
        <w:t>industries</w:t>
      </w:r>
      <w:r w:rsidRPr="0041575F">
        <w:rPr>
          <w:rFonts w:ascii="Times New Roman" w:hAnsi="Times New Roman" w:cs="Times New Roman"/>
          <w:sz w:val="24"/>
          <w:szCs w:val="24"/>
        </w:rPr>
        <w:t xml:space="preserve">, as they </w:t>
      </w:r>
      <w:r>
        <w:rPr>
          <w:rFonts w:ascii="Times New Roman" w:hAnsi="Times New Roman" w:cs="Times New Roman"/>
          <w:sz w:val="24"/>
          <w:szCs w:val="24"/>
        </w:rPr>
        <w:t>face</w:t>
      </w:r>
      <w:r w:rsidRPr="0041575F">
        <w:rPr>
          <w:rFonts w:ascii="Times New Roman" w:hAnsi="Times New Roman" w:cs="Times New Roman"/>
          <w:sz w:val="24"/>
          <w:szCs w:val="24"/>
        </w:rPr>
        <w:t xml:space="preserve"> </w:t>
      </w:r>
      <w:r>
        <w:rPr>
          <w:rFonts w:ascii="Times New Roman" w:hAnsi="Times New Roman" w:cs="Times New Roman"/>
          <w:sz w:val="24"/>
          <w:szCs w:val="24"/>
        </w:rPr>
        <w:t>a</w:t>
      </w:r>
      <w:r w:rsidRPr="0041575F">
        <w:rPr>
          <w:rFonts w:ascii="Times New Roman" w:hAnsi="Times New Roman" w:cs="Times New Roman"/>
          <w:sz w:val="24"/>
          <w:szCs w:val="24"/>
        </w:rPr>
        <w:t xml:space="preserve"> growing population and the need to diversify economic </w:t>
      </w:r>
      <w:r>
        <w:rPr>
          <w:rFonts w:ascii="Times New Roman" w:hAnsi="Times New Roman" w:cs="Times New Roman"/>
          <w:sz w:val="24"/>
          <w:szCs w:val="24"/>
        </w:rPr>
        <w:t>activities</w:t>
      </w:r>
      <w:r w:rsidRPr="0041575F">
        <w:rPr>
          <w:rFonts w:ascii="Times New Roman" w:hAnsi="Times New Roman" w:cs="Times New Roman"/>
          <w:sz w:val="24"/>
          <w:szCs w:val="24"/>
        </w:rPr>
        <w:t>.</w:t>
      </w:r>
    </w:p>
    <w:p w14:paraId="36A73916" w14:textId="77777777" w:rsidR="00C43B75" w:rsidRDefault="00A65CDF" w:rsidP="00C43B75">
      <w:pPr>
        <w:keepNext/>
        <w:spacing w:before="240" w:after="0" w:line="360" w:lineRule="auto"/>
        <w:jc w:val="both"/>
      </w:pPr>
      <w:r>
        <w:rPr>
          <w:noProof/>
        </w:rPr>
        <w:drawing>
          <wp:inline distT="0" distB="0" distL="0" distR="0" wp14:anchorId="7D01F2BB" wp14:editId="4EC9F8AD">
            <wp:extent cx="5775960" cy="2743200"/>
            <wp:effectExtent l="0" t="0" r="0" b="0"/>
            <wp:docPr id="7" name="Chart 7">
              <a:extLst xmlns:a="http://schemas.openxmlformats.org/drawingml/2006/main">
                <a:ext uri="{FF2B5EF4-FFF2-40B4-BE49-F238E27FC236}">
                  <a16:creationId xmlns:a16="http://schemas.microsoft.com/office/drawing/2014/main" id="{AF10A029-4F70-4FBB-842C-BAEA5B74F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B2719E" w14:textId="4A489774" w:rsidR="00A65CDF" w:rsidRPr="00C43B75" w:rsidRDefault="00C43B75" w:rsidP="00876543">
      <w:pPr>
        <w:spacing w:after="0" w:line="360" w:lineRule="auto"/>
        <w:jc w:val="both"/>
        <w:rPr>
          <w:rFonts w:ascii="Times New Roman" w:hAnsi="Times New Roman" w:cs="Times New Roman"/>
          <w:sz w:val="24"/>
          <w:szCs w:val="24"/>
        </w:rPr>
      </w:pPr>
      <w:r w:rsidRPr="00876543">
        <w:rPr>
          <w:rFonts w:ascii="Times New Roman" w:hAnsi="Times New Roman" w:cs="Times New Roman"/>
          <w:i/>
          <w:iCs/>
          <w:sz w:val="24"/>
          <w:szCs w:val="24"/>
        </w:rPr>
        <w:t>Fig</w:t>
      </w:r>
      <w:r w:rsidR="00876543" w:rsidRPr="00876543">
        <w:rPr>
          <w:rFonts w:ascii="Times New Roman" w:hAnsi="Times New Roman" w:cs="Times New Roman"/>
          <w:i/>
          <w:iCs/>
          <w:sz w:val="24"/>
          <w:szCs w:val="24"/>
        </w:rPr>
        <w:t>.</w:t>
      </w:r>
      <w:r w:rsidRPr="00876543">
        <w:rPr>
          <w:rFonts w:ascii="Times New Roman" w:hAnsi="Times New Roman" w:cs="Times New Roman"/>
          <w:i/>
          <w:iCs/>
          <w:sz w:val="24"/>
          <w:szCs w:val="24"/>
        </w:rPr>
        <w:t xml:space="preserve"> </w:t>
      </w:r>
      <w:r w:rsidR="00F765B7">
        <w:rPr>
          <w:rFonts w:ascii="Times New Roman" w:hAnsi="Times New Roman" w:cs="Times New Roman"/>
          <w:i/>
          <w:iCs/>
          <w:sz w:val="24"/>
          <w:szCs w:val="24"/>
        </w:rPr>
        <w:t>2.</w:t>
      </w:r>
      <w:r w:rsidRPr="00876543">
        <w:rPr>
          <w:rFonts w:ascii="Times New Roman" w:hAnsi="Times New Roman" w:cs="Times New Roman"/>
          <w:i/>
          <w:iCs/>
          <w:sz w:val="24"/>
          <w:szCs w:val="24"/>
        </w:rPr>
        <w:fldChar w:fldCharType="begin"/>
      </w:r>
      <w:r w:rsidRPr="00876543">
        <w:rPr>
          <w:rFonts w:ascii="Times New Roman" w:hAnsi="Times New Roman" w:cs="Times New Roman"/>
          <w:i/>
          <w:iCs/>
          <w:sz w:val="24"/>
          <w:szCs w:val="24"/>
        </w:rPr>
        <w:instrText xml:space="preserve"> SEQ Figure \* ARABIC </w:instrText>
      </w:r>
      <w:r w:rsidRPr="00876543">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5</w:t>
      </w:r>
      <w:r w:rsidRPr="00876543">
        <w:rPr>
          <w:rFonts w:ascii="Times New Roman" w:hAnsi="Times New Roman" w:cs="Times New Roman"/>
          <w:i/>
          <w:iCs/>
          <w:sz w:val="24"/>
          <w:szCs w:val="24"/>
        </w:rPr>
        <w:fldChar w:fldCharType="end"/>
      </w:r>
      <w:r w:rsidR="00876543">
        <w:rPr>
          <w:rFonts w:ascii="Times New Roman" w:hAnsi="Times New Roman" w:cs="Times New Roman"/>
          <w:sz w:val="24"/>
          <w:szCs w:val="24"/>
        </w:rPr>
        <w:t>.</w:t>
      </w:r>
      <w:r w:rsidRPr="00C43B75">
        <w:rPr>
          <w:rFonts w:ascii="Times New Roman" w:hAnsi="Times New Roman" w:cs="Times New Roman"/>
          <w:sz w:val="24"/>
          <w:szCs w:val="24"/>
        </w:rPr>
        <w:t xml:space="preserve"> Project </w:t>
      </w:r>
      <w:r w:rsidR="00876543">
        <w:rPr>
          <w:rFonts w:ascii="Times New Roman" w:hAnsi="Times New Roman" w:cs="Times New Roman"/>
          <w:sz w:val="24"/>
          <w:szCs w:val="24"/>
        </w:rPr>
        <w:t>f</w:t>
      </w:r>
      <w:r w:rsidRPr="00C43B75">
        <w:rPr>
          <w:rFonts w:ascii="Times New Roman" w:hAnsi="Times New Roman" w:cs="Times New Roman"/>
          <w:sz w:val="24"/>
          <w:szCs w:val="24"/>
        </w:rPr>
        <w:t>inance volumes in the GCC region since 2003 ($ bn)</w:t>
      </w:r>
    </w:p>
    <w:p w14:paraId="38C5C6E7" w14:textId="50CB9369" w:rsidR="0084301A" w:rsidRPr="00345605" w:rsidRDefault="0084301A" w:rsidP="0096385D">
      <w:pPr>
        <w:pStyle w:val="Caption"/>
        <w:rPr>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p>
    <w:p w14:paraId="0663FB20" w14:textId="6BBF6C41" w:rsidR="00DD236E" w:rsidRDefault="00A65CDF" w:rsidP="0008496D">
      <w:pPr>
        <w:suppressAutoHyphens/>
        <w:spacing w:before="240" w:after="0" w:line="360" w:lineRule="auto"/>
        <w:ind w:firstLine="567"/>
        <w:jc w:val="both"/>
        <w:rPr>
          <w:rFonts w:ascii="Times New Roman" w:hAnsi="Times New Roman" w:cs="Times New Roman"/>
          <w:sz w:val="24"/>
          <w:szCs w:val="24"/>
        </w:rPr>
      </w:pPr>
      <w:r w:rsidRPr="001B570D">
        <w:rPr>
          <w:rFonts w:ascii="Times New Roman" w:hAnsi="Times New Roman" w:cs="Times New Roman"/>
          <w:sz w:val="24"/>
          <w:szCs w:val="24"/>
        </w:rPr>
        <w:t xml:space="preserve">The </w:t>
      </w:r>
      <w:r w:rsidRPr="00345605">
        <w:rPr>
          <w:rFonts w:ascii="Times New Roman" w:hAnsi="Times New Roman" w:cs="Times New Roman"/>
          <w:sz w:val="24"/>
          <w:szCs w:val="24"/>
        </w:rPr>
        <w:t xml:space="preserve">data in </w:t>
      </w:r>
      <w:r w:rsidRPr="00345605">
        <w:rPr>
          <w:rFonts w:ascii="Times New Roman" w:hAnsi="Times New Roman" w:cs="Times New Roman"/>
          <w:i/>
          <w:iCs/>
          <w:sz w:val="24"/>
          <w:szCs w:val="24"/>
        </w:rPr>
        <w:t xml:space="preserve">Table </w:t>
      </w:r>
      <w:r w:rsidR="007E5AFF">
        <w:rPr>
          <w:rFonts w:ascii="Times New Roman" w:hAnsi="Times New Roman" w:cs="Times New Roman"/>
          <w:i/>
          <w:iCs/>
          <w:sz w:val="24"/>
          <w:szCs w:val="24"/>
        </w:rPr>
        <w:t>2.7</w:t>
      </w:r>
      <w:r w:rsidRPr="00345605">
        <w:rPr>
          <w:rFonts w:ascii="Times New Roman" w:hAnsi="Times New Roman" w:cs="Times New Roman"/>
          <w:sz w:val="24"/>
          <w:szCs w:val="24"/>
        </w:rPr>
        <w:t xml:space="preserve"> indicates</w:t>
      </w:r>
      <w:r w:rsidRPr="001B570D">
        <w:rPr>
          <w:rFonts w:ascii="Times New Roman" w:hAnsi="Times New Roman" w:cs="Times New Roman"/>
          <w:sz w:val="24"/>
          <w:szCs w:val="24"/>
        </w:rPr>
        <w:t xml:space="preserve"> that</w:t>
      </w:r>
      <w:r>
        <w:rPr>
          <w:rFonts w:ascii="Times New Roman" w:hAnsi="Times New Roman" w:cs="Times New Roman"/>
          <w:sz w:val="24"/>
          <w:szCs w:val="24"/>
        </w:rPr>
        <w:t xml:space="preserve"> 2</w:t>
      </w:r>
      <w:r w:rsidR="00A92EC3">
        <w:rPr>
          <w:rFonts w:ascii="Times New Roman" w:hAnsi="Times New Roman" w:cs="Times New Roman"/>
          <w:sz w:val="24"/>
          <w:szCs w:val="24"/>
        </w:rPr>
        <w:t>2</w:t>
      </w:r>
      <w:r>
        <w:rPr>
          <w:rFonts w:ascii="Times New Roman" w:hAnsi="Times New Roman" w:cs="Times New Roman"/>
          <w:sz w:val="24"/>
          <w:szCs w:val="24"/>
        </w:rPr>
        <w:t>4 projects occurred in the GCC region for the period 1995-2018</w:t>
      </w:r>
      <w:r w:rsidR="0008440E">
        <w:rPr>
          <w:rFonts w:ascii="Times New Roman" w:hAnsi="Times New Roman" w:cs="Times New Roman"/>
          <w:sz w:val="24"/>
          <w:szCs w:val="24"/>
        </w:rPr>
        <w:t>,</w:t>
      </w:r>
      <w:r>
        <w:rPr>
          <w:rFonts w:ascii="Times New Roman" w:hAnsi="Times New Roman" w:cs="Times New Roman"/>
          <w:sz w:val="24"/>
          <w:szCs w:val="24"/>
        </w:rPr>
        <w:t xml:space="preserve"> </w:t>
      </w:r>
      <w:r w:rsidRPr="00DD15D1">
        <w:rPr>
          <w:rFonts w:ascii="Times New Roman" w:hAnsi="Times New Roman" w:cs="Times New Roman"/>
          <w:sz w:val="24"/>
          <w:szCs w:val="24"/>
        </w:rPr>
        <w:t>represent</w:t>
      </w:r>
      <w:r>
        <w:rPr>
          <w:rFonts w:ascii="Times New Roman" w:hAnsi="Times New Roman" w:cs="Times New Roman"/>
          <w:sz w:val="24"/>
          <w:szCs w:val="24"/>
        </w:rPr>
        <w:t>ing</w:t>
      </w:r>
      <w:r w:rsidRPr="00DD15D1">
        <w:rPr>
          <w:rFonts w:ascii="Times New Roman" w:hAnsi="Times New Roman" w:cs="Times New Roman"/>
          <w:sz w:val="24"/>
          <w:szCs w:val="24"/>
        </w:rPr>
        <w:t xml:space="preserve"> a total value of $</w:t>
      </w:r>
      <w:r>
        <w:rPr>
          <w:rFonts w:ascii="Times New Roman" w:hAnsi="Times New Roman" w:cs="Times New Roman"/>
          <w:sz w:val="24"/>
          <w:szCs w:val="24"/>
        </w:rPr>
        <w:t>281</w:t>
      </w:r>
      <w:r w:rsidRPr="00DD15D1">
        <w:rPr>
          <w:rFonts w:ascii="Times New Roman" w:hAnsi="Times New Roman" w:cs="Times New Roman"/>
          <w:sz w:val="24"/>
          <w:szCs w:val="24"/>
        </w:rPr>
        <w:t xml:space="preserve"> bn </w:t>
      </w:r>
      <w:r w:rsidRPr="00D3269A">
        <w:rPr>
          <w:rFonts w:ascii="Times New Roman" w:hAnsi="Times New Roman" w:cs="Times New Roman"/>
          <w:sz w:val="24"/>
          <w:szCs w:val="24"/>
        </w:rPr>
        <w:t>and distributed between </w:t>
      </w:r>
      <w:r w:rsidR="00A92EC3">
        <w:rPr>
          <w:rFonts w:ascii="Times New Roman" w:hAnsi="Times New Roman" w:cs="Times New Roman"/>
          <w:sz w:val="24"/>
          <w:szCs w:val="24"/>
        </w:rPr>
        <w:t>10</w:t>
      </w:r>
      <w:r w:rsidRPr="00D3269A">
        <w:rPr>
          <w:rFonts w:ascii="Times New Roman" w:hAnsi="Times New Roman" w:cs="Times New Roman"/>
          <w:sz w:val="24"/>
          <w:szCs w:val="24"/>
        </w:rPr>
        <w:t xml:space="preserve"> industrial sectors</w:t>
      </w:r>
      <w:r>
        <w:rPr>
          <w:rFonts w:ascii="Times New Roman" w:hAnsi="Times New Roman" w:cs="Times New Roman"/>
          <w:sz w:val="24"/>
          <w:szCs w:val="24"/>
        </w:rPr>
        <w:t xml:space="preserve"> including</w:t>
      </w:r>
      <w:r w:rsidR="00D7459E">
        <w:rPr>
          <w:rFonts w:ascii="Times New Roman" w:hAnsi="Times New Roman" w:cs="Times New Roman"/>
          <w:sz w:val="24"/>
          <w:szCs w:val="24"/>
        </w:rPr>
        <w:t xml:space="preserve"> </w:t>
      </w:r>
      <w:r>
        <w:rPr>
          <w:rFonts w:ascii="Times New Roman" w:hAnsi="Times New Roman" w:cs="Times New Roman"/>
          <w:sz w:val="24"/>
          <w:szCs w:val="24"/>
        </w:rPr>
        <w:t>u</w:t>
      </w:r>
      <w:r w:rsidRPr="00D3269A">
        <w:rPr>
          <w:rFonts w:ascii="Times New Roman" w:hAnsi="Times New Roman" w:cs="Times New Roman"/>
          <w:sz w:val="24"/>
          <w:szCs w:val="24"/>
        </w:rPr>
        <w:t>tilities (</w:t>
      </w:r>
      <w:r>
        <w:rPr>
          <w:rFonts w:ascii="Times New Roman" w:hAnsi="Times New Roman" w:cs="Times New Roman"/>
          <w:sz w:val="24"/>
          <w:szCs w:val="24"/>
        </w:rPr>
        <w:t>p</w:t>
      </w:r>
      <w:r w:rsidRPr="00D3269A">
        <w:rPr>
          <w:rFonts w:ascii="Times New Roman" w:hAnsi="Times New Roman" w:cs="Times New Roman"/>
          <w:sz w:val="24"/>
          <w:szCs w:val="24"/>
        </w:rPr>
        <w:t>ower generation</w:t>
      </w:r>
      <w:r w:rsidR="0008440E">
        <w:rPr>
          <w:rFonts w:ascii="Times New Roman" w:hAnsi="Times New Roman" w:cs="Times New Roman"/>
          <w:sz w:val="24"/>
          <w:szCs w:val="24"/>
        </w:rPr>
        <w:t>,</w:t>
      </w:r>
      <w:r w:rsidRPr="00D3269A">
        <w:rPr>
          <w:rFonts w:ascii="Times New Roman" w:hAnsi="Times New Roman" w:cs="Times New Roman"/>
          <w:sz w:val="24"/>
          <w:szCs w:val="24"/>
        </w:rPr>
        <w:t xml:space="preserve"> water desalination</w:t>
      </w:r>
      <w:r w:rsidR="0008440E">
        <w:rPr>
          <w:rFonts w:ascii="Times New Roman" w:hAnsi="Times New Roman" w:cs="Times New Roman"/>
          <w:sz w:val="24"/>
          <w:szCs w:val="24"/>
        </w:rPr>
        <w:t>,</w:t>
      </w:r>
      <w:r w:rsidRPr="00D3269A">
        <w:rPr>
          <w:rFonts w:ascii="Times New Roman" w:hAnsi="Times New Roman" w:cs="Times New Roman"/>
          <w:sz w:val="24"/>
          <w:szCs w:val="24"/>
        </w:rPr>
        <w:t xml:space="preserve"> and sewage treatment), oil and gas production, petrochemicals</w:t>
      </w:r>
      <w:hyperlink r:id="rId13" w:anchor="Fn4" w:history="1">
        <w:r w:rsidRPr="00D3269A">
          <w:rPr>
            <w:rFonts w:ascii="Times New Roman" w:hAnsi="Times New Roman" w:cs="Times New Roman"/>
            <w:sz w:val="24"/>
            <w:szCs w:val="24"/>
          </w:rPr>
          <w:t>,</w:t>
        </w:r>
      </w:hyperlink>
      <w:r w:rsidRPr="00D3269A">
        <w:rPr>
          <w:rFonts w:ascii="Times New Roman" w:hAnsi="Times New Roman" w:cs="Times New Roman"/>
          <w:sz w:val="24"/>
          <w:szCs w:val="24"/>
        </w:rPr>
        <w:t xml:space="preserve"> mining</w:t>
      </w:r>
      <w:r>
        <w:rPr>
          <w:rFonts w:ascii="Times New Roman" w:hAnsi="Times New Roman" w:cs="Times New Roman"/>
          <w:sz w:val="24"/>
          <w:szCs w:val="24"/>
        </w:rPr>
        <w:t xml:space="preserve">, </w:t>
      </w:r>
      <w:r w:rsidRPr="00D3269A">
        <w:rPr>
          <w:rFonts w:ascii="Times New Roman" w:hAnsi="Times New Roman" w:cs="Times New Roman"/>
          <w:sz w:val="24"/>
          <w:szCs w:val="24"/>
        </w:rPr>
        <w:t xml:space="preserve">transportation, </w:t>
      </w:r>
      <w:r>
        <w:rPr>
          <w:rFonts w:ascii="Times New Roman" w:hAnsi="Times New Roman" w:cs="Times New Roman"/>
          <w:sz w:val="24"/>
          <w:szCs w:val="24"/>
        </w:rPr>
        <w:t>and other industrial sectors.</w:t>
      </w:r>
    </w:p>
    <w:p w14:paraId="66EA3308" w14:textId="22937BA9" w:rsidR="004E4E6B" w:rsidRDefault="004E4E6B" w:rsidP="0008496D">
      <w:pPr>
        <w:suppressAutoHyphens/>
        <w:spacing w:before="240" w:line="360" w:lineRule="auto"/>
        <w:ind w:firstLine="567"/>
        <w:jc w:val="both"/>
        <w:rPr>
          <w:rFonts w:ascii="Times New Roman" w:hAnsi="Times New Roman" w:cs="Times New Roman"/>
          <w:sz w:val="24"/>
          <w:szCs w:val="24"/>
        </w:rPr>
      </w:pPr>
      <w:r w:rsidRPr="005C1804">
        <w:rPr>
          <w:rFonts w:ascii="Times New Roman" w:hAnsi="Times New Roman" w:cs="Times New Roman"/>
          <w:sz w:val="24"/>
          <w:szCs w:val="24"/>
        </w:rPr>
        <w:t xml:space="preserve">The </w:t>
      </w:r>
      <w:r>
        <w:rPr>
          <w:rFonts w:ascii="Times New Roman" w:hAnsi="Times New Roman" w:cs="Times New Roman"/>
          <w:sz w:val="24"/>
          <w:szCs w:val="24"/>
        </w:rPr>
        <w:t xml:space="preserve">Gulf </w:t>
      </w:r>
      <w:r w:rsidRPr="005C1804">
        <w:rPr>
          <w:rFonts w:ascii="Times New Roman" w:hAnsi="Times New Roman" w:cs="Times New Roman"/>
          <w:sz w:val="24"/>
          <w:szCs w:val="24"/>
        </w:rPr>
        <w:t xml:space="preserve">has been a particularly prolific source of project finance opportunities in both refining and petrochemicals, </w:t>
      </w:r>
      <w:r w:rsidR="0008440E">
        <w:rPr>
          <w:rFonts w:ascii="Times New Roman" w:hAnsi="Times New Roman" w:cs="Times New Roman"/>
          <w:sz w:val="24"/>
          <w:szCs w:val="24"/>
        </w:rPr>
        <w:t>because of the</w:t>
      </w:r>
      <w:r w:rsidRPr="005C1804">
        <w:rPr>
          <w:rFonts w:ascii="Times New Roman" w:hAnsi="Times New Roman" w:cs="Times New Roman"/>
          <w:sz w:val="24"/>
          <w:szCs w:val="24"/>
        </w:rPr>
        <w:t xml:space="preserve"> cheap and abundant </w:t>
      </w:r>
      <w:r w:rsidRPr="001E1008">
        <w:rPr>
          <w:rFonts w:ascii="Times New Roman" w:hAnsi="Times New Roman" w:cs="Times New Roman"/>
          <w:sz w:val="24"/>
          <w:szCs w:val="24"/>
        </w:rPr>
        <w:t>raw material</w:t>
      </w:r>
      <w:r w:rsidRPr="005C1804">
        <w:rPr>
          <w:rFonts w:ascii="Times New Roman" w:hAnsi="Times New Roman" w:cs="Times New Roman"/>
          <w:sz w:val="24"/>
          <w:szCs w:val="24"/>
        </w:rPr>
        <w:t>.</w:t>
      </w:r>
      <w:r w:rsidR="0008440E">
        <w:rPr>
          <w:rFonts w:ascii="Times New Roman" w:hAnsi="Times New Roman" w:cs="Times New Roman"/>
          <w:sz w:val="24"/>
          <w:szCs w:val="24"/>
        </w:rPr>
        <w:t xml:space="preserve"> O</w:t>
      </w:r>
      <w:r w:rsidR="0008440E" w:rsidRPr="005C1804">
        <w:rPr>
          <w:rFonts w:ascii="Times New Roman" w:hAnsi="Times New Roman" w:cs="Times New Roman"/>
          <w:sz w:val="24"/>
          <w:szCs w:val="24"/>
        </w:rPr>
        <w:t>ver the past few decades</w:t>
      </w:r>
      <w:r w:rsidRPr="005C1804">
        <w:rPr>
          <w:rFonts w:ascii="Times New Roman" w:hAnsi="Times New Roman" w:cs="Times New Roman"/>
          <w:sz w:val="24"/>
          <w:szCs w:val="24"/>
        </w:rPr>
        <w:t xml:space="preserve"> </w:t>
      </w:r>
      <w:r w:rsidR="0008440E">
        <w:rPr>
          <w:rFonts w:ascii="Times New Roman" w:hAnsi="Times New Roman" w:cs="Times New Roman"/>
          <w:sz w:val="24"/>
          <w:szCs w:val="24"/>
        </w:rPr>
        <w:t>i</w:t>
      </w:r>
      <w:r w:rsidRPr="005C1804">
        <w:rPr>
          <w:rFonts w:ascii="Times New Roman" w:hAnsi="Times New Roman" w:cs="Times New Roman"/>
          <w:sz w:val="24"/>
          <w:szCs w:val="24"/>
        </w:rPr>
        <w:t>n Saudi Arabia</w:t>
      </w:r>
      <w:r w:rsidR="00D7459E">
        <w:rPr>
          <w:rFonts w:ascii="Times New Roman" w:hAnsi="Times New Roman" w:cs="Times New Roman"/>
          <w:sz w:val="24"/>
          <w:szCs w:val="24"/>
        </w:rPr>
        <w:t>,</w:t>
      </w:r>
      <w:r w:rsidRPr="005C1804">
        <w:rPr>
          <w:rFonts w:ascii="Times New Roman" w:hAnsi="Times New Roman" w:cs="Times New Roman"/>
          <w:sz w:val="24"/>
          <w:szCs w:val="24"/>
        </w:rPr>
        <w:t xml:space="preserve"> the industrial cities of Jubail and Yanbu have developed into large manufacturing sites for petrochemicals and refined products. The investments made into the downstream oil and gas sector in these cities </w:t>
      </w:r>
      <w:r w:rsidR="0008440E">
        <w:rPr>
          <w:rFonts w:ascii="Times New Roman" w:hAnsi="Times New Roman" w:cs="Times New Roman"/>
          <w:sz w:val="24"/>
          <w:szCs w:val="24"/>
        </w:rPr>
        <w:t>has</w:t>
      </w:r>
      <w:r w:rsidRPr="005C1804">
        <w:rPr>
          <w:rFonts w:ascii="Times New Roman" w:hAnsi="Times New Roman" w:cs="Times New Roman"/>
          <w:sz w:val="24"/>
          <w:szCs w:val="24"/>
        </w:rPr>
        <w:t xml:space="preserve"> been enormous</w:t>
      </w:r>
      <w:r w:rsidR="0008440E">
        <w:rPr>
          <w:rFonts w:ascii="Times New Roman" w:hAnsi="Times New Roman" w:cs="Times New Roman"/>
          <w:sz w:val="24"/>
          <w:szCs w:val="24"/>
        </w:rPr>
        <w:t>, most</w:t>
      </w:r>
      <w:r w:rsidRPr="005C1804">
        <w:rPr>
          <w:rFonts w:ascii="Times New Roman" w:hAnsi="Times New Roman" w:cs="Times New Roman"/>
          <w:sz w:val="24"/>
          <w:szCs w:val="24"/>
        </w:rPr>
        <w:t xml:space="preserve"> of </w:t>
      </w:r>
      <w:r w:rsidR="0008440E">
        <w:rPr>
          <w:rFonts w:ascii="Times New Roman" w:hAnsi="Times New Roman" w:cs="Times New Roman"/>
          <w:sz w:val="24"/>
          <w:szCs w:val="24"/>
        </w:rPr>
        <w:t>it</w:t>
      </w:r>
      <w:r w:rsidRPr="005C1804">
        <w:rPr>
          <w:rFonts w:ascii="Times New Roman" w:hAnsi="Times New Roman" w:cs="Times New Roman"/>
          <w:sz w:val="24"/>
          <w:szCs w:val="24"/>
        </w:rPr>
        <w:t xml:space="preserve"> has been funded through project finance loans. Qatar, Oman</w:t>
      </w:r>
      <w:r w:rsidR="00BD791A">
        <w:rPr>
          <w:rFonts w:ascii="Times New Roman" w:hAnsi="Times New Roman" w:cs="Times New Roman"/>
          <w:sz w:val="24"/>
          <w:szCs w:val="24"/>
        </w:rPr>
        <w:t>,</w:t>
      </w:r>
      <w:r w:rsidRPr="005C1804">
        <w:rPr>
          <w:rFonts w:ascii="Times New Roman" w:hAnsi="Times New Roman" w:cs="Times New Roman"/>
          <w:sz w:val="24"/>
          <w:szCs w:val="24"/>
        </w:rPr>
        <w:t xml:space="preserve"> and Kuwait have, likewise, raised project finance for refining and petrochemical projects</w:t>
      </w:r>
      <w:r>
        <w:rPr>
          <w:rFonts w:ascii="Times New Roman" w:hAnsi="Times New Roman" w:cs="Times New Roman"/>
          <w:sz w:val="24"/>
          <w:szCs w:val="24"/>
        </w:rPr>
        <w:t>.</w:t>
      </w:r>
      <w:r w:rsidRPr="005C1804">
        <w:rPr>
          <w:rFonts w:ascii="Times New Roman" w:hAnsi="Times New Roman" w:cs="Times New Roman"/>
          <w:sz w:val="24"/>
          <w:szCs w:val="24"/>
          <w:vertAlign w:val="superscript"/>
        </w:rPr>
        <w:footnoteReference w:id="50"/>
      </w:r>
    </w:p>
    <w:p w14:paraId="69F5B840" w14:textId="6E9FA4CC" w:rsidR="007E5AFF" w:rsidRDefault="00E45761" w:rsidP="0008496D">
      <w:pPr>
        <w:suppressAutoHyphens/>
        <w:spacing w:line="360" w:lineRule="auto"/>
        <w:ind w:firstLine="567"/>
        <w:jc w:val="both"/>
        <w:rPr>
          <w:rFonts w:ascii="Times New Roman" w:hAnsi="Times New Roman" w:cs="Times New Roman"/>
          <w:sz w:val="24"/>
          <w:szCs w:val="24"/>
        </w:rPr>
      </w:pPr>
      <w:r w:rsidRPr="00E45761">
        <w:rPr>
          <w:rFonts w:ascii="Times New Roman" w:hAnsi="Times New Roman" w:cs="Times New Roman"/>
          <w:sz w:val="24"/>
          <w:szCs w:val="24"/>
        </w:rPr>
        <w:t>Project finance in Qatar was primarily used in the oil and gas, power, and social infrastructure sectors</w:t>
      </w:r>
      <w:r w:rsidR="007E5AFF">
        <w:rPr>
          <w:rFonts w:ascii="Times New Roman" w:hAnsi="Times New Roman" w:cs="Times New Roman"/>
          <w:sz w:val="24"/>
          <w:szCs w:val="24"/>
        </w:rPr>
        <w:t xml:space="preserve">. </w:t>
      </w:r>
      <w:r w:rsidR="007E5AFF" w:rsidRPr="00017A98">
        <w:rPr>
          <w:rFonts w:ascii="Times New Roman" w:hAnsi="Times New Roman" w:cs="Times New Roman"/>
          <w:sz w:val="24"/>
          <w:szCs w:val="24"/>
        </w:rPr>
        <w:t>In 2012</w:t>
      </w:r>
      <w:r w:rsidR="007E5AFF">
        <w:rPr>
          <w:rFonts w:ascii="Times New Roman" w:hAnsi="Times New Roman" w:cs="Times New Roman"/>
          <w:sz w:val="24"/>
          <w:szCs w:val="24"/>
        </w:rPr>
        <w:t>,</w:t>
      </w:r>
      <w:r w:rsidR="007E5AFF" w:rsidRPr="00017A98">
        <w:rPr>
          <w:rFonts w:ascii="Times New Roman" w:hAnsi="Times New Roman" w:cs="Times New Roman"/>
          <w:sz w:val="24"/>
          <w:szCs w:val="24"/>
        </w:rPr>
        <w:t xml:space="preserve"> Qatar</w:t>
      </w:r>
      <w:r w:rsidR="007E5AFF" w:rsidRPr="00E20029">
        <w:rPr>
          <w:rFonts w:ascii="Times New Roman" w:hAnsi="Times New Roman" w:cs="Times New Roman"/>
          <w:sz w:val="24"/>
          <w:szCs w:val="24"/>
        </w:rPr>
        <w:t>'</w:t>
      </w:r>
      <w:r w:rsidR="007E5AFF" w:rsidRPr="00017A98">
        <w:rPr>
          <w:rFonts w:ascii="Times New Roman" w:hAnsi="Times New Roman" w:cs="Times New Roman"/>
          <w:sz w:val="24"/>
          <w:szCs w:val="24"/>
        </w:rPr>
        <w:t>s national gas companies (Qatargas and Ras</w:t>
      </w:r>
      <w:r w:rsidR="007E5AFF">
        <w:rPr>
          <w:rFonts w:ascii="Times New Roman" w:hAnsi="Times New Roman" w:cs="Times New Roman"/>
          <w:sz w:val="24"/>
          <w:szCs w:val="24"/>
        </w:rPr>
        <w:t>g</w:t>
      </w:r>
      <w:r w:rsidR="007E5AFF" w:rsidRPr="00017A98">
        <w:rPr>
          <w:rFonts w:ascii="Times New Roman" w:hAnsi="Times New Roman" w:cs="Times New Roman"/>
          <w:sz w:val="24"/>
          <w:szCs w:val="24"/>
        </w:rPr>
        <w:t>as) became the world</w:t>
      </w:r>
      <w:r w:rsidR="007E5AFF" w:rsidRPr="00E20029">
        <w:rPr>
          <w:rFonts w:ascii="Times New Roman" w:hAnsi="Times New Roman" w:cs="Times New Roman"/>
          <w:sz w:val="24"/>
          <w:szCs w:val="24"/>
        </w:rPr>
        <w:t>'</w:t>
      </w:r>
      <w:r w:rsidR="007E5AFF" w:rsidRPr="00017A98">
        <w:rPr>
          <w:rFonts w:ascii="Times New Roman" w:hAnsi="Times New Roman" w:cs="Times New Roman"/>
          <w:sz w:val="24"/>
          <w:szCs w:val="24"/>
        </w:rPr>
        <w:t>s largest producer of LNG.</w:t>
      </w:r>
      <w:r w:rsidR="007E5AFF" w:rsidRPr="00017A98">
        <w:rPr>
          <w:rFonts w:ascii="Times New Roman" w:hAnsi="Times New Roman" w:cs="Times New Roman"/>
          <w:sz w:val="24"/>
          <w:szCs w:val="24"/>
          <w:vertAlign w:val="superscript"/>
        </w:rPr>
        <w:footnoteReference w:id="51"/>
      </w:r>
      <w:r w:rsidR="007E5AFF">
        <w:rPr>
          <w:rFonts w:ascii="Times New Roman" w:hAnsi="Times New Roman" w:cs="Times New Roman"/>
          <w:sz w:val="24"/>
          <w:szCs w:val="24"/>
        </w:rPr>
        <w:t xml:space="preserve"> </w:t>
      </w:r>
      <w:r w:rsidR="007E5AFF" w:rsidRPr="005C1804">
        <w:rPr>
          <w:rFonts w:ascii="Times New Roman" w:hAnsi="Times New Roman" w:cs="Times New Roman"/>
          <w:sz w:val="24"/>
          <w:szCs w:val="24"/>
        </w:rPr>
        <w:t xml:space="preserve">Qatargas </w:t>
      </w:r>
      <w:r w:rsidR="007E5AFF" w:rsidRPr="00350F27">
        <w:rPr>
          <w:rFonts w:ascii="Times New Roman" w:hAnsi="Times New Roman" w:cs="Times New Roman"/>
          <w:sz w:val="24"/>
          <w:szCs w:val="24"/>
        </w:rPr>
        <w:t>operates 14 LNG trains with a total annual production capacity of 77 million tonnes</w:t>
      </w:r>
      <w:r w:rsidR="007E5AFF">
        <w:rPr>
          <w:rFonts w:ascii="Times New Roman" w:hAnsi="Times New Roman" w:cs="Times New Roman"/>
          <w:sz w:val="24"/>
          <w:szCs w:val="24"/>
        </w:rPr>
        <w:t>.</w:t>
      </w:r>
      <w:r w:rsidR="007E5AFF" w:rsidRPr="00D218C8">
        <w:rPr>
          <w:rFonts w:ascii="Times New Roman" w:hAnsi="Times New Roman" w:cs="Times New Roman"/>
          <w:sz w:val="24"/>
          <w:szCs w:val="24"/>
        </w:rPr>
        <w:t xml:space="preserve"> </w:t>
      </w:r>
      <w:r w:rsidR="007E5AFF" w:rsidRPr="005C1804">
        <w:rPr>
          <w:rFonts w:ascii="Times New Roman" w:hAnsi="Times New Roman" w:cs="Times New Roman"/>
          <w:sz w:val="24"/>
          <w:szCs w:val="24"/>
        </w:rPr>
        <w:t xml:space="preserve">The LNG industry in Qatar has been financed almost </w:t>
      </w:r>
      <w:r w:rsidR="007E5AFF">
        <w:rPr>
          <w:rFonts w:ascii="Times New Roman" w:hAnsi="Times New Roman" w:cs="Times New Roman"/>
          <w:sz w:val="24"/>
          <w:szCs w:val="24"/>
        </w:rPr>
        <w:t>by</w:t>
      </w:r>
      <w:r w:rsidR="007E5AFF" w:rsidRPr="005C1804">
        <w:rPr>
          <w:rFonts w:ascii="Times New Roman" w:hAnsi="Times New Roman" w:cs="Times New Roman"/>
          <w:sz w:val="24"/>
          <w:szCs w:val="24"/>
        </w:rPr>
        <w:t xml:space="preserve"> using project finance</w:t>
      </w:r>
      <w:r w:rsidR="007E5AFF">
        <w:rPr>
          <w:rFonts w:ascii="Times New Roman" w:hAnsi="Times New Roman" w:cs="Times New Roman"/>
          <w:sz w:val="24"/>
          <w:szCs w:val="24"/>
        </w:rPr>
        <w:t>, p</w:t>
      </w:r>
      <w:r w:rsidR="007E5AFF" w:rsidRPr="005C1804">
        <w:rPr>
          <w:rFonts w:ascii="Times New Roman" w:hAnsi="Times New Roman" w:cs="Times New Roman"/>
          <w:sz w:val="24"/>
          <w:szCs w:val="24"/>
        </w:rPr>
        <w:t xml:space="preserve">roject finance debt of </w:t>
      </w:r>
      <w:r w:rsidR="007E5AFF">
        <w:rPr>
          <w:rFonts w:ascii="Times New Roman" w:hAnsi="Times New Roman" w:cs="Times New Roman"/>
          <w:sz w:val="24"/>
          <w:szCs w:val="24"/>
        </w:rPr>
        <w:t>about</w:t>
      </w:r>
      <w:r w:rsidR="007E5AFF" w:rsidRPr="005C1804">
        <w:rPr>
          <w:rFonts w:ascii="Times New Roman" w:hAnsi="Times New Roman" w:cs="Times New Roman"/>
          <w:sz w:val="24"/>
          <w:szCs w:val="24"/>
        </w:rPr>
        <w:t xml:space="preserve"> $</w:t>
      </w:r>
      <w:r w:rsidR="007E5AFF">
        <w:rPr>
          <w:rFonts w:ascii="Times New Roman" w:hAnsi="Times New Roman" w:cs="Times New Roman"/>
          <w:sz w:val="24"/>
          <w:szCs w:val="24"/>
        </w:rPr>
        <w:t>14</w:t>
      </w:r>
      <w:r w:rsidR="007E5AFF" w:rsidRPr="005C1804">
        <w:rPr>
          <w:rFonts w:ascii="Times New Roman" w:hAnsi="Times New Roman" w:cs="Times New Roman"/>
          <w:sz w:val="24"/>
          <w:szCs w:val="24"/>
        </w:rPr>
        <w:t xml:space="preserve"> </w:t>
      </w:r>
      <w:r w:rsidR="007E5AFF">
        <w:rPr>
          <w:rFonts w:ascii="Times New Roman" w:hAnsi="Times New Roman" w:cs="Times New Roman"/>
          <w:sz w:val="24"/>
          <w:szCs w:val="24"/>
        </w:rPr>
        <w:t>bn</w:t>
      </w:r>
      <w:r w:rsidR="007E5AFF" w:rsidRPr="005C1804">
        <w:rPr>
          <w:rFonts w:ascii="Times New Roman" w:hAnsi="Times New Roman" w:cs="Times New Roman"/>
          <w:sz w:val="24"/>
          <w:szCs w:val="24"/>
        </w:rPr>
        <w:t xml:space="preserve"> has been successfully raised from a variety of sources for </w:t>
      </w:r>
      <w:r w:rsidR="007E5AFF">
        <w:rPr>
          <w:rFonts w:ascii="Times New Roman" w:hAnsi="Times New Roman" w:cs="Times New Roman"/>
          <w:sz w:val="24"/>
          <w:szCs w:val="24"/>
        </w:rPr>
        <w:t xml:space="preserve">Qatargas </w:t>
      </w:r>
      <w:r w:rsidR="007E5AFF" w:rsidRPr="00017A98">
        <w:rPr>
          <w:rFonts w:ascii="Times New Roman" w:hAnsi="Times New Roman" w:cs="Times New Roman"/>
          <w:sz w:val="24"/>
          <w:szCs w:val="24"/>
        </w:rPr>
        <w:t xml:space="preserve">and </w:t>
      </w:r>
      <w:r w:rsidR="007E5AFF" w:rsidRPr="00017A98">
        <w:rPr>
          <w:rFonts w:ascii="Times New Roman" w:hAnsi="Times New Roman" w:cs="Times New Roman"/>
          <w:sz w:val="24"/>
          <w:szCs w:val="24"/>
        </w:rPr>
        <w:lastRenderedPageBreak/>
        <w:t>Ras</w:t>
      </w:r>
      <w:r w:rsidR="007E5AFF">
        <w:rPr>
          <w:rFonts w:ascii="Times New Roman" w:hAnsi="Times New Roman" w:cs="Times New Roman"/>
          <w:sz w:val="24"/>
          <w:szCs w:val="24"/>
        </w:rPr>
        <w:t>g</w:t>
      </w:r>
      <w:r w:rsidR="007E5AFF" w:rsidRPr="00017A98">
        <w:rPr>
          <w:rFonts w:ascii="Times New Roman" w:hAnsi="Times New Roman" w:cs="Times New Roman"/>
          <w:sz w:val="24"/>
          <w:szCs w:val="24"/>
        </w:rPr>
        <w:t>as</w:t>
      </w:r>
      <w:r w:rsidR="007E5AFF">
        <w:rPr>
          <w:rFonts w:ascii="Times New Roman" w:hAnsi="Times New Roman" w:cs="Times New Roman"/>
          <w:sz w:val="24"/>
          <w:szCs w:val="24"/>
        </w:rPr>
        <w:t>. Moreover, hosting international events, such as the FIFA 2022 World Cup, increases the demand for infrastructure and facilities.</w:t>
      </w:r>
    </w:p>
    <w:p w14:paraId="5074888F" w14:textId="14F9B822" w:rsidR="000A4432" w:rsidRPr="007E5AFF" w:rsidRDefault="0084301A" w:rsidP="009504F3">
      <w:pPr>
        <w:spacing w:before="240" w:after="0" w:line="360" w:lineRule="auto"/>
        <w:jc w:val="right"/>
        <w:rPr>
          <w:rFonts w:ascii="Times New Roman" w:hAnsi="Times New Roman" w:cs="Times New Roman"/>
          <w:i/>
          <w:iCs/>
          <w:sz w:val="24"/>
          <w:szCs w:val="24"/>
        </w:rPr>
      </w:pPr>
      <w:r w:rsidRPr="007E5AFF">
        <w:rPr>
          <w:rFonts w:ascii="Times New Roman" w:hAnsi="Times New Roman" w:cs="Times New Roman"/>
          <w:i/>
          <w:iCs/>
          <w:sz w:val="24"/>
          <w:szCs w:val="24"/>
        </w:rPr>
        <w:t xml:space="preserve">Table </w:t>
      </w:r>
      <w:r w:rsidR="007E5AFF" w:rsidRPr="007E5AFF">
        <w:rPr>
          <w:rFonts w:ascii="Times New Roman" w:hAnsi="Times New Roman" w:cs="Times New Roman"/>
          <w:i/>
          <w:iCs/>
          <w:sz w:val="24"/>
          <w:szCs w:val="24"/>
        </w:rPr>
        <w:t>2.7</w:t>
      </w:r>
    </w:p>
    <w:p w14:paraId="6D497894" w14:textId="62C8B009" w:rsidR="0084301A" w:rsidRPr="009504F3" w:rsidRDefault="00261542" w:rsidP="007E5AFF">
      <w:pPr>
        <w:spacing w:line="360" w:lineRule="auto"/>
        <w:jc w:val="center"/>
        <w:rPr>
          <w:rFonts w:ascii="Times New Roman" w:hAnsi="Times New Roman" w:cs="Times New Roman"/>
          <w:sz w:val="24"/>
          <w:szCs w:val="24"/>
        </w:rPr>
      </w:pPr>
      <w:r w:rsidRPr="009504F3">
        <w:rPr>
          <w:rFonts w:ascii="Times New Roman" w:hAnsi="Times New Roman" w:cs="Times New Roman"/>
          <w:sz w:val="24"/>
          <w:szCs w:val="24"/>
        </w:rPr>
        <w:t>Number of p</w:t>
      </w:r>
      <w:r w:rsidR="0084301A" w:rsidRPr="009504F3">
        <w:rPr>
          <w:rFonts w:ascii="Times New Roman" w:hAnsi="Times New Roman" w:cs="Times New Roman"/>
          <w:sz w:val="24"/>
          <w:szCs w:val="24"/>
        </w:rPr>
        <w:t>roject</w:t>
      </w:r>
      <w:r w:rsidRPr="009504F3">
        <w:rPr>
          <w:rFonts w:ascii="Times New Roman" w:hAnsi="Times New Roman" w:cs="Times New Roman"/>
          <w:sz w:val="24"/>
          <w:szCs w:val="24"/>
        </w:rPr>
        <w:t>s</w:t>
      </w:r>
      <w:r w:rsidR="0084301A" w:rsidRPr="009504F3">
        <w:rPr>
          <w:rFonts w:ascii="Times New Roman" w:hAnsi="Times New Roman" w:cs="Times New Roman"/>
          <w:sz w:val="24"/>
          <w:szCs w:val="24"/>
        </w:rPr>
        <w:t xml:space="preserve"> by </w:t>
      </w:r>
      <w:r w:rsidRPr="009504F3">
        <w:rPr>
          <w:rFonts w:ascii="Times New Roman" w:hAnsi="Times New Roman" w:cs="Times New Roman"/>
          <w:sz w:val="24"/>
          <w:szCs w:val="24"/>
        </w:rPr>
        <w:t>i</w:t>
      </w:r>
      <w:r w:rsidR="0084301A" w:rsidRPr="009504F3">
        <w:rPr>
          <w:rFonts w:ascii="Times New Roman" w:hAnsi="Times New Roman" w:cs="Times New Roman"/>
          <w:sz w:val="24"/>
          <w:szCs w:val="24"/>
        </w:rPr>
        <w:t>ndustr</w:t>
      </w:r>
      <w:r w:rsidRPr="009504F3">
        <w:rPr>
          <w:rFonts w:ascii="Times New Roman" w:hAnsi="Times New Roman" w:cs="Times New Roman"/>
          <w:sz w:val="24"/>
          <w:szCs w:val="24"/>
        </w:rPr>
        <w:t>y</w:t>
      </w:r>
      <w:r w:rsidR="0084301A" w:rsidRPr="009504F3">
        <w:rPr>
          <w:rFonts w:ascii="Times New Roman" w:hAnsi="Times New Roman" w:cs="Times New Roman"/>
          <w:sz w:val="24"/>
          <w:szCs w:val="24"/>
        </w:rPr>
        <w:t xml:space="preserve"> and </w:t>
      </w:r>
      <w:r w:rsidRPr="009504F3">
        <w:rPr>
          <w:rFonts w:ascii="Times New Roman" w:hAnsi="Times New Roman" w:cs="Times New Roman"/>
          <w:sz w:val="24"/>
          <w:szCs w:val="24"/>
        </w:rPr>
        <w:t>c</w:t>
      </w:r>
      <w:r w:rsidR="0084301A" w:rsidRPr="009504F3">
        <w:rPr>
          <w:rFonts w:ascii="Times New Roman" w:hAnsi="Times New Roman" w:cs="Times New Roman"/>
          <w:sz w:val="24"/>
          <w:szCs w:val="24"/>
        </w:rPr>
        <w:t>ountry between 1995 to 2018</w:t>
      </w:r>
      <w:r w:rsidRPr="009504F3">
        <w:rPr>
          <w:rFonts w:ascii="Times New Roman" w:hAnsi="Times New Roman" w:cs="Times New Roman"/>
          <w:sz w:val="24"/>
          <w:szCs w:val="24"/>
        </w:rPr>
        <w:br/>
        <w:t>(Size in $ bn / number of financed projects)</w:t>
      </w:r>
    </w:p>
    <w:tbl>
      <w:tblPr>
        <w:tblW w:w="9595" w:type="dxa"/>
        <w:tblLayout w:type="fixed"/>
        <w:tblCellMar>
          <w:left w:w="10" w:type="dxa"/>
          <w:right w:w="10" w:type="dxa"/>
        </w:tblCellMar>
        <w:tblLook w:val="0000" w:firstRow="0" w:lastRow="0" w:firstColumn="0" w:lastColumn="0" w:noHBand="0" w:noVBand="0"/>
      </w:tblPr>
      <w:tblGrid>
        <w:gridCol w:w="1804"/>
        <w:gridCol w:w="1141"/>
        <w:gridCol w:w="1098"/>
        <w:gridCol w:w="1089"/>
        <w:gridCol w:w="1047"/>
        <w:gridCol w:w="952"/>
        <w:gridCol w:w="1051"/>
        <w:gridCol w:w="1413"/>
      </w:tblGrid>
      <w:tr w:rsidR="007E5AFF" w14:paraId="4D75F76D" w14:textId="77777777" w:rsidTr="007E5AFF">
        <w:trPr>
          <w:trHeight w:val="649"/>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BA2" w14:textId="4C916502" w:rsidR="00DD236E" w:rsidRPr="009504F3" w:rsidRDefault="00F470B6" w:rsidP="007E5AFF">
            <w:pPr>
              <w:spacing w:after="0" w:line="240" w:lineRule="auto"/>
              <w:jc w:val="center"/>
              <w:rPr>
                <w:rFonts w:asciiTheme="majorBidi" w:hAnsiTheme="majorBidi" w:cstheme="majorBidi"/>
                <w:b/>
                <w:bCs/>
                <w:color w:val="000000"/>
                <w:sz w:val="20"/>
                <w:szCs w:val="20"/>
                <w:lang w:val="en-US"/>
              </w:rPr>
            </w:pPr>
            <w:r>
              <w:rPr>
                <w:rFonts w:asciiTheme="majorBidi" w:hAnsiTheme="majorBidi" w:cstheme="majorBidi"/>
                <w:b/>
                <w:bCs/>
                <w:color w:val="000000"/>
                <w:sz w:val="20"/>
                <w:szCs w:val="20"/>
                <w:lang w:val="en-US"/>
              </w:rPr>
              <w:t>Sector</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05D00"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Saudi Arabia</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C7B34"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Qatar</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F4830"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 xml:space="preserve">UAE </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15285"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Oman</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7A68A"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Kuwait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CB71B"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Bahrain</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79386A"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Total size and # of Projects</w:t>
            </w:r>
          </w:p>
        </w:tc>
      </w:tr>
      <w:tr w:rsidR="007E5AFF" w14:paraId="166EB2A9" w14:textId="77777777" w:rsidTr="007E5AFF">
        <w:trPr>
          <w:trHeight w:val="701"/>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1DDED"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Utilities (Power &amp; Water)</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91F4" w14:textId="77777777" w:rsidR="00DD236E" w:rsidRPr="009504F3" w:rsidRDefault="00DD236E" w:rsidP="007E5AFF">
            <w:pPr>
              <w:spacing w:after="0" w:line="240" w:lineRule="auto"/>
              <w:jc w:val="center"/>
              <w:rPr>
                <w:rFonts w:asciiTheme="majorBidi" w:hAnsiTheme="majorBidi" w:cstheme="majorBidi"/>
                <w:sz w:val="20"/>
                <w:szCs w:val="20"/>
              </w:rPr>
            </w:pPr>
            <w:r w:rsidRPr="009504F3">
              <w:rPr>
                <w:rFonts w:asciiTheme="majorBidi" w:hAnsiTheme="majorBidi" w:cstheme="majorBidi"/>
                <w:color w:val="000000"/>
                <w:sz w:val="20"/>
                <w:szCs w:val="20"/>
              </w:rPr>
              <w:t>21082 / 16</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B3B13" w14:textId="77777777" w:rsidR="00DD236E" w:rsidRPr="009504F3" w:rsidRDefault="00DD236E" w:rsidP="007E5AFF">
            <w:pPr>
              <w:spacing w:after="0" w:line="240" w:lineRule="auto"/>
              <w:jc w:val="center"/>
              <w:rPr>
                <w:rFonts w:asciiTheme="majorBidi" w:hAnsiTheme="majorBidi" w:cstheme="majorBidi"/>
                <w:sz w:val="20"/>
                <w:szCs w:val="20"/>
              </w:rPr>
            </w:pPr>
            <w:r w:rsidRPr="009504F3">
              <w:rPr>
                <w:rFonts w:asciiTheme="majorBidi" w:hAnsiTheme="majorBidi" w:cstheme="majorBidi"/>
                <w:color w:val="000000"/>
                <w:sz w:val="20"/>
                <w:szCs w:val="20"/>
              </w:rPr>
              <w:t>8376 / 7</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5FE13" w14:textId="7BF5D9FC" w:rsidR="00DD236E" w:rsidRPr="009504F3" w:rsidRDefault="00DD236E" w:rsidP="007E5AFF">
            <w:pPr>
              <w:spacing w:after="0" w:line="240" w:lineRule="auto"/>
              <w:jc w:val="center"/>
              <w:rPr>
                <w:rFonts w:asciiTheme="majorBidi" w:hAnsiTheme="majorBidi" w:cstheme="majorBidi"/>
                <w:sz w:val="19"/>
                <w:szCs w:val="19"/>
              </w:rPr>
            </w:pPr>
            <w:r w:rsidRPr="009504F3">
              <w:rPr>
                <w:rFonts w:asciiTheme="majorBidi" w:hAnsiTheme="majorBidi" w:cstheme="majorBidi"/>
                <w:color w:val="000000"/>
                <w:sz w:val="19"/>
                <w:szCs w:val="19"/>
              </w:rPr>
              <w:t>2</w:t>
            </w:r>
            <w:r w:rsidR="00962F5D">
              <w:rPr>
                <w:rFonts w:asciiTheme="majorBidi" w:hAnsiTheme="majorBidi" w:cstheme="majorBidi"/>
                <w:color w:val="000000"/>
                <w:sz w:val="19"/>
                <w:szCs w:val="19"/>
              </w:rPr>
              <w:t>6995</w:t>
            </w:r>
            <w:r w:rsidRPr="009504F3">
              <w:rPr>
                <w:rFonts w:asciiTheme="majorBidi" w:hAnsiTheme="majorBidi" w:cstheme="majorBidi"/>
                <w:color w:val="000000"/>
                <w:sz w:val="19"/>
                <w:szCs w:val="19"/>
              </w:rPr>
              <w:t xml:space="preserve"> / 23</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10542" w14:textId="37B00187" w:rsidR="00DD236E" w:rsidRPr="009504F3" w:rsidRDefault="00A60E68" w:rsidP="007E5AFF">
            <w:pPr>
              <w:spacing w:after="0" w:line="240" w:lineRule="auto"/>
              <w:jc w:val="center"/>
              <w:rPr>
                <w:rFonts w:asciiTheme="majorBidi" w:hAnsiTheme="majorBidi" w:cstheme="majorBidi"/>
                <w:sz w:val="20"/>
                <w:szCs w:val="20"/>
              </w:rPr>
            </w:pPr>
            <w:r>
              <w:rPr>
                <w:rFonts w:asciiTheme="majorBidi" w:hAnsiTheme="majorBidi" w:cstheme="majorBidi"/>
                <w:color w:val="000000"/>
                <w:sz w:val="20"/>
                <w:szCs w:val="20"/>
              </w:rPr>
              <w:t>8797</w:t>
            </w:r>
            <w:r w:rsidR="00DD236E" w:rsidRPr="009504F3">
              <w:rPr>
                <w:rFonts w:asciiTheme="majorBidi" w:hAnsiTheme="majorBidi" w:cstheme="majorBidi"/>
                <w:color w:val="000000"/>
                <w:sz w:val="20"/>
                <w:szCs w:val="20"/>
              </w:rPr>
              <w:t xml:space="preserve"> / </w:t>
            </w:r>
            <w:r w:rsidR="00962F5D">
              <w:rPr>
                <w:rFonts w:asciiTheme="majorBidi" w:hAnsiTheme="majorBidi" w:cstheme="majorBidi"/>
                <w:color w:val="000000"/>
                <w:sz w:val="20"/>
                <w:szCs w:val="20"/>
              </w:rPr>
              <w:t>20</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36D3F" w14:textId="77777777" w:rsidR="00DD236E" w:rsidRPr="009504F3" w:rsidRDefault="00DD236E" w:rsidP="007E5AFF">
            <w:pPr>
              <w:spacing w:after="0" w:line="240" w:lineRule="auto"/>
              <w:jc w:val="center"/>
              <w:rPr>
                <w:rFonts w:asciiTheme="majorBidi" w:hAnsiTheme="majorBidi" w:cstheme="majorBidi"/>
                <w:sz w:val="20"/>
                <w:szCs w:val="20"/>
              </w:rPr>
            </w:pPr>
            <w:r w:rsidRPr="009504F3">
              <w:rPr>
                <w:rFonts w:asciiTheme="majorBidi" w:hAnsiTheme="majorBidi" w:cstheme="majorBidi"/>
                <w:color w:val="000000"/>
                <w:sz w:val="20"/>
                <w:szCs w:val="20"/>
              </w:rPr>
              <w:t>2196 / 3</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2F389" w14:textId="379949FF" w:rsidR="00DD236E" w:rsidRPr="009504F3" w:rsidRDefault="00DD236E" w:rsidP="007E5AFF">
            <w:pPr>
              <w:spacing w:after="0" w:line="240" w:lineRule="auto"/>
              <w:jc w:val="center"/>
              <w:rPr>
                <w:rFonts w:asciiTheme="majorBidi" w:hAnsiTheme="majorBidi" w:cstheme="majorBidi"/>
                <w:sz w:val="20"/>
                <w:szCs w:val="20"/>
              </w:rPr>
            </w:pPr>
            <w:r w:rsidRPr="009504F3">
              <w:rPr>
                <w:rFonts w:asciiTheme="majorBidi" w:hAnsiTheme="majorBidi" w:cstheme="majorBidi"/>
                <w:color w:val="000000"/>
                <w:sz w:val="20"/>
                <w:szCs w:val="20"/>
              </w:rPr>
              <w:t>524</w:t>
            </w:r>
            <w:r w:rsidR="00A60E68">
              <w:rPr>
                <w:rFonts w:asciiTheme="majorBidi" w:hAnsiTheme="majorBidi" w:cstheme="majorBidi"/>
                <w:color w:val="000000"/>
                <w:sz w:val="20"/>
                <w:szCs w:val="20"/>
              </w:rPr>
              <w:t>4</w:t>
            </w:r>
            <w:r w:rsidRPr="009504F3">
              <w:rPr>
                <w:rFonts w:asciiTheme="majorBidi" w:hAnsiTheme="majorBidi" w:cstheme="majorBidi"/>
                <w:color w:val="000000"/>
                <w:sz w:val="20"/>
                <w:szCs w:val="20"/>
              </w:rPr>
              <w:t xml:space="preserve"> / 6</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5AD1B" w14:textId="484989DE" w:rsidR="00DD236E" w:rsidRPr="009504F3" w:rsidRDefault="00A60E68" w:rsidP="007E5AFF">
            <w:pPr>
              <w:spacing w:after="0" w:line="240" w:lineRule="auto"/>
              <w:jc w:val="center"/>
              <w:rPr>
                <w:rFonts w:asciiTheme="majorBidi" w:hAnsiTheme="majorBidi" w:cstheme="majorBidi"/>
                <w:sz w:val="20"/>
                <w:szCs w:val="20"/>
              </w:rPr>
            </w:pPr>
            <w:r>
              <w:rPr>
                <w:rFonts w:asciiTheme="majorBidi" w:hAnsiTheme="majorBidi" w:cstheme="majorBidi"/>
                <w:b/>
                <w:bCs/>
                <w:color w:val="000000"/>
                <w:sz w:val="20"/>
                <w:szCs w:val="20"/>
              </w:rPr>
              <w:t>72689</w:t>
            </w:r>
            <w:r w:rsidR="00DD236E" w:rsidRPr="009504F3">
              <w:rPr>
                <w:rFonts w:asciiTheme="majorBidi" w:hAnsiTheme="majorBidi" w:cstheme="majorBidi"/>
                <w:b/>
                <w:bCs/>
                <w:color w:val="000000"/>
                <w:sz w:val="20"/>
                <w:szCs w:val="20"/>
              </w:rPr>
              <w:t xml:space="preserve"> / 7</w:t>
            </w:r>
            <w:r>
              <w:rPr>
                <w:rFonts w:asciiTheme="majorBidi" w:hAnsiTheme="majorBidi" w:cstheme="majorBidi"/>
                <w:b/>
                <w:bCs/>
                <w:color w:val="000000"/>
                <w:sz w:val="20"/>
                <w:szCs w:val="20"/>
              </w:rPr>
              <w:t>5</w:t>
            </w:r>
          </w:p>
        </w:tc>
      </w:tr>
      <w:tr w:rsidR="007E5AFF" w14:paraId="0BEC998F" w14:textId="77777777" w:rsidTr="007E5AFF">
        <w:trPr>
          <w:trHeight w:val="413"/>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8CCAC" w14:textId="68985015" w:rsidR="00A92EC3" w:rsidRPr="009504F3" w:rsidRDefault="00A92EC3"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Oil &amp; Gas</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09CB4" w14:textId="364528DF"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14</w:t>
            </w:r>
            <w:r>
              <w:rPr>
                <w:rFonts w:asciiTheme="majorBidi" w:hAnsiTheme="majorBidi" w:cstheme="majorBidi"/>
                <w:color w:val="000000"/>
                <w:sz w:val="20"/>
                <w:szCs w:val="20"/>
                <w:lang w:val="en-US"/>
              </w:rPr>
              <w:t>4</w:t>
            </w:r>
            <w:r w:rsidRPr="009504F3">
              <w:rPr>
                <w:rFonts w:asciiTheme="majorBidi" w:hAnsiTheme="majorBidi" w:cstheme="majorBidi"/>
                <w:color w:val="000000"/>
                <w:sz w:val="20"/>
                <w:szCs w:val="20"/>
                <w:lang w:val="en-US"/>
              </w:rPr>
              <w:t>3</w:t>
            </w:r>
            <w:r>
              <w:rPr>
                <w:rFonts w:asciiTheme="majorBidi" w:hAnsiTheme="majorBidi" w:cstheme="majorBidi"/>
                <w:color w:val="000000"/>
                <w:sz w:val="20"/>
                <w:szCs w:val="20"/>
                <w:lang w:val="en-US"/>
              </w:rPr>
              <w:t>0</w:t>
            </w:r>
            <w:r w:rsidRPr="009504F3">
              <w:rPr>
                <w:rFonts w:asciiTheme="majorBidi" w:hAnsiTheme="majorBidi" w:cstheme="majorBidi"/>
                <w:color w:val="000000"/>
                <w:sz w:val="20"/>
                <w:szCs w:val="20"/>
                <w:lang w:val="en-US"/>
              </w:rPr>
              <w:t xml:space="preserve"> / </w:t>
            </w:r>
            <w:r>
              <w:rPr>
                <w:rFonts w:asciiTheme="majorBidi" w:hAnsiTheme="majorBidi" w:cstheme="majorBidi"/>
                <w:color w:val="000000"/>
                <w:sz w:val="20"/>
                <w:szCs w:val="20"/>
                <w:lang w:val="en-US"/>
              </w:rPr>
              <w:t>6</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88467" w14:textId="163DB46D" w:rsidR="00A92EC3" w:rsidRPr="009504F3" w:rsidRDefault="00A92EC3" w:rsidP="007E5AFF">
            <w:pPr>
              <w:spacing w:after="0" w:line="240" w:lineRule="auto"/>
              <w:jc w:val="center"/>
              <w:rPr>
                <w:rFonts w:asciiTheme="majorBidi" w:hAnsiTheme="majorBidi" w:cstheme="majorBidi"/>
                <w:color w:val="000000"/>
                <w:sz w:val="20"/>
                <w:szCs w:val="20"/>
                <w:lang w:val="en-US"/>
              </w:rPr>
            </w:pPr>
            <w:r>
              <w:rPr>
                <w:rFonts w:asciiTheme="majorBidi" w:hAnsiTheme="majorBidi" w:cstheme="majorBidi"/>
                <w:color w:val="000000"/>
                <w:sz w:val="19"/>
                <w:szCs w:val="19"/>
              </w:rPr>
              <w:t>25342</w:t>
            </w:r>
            <w:r w:rsidRPr="009504F3">
              <w:rPr>
                <w:rFonts w:asciiTheme="majorBidi" w:hAnsiTheme="majorBidi" w:cstheme="majorBidi"/>
                <w:color w:val="000000"/>
                <w:sz w:val="19"/>
                <w:szCs w:val="19"/>
              </w:rPr>
              <w:t xml:space="preserve"> / 11</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C232F" w14:textId="583F8307"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3</w:t>
            </w:r>
            <w:r>
              <w:rPr>
                <w:rFonts w:asciiTheme="majorBidi" w:hAnsiTheme="majorBidi" w:cstheme="majorBidi"/>
                <w:color w:val="000000"/>
                <w:sz w:val="20"/>
                <w:szCs w:val="20"/>
                <w:lang w:val="en-US"/>
              </w:rPr>
              <w:t>411</w:t>
            </w:r>
            <w:r w:rsidRPr="009504F3">
              <w:rPr>
                <w:rFonts w:asciiTheme="majorBidi" w:hAnsiTheme="majorBidi" w:cstheme="majorBidi"/>
                <w:color w:val="000000"/>
                <w:sz w:val="20"/>
                <w:szCs w:val="20"/>
                <w:lang w:val="en-US"/>
              </w:rPr>
              <w:t xml:space="preserve"> / </w:t>
            </w:r>
            <w:r>
              <w:rPr>
                <w:rFonts w:asciiTheme="majorBidi" w:hAnsiTheme="majorBidi" w:cstheme="majorBidi"/>
                <w:color w:val="000000"/>
                <w:sz w:val="20"/>
                <w:szCs w:val="20"/>
                <w:lang w:val="en-US"/>
              </w:rPr>
              <w:t>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E8BA7" w14:textId="17927DAF" w:rsidR="00A92EC3" w:rsidRPr="009504F3" w:rsidRDefault="00A92EC3" w:rsidP="007E5AFF">
            <w:pPr>
              <w:spacing w:after="0" w:line="240" w:lineRule="auto"/>
              <w:jc w:val="center"/>
              <w:rPr>
                <w:rFonts w:asciiTheme="majorBidi" w:hAnsiTheme="majorBidi" w:cstheme="majorBidi"/>
                <w:color w:val="000000"/>
                <w:sz w:val="20"/>
                <w:szCs w:val="20"/>
                <w:lang w:val="en-US"/>
              </w:rPr>
            </w:pPr>
            <w:r>
              <w:rPr>
                <w:rFonts w:asciiTheme="majorBidi" w:hAnsiTheme="majorBidi" w:cstheme="majorBidi"/>
                <w:color w:val="000000"/>
                <w:sz w:val="18"/>
                <w:szCs w:val="18"/>
              </w:rPr>
              <w:t>20161</w:t>
            </w:r>
            <w:r w:rsidRPr="00462341">
              <w:rPr>
                <w:rFonts w:asciiTheme="majorBidi" w:hAnsiTheme="majorBidi" w:cstheme="majorBidi"/>
                <w:color w:val="000000"/>
                <w:sz w:val="18"/>
                <w:szCs w:val="18"/>
              </w:rPr>
              <w:t xml:space="preserve"> / </w:t>
            </w:r>
            <w:r>
              <w:rPr>
                <w:rFonts w:asciiTheme="majorBidi" w:hAnsiTheme="majorBidi" w:cstheme="majorBidi"/>
                <w:color w:val="000000"/>
                <w:sz w:val="18"/>
                <w:szCs w:val="18"/>
              </w:rPr>
              <w:t>17</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06DBE" w14:textId="69EC69C1"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4212 / 2</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EF766" w14:textId="2DA20062"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1591 / 2</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5FB0B" w14:textId="3AF57F53" w:rsidR="00A92EC3" w:rsidRPr="009504F3" w:rsidRDefault="00A92EC3" w:rsidP="007E5AFF">
            <w:pPr>
              <w:spacing w:after="0" w:line="240" w:lineRule="auto"/>
              <w:jc w:val="center"/>
              <w:rPr>
                <w:rFonts w:asciiTheme="majorBidi" w:hAnsiTheme="majorBidi" w:cstheme="majorBidi"/>
                <w:sz w:val="20"/>
                <w:szCs w:val="20"/>
              </w:rPr>
            </w:pPr>
            <w:r>
              <w:rPr>
                <w:rFonts w:asciiTheme="majorBidi" w:hAnsiTheme="majorBidi" w:cstheme="majorBidi"/>
                <w:b/>
                <w:bCs/>
                <w:color w:val="000000"/>
                <w:sz w:val="20"/>
                <w:szCs w:val="20"/>
              </w:rPr>
              <w:t>69147</w:t>
            </w:r>
            <w:r w:rsidRPr="009504F3">
              <w:rPr>
                <w:rFonts w:asciiTheme="majorBidi" w:hAnsiTheme="majorBidi" w:cstheme="majorBidi"/>
                <w:b/>
                <w:bCs/>
                <w:color w:val="000000"/>
                <w:sz w:val="20"/>
                <w:szCs w:val="20"/>
              </w:rPr>
              <w:t xml:space="preserve"> / 4</w:t>
            </w:r>
            <w:r>
              <w:rPr>
                <w:rFonts w:asciiTheme="majorBidi" w:hAnsiTheme="majorBidi" w:cstheme="majorBidi"/>
                <w:b/>
                <w:bCs/>
                <w:color w:val="000000"/>
                <w:sz w:val="20"/>
                <w:szCs w:val="20"/>
              </w:rPr>
              <w:t>6</w:t>
            </w:r>
          </w:p>
        </w:tc>
      </w:tr>
      <w:tr w:rsidR="007E5AFF" w14:paraId="3FF8E1D1" w14:textId="77777777" w:rsidTr="007E5AFF">
        <w:trPr>
          <w:trHeight w:val="419"/>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87E13" w14:textId="7D6E8D10" w:rsidR="00A92EC3" w:rsidRPr="009504F3" w:rsidRDefault="00A92EC3"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Petrochemicals</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9567F" w14:textId="1526926E"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4</w:t>
            </w:r>
            <w:r>
              <w:rPr>
                <w:rFonts w:asciiTheme="majorBidi" w:hAnsiTheme="majorBidi" w:cstheme="majorBidi"/>
                <w:color w:val="000000"/>
                <w:sz w:val="20"/>
                <w:szCs w:val="20"/>
                <w:lang w:val="en-US"/>
              </w:rPr>
              <w:t>79</w:t>
            </w:r>
            <w:r w:rsidRPr="009504F3">
              <w:rPr>
                <w:rFonts w:asciiTheme="majorBidi" w:hAnsiTheme="majorBidi" w:cstheme="majorBidi"/>
                <w:color w:val="000000"/>
                <w:sz w:val="20"/>
                <w:szCs w:val="20"/>
                <w:lang w:val="en-US"/>
              </w:rPr>
              <w:t>56 / 2</w:t>
            </w:r>
            <w:r>
              <w:rPr>
                <w:rFonts w:asciiTheme="majorBidi" w:hAnsiTheme="majorBidi" w:cstheme="majorBidi"/>
                <w:color w:val="000000"/>
                <w:sz w:val="20"/>
                <w:szCs w:val="20"/>
                <w:lang w:val="en-US"/>
              </w:rPr>
              <w:t>7</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83DCD" w14:textId="03CC43EE" w:rsidR="00A92EC3" w:rsidRDefault="00A92EC3" w:rsidP="007E5AFF">
            <w:pPr>
              <w:spacing w:after="0" w:line="240" w:lineRule="auto"/>
              <w:jc w:val="center"/>
              <w:rPr>
                <w:rFonts w:asciiTheme="majorBidi" w:hAnsiTheme="majorBidi" w:cstheme="majorBidi"/>
                <w:color w:val="000000"/>
                <w:sz w:val="19"/>
                <w:szCs w:val="19"/>
              </w:rPr>
            </w:pPr>
            <w:r>
              <w:rPr>
                <w:rFonts w:asciiTheme="majorBidi" w:hAnsiTheme="majorBidi" w:cstheme="majorBidi"/>
                <w:color w:val="000000"/>
                <w:sz w:val="20"/>
                <w:szCs w:val="20"/>
                <w:lang w:val="en-US"/>
              </w:rPr>
              <w:t>6222</w:t>
            </w:r>
            <w:r w:rsidRPr="009504F3">
              <w:rPr>
                <w:rFonts w:asciiTheme="majorBidi" w:hAnsiTheme="majorBidi" w:cstheme="majorBidi"/>
                <w:color w:val="000000"/>
                <w:sz w:val="20"/>
                <w:szCs w:val="20"/>
                <w:lang w:val="en-US"/>
              </w:rPr>
              <w:t xml:space="preserve"> / 6</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7AF05" w14:textId="4E56BD41"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80 / 1</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252F2" w14:textId="70A73E80" w:rsidR="00A92EC3" w:rsidRDefault="00A92EC3" w:rsidP="007E5AFF">
            <w:pPr>
              <w:spacing w:after="0" w:line="240" w:lineRule="auto"/>
              <w:jc w:val="center"/>
              <w:rPr>
                <w:rFonts w:asciiTheme="majorBidi" w:hAnsiTheme="majorBidi" w:cstheme="majorBidi"/>
                <w:color w:val="000000"/>
                <w:sz w:val="18"/>
                <w:szCs w:val="18"/>
              </w:rPr>
            </w:pPr>
            <w:r w:rsidRPr="009504F3">
              <w:rPr>
                <w:rFonts w:asciiTheme="majorBidi" w:hAnsiTheme="majorBidi" w:cstheme="majorBidi"/>
                <w:color w:val="000000"/>
                <w:sz w:val="20"/>
                <w:szCs w:val="20"/>
                <w:lang w:val="en-US"/>
              </w:rPr>
              <w:t xml:space="preserve">6948 / </w:t>
            </w:r>
            <w:r>
              <w:rPr>
                <w:rFonts w:asciiTheme="majorBidi" w:hAnsiTheme="majorBidi" w:cstheme="majorBidi"/>
                <w:color w:val="000000"/>
                <w:sz w:val="20"/>
                <w:szCs w:val="20"/>
                <w:lang w:val="en-US"/>
              </w:rPr>
              <w:t>5</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4D8C5" w14:textId="5B15B72C"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7797 / 2</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CC2A8" w14:textId="6B210ACB" w:rsidR="00A92EC3" w:rsidRPr="009504F3" w:rsidRDefault="00A92EC3"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12</w:t>
            </w:r>
            <w:r>
              <w:rPr>
                <w:rFonts w:asciiTheme="majorBidi" w:hAnsiTheme="majorBidi" w:cstheme="majorBidi"/>
                <w:color w:val="000000"/>
                <w:sz w:val="20"/>
                <w:szCs w:val="20"/>
                <w:lang w:val="en-US"/>
              </w:rPr>
              <w:t>4</w:t>
            </w:r>
            <w:r w:rsidRPr="009504F3">
              <w:rPr>
                <w:rFonts w:asciiTheme="majorBidi" w:hAnsiTheme="majorBidi" w:cstheme="majorBidi"/>
                <w:color w:val="000000"/>
                <w:sz w:val="20"/>
                <w:szCs w:val="20"/>
                <w:lang w:val="en-US"/>
              </w:rPr>
              <w:t xml:space="preserve"> / 1</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44647" w14:textId="6DA7F897" w:rsidR="00A92EC3" w:rsidRDefault="00A92EC3" w:rsidP="007E5AFF">
            <w:pPr>
              <w:spacing w:after="0" w:line="240" w:lineRule="auto"/>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69126</w:t>
            </w:r>
            <w:r w:rsidRPr="009504F3">
              <w:rPr>
                <w:rFonts w:asciiTheme="majorBidi" w:hAnsiTheme="majorBidi" w:cstheme="majorBidi"/>
                <w:b/>
                <w:bCs/>
                <w:color w:val="000000"/>
                <w:sz w:val="20"/>
                <w:szCs w:val="20"/>
              </w:rPr>
              <w:t xml:space="preserve"> / 4</w:t>
            </w:r>
            <w:r>
              <w:rPr>
                <w:rFonts w:asciiTheme="majorBidi" w:hAnsiTheme="majorBidi" w:cstheme="majorBidi"/>
                <w:b/>
                <w:bCs/>
                <w:color w:val="000000"/>
                <w:sz w:val="20"/>
                <w:szCs w:val="20"/>
              </w:rPr>
              <w:t>2</w:t>
            </w:r>
          </w:p>
        </w:tc>
      </w:tr>
      <w:tr w:rsidR="007E5AFF" w14:paraId="00055F63" w14:textId="77777777" w:rsidTr="007E5AFF">
        <w:trPr>
          <w:trHeight w:val="413"/>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211A9"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Mining</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C7488" w14:textId="3787F29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1513</w:t>
            </w:r>
            <w:r w:rsidR="00A60E68">
              <w:rPr>
                <w:rFonts w:asciiTheme="majorBidi" w:hAnsiTheme="majorBidi" w:cstheme="majorBidi"/>
                <w:color w:val="000000"/>
                <w:sz w:val="20"/>
                <w:szCs w:val="20"/>
                <w:lang w:val="en-US"/>
              </w:rPr>
              <w:t>8</w:t>
            </w:r>
            <w:r w:rsidRPr="009504F3">
              <w:rPr>
                <w:rFonts w:asciiTheme="majorBidi" w:hAnsiTheme="majorBidi" w:cstheme="majorBidi"/>
                <w:color w:val="000000"/>
                <w:sz w:val="20"/>
                <w:szCs w:val="20"/>
                <w:lang w:val="en-US"/>
              </w:rPr>
              <w:t xml:space="preserve"> / </w:t>
            </w:r>
            <w:r w:rsidR="00962F5D">
              <w:rPr>
                <w:rFonts w:asciiTheme="majorBidi" w:hAnsiTheme="majorBidi" w:cstheme="majorBidi"/>
                <w:color w:val="000000"/>
                <w:sz w:val="20"/>
                <w:szCs w:val="20"/>
                <w:lang w:val="en-US"/>
              </w:rPr>
              <w:t>6</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F7439"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3309 / 2</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AA159"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14580 / 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CA9E1"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1545 / 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DC859"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BCD3B" w14:textId="1C663E6B"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 xml:space="preserve">5793 / </w:t>
            </w:r>
            <w:r w:rsidR="00A60E68">
              <w:rPr>
                <w:rFonts w:asciiTheme="majorBidi" w:hAnsiTheme="majorBidi" w:cstheme="majorBidi"/>
                <w:color w:val="000000"/>
                <w:sz w:val="20"/>
                <w:szCs w:val="20"/>
                <w:lang w:val="en-US"/>
              </w:rPr>
              <w:t>4</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D348A" w14:textId="69CD6D9E" w:rsidR="00DD236E" w:rsidRPr="009504F3" w:rsidRDefault="00DD236E" w:rsidP="007E5AFF">
            <w:pPr>
              <w:spacing w:after="0" w:line="240" w:lineRule="auto"/>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4036</w:t>
            </w:r>
            <w:r w:rsidR="00A60E68">
              <w:rPr>
                <w:rFonts w:asciiTheme="majorBidi" w:hAnsiTheme="majorBidi" w:cstheme="majorBidi"/>
                <w:b/>
                <w:bCs/>
                <w:color w:val="000000"/>
                <w:sz w:val="20"/>
                <w:szCs w:val="20"/>
              </w:rPr>
              <w:t>5</w:t>
            </w:r>
            <w:r w:rsidRPr="009504F3">
              <w:rPr>
                <w:rFonts w:asciiTheme="majorBidi" w:hAnsiTheme="majorBidi" w:cstheme="majorBidi"/>
                <w:b/>
                <w:bCs/>
                <w:color w:val="000000"/>
                <w:sz w:val="20"/>
                <w:szCs w:val="20"/>
              </w:rPr>
              <w:t xml:space="preserve"> / 18</w:t>
            </w:r>
          </w:p>
        </w:tc>
      </w:tr>
      <w:tr w:rsidR="007E5AFF" w14:paraId="621391F6" w14:textId="77777777" w:rsidTr="007E5AFF">
        <w:trPr>
          <w:trHeight w:val="561"/>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916DA"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Transportation &amp; Infrastructure</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EAABF"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2615 / 6</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94B43"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11346 / 7</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91611"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425 / 1</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06404"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1033 / 5</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9BF20"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60803"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E4FAF" w14:textId="7647865E" w:rsidR="00DD236E" w:rsidRPr="009504F3" w:rsidRDefault="00DD236E" w:rsidP="007E5AFF">
            <w:pPr>
              <w:spacing w:after="0" w:line="240" w:lineRule="auto"/>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1541</w:t>
            </w:r>
            <w:r w:rsidR="00A60E68">
              <w:rPr>
                <w:rFonts w:asciiTheme="majorBidi" w:hAnsiTheme="majorBidi" w:cstheme="majorBidi"/>
                <w:b/>
                <w:bCs/>
                <w:color w:val="000000"/>
                <w:sz w:val="20"/>
                <w:szCs w:val="20"/>
              </w:rPr>
              <w:t>8</w:t>
            </w:r>
            <w:r w:rsidRPr="009504F3">
              <w:rPr>
                <w:rFonts w:asciiTheme="majorBidi" w:hAnsiTheme="majorBidi" w:cstheme="majorBidi"/>
                <w:b/>
                <w:bCs/>
                <w:color w:val="000000"/>
                <w:sz w:val="20"/>
                <w:szCs w:val="20"/>
              </w:rPr>
              <w:t xml:space="preserve"> / 19</w:t>
            </w:r>
          </w:p>
        </w:tc>
      </w:tr>
      <w:tr w:rsidR="007E5AFF" w14:paraId="277F1418" w14:textId="77777777" w:rsidTr="007E5AFF">
        <w:trPr>
          <w:trHeight w:val="415"/>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37CB6"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Telecoms</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40CA4"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2350 / 1</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59DBC"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10AF0"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1800 / 2</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D8AA0"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220 / 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C1CA0"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750 / 1</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313BE"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95642" w14:textId="77777777" w:rsidR="00DD236E" w:rsidRPr="009504F3" w:rsidRDefault="00DD236E" w:rsidP="007E5AFF">
            <w:pPr>
              <w:spacing w:after="0" w:line="240" w:lineRule="auto"/>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5120 / 5</w:t>
            </w:r>
          </w:p>
        </w:tc>
      </w:tr>
      <w:tr w:rsidR="007E5AFF" w14:paraId="768D2BC2" w14:textId="77777777" w:rsidTr="007E5AFF">
        <w:trPr>
          <w:trHeight w:val="549"/>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2A8B2" w14:textId="270251C1" w:rsidR="00DD236E" w:rsidRPr="009504F3" w:rsidRDefault="00615FBC" w:rsidP="007E5AFF">
            <w:pPr>
              <w:spacing w:after="0" w:line="240" w:lineRule="auto"/>
              <w:jc w:val="center"/>
              <w:rPr>
                <w:rFonts w:asciiTheme="majorBidi" w:hAnsiTheme="majorBidi" w:cstheme="majorBidi"/>
                <w:b/>
                <w:bCs/>
                <w:color w:val="000000"/>
                <w:sz w:val="20"/>
                <w:szCs w:val="20"/>
                <w:lang w:val="en-US"/>
              </w:rPr>
            </w:pPr>
            <w:r>
              <w:rPr>
                <w:rFonts w:asciiTheme="majorBidi" w:hAnsiTheme="majorBidi" w:cstheme="majorBidi"/>
                <w:b/>
                <w:bCs/>
                <w:color w:val="000000"/>
                <w:sz w:val="20"/>
                <w:szCs w:val="20"/>
                <w:lang w:val="en-US"/>
              </w:rPr>
              <w:t>Leisure &amp; Property</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E958C"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300 / 1</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BF061"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18EE1"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3187 / 4</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33F2F"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105 / 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BA1B3"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72FA3"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B515D" w14:textId="77777777" w:rsidR="00DD236E" w:rsidRPr="009504F3" w:rsidRDefault="00DD236E" w:rsidP="007E5AFF">
            <w:pPr>
              <w:spacing w:after="0" w:line="240" w:lineRule="auto"/>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3592 / 6</w:t>
            </w:r>
          </w:p>
        </w:tc>
      </w:tr>
      <w:tr w:rsidR="007E5AFF" w14:paraId="55F1DCCA" w14:textId="77777777" w:rsidTr="007E5AFF">
        <w:trPr>
          <w:trHeight w:val="534"/>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49C8D"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Agriculture &amp; Forestry</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6966E"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280 / 1</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5BF32" w14:textId="62C44702" w:rsidR="00DD236E" w:rsidRPr="009504F3" w:rsidRDefault="00362EC6" w:rsidP="007E5AFF">
            <w:pPr>
              <w:spacing w:after="0" w:line="240" w:lineRule="auto"/>
              <w:jc w:val="center"/>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2000 / 1</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4B4B6"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487 / 3</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571E7" w14:textId="41E5399E"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 xml:space="preserve">1782 / </w:t>
            </w:r>
            <w:r w:rsidR="00962F5D">
              <w:rPr>
                <w:rFonts w:asciiTheme="majorBidi" w:hAnsiTheme="majorBidi" w:cstheme="majorBidi"/>
                <w:color w:val="000000"/>
                <w:sz w:val="20"/>
                <w:szCs w:val="20"/>
                <w:lang w:val="en-US"/>
              </w:rPr>
              <w:t>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F5ED8"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65996"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7B685" w14:textId="7B6D058D" w:rsidR="00DD236E" w:rsidRPr="009504F3" w:rsidRDefault="00DD236E" w:rsidP="007E5AFF">
            <w:pPr>
              <w:spacing w:after="0" w:line="240" w:lineRule="auto"/>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2549 /</w:t>
            </w:r>
            <w:r w:rsidR="00A60E68">
              <w:rPr>
                <w:rFonts w:asciiTheme="majorBidi" w:hAnsiTheme="majorBidi" w:cstheme="majorBidi"/>
                <w:b/>
                <w:bCs/>
                <w:color w:val="000000"/>
                <w:sz w:val="20"/>
                <w:szCs w:val="20"/>
              </w:rPr>
              <w:t xml:space="preserve"> 7</w:t>
            </w:r>
          </w:p>
        </w:tc>
      </w:tr>
      <w:tr w:rsidR="007E5AFF" w14:paraId="3DDC5D77" w14:textId="77777777" w:rsidTr="007E5AFF">
        <w:trPr>
          <w:trHeight w:val="447"/>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00E5F" w14:textId="77777777" w:rsidR="00DD236E" w:rsidRPr="009504F3" w:rsidRDefault="00DD236E" w:rsidP="007E5AFF">
            <w:pPr>
              <w:spacing w:after="0" w:line="240" w:lineRule="auto"/>
              <w:jc w:val="center"/>
              <w:rPr>
                <w:rFonts w:asciiTheme="majorBidi" w:hAnsiTheme="majorBidi" w:cstheme="majorBidi"/>
                <w:b/>
                <w:bCs/>
                <w:color w:val="000000"/>
                <w:sz w:val="20"/>
                <w:szCs w:val="20"/>
                <w:lang w:val="en-US"/>
              </w:rPr>
            </w:pPr>
            <w:r w:rsidRPr="009504F3">
              <w:rPr>
                <w:rFonts w:asciiTheme="majorBidi" w:hAnsiTheme="majorBidi" w:cstheme="majorBidi"/>
                <w:b/>
                <w:bCs/>
                <w:color w:val="000000"/>
                <w:sz w:val="20"/>
                <w:szCs w:val="20"/>
                <w:lang w:val="en-US"/>
              </w:rPr>
              <w:t>Industry</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415F3" w14:textId="643336E3"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30</w:t>
            </w:r>
            <w:r w:rsidR="00A60E68">
              <w:rPr>
                <w:rFonts w:asciiTheme="majorBidi" w:hAnsiTheme="majorBidi" w:cstheme="majorBidi"/>
                <w:color w:val="000000"/>
                <w:sz w:val="20"/>
                <w:szCs w:val="20"/>
                <w:lang w:val="en-US"/>
              </w:rPr>
              <w:t>1</w:t>
            </w:r>
            <w:r w:rsidRPr="009504F3">
              <w:rPr>
                <w:rFonts w:asciiTheme="majorBidi" w:hAnsiTheme="majorBidi" w:cstheme="majorBidi"/>
                <w:color w:val="000000"/>
                <w:sz w:val="20"/>
                <w:szCs w:val="20"/>
                <w:lang w:val="en-US"/>
              </w:rPr>
              <w:t xml:space="preserve"> / </w:t>
            </w:r>
            <w:r w:rsidR="00962F5D">
              <w:rPr>
                <w:rFonts w:asciiTheme="majorBidi" w:hAnsiTheme="majorBidi" w:cstheme="majorBidi"/>
                <w:color w:val="000000"/>
                <w:sz w:val="20"/>
                <w:szCs w:val="20"/>
                <w:lang w:val="en-US"/>
              </w:rPr>
              <w:t>2</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AD108"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2243A"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709 / 3</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4BCE1"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EEEA8"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6AAF4" w14:textId="77777777" w:rsidR="00DD236E" w:rsidRPr="009504F3" w:rsidRDefault="00DD236E" w:rsidP="007E5AFF">
            <w:pPr>
              <w:spacing w:after="0" w:line="240" w:lineRule="auto"/>
              <w:jc w:val="center"/>
              <w:rPr>
                <w:rFonts w:asciiTheme="majorBidi" w:hAnsiTheme="majorBidi" w:cstheme="majorBidi"/>
                <w:color w:val="000000"/>
                <w:sz w:val="20"/>
                <w:szCs w:val="20"/>
                <w:lang w:val="en-US"/>
              </w:rPr>
            </w:pPr>
            <w:r w:rsidRPr="009504F3">
              <w:rPr>
                <w:rFonts w:asciiTheme="majorBidi" w:hAnsiTheme="majorBidi" w:cstheme="majorBidi"/>
                <w:color w:val="000000"/>
                <w:sz w:val="20"/>
                <w:szCs w:val="20"/>
                <w:lang w:val="en-US"/>
              </w:rPr>
              <w:t>-</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9194D" w14:textId="1F7EEBEC" w:rsidR="00DD236E" w:rsidRPr="009504F3" w:rsidRDefault="00DD236E" w:rsidP="007E5AFF">
            <w:pPr>
              <w:spacing w:after="0" w:line="240" w:lineRule="auto"/>
              <w:jc w:val="center"/>
              <w:rPr>
                <w:rFonts w:asciiTheme="majorBidi" w:hAnsiTheme="majorBidi" w:cstheme="majorBidi"/>
                <w:b/>
                <w:bCs/>
                <w:color w:val="000000"/>
                <w:sz w:val="20"/>
                <w:szCs w:val="20"/>
              </w:rPr>
            </w:pPr>
            <w:r w:rsidRPr="009504F3">
              <w:rPr>
                <w:rFonts w:asciiTheme="majorBidi" w:hAnsiTheme="majorBidi" w:cstheme="majorBidi"/>
                <w:b/>
                <w:bCs/>
                <w:color w:val="000000"/>
                <w:sz w:val="20"/>
                <w:szCs w:val="20"/>
              </w:rPr>
              <w:t>10</w:t>
            </w:r>
            <w:r w:rsidR="00A60E68">
              <w:rPr>
                <w:rFonts w:asciiTheme="majorBidi" w:hAnsiTheme="majorBidi" w:cstheme="majorBidi"/>
                <w:b/>
                <w:bCs/>
                <w:color w:val="000000"/>
                <w:sz w:val="20"/>
                <w:szCs w:val="20"/>
              </w:rPr>
              <w:t>10</w:t>
            </w:r>
            <w:r w:rsidRPr="009504F3">
              <w:rPr>
                <w:rFonts w:asciiTheme="majorBidi" w:hAnsiTheme="majorBidi" w:cstheme="majorBidi"/>
                <w:b/>
                <w:bCs/>
                <w:color w:val="000000"/>
                <w:sz w:val="20"/>
                <w:szCs w:val="20"/>
              </w:rPr>
              <w:t xml:space="preserve"> / </w:t>
            </w:r>
            <w:r w:rsidR="00A60E68">
              <w:rPr>
                <w:rFonts w:asciiTheme="majorBidi" w:hAnsiTheme="majorBidi" w:cstheme="majorBidi"/>
                <w:b/>
                <w:bCs/>
                <w:color w:val="000000"/>
                <w:sz w:val="20"/>
                <w:szCs w:val="20"/>
              </w:rPr>
              <w:t>5</w:t>
            </w:r>
          </w:p>
        </w:tc>
      </w:tr>
      <w:tr w:rsidR="007E5AFF" w14:paraId="1E57058C" w14:textId="77777777" w:rsidTr="007E5AFF">
        <w:trPr>
          <w:trHeight w:val="553"/>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9496F" w14:textId="23789DBD" w:rsidR="00962F5D" w:rsidRPr="009504F3" w:rsidRDefault="00962F5D" w:rsidP="007E5AFF">
            <w:pPr>
              <w:spacing w:after="0" w:line="240" w:lineRule="auto"/>
              <w:jc w:val="center"/>
              <w:rPr>
                <w:rFonts w:asciiTheme="majorBidi" w:hAnsiTheme="majorBidi" w:cstheme="majorBidi"/>
                <w:b/>
                <w:bCs/>
                <w:color w:val="000000"/>
                <w:sz w:val="20"/>
                <w:szCs w:val="20"/>
                <w:lang w:val="en-US"/>
              </w:rPr>
            </w:pPr>
            <w:r w:rsidRPr="00E710AF">
              <w:rPr>
                <w:rFonts w:asciiTheme="majorBidi" w:hAnsiTheme="majorBidi" w:cstheme="majorBidi"/>
                <w:b/>
                <w:bCs/>
                <w:color w:val="000000"/>
                <w:sz w:val="20"/>
                <w:szCs w:val="20"/>
                <w:lang w:val="en-US"/>
              </w:rPr>
              <w:t>Waste &amp; Recycling</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2E570" w14:textId="2885B929" w:rsidR="00962F5D" w:rsidRPr="009504F3" w:rsidRDefault="00962F5D" w:rsidP="007E5AFF">
            <w:pPr>
              <w:spacing w:after="0" w:line="240" w:lineRule="auto"/>
              <w:jc w:val="center"/>
              <w:rPr>
                <w:rFonts w:asciiTheme="majorBidi" w:hAnsiTheme="majorBidi" w:cstheme="majorBidi"/>
                <w:b/>
                <w:bCs/>
                <w:color w:val="000000"/>
                <w:sz w:val="18"/>
                <w:szCs w:val="18"/>
                <w:lang w:val="en-US"/>
              </w:rPr>
            </w:pPr>
            <w:r w:rsidRPr="004B6891">
              <w:rPr>
                <w:rFonts w:asciiTheme="majorBidi" w:hAnsiTheme="majorBidi" w:cstheme="majorBidi"/>
                <w:color w:val="000000"/>
                <w:sz w:val="20"/>
                <w:szCs w:val="20"/>
                <w:lang w:val="en-US"/>
              </w:rPr>
              <w:t>-</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8E9C7" w14:textId="2D1D2772" w:rsidR="00962F5D" w:rsidRPr="009504F3" w:rsidRDefault="00962F5D" w:rsidP="007E5AFF">
            <w:pPr>
              <w:spacing w:after="0" w:line="240" w:lineRule="auto"/>
              <w:jc w:val="center"/>
              <w:rPr>
                <w:rFonts w:asciiTheme="majorBidi" w:hAnsiTheme="majorBidi" w:cstheme="majorBidi"/>
                <w:b/>
                <w:bCs/>
                <w:color w:val="000000"/>
                <w:sz w:val="18"/>
                <w:szCs w:val="18"/>
                <w:lang w:val="en-US"/>
              </w:rPr>
            </w:pPr>
            <w:r w:rsidRPr="004B6891">
              <w:rPr>
                <w:rFonts w:asciiTheme="majorBidi" w:hAnsiTheme="majorBidi" w:cstheme="majorBidi"/>
                <w:color w:val="000000"/>
                <w:sz w:val="20"/>
                <w:szCs w:val="20"/>
                <w:lang w:val="en-US"/>
              </w:rPr>
              <w:t>-</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D6D4E" w14:textId="46953412" w:rsidR="00962F5D" w:rsidRPr="009504F3" w:rsidRDefault="00962F5D" w:rsidP="007E5AFF">
            <w:pPr>
              <w:spacing w:after="0" w:line="240" w:lineRule="auto"/>
              <w:jc w:val="center"/>
              <w:rPr>
                <w:rFonts w:asciiTheme="majorBidi" w:hAnsiTheme="majorBidi" w:cstheme="majorBidi"/>
                <w:b/>
                <w:bCs/>
                <w:color w:val="000000"/>
                <w:sz w:val="18"/>
                <w:szCs w:val="18"/>
                <w:lang w:val="en-US"/>
              </w:rPr>
            </w:pPr>
            <w:r>
              <w:rPr>
                <w:rFonts w:asciiTheme="majorBidi" w:hAnsiTheme="majorBidi" w:cstheme="majorBidi"/>
                <w:color w:val="000000"/>
                <w:sz w:val="20"/>
                <w:szCs w:val="20"/>
                <w:lang w:val="en-US"/>
              </w:rPr>
              <w:t>163 / 1</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72679" w14:textId="711C2169" w:rsidR="00962F5D" w:rsidRPr="009504F3" w:rsidRDefault="00962F5D" w:rsidP="007E5AFF">
            <w:pPr>
              <w:spacing w:after="0" w:line="240" w:lineRule="auto"/>
              <w:jc w:val="center"/>
              <w:rPr>
                <w:rFonts w:asciiTheme="majorBidi" w:hAnsiTheme="majorBidi" w:cstheme="majorBidi"/>
                <w:b/>
                <w:bCs/>
                <w:color w:val="000000"/>
                <w:sz w:val="18"/>
                <w:szCs w:val="18"/>
                <w:lang w:val="en-US"/>
              </w:rPr>
            </w:pPr>
            <w:r w:rsidRPr="004B6891">
              <w:rPr>
                <w:rFonts w:asciiTheme="majorBidi" w:hAnsiTheme="majorBidi" w:cstheme="majorBidi"/>
                <w:color w:val="000000"/>
                <w:sz w:val="20"/>
                <w:szCs w:val="20"/>
                <w:lang w:val="en-US"/>
              </w:rPr>
              <w:t>-</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BC154" w14:textId="5F3ABD04" w:rsidR="00962F5D" w:rsidRPr="009504F3" w:rsidRDefault="00962F5D" w:rsidP="007E5AFF">
            <w:pPr>
              <w:spacing w:after="0" w:line="240" w:lineRule="auto"/>
              <w:jc w:val="center"/>
              <w:rPr>
                <w:rFonts w:asciiTheme="majorBidi" w:hAnsiTheme="majorBidi" w:cstheme="majorBidi"/>
                <w:b/>
                <w:bCs/>
                <w:color w:val="000000"/>
                <w:sz w:val="18"/>
                <w:szCs w:val="18"/>
                <w:lang w:val="en-US"/>
              </w:rPr>
            </w:pPr>
            <w:r w:rsidRPr="004B6891">
              <w:rPr>
                <w:rFonts w:asciiTheme="majorBidi" w:hAnsiTheme="majorBidi" w:cstheme="majorBidi"/>
                <w:color w:val="000000"/>
                <w:sz w:val="20"/>
                <w:szCs w:val="20"/>
                <w:lang w:val="en-US"/>
              </w:rPr>
              <w:t>-</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49766" w14:textId="6B7236AA" w:rsidR="00962F5D" w:rsidRPr="009504F3" w:rsidRDefault="00962F5D" w:rsidP="007E5AFF">
            <w:pPr>
              <w:spacing w:after="0" w:line="240" w:lineRule="auto"/>
              <w:jc w:val="center"/>
              <w:rPr>
                <w:rFonts w:asciiTheme="majorBidi" w:hAnsiTheme="majorBidi" w:cstheme="majorBidi"/>
                <w:b/>
                <w:bCs/>
                <w:color w:val="000000"/>
                <w:sz w:val="18"/>
                <w:szCs w:val="18"/>
                <w:lang w:val="en-US"/>
              </w:rPr>
            </w:pPr>
            <w:r w:rsidRPr="004B6891">
              <w:rPr>
                <w:rFonts w:asciiTheme="majorBidi" w:hAnsiTheme="majorBidi" w:cstheme="majorBidi"/>
                <w:color w:val="000000"/>
                <w:sz w:val="20"/>
                <w:szCs w:val="20"/>
                <w:lang w:val="en-US"/>
              </w:rPr>
              <w:t>-</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0DC7A" w14:textId="42751FD9" w:rsidR="00962F5D" w:rsidRPr="009504F3" w:rsidRDefault="00962F5D" w:rsidP="007E5AFF">
            <w:pPr>
              <w:spacing w:after="0" w:line="240" w:lineRule="auto"/>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163 / 1</w:t>
            </w:r>
          </w:p>
        </w:tc>
      </w:tr>
      <w:tr w:rsidR="007E5AFF" w14:paraId="2A0D7952" w14:textId="77777777" w:rsidTr="007E5AFF">
        <w:trPr>
          <w:trHeight w:val="497"/>
        </w:trPr>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A6470" w14:textId="77777777"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Total</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C098F" w14:textId="5BD133BD"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104451 / 6</w:t>
            </w:r>
            <w:r w:rsidR="00962F5D" w:rsidRPr="007E5AFF">
              <w:rPr>
                <w:rFonts w:asciiTheme="majorBidi" w:hAnsiTheme="majorBidi" w:cstheme="majorBidi"/>
                <w:b/>
                <w:bCs/>
                <w:color w:val="000000"/>
                <w:sz w:val="20"/>
                <w:szCs w:val="20"/>
                <w:lang w:val="en-US"/>
              </w:rPr>
              <w:t>6</w:t>
            </w:r>
          </w:p>
        </w:tc>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789DD" w14:textId="6BDC21F3"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5659</w:t>
            </w:r>
            <w:r w:rsidR="00A60E68" w:rsidRPr="007E5AFF">
              <w:rPr>
                <w:rFonts w:asciiTheme="majorBidi" w:hAnsiTheme="majorBidi" w:cstheme="majorBidi"/>
                <w:b/>
                <w:bCs/>
                <w:color w:val="000000"/>
                <w:sz w:val="20"/>
                <w:szCs w:val="20"/>
                <w:lang w:val="en-US"/>
              </w:rPr>
              <w:t>3</w:t>
            </w:r>
            <w:r w:rsidRPr="007E5AFF">
              <w:rPr>
                <w:rFonts w:asciiTheme="majorBidi" w:hAnsiTheme="majorBidi" w:cstheme="majorBidi"/>
                <w:b/>
                <w:bCs/>
                <w:color w:val="000000"/>
                <w:sz w:val="20"/>
                <w:szCs w:val="20"/>
                <w:lang w:val="en-US"/>
              </w:rPr>
              <w:t xml:space="preserve"> / 3</w:t>
            </w:r>
            <w:r w:rsidR="00962F5D" w:rsidRPr="007E5AFF">
              <w:rPr>
                <w:rFonts w:asciiTheme="majorBidi" w:hAnsiTheme="majorBidi" w:cstheme="majorBidi"/>
                <w:b/>
                <w:bCs/>
                <w:color w:val="000000"/>
                <w:sz w:val="20"/>
                <w:szCs w:val="20"/>
                <w:lang w:val="en-US"/>
              </w:rPr>
              <w:t>4</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0D819" w14:textId="4726F192"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 xml:space="preserve">51837 / </w:t>
            </w:r>
            <w:r w:rsidR="00962F5D" w:rsidRPr="007E5AFF">
              <w:rPr>
                <w:rFonts w:asciiTheme="majorBidi" w:hAnsiTheme="majorBidi" w:cstheme="majorBidi"/>
                <w:b/>
                <w:bCs/>
                <w:color w:val="000000"/>
                <w:sz w:val="20"/>
                <w:szCs w:val="20"/>
                <w:lang w:val="en-US"/>
              </w:rPr>
              <w:t>51</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F17D1" w14:textId="19C5AE95"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 xml:space="preserve">40591 / </w:t>
            </w:r>
            <w:r w:rsidR="00962F5D" w:rsidRPr="007E5AFF">
              <w:rPr>
                <w:rFonts w:asciiTheme="majorBidi" w:hAnsiTheme="majorBidi" w:cstheme="majorBidi"/>
                <w:b/>
                <w:bCs/>
                <w:color w:val="000000"/>
                <w:sz w:val="20"/>
                <w:szCs w:val="20"/>
                <w:lang w:val="en-US"/>
              </w:rPr>
              <w:t>52</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17382" w14:textId="77777777"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14955 / 8</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9201C" w14:textId="426B02E9" w:rsidR="00DD236E" w:rsidRPr="007E5AFF" w:rsidRDefault="00DD236E" w:rsidP="007E5AFF">
            <w:pPr>
              <w:spacing w:after="0" w:line="240" w:lineRule="auto"/>
              <w:jc w:val="center"/>
              <w:rPr>
                <w:rFonts w:asciiTheme="majorBidi" w:hAnsiTheme="majorBidi" w:cstheme="majorBidi"/>
                <w:b/>
                <w:bCs/>
                <w:color w:val="000000"/>
                <w:sz w:val="20"/>
                <w:szCs w:val="20"/>
                <w:lang w:val="en-US"/>
              </w:rPr>
            </w:pPr>
            <w:r w:rsidRPr="007E5AFF">
              <w:rPr>
                <w:rFonts w:asciiTheme="majorBidi" w:hAnsiTheme="majorBidi" w:cstheme="majorBidi"/>
                <w:b/>
                <w:bCs/>
                <w:color w:val="000000"/>
                <w:sz w:val="20"/>
                <w:szCs w:val="20"/>
                <w:lang w:val="en-US"/>
              </w:rPr>
              <w:t>12752 / 1</w:t>
            </w:r>
            <w:r w:rsidR="00A60E68" w:rsidRPr="007E5AFF">
              <w:rPr>
                <w:rFonts w:asciiTheme="majorBidi" w:hAnsiTheme="majorBidi" w:cstheme="majorBidi"/>
                <w:b/>
                <w:bCs/>
                <w:color w:val="000000"/>
                <w:sz w:val="20"/>
                <w:szCs w:val="20"/>
                <w:lang w:val="en-US"/>
              </w:rPr>
              <w:t>3</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1C2DD" w14:textId="6EEFF9A5" w:rsidR="00DD236E" w:rsidRPr="007E5AFF" w:rsidRDefault="00DD236E" w:rsidP="007E5AFF">
            <w:pPr>
              <w:spacing w:after="0" w:line="240" w:lineRule="auto"/>
              <w:jc w:val="center"/>
              <w:rPr>
                <w:rFonts w:asciiTheme="majorBidi" w:hAnsiTheme="majorBidi" w:cstheme="majorBidi"/>
                <w:b/>
                <w:bCs/>
                <w:color w:val="000000"/>
                <w:sz w:val="20"/>
                <w:szCs w:val="20"/>
              </w:rPr>
            </w:pPr>
            <w:r w:rsidRPr="007E5AFF">
              <w:rPr>
                <w:rFonts w:asciiTheme="majorBidi" w:hAnsiTheme="majorBidi" w:cstheme="majorBidi"/>
                <w:b/>
                <w:bCs/>
                <w:color w:val="000000"/>
                <w:sz w:val="20"/>
                <w:szCs w:val="20"/>
              </w:rPr>
              <w:t xml:space="preserve">281181 / </w:t>
            </w:r>
            <w:r w:rsidR="00A60E68" w:rsidRPr="007E5AFF">
              <w:rPr>
                <w:rFonts w:asciiTheme="majorBidi" w:hAnsiTheme="majorBidi" w:cstheme="majorBidi"/>
                <w:b/>
                <w:bCs/>
                <w:color w:val="000000"/>
                <w:sz w:val="20"/>
                <w:szCs w:val="20"/>
              </w:rPr>
              <w:t>224</w:t>
            </w:r>
          </w:p>
        </w:tc>
      </w:tr>
    </w:tbl>
    <w:p w14:paraId="61F3FAE1" w14:textId="7EE06F58" w:rsidR="00DD236E" w:rsidRPr="00A801BA" w:rsidRDefault="0084301A" w:rsidP="007E5AFF">
      <w:pPr>
        <w:pStyle w:val="Caption"/>
        <w:spacing w:before="240"/>
        <w:rPr>
          <w:rFonts w:ascii="Times New Roman" w:hAnsi="Times New Roman" w:cs="Times New Roman"/>
          <w:i w:val="0"/>
          <w:iCs w:val="0"/>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author's calculation according to the PFI League Tables</w:t>
      </w:r>
      <w:r w:rsidR="00345605">
        <w:rPr>
          <w:rFonts w:ascii="Times New Roman" w:hAnsi="Times New Roman" w:cs="Times New Roman"/>
          <w:i w:val="0"/>
          <w:iCs w:val="0"/>
          <w:color w:val="auto"/>
          <w:sz w:val="22"/>
          <w:szCs w:val="22"/>
          <w:lang w:val="en-US"/>
        </w:rPr>
        <w:t>.</w:t>
      </w:r>
      <w:r w:rsidR="00A801BA">
        <w:rPr>
          <w:rFonts w:ascii="Times New Roman" w:hAnsi="Times New Roman" w:cs="Times New Roman"/>
          <w:i w:val="0"/>
          <w:iCs w:val="0"/>
          <w:color w:val="auto"/>
          <w:sz w:val="22"/>
          <w:szCs w:val="22"/>
          <w:lang w:val="en-US"/>
        </w:rPr>
        <w:t xml:space="preserve"> </w:t>
      </w:r>
      <w:r w:rsidR="00A801BA" w:rsidRPr="00A801BA">
        <w:rPr>
          <w:rFonts w:ascii="Times New Roman" w:hAnsi="Times New Roman" w:cs="Times New Roman"/>
          <w:i w:val="0"/>
          <w:iCs w:val="0"/>
          <w:color w:val="auto"/>
          <w:sz w:val="22"/>
          <w:szCs w:val="22"/>
          <w:lang w:val="en-US"/>
        </w:rPr>
        <w:t>(</w:t>
      </w:r>
      <w:r w:rsidR="0008440E">
        <w:rPr>
          <w:rFonts w:ascii="Times New Roman" w:hAnsi="Times New Roman" w:cs="Times New Roman"/>
          <w:i w:val="0"/>
          <w:iCs w:val="0"/>
          <w:color w:val="auto"/>
          <w:sz w:val="22"/>
          <w:szCs w:val="22"/>
          <w:lang w:val="en-US"/>
        </w:rPr>
        <w:t xml:space="preserve">for details </w:t>
      </w:r>
      <w:r w:rsidR="00A801BA" w:rsidRPr="00A801BA">
        <w:rPr>
          <w:rFonts w:ascii="Times New Roman" w:hAnsi="Times New Roman" w:cs="Times New Roman"/>
          <w:i w:val="0"/>
          <w:iCs w:val="0"/>
          <w:color w:val="auto"/>
          <w:sz w:val="22"/>
          <w:szCs w:val="22"/>
          <w:lang w:val="en-US"/>
        </w:rPr>
        <w:t xml:space="preserve">see </w:t>
      </w:r>
      <w:r w:rsidR="00555190">
        <w:rPr>
          <w:rFonts w:ascii="Times New Roman" w:hAnsi="Times New Roman" w:cs="Times New Roman"/>
          <w:i w:val="0"/>
          <w:iCs w:val="0"/>
          <w:color w:val="auto"/>
          <w:sz w:val="22"/>
          <w:szCs w:val="22"/>
          <w:lang w:val="en-US"/>
        </w:rPr>
        <w:t>a</w:t>
      </w:r>
      <w:r w:rsidR="00A801BA" w:rsidRPr="00A801BA">
        <w:rPr>
          <w:rFonts w:ascii="Times New Roman" w:hAnsi="Times New Roman" w:cs="Times New Roman"/>
          <w:i w:val="0"/>
          <w:iCs w:val="0"/>
          <w:color w:val="auto"/>
          <w:sz w:val="22"/>
          <w:szCs w:val="22"/>
          <w:lang w:val="en-US"/>
        </w:rPr>
        <w:t xml:space="preserve">ppendix </w:t>
      </w:r>
      <w:r w:rsidR="0008440E">
        <w:rPr>
          <w:rFonts w:ascii="Times New Roman" w:hAnsi="Times New Roman" w:cs="Times New Roman"/>
          <w:i w:val="0"/>
          <w:iCs w:val="0"/>
          <w:color w:val="auto"/>
          <w:sz w:val="22"/>
          <w:szCs w:val="22"/>
          <w:lang w:val="en-US"/>
        </w:rPr>
        <w:t>3</w:t>
      </w:r>
      <w:r w:rsidR="00A801BA" w:rsidRPr="00A801BA">
        <w:rPr>
          <w:rFonts w:ascii="Times New Roman" w:hAnsi="Times New Roman" w:cs="Times New Roman"/>
          <w:i w:val="0"/>
          <w:iCs w:val="0"/>
          <w:color w:val="auto"/>
          <w:sz w:val="22"/>
          <w:szCs w:val="22"/>
          <w:lang w:val="en-US"/>
        </w:rPr>
        <w:t>).</w:t>
      </w:r>
    </w:p>
    <w:bookmarkEnd w:id="2"/>
    <w:p w14:paraId="4387AF1B" w14:textId="1092B651" w:rsidR="00A65CDF" w:rsidRPr="001B570D" w:rsidRDefault="00A65CDF" w:rsidP="0008496D">
      <w:pPr>
        <w:suppressAutoHyphens/>
        <w:spacing w:before="240" w:line="360" w:lineRule="auto"/>
        <w:ind w:firstLine="567"/>
        <w:jc w:val="both"/>
        <w:rPr>
          <w:rFonts w:ascii="Times New Roman" w:hAnsi="Times New Roman" w:cs="Times New Roman"/>
          <w:sz w:val="24"/>
          <w:szCs w:val="24"/>
        </w:rPr>
      </w:pPr>
      <w:r w:rsidRPr="005C1804">
        <w:rPr>
          <w:rFonts w:ascii="Times New Roman" w:hAnsi="Times New Roman" w:cs="Times New Roman"/>
          <w:sz w:val="24"/>
          <w:szCs w:val="24"/>
        </w:rPr>
        <w:t xml:space="preserve">In the United Arab Emirates (UAE), project financing has been mainly </w:t>
      </w:r>
      <w:r>
        <w:rPr>
          <w:rFonts w:ascii="Times New Roman" w:hAnsi="Times New Roman" w:cs="Times New Roman"/>
          <w:sz w:val="24"/>
          <w:szCs w:val="24"/>
        </w:rPr>
        <w:t xml:space="preserve">concentrated </w:t>
      </w:r>
      <w:r w:rsidRPr="005C1804">
        <w:rPr>
          <w:rFonts w:ascii="Times New Roman" w:hAnsi="Times New Roman" w:cs="Times New Roman"/>
          <w:sz w:val="24"/>
          <w:szCs w:val="24"/>
        </w:rPr>
        <w:t>in the power and water sectors</w:t>
      </w:r>
      <w:r w:rsidR="00863C8A">
        <w:rPr>
          <w:rFonts w:ascii="Times New Roman" w:hAnsi="Times New Roman" w:cs="Times New Roman"/>
          <w:sz w:val="24"/>
          <w:szCs w:val="24"/>
        </w:rPr>
        <w:t>.</w:t>
      </w:r>
      <w:r>
        <w:rPr>
          <w:rFonts w:ascii="Times New Roman" w:hAnsi="Times New Roman" w:cs="Times New Roman"/>
          <w:sz w:val="24"/>
          <w:szCs w:val="24"/>
        </w:rPr>
        <w:t xml:space="preserve"> </w:t>
      </w:r>
      <w:r w:rsidR="00863C8A">
        <w:rPr>
          <w:rFonts w:ascii="Times New Roman" w:hAnsi="Times New Roman" w:cs="Times New Roman"/>
          <w:sz w:val="24"/>
          <w:szCs w:val="24"/>
        </w:rPr>
        <w:t>Besides</w:t>
      </w:r>
      <w:r w:rsidRPr="001B570D">
        <w:rPr>
          <w:rFonts w:ascii="Times New Roman" w:hAnsi="Times New Roman" w:cs="Times New Roman"/>
          <w:sz w:val="24"/>
          <w:szCs w:val="24"/>
        </w:rPr>
        <w:t xml:space="preserve"> the power and water sectors, </w:t>
      </w:r>
      <w:r w:rsidR="00BD791A" w:rsidRPr="00BD791A">
        <w:rPr>
          <w:rFonts w:ascii="Times New Roman" w:hAnsi="Times New Roman" w:cs="Times New Roman"/>
          <w:sz w:val="24"/>
          <w:szCs w:val="24"/>
        </w:rPr>
        <w:t xml:space="preserve">project finance has been used in heavy </w:t>
      </w:r>
      <w:r w:rsidR="00863C8A">
        <w:rPr>
          <w:rFonts w:ascii="Times New Roman" w:hAnsi="Times New Roman" w:cs="Times New Roman"/>
          <w:sz w:val="24"/>
          <w:szCs w:val="24"/>
        </w:rPr>
        <w:t>industries,</w:t>
      </w:r>
      <w:r w:rsidR="00BD791A">
        <w:rPr>
          <w:rFonts w:ascii="Times New Roman" w:hAnsi="Times New Roman" w:cs="Times New Roman"/>
          <w:sz w:val="24"/>
          <w:szCs w:val="24"/>
        </w:rPr>
        <w:t xml:space="preserve"> </w:t>
      </w:r>
      <w:r w:rsidRPr="001B570D">
        <w:rPr>
          <w:rFonts w:ascii="Times New Roman" w:hAnsi="Times New Roman" w:cs="Times New Roman"/>
          <w:sz w:val="24"/>
          <w:szCs w:val="24"/>
        </w:rPr>
        <w:t xml:space="preserve">including </w:t>
      </w:r>
      <w:r w:rsidR="00863C8A">
        <w:rPr>
          <w:rFonts w:ascii="Times New Roman" w:hAnsi="Times New Roman" w:cs="Times New Roman"/>
          <w:sz w:val="24"/>
          <w:szCs w:val="24"/>
        </w:rPr>
        <w:t>steel</w:t>
      </w:r>
      <w:r w:rsidR="00863C8A" w:rsidRPr="00863C8A">
        <w:rPr>
          <w:rFonts w:ascii="Times New Roman" w:hAnsi="Times New Roman" w:cs="Times New Roman"/>
          <w:sz w:val="24"/>
          <w:szCs w:val="24"/>
        </w:rPr>
        <w:t>.</w:t>
      </w:r>
      <w:r w:rsidRPr="001B570D">
        <w:rPr>
          <w:rFonts w:ascii="Times New Roman" w:hAnsi="Times New Roman" w:cs="Times New Roman"/>
          <w:sz w:val="24"/>
          <w:szCs w:val="24"/>
        </w:rPr>
        <w:t xml:space="preserve"> There </w:t>
      </w:r>
      <w:r w:rsidR="00BD791A">
        <w:rPr>
          <w:rFonts w:ascii="Times New Roman" w:hAnsi="Times New Roman" w:cs="Times New Roman"/>
          <w:sz w:val="24"/>
          <w:szCs w:val="24"/>
        </w:rPr>
        <w:t>have</w:t>
      </w:r>
      <w:r w:rsidRPr="001B570D">
        <w:rPr>
          <w:rFonts w:ascii="Times New Roman" w:hAnsi="Times New Roman" w:cs="Times New Roman"/>
          <w:sz w:val="24"/>
          <w:szCs w:val="24"/>
        </w:rPr>
        <w:t xml:space="preserve"> also been </w:t>
      </w:r>
      <w:r>
        <w:rPr>
          <w:rFonts w:ascii="Times New Roman" w:hAnsi="Times New Roman" w:cs="Times New Roman"/>
          <w:sz w:val="24"/>
          <w:szCs w:val="24"/>
        </w:rPr>
        <w:t>two</w:t>
      </w:r>
      <w:r w:rsidRPr="001B570D">
        <w:rPr>
          <w:rFonts w:ascii="Times New Roman" w:hAnsi="Times New Roman" w:cs="Times New Roman"/>
          <w:sz w:val="24"/>
          <w:szCs w:val="24"/>
        </w:rPr>
        <w:t xml:space="preserve"> PPP</w:t>
      </w:r>
      <w:r w:rsidR="00C82699">
        <w:rPr>
          <w:rFonts w:ascii="Times New Roman" w:hAnsi="Times New Roman" w:cs="Times New Roman"/>
          <w:sz w:val="24"/>
          <w:szCs w:val="24"/>
        </w:rPr>
        <w:t>s</w:t>
      </w:r>
      <w:r w:rsidRPr="001B570D">
        <w:rPr>
          <w:rFonts w:ascii="Times New Roman" w:hAnsi="Times New Roman" w:cs="Times New Roman"/>
          <w:sz w:val="24"/>
          <w:szCs w:val="24"/>
        </w:rPr>
        <w:t xml:space="preserve"> in the education sector</w:t>
      </w:r>
      <w:r w:rsidR="00863C8A">
        <w:rPr>
          <w:rFonts w:ascii="Times New Roman" w:hAnsi="Times New Roman" w:cs="Times New Roman"/>
          <w:sz w:val="24"/>
          <w:szCs w:val="24"/>
        </w:rPr>
        <w:t xml:space="preserve">: </w:t>
      </w:r>
      <w:r w:rsidRPr="001B570D">
        <w:rPr>
          <w:rFonts w:ascii="Times New Roman" w:hAnsi="Times New Roman" w:cs="Times New Roman"/>
          <w:sz w:val="24"/>
          <w:szCs w:val="24"/>
        </w:rPr>
        <w:t>the Sorbonne University</w:t>
      </w:r>
      <w:r w:rsidR="00863C8A" w:rsidRPr="00863C8A">
        <w:rPr>
          <w:rFonts w:ascii="Times New Roman" w:hAnsi="Times New Roman" w:cs="Times New Roman"/>
          <w:sz w:val="24"/>
          <w:szCs w:val="24"/>
        </w:rPr>
        <w:t xml:space="preserve"> </w:t>
      </w:r>
      <w:r w:rsidR="00863C8A" w:rsidRPr="001B570D">
        <w:rPr>
          <w:rFonts w:ascii="Times New Roman" w:hAnsi="Times New Roman" w:cs="Times New Roman"/>
          <w:sz w:val="24"/>
          <w:szCs w:val="24"/>
        </w:rPr>
        <w:t>Abu Dhabi</w:t>
      </w:r>
      <w:r w:rsidRPr="001B570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63C8A">
        <w:rPr>
          <w:rFonts w:ascii="Times New Roman" w:hAnsi="Times New Roman" w:cs="Times New Roman"/>
          <w:sz w:val="24"/>
          <w:szCs w:val="24"/>
        </w:rPr>
        <w:t xml:space="preserve">the </w:t>
      </w:r>
      <w:r w:rsidRPr="00D218C8">
        <w:rPr>
          <w:rFonts w:ascii="Times New Roman" w:hAnsi="Times New Roman" w:cs="Times New Roman"/>
          <w:sz w:val="24"/>
          <w:szCs w:val="24"/>
        </w:rPr>
        <w:t>campus</w:t>
      </w:r>
      <w:r w:rsidR="00863C8A">
        <w:rPr>
          <w:rFonts w:ascii="Times New Roman" w:hAnsi="Times New Roman" w:cs="Times New Roman"/>
          <w:sz w:val="24"/>
          <w:szCs w:val="24"/>
        </w:rPr>
        <w:t xml:space="preserve"> of </w:t>
      </w:r>
      <w:r w:rsidR="00863C8A" w:rsidRPr="00D218C8">
        <w:rPr>
          <w:rFonts w:ascii="Times New Roman" w:hAnsi="Times New Roman" w:cs="Times New Roman"/>
          <w:sz w:val="24"/>
          <w:szCs w:val="24"/>
        </w:rPr>
        <w:t>Zayed</w:t>
      </w:r>
      <w:r w:rsidR="00863C8A">
        <w:rPr>
          <w:rFonts w:ascii="Times New Roman" w:hAnsi="Times New Roman" w:cs="Times New Roman"/>
          <w:sz w:val="24"/>
          <w:szCs w:val="24"/>
        </w:rPr>
        <w:t xml:space="preserve"> </w:t>
      </w:r>
      <w:r w:rsidR="00863C8A" w:rsidRPr="00D218C8">
        <w:rPr>
          <w:rFonts w:ascii="Times New Roman" w:hAnsi="Times New Roman" w:cs="Times New Roman"/>
          <w:sz w:val="24"/>
          <w:szCs w:val="24"/>
        </w:rPr>
        <w:t>University</w:t>
      </w:r>
      <w:r w:rsidRPr="00770603">
        <w:rPr>
          <w:rFonts w:ascii="Times New Roman" w:hAnsi="Times New Roman" w:cs="Times New Roman"/>
          <w:sz w:val="24"/>
          <w:szCs w:val="24"/>
        </w:rPr>
        <w:t>.</w:t>
      </w:r>
      <w:r>
        <w:rPr>
          <w:rFonts w:ascii="Times New Roman" w:hAnsi="Times New Roman" w:cs="Times New Roman"/>
          <w:sz w:val="24"/>
          <w:szCs w:val="24"/>
        </w:rPr>
        <w:t xml:space="preserve"> </w:t>
      </w:r>
      <w:r w:rsidR="00863C8A">
        <w:rPr>
          <w:rFonts w:ascii="Times New Roman" w:hAnsi="Times New Roman" w:cs="Times New Roman"/>
          <w:sz w:val="24"/>
          <w:szCs w:val="24"/>
        </w:rPr>
        <w:t>Over the</w:t>
      </w:r>
      <w:r w:rsidRPr="005C1804">
        <w:rPr>
          <w:rFonts w:ascii="Times New Roman" w:hAnsi="Times New Roman" w:cs="Times New Roman"/>
          <w:sz w:val="24"/>
          <w:szCs w:val="24"/>
        </w:rPr>
        <w:t xml:space="preserve"> </w:t>
      </w:r>
      <w:r w:rsidR="00863C8A">
        <w:rPr>
          <w:rFonts w:ascii="Times New Roman" w:hAnsi="Times New Roman" w:cs="Times New Roman"/>
          <w:sz w:val="24"/>
          <w:szCs w:val="24"/>
        </w:rPr>
        <w:t>past</w:t>
      </w:r>
      <w:r w:rsidRPr="005C1804">
        <w:rPr>
          <w:rFonts w:ascii="Times New Roman" w:hAnsi="Times New Roman" w:cs="Times New Roman"/>
          <w:sz w:val="24"/>
          <w:szCs w:val="24"/>
        </w:rPr>
        <w:t xml:space="preserve"> few years</w:t>
      </w:r>
      <w:r>
        <w:rPr>
          <w:rFonts w:ascii="Times New Roman" w:hAnsi="Times New Roman" w:cs="Times New Roman"/>
          <w:sz w:val="24"/>
          <w:szCs w:val="24"/>
        </w:rPr>
        <w:t>,</w:t>
      </w:r>
      <w:r w:rsidR="00863C8A">
        <w:rPr>
          <w:rFonts w:ascii="Times New Roman" w:hAnsi="Times New Roman" w:cs="Times New Roman"/>
          <w:sz w:val="24"/>
          <w:szCs w:val="24"/>
        </w:rPr>
        <w:t xml:space="preserve"> </w:t>
      </w:r>
      <w:r w:rsidR="00863C8A" w:rsidRPr="00863C8A">
        <w:rPr>
          <w:rFonts w:ascii="Times New Roman" w:hAnsi="Times New Roman" w:cs="Times New Roman"/>
          <w:sz w:val="24"/>
          <w:szCs w:val="24"/>
        </w:rPr>
        <w:t>there has been a lot of activity</w:t>
      </w:r>
      <w:r w:rsidR="00863C8A">
        <w:rPr>
          <w:rFonts w:ascii="Times New Roman" w:hAnsi="Times New Roman" w:cs="Times New Roman"/>
          <w:sz w:val="24"/>
          <w:szCs w:val="24"/>
        </w:rPr>
        <w:t xml:space="preserve"> </w:t>
      </w:r>
      <w:r w:rsidR="00863C8A" w:rsidRPr="00863C8A">
        <w:rPr>
          <w:rFonts w:ascii="Times New Roman" w:hAnsi="Times New Roman" w:cs="Times New Roman"/>
          <w:sz w:val="24"/>
          <w:szCs w:val="24"/>
        </w:rPr>
        <w:t>in the solar energy sector</w:t>
      </w:r>
      <w:r w:rsidR="00863C8A">
        <w:rPr>
          <w:rFonts w:ascii="Times New Roman" w:hAnsi="Times New Roman" w:cs="Times New Roman"/>
          <w:sz w:val="24"/>
          <w:szCs w:val="24"/>
        </w:rPr>
        <w:t>.</w:t>
      </w:r>
      <w:r>
        <w:rPr>
          <w:rFonts w:ascii="Times New Roman" w:hAnsi="Times New Roman" w:cs="Times New Roman"/>
          <w:sz w:val="24"/>
          <w:szCs w:val="24"/>
        </w:rPr>
        <w:t xml:space="preserve"> </w:t>
      </w:r>
      <w:r w:rsidR="00863C8A">
        <w:rPr>
          <w:rFonts w:ascii="Times New Roman" w:hAnsi="Times New Roman" w:cs="Times New Roman"/>
          <w:sz w:val="24"/>
          <w:szCs w:val="24"/>
        </w:rPr>
        <w:t>I</w:t>
      </w:r>
      <w:r>
        <w:rPr>
          <w:rFonts w:ascii="Times New Roman" w:hAnsi="Times New Roman" w:cs="Times New Roman"/>
          <w:sz w:val="24"/>
          <w:szCs w:val="24"/>
        </w:rPr>
        <w:t>n 2018</w:t>
      </w:r>
      <w:r w:rsidR="00863C8A">
        <w:rPr>
          <w:rFonts w:ascii="Times New Roman" w:hAnsi="Times New Roman" w:cs="Times New Roman"/>
          <w:sz w:val="24"/>
          <w:szCs w:val="24"/>
        </w:rPr>
        <w:t>,</w:t>
      </w:r>
      <w:r>
        <w:rPr>
          <w:rFonts w:ascii="Times New Roman" w:hAnsi="Times New Roman" w:cs="Times New Roman"/>
          <w:sz w:val="24"/>
          <w:szCs w:val="24"/>
        </w:rPr>
        <w:t xml:space="preserve"> </w:t>
      </w:r>
      <w:r w:rsidRPr="00873B30">
        <w:rPr>
          <w:rFonts w:ascii="Times New Roman" w:hAnsi="Times New Roman" w:cs="Times New Roman"/>
          <w:sz w:val="24"/>
          <w:szCs w:val="24"/>
        </w:rPr>
        <w:t>the financing of the waste-to-energy (WTE) plant in Sharjah was completed, the first one in the region.</w:t>
      </w:r>
    </w:p>
    <w:p w14:paraId="47556A7C" w14:textId="40F0C3BD" w:rsidR="00A65CDF" w:rsidRPr="005C1804" w:rsidRDefault="00A65CDF" w:rsidP="0008496D">
      <w:pPr>
        <w:suppressAutoHyphens/>
        <w:spacing w:line="360" w:lineRule="auto"/>
        <w:ind w:firstLine="567"/>
        <w:jc w:val="both"/>
        <w:rPr>
          <w:rFonts w:ascii="Times New Roman" w:hAnsi="Times New Roman" w:cs="Times New Roman"/>
          <w:sz w:val="24"/>
          <w:szCs w:val="24"/>
        </w:rPr>
      </w:pPr>
      <w:r w:rsidRPr="005C1804">
        <w:rPr>
          <w:rFonts w:ascii="Times New Roman" w:hAnsi="Times New Roman" w:cs="Times New Roman"/>
          <w:sz w:val="24"/>
          <w:szCs w:val="24"/>
        </w:rPr>
        <w:t>Project financing in Oman has emerged as the preferred alternative to conventional methods of financing infrastructure and other large-scale projects in the field of oil and gas pipelines, refineries, electricity</w:t>
      </w:r>
      <w:r w:rsidR="00BD791A">
        <w:rPr>
          <w:rFonts w:ascii="Times New Roman" w:hAnsi="Times New Roman" w:cs="Times New Roman"/>
          <w:sz w:val="24"/>
          <w:szCs w:val="24"/>
        </w:rPr>
        <w:t>-</w:t>
      </w:r>
      <w:r w:rsidRPr="005C1804">
        <w:rPr>
          <w:rFonts w:ascii="Times New Roman" w:hAnsi="Times New Roman" w:cs="Times New Roman"/>
          <w:sz w:val="24"/>
          <w:szCs w:val="24"/>
        </w:rPr>
        <w:t>generating facilities</w:t>
      </w:r>
      <w:r w:rsidR="00BD791A">
        <w:rPr>
          <w:rFonts w:ascii="Times New Roman" w:hAnsi="Times New Roman" w:cs="Times New Roman"/>
          <w:sz w:val="24"/>
          <w:szCs w:val="24"/>
        </w:rPr>
        <w:t xml:space="preserve">, </w:t>
      </w:r>
      <w:r w:rsidRPr="005C1804">
        <w:rPr>
          <w:rFonts w:ascii="Times New Roman" w:hAnsi="Times New Roman" w:cs="Times New Roman"/>
          <w:sz w:val="24"/>
          <w:szCs w:val="24"/>
        </w:rPr>
        <w:t>and water and desalination projects.</w:t>
      </w:r>
    </w:p>
    <w:p w14:paraId="32E3026C" w14:textId="20B35661" w:rsidR="00A65CDF" w:rsidRDefault="00A65CDF" w:rsidP="0008496D">
      <w:pPr>
        <w:suppressAutoHyphens/>
        <w:spacing w:line="360" w:lineRule="auto"/>
        <w:ind w:firstLine="567"/>
        <w:jc w:val="both"/>
        <w:rPr>
          <w:rFonts w:ascii="Arial" w:hAnsi="Arial"/>
          <w:color w:val="222222"/>
          <w:sz w:val="20"/>
          <w:szCs w:val="20"/>
          <w:shd w:val="clear" w:color="auto" w:fill="FFFFFF"/>
        </w:rPr>
      </w:pPr>
      <w:r w:rsidRPr="00D374A3">
        <w:rPr>
          <w:rFonts w:ascii="Times New Roman" w:hAnsi="Times New Roman" w:cs="Times New Roman"/>
          <w:sz w:val="24"/>
          <w:szCs w:val="24"/>
        </w:rPr>
        <w:lastRenderedPageBreak/>
        <w:t>Islamic finance made up nearly 40% of the total project finance market in the GCC in 2015</w:t>
      </w:r>
      <w:r w:rsidRPr="00E164BB">
        <w:rPr>
          <w:rFonts w:ascii="Times New Roman" w:hAnsi="Times New Roman" w:cs="Times New Roman"/>
          <w:sz w:val="24"/>
          <w:szCs w:val="24"/>
        </w:rPr>
        <w:t xml:space="preserve"> compared to just over 12.5% in 2006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14:paraId="49E0A7E0" w14:textId="7E5CBD7D" w:rsidR="00A65CDF" w:rsidRPr="004808B0" w:rsidRDefault="00A65CDF" w:rsidP="0008496D">
      <w:pPr>
        <w:suppressAutoHyphens/>
        <w:spacing w:before="240" w:line="360" w:lineRule="auto"/>
        <w:jc w:val="both"/>
        <w:rPr>
          <w:rFonts w:asciiTheme="majorBidi" w:hAnsiTheme="majorBidi" w:cstheme="majorBidi"/>
          <w:sz w:val="28"/>
          <w:szCs w:val="28"/>
        </w:rPr>
      </w:pPr>
      <w:r w:rsidRPr="004808B0">
        <w:rPr>
          <w:rFonts w:asciiTheme="majorBidi" w:hAnsiTheme="majorBidi" w:cstheme="majorBidi"/>
          <w:sz w:val="28"/>
          <w:szCs w:val="28"/>
        </w:rPr>
        <w:t>2.3 Successful Arab project finance</w:t>
      </w:r>
      <w:r w:rsidR="007E14A0">
        <w:rPr>
          <w:rFonts w:asciiTheme="majorBidi" w:hAnsiTheme="majorBidi" w:cstheme="majorBidi"/>
          <w:sz w:val="28"/>
          <w:szCs w:val="28"/>
        </w:rPr>
        <w:t xml:space="preserve"> cases</w:t>
      </w:r>
    </w:p>
    <w:p w14:paraId="4A951085" w14:textId="1655A9C4" w:rsidR="00A65CDF" w:rsidRDefault="00A65CDF" w:rsidP="0008496D">
      <w:pPr>
        <w:suppressAutoHyphens/>
        <w:spacing w:before="240" w:line="360" w:lineRule="auto"/>
        <w:ind w:firstLine="567"/>
        <w:jc w:val="both"/>
        <w:rPr>
          <w:rFonts w:ascii="Times New Roman" w:eastAsia="Times New Roman" w:hAnsi="Times New Roman" w:cs="Times New Roman"/>
          <w:color w:val="000000"/>
          <w:sz w:val="24"/>
          <w:szCs w:val="24"/>
          <w:shd w:val="clear" w:color="auto" w:fill="FFFF00"/>
          <w:lang w:val="en-US"/>
        </w:rPr>
      </w:pPr>
      <w:r w:rsidRPr="009A3917">
        <w:rPr>
          <w:rFonts w:ascii="Times New Roman" w:eastAsia="Times New Roman" w:hAnsi="Times New Roman" w:cs="Times New Roman"/>
          <w:color w:val="000000"/>
          <w:sz w:val="24"/>
          <w:szCs w:val="24"/>
          <w:lang w:val="en-US"/>
        </w:rPr>
        <w:t xml:space="preserve">This paragraph will discuss </w:t>
      </w:r>
      <w:r w:rsidR="00C82699">
        <w:rPr>
          <w:rFonts w:ascii="Times New Roman" w:eastAsia="Times New Roman" w:hAnsi="Times New Roman" w:cs="Times New Roman"/>
          <w:color w:val="000000"/>
          <w:sz w:val="24"/>
          <w:szCs w:val="24"/>
          <w:lang w:val="en-US"/>
        </w:rPr>
        <w:t>four</w:t>
      </w:r>
      <w:r w:rsidRPr="009A3917">
        <w:rPr>
          <w:rFonts w:ascii="Times New Roman" w:eastAsia="Times New Roman" w:hAnsi="Times New Roman" w:cs="Times New Roman"/>
          <w:color w:val="000000"/>
          <w:sz w:val="24"/>
          <w:szCs w:val="24"/>
          <w:lang w:val="en-US"/>
        </w:rPr>
        <w:t xml:space="preserve"> projects that demon</w:t>
      </w:r>
      <w:r w:rsidRPr="009A3917">
        <w:rPr>
          <w:rFonts w:ascii="Times New Roman" w:eastAsia="Times New Roman" w:hAnsi="Times New Roman" w:cs="Times New Roman"/>
          <w:color w:val="000000"/>
          <w:sz w:val="24"/>
          <w:szCs w:val="24"/>
          <w:lang w:val="en-US"/>
        </w:rPr>
        <w:softHyphen/>
        <w:t>strate the application of project finance</w:t>
      </w:r>
      <w:r w:rsidR="004867C3">
        <w:rPr>
          <w:rFonts w:ascii="Times New Roman" w:eastAsia="Times New Roman" w:hAnsi="Times New Roman" w:cs="Times New Roman"/>
          <w:color w:val="000000"/>
          <w:sz w:val="24"/>
          <w:szCs w:val="24"/>
          <w:lang w:val="en-US"/>
        </w:rPr>
        <w:t>,</w:t>
      </w:r>
      <w:r w:rsidR="009A3917">
        <w:rPr>
          <w:rFonts w:ascii="Times New Roman" w:eastAsia="Times New Roman" w:hAnsi="Times New Roman" w:cs="Times New Roman"/>
          <w:color w:val="000000"/>
          <w:sz w:val="24"/>
          <w:szCs w:val="24"/>
          <w:lang w:val="en-US"/>
        </w:rPr>
        <w:t xml:space="preserve"> </w:t>
      </w:r>
      <w:r w:rsidR="00C82699">
        <w:rPr>
          <w:rFonts w:ascii="Times New Roman" w:eastAsia="Times New Roman" w:hAnsi="Times New Roman" w:cs="Times New Roman"/>
          <w:color w:val="000000"/>
          <w:sz w:val="24"/>
          <w:szCs w:val="24"/>
          <w:lang w:val="en-US"/>
        </w:rPr>
        <w:t>two</w:t>
      </w:r>
      <w:r w:rsidR="003129A9">
        <w:rPr>
          <w:rFonts w:ascii="Times New Roman" w:eastAsia="Times New Roman" w:hAnsi="Times New Roman" w:cs="Times New Roman"/>
          <w:color w:val="000000"/>
          <w:sz w:val="24"/>
          <w:szCs w:val="24"/>
          <w:lang w:val="en-US"/>
        </w:rPr>
        <w:t xml:space="preserve"> of them were</w:t>
      </w:r>
      <w:r w:rsidR="009A3917">
        <w:rPr>
          <w:rFonts w:ascii="Times New Roman" w:eastAsia="Times New Roman" w:hAnsi="Times New Roman" w:cs="Times New Roman"/>
          <w:color w:val="000000"/>
          <w:sz w:val="24"/>
          <w:szCs w:val="24"/>
          <w:lang w:val="en-US"/>
        </w:rPr>
        <w:t xml:space="preserve"> in Saudi Arabia, one in Bahrain</w:t>
      </w:r>
      <w:r w:rsidR="004867C3">
        <w:rPr>
          <w:rFonts w:ascii="Times New Roman" w:eastAsia="Times New Roman" w:hAnsi="Times New Roman" w:cs="Times New Roman"/>
          <w:color w:val="000000"/>
          <w:sz w:val="24"/>
          <w:szCs w:val="24"/>
          <w:lang w:val="en-US"/>
        </w:rPr>
        <w:t>,</w:t>
      </w:r>
      <w:r w:rsidR="009A3917">
        <w:rPr>
          <w:rFonts w:ascii="Times New Roman" w:eastAsia="Times New Roman" w:hAnsi="Times New Roman" w:cs="Times New Roman"/>
          <w:color w:val="000000"/>
          <w:sz w:val="24"/>
          <w:szCs w:val="24"/>
          <w:lang w:val="en-US"/>
        </w:rPr>
        <w:t xml:space="preserve"> and another in Oman.</w:t>
      </w:r>
    </w:p>
    <w:p w14:paraId="5F6B295E" w14:textId="45265C36" w:rsidR="00A65CDF" w:rsidRDefault="00A65CDF" w:rsidP="0008496D">
      <w:pPr>
        <w:suppressAutoHyphens/>
        <w:spacing w:before="24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en-US"/>
        </w:rPr>
        <w:t>Medina airport – Saudi Arabia</w:t>
      </w:r>
      <w:r w:rsidR="002F702D">
        <w:rPr>
          <w:rFonts w:ascii="Times New Roman" w:hAnsi="Times New Roman" w:cs="Times New Roman"/>
          <w:b/>
          <w:bCs/>
          <w:sz w:val="24"/>
          <w:szCs w:val="24"/>
          <w:lang w:val="en-US"/>
        </w:rPr>
        <w:t xml:space="preserve">. </w:t>
      </w:r>
      <w:r w:rsidRPr="00456C5F">
        <w:rPr>
          <w:rFonts w:ascii="Times New Roman" w:hAnsi="Times New Roman" w:cs="Times New Roman"/>
          <w:sz w:val="24"/>
          <w:szCs w:val="24"/>
        </w:rPr>
        <w:t xml:space="preserve">Saudi Arabia has a </w:t>
      </w:r>
      <w:r w:rsidR="00C82699" w:rsidRPr="00C82699">
        <w:rPr>
          <w:rFonts w:ascii="Times New Roman" w:hAnsi="Times New Roman" w:cs="Times New Roman"/>
          <w:sz w:val="24"/>
          <w:szCs w:val="24"/>
        </w:rPr>
        <w:t xml:space="preserve">substantial </w:t>
      </w:r>
      <w:r w:rsidRPr="00456C5F">
        <w:rPr>
          <w:rFonts w:ascii="Times New Roman" w:hAnsi="Times New Roman" w:cs="Times New Roman"/>
          <w:sz w:val="24"/>
          <w:szCs w:val="24"/>
        </w:rPr>
        <w:t>comparative advantage in oil production</w:t>
      </w:r>
      <w:r>
        <w:rPr>
          <w:rFonts w:ascii="Times New Roman" w:hAnsi="Times New Roman" w:cs="Times New Roman"/>
          <w:sz w:val="24"/>
          <w:szCs w:val="24"/>
        </w:rPr>
        <w:t>, w</w:t>
      </w:r>
      <w:r w:rsidRPr="00797D1C">
        <w:rPr>
          <w:rFonts w:ascii="Times New Roman" w:hAnsi="Times New Roman" w:cs="Times New Roman"/>
          <w:sz w:val="24"/>
          <w:szCs w:val="24"/>
        </w:rPr>
        <w:t>ith an oil extraction cost of $</w:t>
      </w:r>
      <w:r>
        <w:rPr>
          <w:rFonts w:ascii="Times New Roman" w:hAnsi="Times New Roman" w:cs="Times New Roman"/>
          <w:sz w:val="24"/>
          <w:szCs w:val="24"/>
        </w:rPr>
        <w:t>9</w:t>
      </w:r>
      <w:r w:rsidRPr="00797D1C">
        <w:rPr>
          <w:rFonts w:ascii="Times New Roman" w:hAnsi="Times New Roman" w:cs="Times New Roman"/>
          <w:sz w:val="24"/>
          <w:szCs w:val="24"/>
        </w:rPr>
        <w:t xml:space="preserve"> per barrel, the lowest in the world</w:t>
      </w:r>
      <w:r w:rsidR="003129A9">
        <w:rPr>
          <w:rFonts w:ascii="Times New Roman" w:hAnsi="Times New Roman" w:cs="Times New Roman"/>
          <w:sz w:val="24"/>
          <w:szCs w:val="24"/>
        </w:rPr>
        <w:t>.</w:t>
      </w:r>
      <w:r w:rsidRPr="00797D1C">
        <w:rPr>
          <w:rFonts w:ascii="Times New Roman" w:hAnsi="Times New Roman" w:cs="Times New Roman"/>
          <w:sz w:val="24"/>
          <w:szCs w:val="24"/>
        </w:rPr>
        <w:t xml:space="preserve"> Saudi Arabia has the second</w:t>
      </w:r>
      <w:r w:rsidR="00BD791A">
        <w:rPr>
          <w:rFonts w:ascii="Times New Roman" w:hAnsi="Times New Roman" w:cs="Times New Roman"/>
          <w:sz w:val="24"/>
          <w:szCs w:val="24"/>
        </w:rPr>
        <w:t>-</w:t>
      </w:r>
      <w:r w:rsidRPr="00797D1C">
        <w:rPr>
          <w:rFonts w:ascii="Times New Roman" w:hAnsi="Times New Roman" w:cs="Times New Roman"/>
          <w:sz w:val="24"/>
          <w:szCs w:val="24"/>
        </w:rPr>
        <w:t>largest proven oil reserves (after Venezuela), estimated at around 267 billion barrels.</w:t>
      </w:r>
      <w:r>
        <w:rPr>
          <w:rFonts w:ascii="Times New Roman" w:hAnsi="Times New Roman" w:cs="Times New Roman"/>
          <w:sz w:val="24"/>
          <w:szCs w:val="24"/>
        </w:rPr>
        <w:t xml:space="preserve"> </w:t>
      </w:r>
      <w:r w:rsidR="00C82699" w:rsidRPr="00C82699">
        <w:rPr>
          <w:rFonts w:ascii="Times New Roman" w:hAnsi="Times New Roman" w:cs="Times New Roman"/>
          <w:sz w:val="24"/>
          <w:szCs w:val="24"/>
        </w:rPr>
        <w:t>It is a member of OPEC and one of the world's top twenty economies (G20).</w:t>
      </w:r>
    </w:p>
    <w:p w14:paraId="2D1ED344" w14:textId="2CEA844F" w:rsidR="00A65CDF" w:rsidRDefault="00A65CDF" w:rsidP="0008496D">
      <w:pPr>
        <w:suppressAutoHyphens/>
        <w:spacing w:line="360" w:lineRule="auto"/>
        <w:ind w:firstLine="567"/>
        <w:jc w:val="both"/>
        <w:rPr>
          <w:rFonts w:ascii="Times New Roman" w:hAnsi="Times New Roman" w:cs="Times New Roman"/>
          <w:sz w:val="24"/>
          <w:szCs w:val="24"/>
        </w:rPr>
      </w:pPr>
      <w:r w:rsidRPr="00797D1C">
        <w:rPr>
          <w:rFonts w:ascii="Times New Roman" w:hAnsi="Times New Roman" w:cs="Times New Roman"/>
          <w:sz w:val="24"/>
          <w:szCs w:val="24"/>
        </w:rPr>
        <w:t>As the largest oil</w:t>
      </w:r>
      <w:r w:rsidR="006F0309">
        <w:rPr>
          <w:rFonts w:ascii="Times New Roman" w:hAnsi="Times New Roman" w:cs="Times New Roman"/>
          <w:sz w:val="24"/>
          <w:szCs w:val="24"/>
        </w:rPr>
        <w:t>-</w:t>
      </w:r>
      <w:r w:rsidRPr="00797D1C">
        <w:rPr>
          <w:rFonts w:ascii="Times New Roman" w:hAnsi="Times New Roman" w:cs="Times New Roman"/>
          <w:sz w:val="24"/>
          <w:szCs w:val="24"/>
        </w:rPr>
        <w:t>exporting country, Saudi Arabia has sought since 2016 to implement economic reforms that reduce dependence on oil as a major economic activity</w:t>
      </w:r>
      <w:r w:rsidR="003129A9">
        <w:rPr>
          <w:rFonts w:ascii="Times New Roman" w:hAnsi="Times New Roman" w:cs="Times New Roman"/>
          <w:sz w:val="24"/>
          <w:szCs w:val="24"/>
        </w:rPr>
        <w:t>,</w:t>
      </w:r>
      <w:r w:rsidR="006F0309">
        <w:rPr>
          <w:rFonts w:ascii="Times New Roman" w:hAnsi="Times New Roman" w:cs="Times New Roman"/>
          <w:sz w:val="24"/>
          <w:szCs w:val="24"/>
        </w:rPr>
        <w:t xml:space="preserve"> </w:t>
      </w:r>
      <w:r w:rsidRPr="00797D1C">
        <w:rPr>
          <w:rFonts w:ascii="Times New Roman" w:hAnsi="Times New Roman" w:cs="Times New Roman"/>
          <w:sz w:val="24"/>
          <w:szCs w:val="24"/>
        </w:rPr>
        <w:t>and put strategies to diversify non-oil income sources within the so-called Saudi Vision 2030.</w:t>
      </w:r>
    </w:p>
    <w:p w14:paraId="129BA28F" w14:textId="04938DF8" w:rsidR="00A65CDF" w:rsidRDefault="00A65CDF" w:rsidP="0008496D">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are 27 airports in Saudi Arabia, </w:t>
      </w:r>
      <w:r>
        <w:rPr>
          <w:rFonts w:ascii="Times New Roman" w:hAnsi="Times New Roman" w:cs="Times New Roman" w:hint="cs"/>
          <w:sz w:val="24"/>
          <w:szCs w:val="24"/>
          <w:rtl/>
        </w:rPr>
        <w:t>1</w:t>
      </w:r>
      <w:r>
        <w:rPr>
          <w:rFonts w:ascii="Times New Roman" w:hAnsi="Times New Roman" w:cs="Times New Roman"/>
          <w:sz w:val="24"/>
          <w:szCs w:val="24"/>
        </w:rPr>
        <w:t>4</w:t>
      </w:r>
      <w:r w:rsidRPr="00B50EE8">
        <w:rPr>
          <w:rFonts w:ascii="Times New Roman" w:hAnsi="Times New Roman" w:cs="Times New Roman"/>
          <w:sz w:val="24"/>
          <w:szCs w:val="24"/>
        </w:rPr>
        <w:t xml:space="preserve"> international</w:t>
      </w:r>
      <w:r>
        <w:rPr>
          <w:rFonts w:ascii="Times New Roman" w:hAnsi="Times New Roman" w:cs="Times New Roman"/>
          <w:sz w:val="24"/>
          <w:szCs w:val="24"/>
        </w:rPr>
        <w:t xml:space="preserve"> </w:t>
      </w:r>
      <w:r w:rsidRPr="00B50EE8">
        <w:rPr>
          <w:rFonts w:ascii="Times New Roman" w:hAnsi="Times New Roman" w:cs="Times New Roman"/>
          <w:sz w:val="24"/>
          <w:szCs w:val="24"/>
        </w:rPr>
        <w:t>airports</w:t>
      </w:r>
      <w:r w:rsidRPr="00011AD0">
        <w:rPr>
          <w:rFonts w:ascii="Times New Roman" w:hAnsi="Times New Roman" w:cs="Times New Roman"/>
          <w:sz w:val="24"/>
          <w:szCs w:val="24"/>
        </w:rPr>
        <w:t xml:space="preserve"> (</w:t>
      </w:r>
      <w:r>
        <w:rPr>
          <w:rFonts w:ascii="Times New Roman" w:hAnsi="Times New Roman" w:cs="Times New Roman"/>
          <w:sz w:val="24"/>
          <w:szCs w:val="24"/>
        </w:rPr>
        <w:t>8 of them are</w:t>
      </w:r>
      <w:r w:rsidRPr="00B50EE8">
        <w:rPr>
          <w:rFonts w:ascii="Times New Roman" w:hAnsi="Times New Roman" w:cs="Times New Roman"/>
          <w:sz w:val="24"/>
          <w:szCs w:val="24"/>
        </w:rPr>
        <w:t xml:space="preserve"> regional</w:t>
      </w:r>
      <w:r>
        <w:rPr>
          <w:rFonts w:ascii="Times New Roman" w:hAnsi="Times New Roman" w:cs="Times New Roman"/>
          <w:sz w:val="24"/>
          <w:szCs w:val="24"/>
        </w:rPr>
        <w:t>),</w:t>
      </w:r>
      <w:r w:rsidRPr="00B50EE8">
        <w:rPr>
          <w:rFonts w:ascii="Times New Roman" w:hAnsi="Times New Roman" w:cs="Times New Roman"/>
          <w:sz w:val="24"/>
          <w:szCs w:val="24"/>
        </w:rPr>
        <w:t xml:space="preserve"> and 13 domestic airports</w:t>
      </w:r>
      <w:r>
        <w:rPr>
          <w:rFonts w:ascii="Times New Roman" w:hAnsi="Times New Roman" w:cs="Times New Roman"/>
          <w:sz w:val="24"/>
          <w:szCs w:val="24"/>
        </w:rPr>
        <w:t xml:space="preserve">, </w:t>
      </w:r>
      <w:r w:rsidRPr="00AE0F34">
        <w:rPr>
          <w:rFonts w:ascii="Times New Roman" w:hAnsi="Times New Roman" w:cs="Times New Roman"/>
          <w:sz w:val="24"/>
          <w:szCs w:val="24"/>
        </w:rPr>
        <w:t>handl</w:t>
      </w:r>
      <w:r>
        <w:rPr>
          <w:rFonts w:ascii="Times New Roman" w:hAnsi="Times New Roman" w:cs="Times New Roman"/>
          <w:sz w:val="24"/>
          <w:szCs w:val="24"/>
        </w:rPr>
        <w:t>ing</w:t>
      </w:r>
      <w:r w:rsidRPr="00AE0F34">
        <w:rPr>
          <w:rFonts w:ascii="Times New Roman" w:hAnsi="Times New Roman" w:cs="Times New Roman"/>
          <w:sz w:val="24"/>
          <w:szCs w:val="24"/>
        </w:rPr>
        <w:t xml:space="preserve"> </w:t>
      </w:r>
      <w:r>
        <w:rPr>
          <w:rFonts w:ascii="Times New Roman" w:hAnsi="Times New Roman" w:cs="Times New Roman"/>
          <w:sz w:val="24"/>
          <w:szCs w:val="24"/>
        </w:rPr>
        <w:t>99.86</w:t>
      </w:r>
      <w:r w:rsidRPr="00AE0F34">
        <w:rPr>
          <w:rFonts w:ascii="Times New Roman" w:hAnsi="Times New Roman" w:cs="Times New Roman"/>
          <w:sz w:val="24"/>
          <w:szCs w:val="24"/>
        </w:rPr>
        <w:t xml:space="preserve"> million passengers</w:t>
      </w:r>
      <w:r>
        <w:rPr>
          <w:rFonts w:ascii="Times New Roman" w:hAnsi="Times New Roman" w:cs="Times New Roman"/>
          <w:sz w:val="24"/>
          <w:szCs w:val="24"/>
        </w:rPr>
        <w:t xml:space="preserve"> in 2018</w:t>
      </w:r>
      <w:r w:rsidR="00C82699">
        <w:rPr>
          <w:rFonts w:ascii="Times New Roman" w:hAnsi="Times New Roman" w:cs="Times New Roman"/>
          <w:sz w:val="24"/>
          <w:szCs w:val="24"/>
        </w:rPr>
        <w:t>,</w:t>
      </w:r>
      <w:r>
        <w:rPr>
          <w:rFonts w:ascii="Times New Roman" w:hAnsi="Times New Roman" w:cs="Times New Roman"/>
          <w:sz w:val="24"/>
          <w:szCs w:val="24"/>
        </w:rPr>
        <w:t xml:space="preserve"> which increased from 54,46 million in 2011.</w:t>
      </w:r>
      <w:r w:rsidRPr="00AE2276">
        <w:rPr>
          <w:rFonts w:ascii="Times New Roman" w:hAnsi="Times New Roman" w:cs="Times New Roman"/>
          <w:sz w:val="24"/>
          <w:szCs w:val="24"/>
          <w:vertAlign w:val="superscript"/>
        </w:rPr>
        <w:footnoteReference w:id="53"/>
      </w:r>
      <w:r w:rsidRPr="00AE2276">
        <w:rPr>
          <w:rFonts w:ascii="Times New Roman" w:hAnsi="Times New Roman" w:cs="Times New Roman"/>
          <w:sz w:val="24"/>
          <w:szCs w:val="24"/>
        </w:rPr>
        <w:t xml:space="preserve"> </w:t>
      </w:r>
      <w:r>
        <w:rPr>
          <w:rFonts w:ascii="Times New Roman" w:hAnsi="Times New Roman" w:cs="Times New Roman"/>
          <w:sz w:val="24"/>
          <w:szCs w:val="24"/>
        </w:rPr>
        <w:t xml:space="preserve">The largest four airports are listed in </w:t>
      </w:r>
      <w:r w:rsidR="000A4432" w:rsidRPr="000A4432">
        <w:rPr>
          <w:rFonts w:ascii="Times New Roman" w:hAnsi="Times New Roman" w:cs="Times New Roman"/>
          <w:i/>
          <w:iCs/>
          <w:sz w:val="24"/>
          <w:szCs w:val="24"/>
        </w:rPr>
        <w:t xml:space="preserve">Table </w:t>
      </w:r>
      <w:r w:rsidR="002F702D">
        <w:rPr>
          <w:rFonts w:ascii="Times New Roman" w:hAnsi="Times New Roman" w:cs="Times New Roman"/>
          <w:i/>
          <w:iCs/>
          <w:sz w:val="24"/>
          <w:szCs w:val="24"/>
        </w:rPr>
        <w:t>2.8</w:t>
      </w:r>
      <w:r w:rsidR="00736BF5">
        <w:rPr>
          <w:rFonts w:ascii="Times New Roman" w:hAnsi="Times New Roman" w:cs="Times New Roman"/>
          <w:sz w:val="24"/>
          <w:szCs w:val="24"/>
        </w:rPr>
        <w:t xml:space="preserve"> </w:t>
      </w:r>
      <w:r w:rsidRPr="00011AD0">
        <w:rPr>
          <w:rFonts w:ascii="Times New Roman" w:hAnsi="Times New Roman" w:cs="Times New Roman"/>
          <w:sz w:val="24"/>
          <w:szCs w:val="24"/>
        </w:rPr>
        <w:t>in addition to their</w:t>
      </w:r>
      <w:r>
        <w:rPr>
          <w:rFonts w:ascii="Times New Roman" w:hAnsi="Times New Roman" w:cs="Times New Roman"/>
          <w:sz w:val="24"/>
          <w:szCs w:val="24"/>
        </w:rPr>
        <w:t xml:space="preserve"> </w:t>
      </w:r>
      <w:r w:rsidRPr="00011AD0">
        <w:rPr>
          <w:rFonts w:ascii="Times New Roman" w:hAnsi="Times New Roman" w:cs="Times New Roman"/>
          <w:sz w:val="24"/>
          <w:szCs w:val="24"/>
        </w:rPr>
        <w:t>traffic volumes</w:t>
      </w:r>
      <w:r>
        <w:rPr>
          <w:rFonts w:ascii="Times New Roman" w:hAnsi="Times New Roman" w:cs="Times New Roman"/>
          <w:sz w:val="24"/>
          <w:szCs w:val="24"/>
        </w:rPr>
        <w:t xml:space="preserve"> in 2011 and 2018.</w:t>
      </w:r>
    </w:p>
    <w:p w14:paraId="0C857B65" w14:textId="5FE64F1D" w:rsidR="000A4432" w:rsidRPr="002F702D" w:rsidRDefault="00A65CDF" w:rsidP="00462341">
      <w:pPr>
        <w:spacing w:after="0" w:line="360" w:lineRule="auto"/>
        <w:jc w:val="right"/>
        <w:rPr>
          <w:rFonts w:ascii="Times New Roman" w:hAnsi="Times New Roman" w:cs="Times New Roman"/>
          <w:i/>
          <w:iCs/>
          <w:sz w:val="24"/>
          <w:szCs w:val="24"/>
        </w:rPr>
      </w:pPr>
      <w:r w:rsidRPr="002F702D">
        <w:rPr>
          <w:rFonts w:ascii="Times New Roman" w:hAnsi="Times New Roman" w:cs="Times New Roman"/>
          <w:i/>
          <w:iCs/>
          <w:sz w:val="24"/>
          <w:szCs w:val="24"/>
        </w:rPr>
        <w:t xml:space="preserve">Table </w:t>
      </w:r>
      <w:r w:rsidR="002F702D" w:rsidRPr="002F702D">
        <w:rPr>
          <w:rFonts w:ascii="Times New Roman" w:hAnsi="Times New Roman" w:cs="Times New Roman"/>
          <w:i/>
          <w:iCs/>
          <w:sz w:val="24"/>
          <w:szCs w:val="24"/>
        </w:rPr>
        <w:t>2.8</w:t>
      </w:r>
      <w:r w:rsidRPr="002F702D">
        <w:rPr>
          <w:rFonts w:ascii="Times New Roman" w:hAnsi="Times New Roman" w:cs="Times New Roman"/>
          <w:i/>
          <w:iCs/>
          <w:sz w:val="24"/>
          <w:szCs w:val="24"/>
        </w:rPr>
        <w:t xml:space="preserve"> </w:t>
      </w:r>
    </w:p>
    <w:p w14:paraId="77B80D08" w14:textId="6F4F3BDD" w:rsidR="00A65CDF" w:rsidRPr="00462341" w:rsidRDefault="00A65CDF" w:rsidP="002F702D">
      <w:pPr>
        <w:spacing w:line="360" w:lineRule="auto"/>
        <w:jc w:val="center"/>
        <w:rPr>
          <w:rFonts w:ascii="Times New Roman" w:hAnsi="Times New Roman" w:cs="Times New Roman"/>
          <w:sz w:val="24"/>
          <w:szCs w:val="24"/>
        </w:rPr>
      </w:pPr>
      <w:r w:rsidRPr="00462341">
        <w:rPr>
          <w:rFonts w:ascii="Times New Roman" w:hAnsi="Times New Roman" w:cs="Times New Roman"/>
          <w:sz w:val="24"/>
          <w:szCs w:val="24"/>
        </w:rPr>
        <w:t xml:space="preserve">Traffic </w:t>
      </w:r>
      <w:r w:rsidR="00261542" w:rsidRPr="00462341">
        <w:rPr>
          <w:rFonts w:ascii="Times New Roman" w:hAnsi="Times New Roman" w:cs="Times New Roman"/>
          <w:sz w:val="24"/>
          <w:szCs w:val="24"/>
        </w:rPr>
        <w:t>h</w:t>
      </w:r>
      <w:r w:rsidRPr="00462341">
        <w:rPr>
          <w:rFonts w:ascii="Times New Roman" w:hAnsi="Times New Roman" w:cs="Times New Roman"/>
          <w:sz w:val="24"/>
          <w:szCs w:val="24"/>
        </w:rPr>
        <w:t xml:space="preserve">andled by Saudi Arabian </w:t>
      </w:r>
      <w:r w:rsidR="00261542" w:rsidRPr="00462341">
        <w:rPr>
          <w:rFonts w:ascii="Times New Roman" w:hAnsi="Times New Roman" w:cs="Times New Roman"/>
          <w:sz w:val="24"/>
          <w:szCs w:val="24"/>
        </w:rPr>
        <w:t>a</w:t>
      </w:r>
      <w:r w:rsidRPr="00462341">
        <w:rPr>
          <w:rFonts w:ascii="Times New Roman" w:hAnsi="Times New Roman" w:cs="Times New Roman"/>
          <w:sz w:val="24"/>
          <w:szCs w:val="24"/>
        </w:rPr>
        <w:t>irports in 2011 and 2018</w:t>
      </w:r>
    </w:p>
    <w:tbl>
      <w:tblPr>
        <w:tblStyle w:val="TableGrid"/>
        <w:tblW w:w="0" w:type="auto"/>
        <w:tblInd w:w="0" w:type="dxa"/>
        <w:tblLook w:val="04A0" w:firstRow="1" w:lastRow="0" w:firstColumn="1" w:lastColumn="0" w:noHBand="0" w:noVBand="1"/>
      </w:tblPr>
      <w:tblGrid>
        <w:gridCol w:w="2042"/>
        <w:gridCol w:w="1088"/>
        <w:gridCol w:w="1140"/>
        <w:gridCol w:w="1426"/>
        <w:gridCol w:w="1235"/>
        <w:gridCol w:w="1140"/>
        <w:gridCol w:w="1448"/>
      </w:tblGrid>
      <w:tr w:rsidR="00A65CDF" w14:paraId="43C06B29" w14:textId="77777777" w:rsidTr="009738BC">
        <w:trPr>
          <w:trHeight w:val="540"/>
        </w:trPr>
        <w:tc>
          <w:tcPr>
            <w:tcW w:w="2042" w:type="dxa"/>
            <w:vMerge w:val="restart"/>
            <w:vAlign w:val="center"/>
          </w:tcPr>
          <w:p w14:paraId="6AD8D7E0"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Airport</w:t>
            </w:r>
          </w:p>
        </w:tc>
        <w:tc>
          <w:tcPr>
            <w:tcW w:w="3654" w:type="dxa"/>
            <w:gridSpan w:val="3"/>
            <w:vAlign w:val="center"/>
          </w:tcPr>
          <w:p w14:paraId="1BDEA2D7" w14:textId="7D807F9A"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 xml:space="preserve">Air </w:t>
            </w:r>
            <w:r w:rsidR="00462341" w:rsidRPr="002F702D">
              <w:rPr>
                <w:rFonts w:asciiTheme="majorBidi" w:hAnsiTheme="majorBidi" w:cstheme="majorBidi"/>
                <w:b/>
                <w:bCs/>
                <w:sz w:val="20"/>
                <w:szCs w:val="20"/>
              </w:rPr>
              <w:t>t</w:t>
            </w:r>
            <w:r w:rsidRPr="002F702D">
              <w:rPr>
                <w:rFonts w:asciiTheme="majorBidi" w:hAnsiTheme="majorBidi" w:cstheme="majorBidi"/>
                <w:b/>
                <w:bCs/>
                <w:sz w:val="20"/>
                <w:szCs w:val="20"/>
              </w:rPr>
              <w:t xml:space="preserve">ransport </w:t>
            </w:r>
            <w:r w:rsidR="00462341" w:rsidRPr="002F702D">
              <w:rPr>
                <w:rFonts w:asciiTheme="majorBidi" w:hAnsiTheme="majorBidi" w:cstheme="majorBidi"/>
                <w:b/>
                <w:bCs/>
                <w:sz w:val="20"/>
                <w:szCs w:val="20"/>
              </w:rPr>
              <w:t>m</w:t>
            </w:r>
            <w:r w:rsidRPr="002F702D">
              <w:rPr>
                <w:rFonts w:asciiTheme="majorBidi" w:hAnsiTheme="majorBidi" w:cstheme="majorBidi"/>
                <w:b/>
                <w:bCs/>
                <w:sz w:val="20"/>
                <w:szCs w:val="20"/>
              </w:rPr>
              <w:t>ovements</w:t>
            </w:r>
          </w:p>
        </w:tc>
        <w:tc>
          <w:tcPr>
            <w:tcW w:w="3823" w:type="dxa"/>
            <w:gridSpan w:val="3"/>
            <w:vAlign w:val="center"/>
          </w:tcPr>
          <w:p w14:paraId="4719CC53"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Passengers (millions)</w:t>
            </w:r>
          </w:p>
        </w:tc>
      </w:tr>
      <w:tr w:rsidR="00A65CDF" w14:paraId="28712938" w14:textId="77777777" w:rsidTr="009738BC">
        <w:trPr>
          <w:trHeight w:val="441"/>
        </w:trPr>
        <w:tc>
          <w:tcPr>
            <w:tcW w:w="2042" w:type="dxa"/>
            <w:vMerge/>
            <w:vAlign w:val="center"/>
          </w:tcPr>
          <w:p w14:paraId="47DBEA06" w14:textId="77777777" w:rsidR="00A65CDF" w:rsidRPr="002F702D" w:rsidRDefault="00A65CDF" w:rsidP="002F702D">
            <w:pPr>
              <w:jc w:val="center"/>
              <w:rPr>
                <w:rFonts w:asciiTheme="majorBidi" w:hAnsiTheme="majorBidi" w:cstheme="majorBidi"/>
                <w:b/>
                <w:bCs/>
                <w:sz w:val="20"/>
                <w:szCs w:val="20"/>
              </w:rPr>
            </w:pPr>
          </w:p>
        </w:tc>
        <w:tc>
          <w:tcPr>
            <w:tcW w:w="1088" w:type="dxa"/>
            <w:vAlign w:val="center"/>
          </w:tcPr>
          <w:p w14:paraId="5AADB1C2"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2011</w:t>
            </w:r>
          </w:p>
        </w:tc>
        <w:tc>
          <w:tcPr>
            <w:tcW w:w="1140" w:type="dxa"/>
            <w:vAlign w:val="center"/>
          </w:tcPr>
          <w:p w14:paraId="5489478D"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2018</w:t>
            </w:r>
          </w:p>
        </w:tc>
        <w:tc>
          <w:tcPr>
            <w:tcW w:w="1425" w:type="dxa"/>
            <w:vAlign w:val="center"/>
          </w:tcPr>
          <w:p w14:paraId="318AD187"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Change %</w:t>
            </w:r>
          </w:p>
        </w:tc>
        <w:tc>
          <w:tcPr>
            <w:tcW w:w="1235" w:type="dxa"/>
            <w:vAlign w:val="center"/>
          </w:tcPr>
          <w:p w14:paraId="3594F1B3"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2011</w:t>
            </w:r>
          </w:p>
        </w:tc>
        <w:tc>
          <w:tcPr>
            <w:tcW w:w="1140" w:type="dxa"/>
            <w:vAlign w:val="center"/>
          </w:tcPr>
          <w:p w14:paraId="2E0928B6"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2018</w:t>
            </w:r>
          </w:p>
        </w:tc>
        <w:tc>
          <w:tcPr>
            <w:tcW w:w="1447" w:type="dxa"/>
            <w:vAlign w:val="center"/>
          </w:tcPr>
          <w:p w14:paraId="306B88F0"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Change %</w:t>
            </w:r>
          </w:p>
        </w:tc>
      </w:tr>
      <w:tr w:rsidR="00A65CDF" w14:paraId="03DBF9DC" w14:textId="77777777" w:rsidTr="009738BC">
        <w:trPr>
          <w:trHeight w:val="366"/>
        </w:trPr>
        <w:tc>
          <w:tcPr>
            <w:tcW w:w="2042" w:type="dxa"/>
            <w:vAlign w:val="center"/>
          </w:tcPr>
          <w:p w14:paraId="18470E81"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Jeddah</w:t>
            </w:r>
          </w:p>
        </w:tc>
        <w:tc>
          <w:tcPr>
            <w:tcW w:w="1088" w:type="dxa"/>
            <w:vAlign w:val="center"/>
          </w:tcPr>
          <w:p w14:paraId="79043770"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162,838</w:t>
            </w:r>
          </w:p>
        </w:tc>
        <w:tc>
          <w:tcPr>
            <w:tcW w:w="1140" w:type="dxa"/>
            <w:vAlign w:val="center"/>
          </w:tcPr>
          <w:p w14:paraId="31CFB5F4"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233,912</w:t>
            </w:r>
          </w:p>
        </w:tc>
        <w:tc>
          <w:tcPr>
            <w:tcW w:w="1425" w:type="dxa"/>
            <w:vAlign w:val="center"/>
          </w:tcPr>
          <w:p w14:paraId="08842BA2"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43.6%</w:t>
            </w:r>
          </w:p>
        </w:tc>
        <w:tc>
          <w:tcPr>
            <w:tcW w:w="1235" w:type="dxa"/>
            <w:vAlign w:val="center"/>
          </w:tcPr>
          <w:p w14:paraId="518A9F19"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22.897</w:t>
            </w:r>
          </w:p>
        </w:tc>
        <w:tc>
          <w:tcPr>
            <w:tcW w:w="1140" w:type="dxa"/>
            <w:vAlign w:val="center"/>
          </w:tcPr>
          <w:p w14:paraId="4E06533B"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35.822</w:t>
            </w:r>
          </w:p>
        </w:tc>
        <w:tc>
          <w:tcPr>
            <w:tcW w:w="1447" w:type="dxa"/>
            <w:vAlign w:val="center"/>
          </w:tcPr>
          <w:p w14:paraId="63B3CD68"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56.4%</w:t>
            </w:r>
          </w:p>
        </w:tc>
      </w:tr>
      <w:tr w:rsidR="00A65CDF" w14:paraId="7A5AE89C" w14:textId="77777777" w:rsidTr="009738BC">
        <w:trPr>
          <w:trHeight w:val="366"/>
        </w:trPr>
        <w:tc>
          <w:tcPr>
            <w:tcW w:w="2042" w:type="dxa"/>
            <w:vAlign w:val="center"/>
          </w:tcPr>
          <w:p w14:paraId="290D0FB1"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Riyadh</w:t>
            </w:r>
          </w:p>
        </w:tc>
        <w:tc>
          <w:tcPr>
            <w:tcW w:w="1088" w:type="dxa"/>
            <w:vAlign w:val="center"/>
          </w:tcPr>
          <w:p w14:paraId="751FB790"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135,757</w:t>
            </w:r>
          </w:p>
        </w:tc>
        <w:tc>
          <w:tcPr>
            <w:tcW w:w="1140" w:type="dxa"/>
            <w:vAlign w:val="center"/>
          </w:tcPr>
          <w:p w14:paraId="5CD20D57"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206,378</w:t>
            </w:r>
          </w:p>
        </w:tc>
        <w:tc>
          <w:tcPr>
            <w:tcW w:w="1425" w:type="dxa"/>
            <w:vAlign w:val="center"/>
          </w:tcPr>
          <w:p w14:paraId="0156B088"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52.0%</w:t>
            </w:r>
          </w:p>
        </w:tc>
        <w:tc>
          <w:tcPr>
            <w:tcW w:w="1235" w:type="dxa"/>
            <w:vAlign w:val="center"/>
          </w:tcPr>
          <w:p w14:paraId="75BEF06C"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14.888</w:t>
            </w:r>
          </w:p>
        </w:tc>
        <w:tc>
          <w:tcPr>
            <w:tcW w:w="1140" w:type="dxa"/>
            <w:vAlign w:val="center"/>
          </w:tcPr>
          <w:p w14:paraId="391A6715"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27.933</w:t>
            </w:r>
          </w:p>
        </w:tc>
        <w:tc>
          <w:tcPr>
            <w:tcW w:w="1447" w:type="dxa"/>
            <w:vAlign w:val="center"/>
          </w:tcPr>
          <w:p w14:paraId="44F15BC8"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87.6%</w:t>
            </w:r>
          </w:p>
        </w:tc>
      </w:tr>
      <w:tr w:rsidR="00A65CDF" w14:paraId="5B2AC43E" w14:textId="77777777" w:rsidTr="009738BC">
        <w:trPr>
          <w:trHeight w:val="356"/>
        </w:trPr>
        <w:tc>
          <w:tcPr>
            <w:tcW w:w="2042" w:type="dxa"/>
            <w:vAlign w:val="center"/>
          </w:tcPr>
          <w:p w14:paraId="0C9AAA87"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Dammam</w:t>
            </w:r>
          </w:p>
        </w:tc>
        <w:tc>
          <w:tcPr>
            <w:tcW w:w="1088" w:type="dxa"/>
            <w:vAlign w:val="center"/>
          </w:tcPr>
          <w:p w14:paraId="248CA847"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62,060</w:t>
            </w:r>
          </w:p>
        </w:tc>
        <w:tc>
          <w:tcPr>
            <w:tcW w:w="1140" w:type="dxa"/>
            <w:vAlign w:val="center"/>
          </w:tcPr>
          <w:p w14:paraId="43207E37"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92,654</w:t>
            </w:r>
          </w:p>
        </w:tc>
        <w:tc>
          <w:tcPr>
            <w:tcW w:w="1425" w:type="dxa"/>
            <w:vAlign w:val="center"/>
          </w:tcPr>
          <w:p w14:paraId="5096D653"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49.3%</w:t>
            </w:r>
          </w:p>
        </w:tc>
        <w:tc>
          <w:tcPr>
            <w:tcW w:w="1235" w:type="dxa"/>
            <w:vAlign w:val="center"/>
          </w:tcPr>
          <w:p w14:paraId="45A91FE5"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5.531</w:t>
            </w:r>
          </w:p>
        </w:tc>
        <w:tc>
          <w:tcPr>
            <w:tcW w:w="1140" w:type="dxa"/>
            <w:vAlign w:val="center"/>
          </w:tcPr>
          <w:p w14:paraId="043963B2"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10.434</w:t>
            </w:r>
          </w:p>
        </w:tc>
        <w:tc>
          <w:tcPr>
            <w:tcW w:w="1447" w:type="dxa"/>
            <w:vAlign w:val="center"/>
          </w:tcPr>
          <w:p w14:paraId="28B24C6D"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88.6%</w:t>
            </w:r>
          </w:p>
        </w:tc>
      </w:tr>
      <w:tr w:rsidR="00A65CDF" w14:paraId="6341DD0D" w14:textId="77777777" w:rsidTr="009738BC">
        <w:trPr>
          <w:trHeight w:val="356"/>
        </w:trPr>
        <w:tc>
          <w:tcPr>
            <w:tcW w:w="2042" w:type="dxa"/>
            <w:vAlign w:val="center"/>
          </w:tcPr>
          <w:p w14:paraId="12B765C7" w14:textId="77777777" w:rsidR="00A65CDF" w:rsidRPr="002F702D" w:rsidRDefault="00A65CDF" w:rsidP="002F702D">
            <w:pPr>
              <w:jc w:val="center"/>
              <w:rPr>
                <w:rFonts w:asciiTheme="majorBidi" w:hAnsiTheme="majorBidi" w:cstheme="majorBidi"/>
                <w:b/>
                <w:bCs/>
                <w:sz w:val="20"/>
                <w:szCs w:val="20"/>
              </w:rPr>
            </w:pPr>
            <w:r w:rsidRPr="002F702D">
              <w:rPr>
                <w:rFonts w:asciiTheme="majorBidi" w:hAnsiTheme="majorBidi" w:cstheme="majorBidi"/>
                <w:b/>
                <w:bCs/>
                <w:sz w:val="20"/>
                <w:szCs w:val="20"/>
              </w:rPr>
              <w:t>Medina</w:t>
            </w:r>
          </w:p>
        </w:tc>
        <w:tc>
          <w:tcPr>
            <w:tcW w:w="1088" w:type="dxa"/>
            <w:vAlign w:val="center"/>
          </w:tcPr>
          <w:p w14:paraId="20C8424F"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32,315</w:t>
            </w:r>
          </w:p>
        </w:tc>
        <w:tc>
          <w:tcPr>
            <w:tcW w:w="1140" w:type="dxa"/>
            <w:vAlign w:val="center"/>
          </w:tcPr>
          <w:p w14:paraId="3DA4A153"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65,290</w:t>
            </w:r>
          </w:p>
        </w:tc>
        <w:tc>
          <w:tcPr>
            <w:tcW w:w="1425" w:type="dxa"/>
            <w:vAlign w:val="center"/>
          </w:tcPr>
          <w:p w14:paraId="6FCDB1B6"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102.0%</w:t>
            </w:r>
          </w:p>
        </w:tc>
        <w:tc>
          <w:tcPr>
            <w:tcW w:w="1235" w:type="dxa"/>
            <w:vAlign w:val="center"/>
          </w:tcPr>
          <w:p w14:paraId="412774AD"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3.549</w:t>
            </w:r>
          </w:p>
        </w:tc>
        <w:tc>
          <w:tcPr>
            <w:tcW w:w="1140" w:type="dxa"/>
            <w:vAlign w:val="center"/>
          </w:tcPr>
          <w:p w14:paraId="21B3D782"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8.784</w:t>
            </w:r>
          </w:p>
        </w:tc>
        <w:tc>
          <w:tcPr>
            <w:tcW w:w="1447" w:type="dxa"/>
            <w:vAlign w:val="center"/>
          </w:tcPr>
          <w:p w14:paraId="0B5F54B8" w14:textId="77777777" w:rsidR="00A65CDF" w:rsidRPr="00462341" w:rsidRDefault="00A65CDF" w:rsidP="002F702D">
            <w:pPr>
              <w:jc w:val="center"/>
              <w:rPr>
                <w:rFonts w:asciiTheme="majorBidi" w:hAnsiTheme="majorBidi" w:cstheme="majorBidi"/>
                <w:sz w:val="20"/>
                <w:szCs w:val="20"/>
              </w:rPr>
            </w:pPr>
            <w:r w:rsidRPr="00462341">
              <w:rPr>
                <w:rFonts w:asciiTheme="majorBidi" w:hAnsiTheme="majorBidi" w:cstheme="majorBidi"/>
                <w:sz w:val="20"/>
                <w:szCs w:val="20"/>
              </w:rPr>
              <w:t>147.5%</w:t>
            </w:r>
          </w:p>
        </w:tc>
      </w:tr>
    </w:tbl>
    <w:p w14:paraId="78839402" w14:textId="48A92062" w:rsidR="0096385D" w:rsidRPr="00345605" w:rsidRDefault="0096385D" w:rsidP="002F702D">
      <w:pPr>
        <w:pStyle w:val="Caption"/>
        <w:spacing w:before="240"/>
        <w:rPr>
          <w:rFonts w:ascii="Times New Roman" w:hAnsi="Times New Roman" w:cs="Times New Roman"/>
          <w:i w:val="0"/>
          <w:iCs w:val="0"/>
          <w:color w:val="auto"/>
          <w:sz w:val="22"/>
          <w:szCs w:val="22"/>
          <w:lang w:val="en-US"/>
        </w:rPr>
      </w:pPr>
      <w:r w:rsidRPr="00345605">
        <w:rPr>
          <w:rFonts w:ascii="Times New Roman" w:hAnsi="Times New Roman" w:cs="Times New Roman"/>
          <w:color w:val="auto"/>
          <w:sz w:val="22"/>
          <w:szCs w:val="22"/>
          <w:lang w:val="en-US"/>
        </w:rPr>
        <w:t xml:space="preserve">Source: </w:t>
      </w:r>
      <w:r w:rsidRPr="00345605">
        <w:rPr>
          <w:rFonts w:ascii="Times New Roman" w:hAnsi="Times New Roman" w:cs="Times New Roman"/>
          <w:i w:val="0"/>
          <w:iCs w:val="0"/>
          <w:color w:val="auto"/>
          <w:sz w:val="22"/>
          <w:szCs w:val="22"/>
          <w:lang w:val="en-US"/>
        </w:rPr>
        <w:t xml:space="preserve">author's calculation according to </w:t>
      </w:r>
      <w:r w:rsidR="00345605">
        <w:rPr>
          <w:rFonts w:ascii="Times New Roman" w:hAnsi="Times New Roman" w:cs="Times New Roman"/>
          <w:i w:val="0"/>
          <w:iCs w:val="0"/>
          <w:color w:val="auto"/>
          <w:sz w:val="22"/>
          <w:szCs w:val="22"/>
          <w:lang w:val="en-US"/>
        </w:rPr>
        <w:t>GACA</w:t>
      </w:r>
      <w:r w:rsidR="00345605" w:rsidRPr="00345605">
        <w:rPr>
          <w:rFonts w:ascii="Times New Roman" w:hAnsi="Times New Roman" w:cs="Times New Roman"/>
          <w:i w:val="0"/>
          <w:iCs w:val="0"/>
          <w:color w:val="auto"/>
          <w:sz w:val="22"/>
          <w:szCs w:val="22"/>
          <w:lang w:val="en-US"/>
        </w:rPr>
        <w:t xml:space="preserve"> </w:t>
      </w:r>
      <w:r w:rsidR="004A12E7">
        <w:rPr>
          <w:rFonts w:ascii="Times New Roman" w:hAnsi="Times New Roman" w:cs="Times New Roman"/>
          <w:i w:val="0"/>
          <w:iCs w:val="0"/>
          <w:color w:val="auto"/>
          <w:sz w:val="22"/>
          <w:szCs w:val="22"/>
          <w:lang w:val="en-US"/>
        </w:rPr>
        <w:t>a</w:t>
      </w:r>
      <w:r w:rsidR="00345605" w:rsidRPr="00345605">
        <w:rPr>
          <w:rFonts w:ascii="Times New Roman" w:hAnsi="Times New Roman" w:cs="Times New Roman"/>
          <w:i w:val="0"/>
          <w:iCs w:val="0"/>
          <w:color w:val="auto"/>
          <w:sz w:val="22"/>
          <w:szCs w:val="22"/>
          <w:lang w:val="en-US"/>
        </w:rPr>
        <w:t>nnual reports</w:t>
      </w:r>
      <w:r w:rsidR="00345605">
        <w:rPr>
          <w:rFonts w:ascii="Times New Roman" w:hAnsi="Times New Roman" w:cs="Times New Roman"/>
          <w:i w:val="0"/>
          <w:iCs w:val="0"/>
          <w:color w:val="auto"/>
          <w:sz w:val="22"/>
          <w:szCs w:val="22"/>
          <w:lang w:val="en-US"/>
        </w:rPr>
        <w:t>.</w:t>
      </w:r>
    </w:p>
    <w:p w14:paraId="70CA1D20" w14:textId="105519F0" w:rsidR="00A65CDF" w:rsidRDefault="00A65CDF" w:rsidP="0008496D">
      <w:pPr>
        <w:suppressAutoHyphens/>
        <w:spacing w:before="240" w:line="360" w:lineRule="auto"/>
        <w:ind w:firstLine="567"/>
        <w:jc w:val="both"/>
        <w:rPr>
          <w:rFonts w:ascii="Times New Roman" w:hAnsi="Times New Roman" w:cs="Times New Roman"/>
          <w:sz w:val="24"/>
          <w:szCs w:val="24"/>
        </w:rPr>
      </w:pPr>
      <w:r w:rsidRPr="00AE2276">
        <w:rPr>
          <w:rFonts w:ascii="Times New Roman" w:hAnsi="Times New Roman" w:cs="Times New Roman"/>
          <w:sz w:val="24"/>
          <w:szCs w:val="24"/>
        </w:rPr>
        <w:t>The General Authority of Civil Aviation of Saudi Arabia (GACA</w:t>
      </w:r>
      <w:r>
        <w:rPr>
          <w:rFonts w:ascii="Times New Roman" w:hAnsi="Times New Roman" w:cs="Times New Roman"/>
          <w:sz w:val="24"/>
          <w:szCs w:val="24"/>
        </w:rPr>
        <w:t>) i</w:t>
      </w:r>
      <w:r w:rsidRPr="00AE2276">
        <w:rPr>
          <w:rFonts w:ascii="Times New Roman" w:hAnsi="Times New Roman" w:cs="Times New Roman"/>
          <w:sz w:val="24"/>
          <w:szCs w:val="24"/>
        </w:rPr>
        <w:t>s the statutory authority charged with civil aviation</w:t>
      </w:r>
      <w:r>
        <w:rPr>
          <w:rFonts w:ascii="Times New Roman" w:hAnsi="Times New Roman" w:cs="Times New Roman"/>
          <w:sz w:val="24"/>
          <w:szCs w:val="24"/>
        </w:rPr>
        <w:t xml:space="preserve">. </w:t>
      </w:r>
      <w:r w:rsidRPr="00AE2276">
        <w:rPr>
          <w:rFonts w:ascii="Times New Roman" w:hAnsi="Times New Roman" w:cs="Times New Roman"/>
          <w:sz w:val="24"/>
          <w:szCs w:val="24"/>
        </w:rPr>
        <w:t>As well as owning airports, i</w:t>
      </w:r>
      <w:r>
        <w:rPr>
          <w:rFonts w:ascii="Times New Roman" w:hAnsi="Times New Roman" w:cs="Times New Roman"/>
          <w:sz w:val="24"/>
          <w:szCs w:val="24"/>
        </w:rPr>
        <w:t xml:space="preserve">t is </w:t>
      </w:r>
      <w:r w:rsidRPr="00AE2276">
        <w:rPr>
          <w:rFonts w:ascii="Times New Roman" w:hAnsi="Times New Roman" w:cs="Times New Roman"/>
          <w:sz w:val="24"/>
          <w:szCs w:val="24"/>
        </w:rPr>
        <w:t>also responsible for air traffic regulation</w:t>
      </w:r>
      <w:r>
        <w:rPr>
          <w:rFonts w:ascii="Times New Roman" w:hAnsi="Times New Roman" w:cs="Times New Roman"/>
          <w:sz w:val="24"/>
          <w:szCs w:val="24"/>
        </w:rPr>
        <w:t xml:space="preserve">. </w:t>
      </w:r>
      <w:r w:rsidRPr="00AE2276">
        <w:rPr>
          <w:rFonts w:ascii="Times New Roman" w:hAnsi="Times New Roman" w:cs="Times New Roman"/>
          <w:sz w:val="24"/>
          <w:szCs w:val="24"/>
        </w:rPr>
        <w:t xml:space="preserve">In 2007, at the behest of the Government, GACA undertook an initial phase of airport privatisation </w:t>
      </w:r>
      <w:r w:rsidRPr="00AE2276">
        <w:rPr>
          <w:rFonts w:ascii="Times New Roman" w:hAnsi="Times New Roman" w:cs="Times New Roman"/>
          <w:sz w:val="24"/>
          <w:szCs w:val="24"/>
        </w:rPr>
        <w:lastRenderedPageBreak/>
        <w:t>using various public-private partnership models, deploying a mix of relatively short-term limited scope management contracts and more extensive project finance/BTO transactions.</w:t>
      </w:r>
      <w:r>
        <w:rPr>
          <w:rStyle w:val="FootnoteReference"/>
          <w:rFonts w:ascii="Times New Roman" w:hAnsi="Times New Roman" w:cs="Times New Roman"/>
          <w:sz w:val="24"/>
          <w:szCs w:val="24"/>
        </w:rPr>
        <w:footnoteReference w:id="54"/>
      </w:r>
    </w:p>
    <w:p w14:paraId="14CC59ED" w14:textId="20B20AAE" w:rsidR="00A65CDF" w:rsidRPr="00E27BCB" w:rsidRDefault="00A65CDF" w:rsidP="0008496D">
      <w:pPr>
        <w:suppressAutoHyphens/>
        <w:spacing w:before="240" w:line="360" w:lineRule="auto"/>
        <w:ind w:firstLine="567"/>
        <w:jc w:val="both"/>
        <w:rPr>
          <w:rFonts w:ascii="Times New Roman" w:hAnsi="Times New Roman" w:cs="Times New Roman"/>
          <w:sz w:val="24"/>
          <w:szCs w:val="24"/>
        </w:rPr>
      </w:pPr>
      <w:r w:rsidRPr="00E27BCB">
        <w:rPr>
          <w:rFonts w:ascii="Times New Roman" w:hAnsi="Times New Roman" w:cs="Times New Roman"/>
          <w:sz w:val="24"/>
          <w:szCs w:val="24"/>
        </w:rPr>
        <w:t>Madinah in Saudi Arabia</w:t>
      </w:r>
      <w:r w:rsidR="00304A39">
        <w:rPr>
          <w:rFonts w:ascii="Times New Roman" w:hAnsi="Times New Roman" w:cs="Times New Roman"/>
          <w:sz w:val="24"/>
          <w:szCs w:val="24"/>
        </w:rPr>
        <w:t>,</w:t>
      </w:r>
      <w:r w:rsidRPr="00E27BCB">
        <w:rPr>
          <w:rFonts w:ascii="Times New Roman" w:hAnsi="Times New Roman" w:cs="Times New Roman"/>
          <w:sz w:val="24"/>
          <w:szCs w:val="24"/>
        </w:rPr>
        <w:t xml:space="preserve"> is the second most important Islamic destination after Mecca. The Prince Mohammed Bin Abdul-Aziz International Airport, which serves the Madinah region, </w:t>
      </w:r>
      <w:r>
        <w:rPr>
          <w:rFonts w:ascii="Times New Roman" w:hAnsi="Times New Roman" w:cs="Times New Roman"/>
          <w:sz w:val="24"/>
          <w:szCs w:val="24"/>
        </w:rPr>
        <w:t>was working with its maximum capacity of 3.5 million passenger</w:t>
      </w:r>
      <w:r w:rsidR="006F0309">
        <w:rPr>
          <w:rFonts w:ascii="Times New Roman" w:hAnsi="Times New Roman" w:cs="Times New Roman"/>
          <w:sz w:val="24"/>
          <w:szCs w:val="24"/>
        </w:rPr>
        <w:t>s</w:t>
      </w:r>
      <w:r>
        <w:rPr>
          <w:rFonts w:ascii="Times New Roman" w:hAnsi="Times New Roman" w:cs="Times New Roman"/>
          <w:sz w:val="24"/>
          <w:szCs w:val="24"/>
        </w:rPr>
        <w:t xml:space="preserve"> per year in 2011</w:t>
      </w:r>
      <w:r w:rsidR="00F0450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27BCB">
        <w:rPr>
          <w:rFonts w:ascii="Times New Roman" w:hAnsi="Times New Roman" w:cs="Times New Roman"/>
          <w:sz w:val="24"/>
          <w:szCs w:val="24"/>
        </w:rPr>
        <w:t>has not been able to adequately cater to the growing numbers of passengers due to inadequate infrastruc</w:t>
      </w:r>
      <w:r w:rsidRPr="00E27BCB">
        <w:rPr>
          <w:rFonts w:ascii="Times New Roman" w:hAnsi="Times New Roman" w:cs="Times New Roman"/>
          <w:sz w:val="24"/>
          <w:szCs w:val="24"/>
        </w:rPr>
        <w:softHyphen/>
        <w:t>ture.</w:t>
      </w:r>
    </w:p>
    <w:p w14:paraId="7EA291F7" w14:textId="55181750" w:rsidR="00A65CDF" w:rsidRDefault="00304A39" w:rsidP="0008496D">
      <w:pPr>
        <w:suppressAutoHyphens/>
        <w:spacing w:before="240" w:line="360" w:lineRule="auto"/>
        <w:ind w:firstLine="567"/>
        <w:jc w:val="both"/>
        <w:rPr>
          <w:rFonts w:ascii="Times New Roman" w:hAnsi="Times New Roman" w:cs="Times New Roman"/>
          <w:sz w:val="24"/>
          <w:szCs w:val="24"/>
        </w:rPr>
      </w:pPr>
      <w:r w:rsidRPr="00304A39">
        <w:rPr>
          <w:rFonts w:ascii="Times New Roman" w:hAnsi="Times New Roman" w:cs="Times New Roman"/>
          <w:sz w:val="24"/>
          <w:szCs w:val="24"/>
        </w:rPr>
        <w:t>Medina is the destination of Muslims in the Umrah season, extending throughout the year and reaching its peak in the month of Ramadan</w:t>
      </w:r>
      <w:r w:rsidR="00A65CDF" w:rsidRPr="00E27BCB">
        <w:rPr>
          <w:rFonts w:ascii="Times New Roman" w:hAnsi="Times New Roman" w:cs="Times New Roman"/>
          <w:sz w:val="24"/>
          <w:szCs w:val="24"/>
        </w:rPr>
        <w:t>. Before it was transformed into an international airport in 2012, Medina Airport had been facilitating the access of pilgrims to the Holy City either through domestic services or through a limited volume of international flights scheduled during the Hajj season</w:t>
      </w:r>
      <w:r w:rsidR="003129A9">
        <w:rPr>
          <w:rFonts w:ascii="Times New Roman" w:hAnsi="Times New Roman" w:cs="Times New Roman"/>
          <w:sz w:val="24"/>
          <w:szCs w:val="24"/>
        </w:rPr>
        <w:t>.</w:t>
      </w:r>
      <w:r w:rsidR="00A65CDF" w:rsidRPr="00E27BCB">
        <w:rPr>
          <w:rFonts w:ascii="Times New Roman" w:hAnsi="Times New Roman" w:cs="Times New Roman"/>
          <w:sz w:val="24"/>
          <w:szCs w:val="24"/>
        </w:rPr>
        <w:t xml:space="preserve"> The airport is a </w:t>
      </w:r>
      <w:r w:rsidR="00F0450F">
        <w:rPr>
          <w:rFonts w:ascii="Times New Roman" w:hAnsi="Times New Roman" w:cs="Times New Roman"/>
          <w:sz w:val="24"/>
          <w:szCs w:val="24"/>
        </w:rPr>
        <w:t>vital</w:t>
      </w:r>
      <w:r w:rsidR="00A65CDF" w:rsidRPr="00E27BCB">
        <w:rPr>
          <w:rFonts w:ascii="Times New Roman" w:hAnsi="Times New Roman" w:cs="Times New Roman"/>
          <w:sz w:val="24"/>
          <w:szCs w:val="24"/>
        </w:rPr>
        <w:t xml:space="preserve"> asset to the local economy</w:t>
      </w:r>
      <w:r w:rsidR="00F0450F">
        <w:rPr>
          <w:rFonts w:ascii="Times New Roman" w:hAnsi="Times New Roman" w:cs="Times New Roman"/>
          <w:sz w:val="24"/>
          <w:szCs w:val="24"/>
        </w:rPr>
        <w:t xml:space="preserve">, </w:t>
      </w:r>
      <w:r w:rsidR="00A65CDF" w:rsidRPr="00E27BCB">
        <w:rPr>
          <w:rFonts w:ascii="Times New Roman" w:hAnsi="Times New Roman" w:cs="Times New Roman"/>
          <w:sz w:val="24"/>
          <w:szCs w:val="24"/>
        </w:rPr>
        <w:t>which depends heavily on inbound religious tourism</w:t>
      </w:r>
      <w:r w:rsidR="00A65CDF">
        <w:rPr>
          <w:rFonts w:ascii="Times New Roman" w:hAnsi="Times New Roman" w:cs="Times New Roman"/>
          <w:sz w:val="24"/>
          <w:szCs w:val="24"/>
        </w:rPr>
        <w:t>.</w:t>
      </w:r>
      <w:r w:rsidR="00A65CDF">
        <w:rPr>
          <w:rStyle w:val="FootnoteReference"/>
          <w:rFonts w:ascii="Times New Roman" w:hAnsi="Times New Roman" w:cs="Times New Roman"/>
          <w:sz w:val="24"/>
          <w:szCs w:val="24"/>
        </w:rPr>
        <w:footnoteReference w:id="55"/>
      </w:r>
    </w:p>
    <w:p w14:paraId="3DC6ABC3" w14:textId="3471AF9C" w:rsidR="00A65CDF" w:rsidRDefault="00A65CDF" w:rsidP="0008496D">
      <w:pPr>
        <w:suppressAutoHyphens/>
        <w:spacing w:before="240" w:line="360" w:lineRule="auto"/>
        <w:ind w:firstLine="567"/>
        <w:jc w:val="both"/>
        <w:rPr>
          <w:rFonts w:ascii="Times New Roman" w:hAnsi="Times New Roman" w:cs="Times New Roman"/>
          <w:sz w:val="24"/>
          <w:szCs w:val="24"/>
        </w:rPr>
      </w:pPr>
      <w:r w:rsidRPr="00E27BCB">
        <w:rPr>
          <w:rFonts w:ascii="Times New Roman" w:hAnsi="Times New Roman" w:cs="Times New Roman"/>
          <w:sz w:val="24"/>
          <w:szCs w:val="24"/>
        </w:rPr>
        <w:t>In August 2011 t</w:t>
      </w:r>
      <w:r w:rsidRPr="008B6F74">
        <w:rPr>
          <w:rFonts w:ascii="Times New Roman" w:hAnsi="Times New Roman" w:cs="Times New Roman"/>
          <w:sz w:val="24"/>
          <w:szCs w:val="24"/>
        </w:rPr>
        <w:t>he Turkish airport operator</w:t>
      </w:r>
      <w:r w:rsidR="003129A9">
        <w:rPr>
          <w:rFonts w:ascii="Times New Roman" w:hAnsi="Times New Roman" w:cs="Times New Roman"/>
          <w:sz w:val="24"/>
          <w:szCs w:val="24"/>
        </w:rPr>
        <w:t xml:space="preserve"> </w:t>
      </w:r>
      <w:r w:rsidRPr="008B6F74">
        <w:rPr>
          <w:rFonts w:ascii="Times New Roman" w:hAnsi="Times New Roman" w:cs="Times New Roman"/>
          <w:sz w:val="24"/>
          <w:szCs w:val="24"/>
        </w:rPr>
        <w:t>TAV</w:t>
      </w:r>
      <w:r w:rsidR="003129A9">
        <w:rPr>
          <w:rFonts w:ascii="Times New Roman" w:hAnsi="Times New Roman" w:cs="Times New Roman"/>
          <w:sz w:val="24"/>
          <w:szCs w:val="24"/>
        </w:rPr>
        <w:t xml:space="preserve"> </w:t>
      </w:r>
      <w:r w:rsidRPr="008B6F74">
        <w:rPr>
          <w:rFonts w:ascii="Times New Roman" w:hAnsi="Times New Roman" w:cs="Times New Roman"/>
          <w:sz w:val="24"/>
          <w:szCs w:val="24"/>
        </w:rPr>
        <w:t>led the Tibah consortium</w:t>
      </w:r>
      <w:r>
        <w:rPr>
          <w:rFonts w:ascii="Times New Roman" w:hAnsi="Times New Roman" w:cs="Times New Roman"/>
          <w:sz w:val="24"/>
          <w:szCs w:val="24"/>
        </w:rPr>
        <w:t xml:space="preserve"> (</w:t>
      </w:r>
      <w:r w:rsidRPr="008B6F74">
        <w:rPr>
          <w:rFonts w:ascii="Times New Roman" w:hAnsi="Times New Roman" w:cs="Times New Roman"/>
          <w:sz w:val="24"/>
          <w:szCs w:val="24"/>
        </w:rPr>
        <w:t xml:space="preserve">TAV Holdings of Turkey, Al Rajhi Holding Group and Saudi </w:t>
      </w:r>
      <w:proofErr w:type="spellStart"/>
      <w:r w:rsidRPr="008B6F74">
        <w:rPr>
          <w:rFonts w:ascii="Times New Roman" w:hAnsi="Times New Roman" w:cs="Times New Roman"/>
          <w:sz w:val="24"/>
          <w:szCs w:val="24"/>
        </w:rPr>
        <w:t>Oger</w:t>
      </w:r>
      <w:proofErr w:type="spellEnd"/>
      <w:r w:rsidRPr="008B6F74">
        <w:rPr>
          <w:rFonts w:ascii="Times New Roman" w:hAnsi="Times New Roman" w:cs="Times New Roman"/>
          <w:sz w:val="24"/>
          <w:szCs w:val="24"/>
        </w:rPr>
        <w:t>, both from Saudi Arabia)</w:t>
      </w:r>
      <w:r w:rsidR="003129A9">
        <w:rPr>
          <w:rFonts w:ascii="Times New Roman" w:hAnsi="Times New Roman" w:cs="Times New Roman"/>
          <w:sz w:val="24"/>
          <w:szCs w:val="24"/>
        </w:rPr>
        <w:t xml:space="preserve">, </w:t>
      </w:r>
      <w:r w:rsidR="00DE1FD5">
        <w:rPr>
          <w:rFonts w:ascii="Times New Roman" w:hAnsi="Times New Roman" w:cs="Times New Roman"/>
          <w:sz w:val="24"/>
          <w:szCs w:val="24"/>
        </w:rPr>
        <w:t>was</w:t>
      </w:r>
      <w:r w:rsidRPr="008B6F74">
        <w:rPr>
          <w:rFonts w:ascii="Times New Roman" w:hAnsi="Times New Roman" w:cs="Times New Roman"/>
          <w:sz w:val="24"/>
          <w:szCs w:val="24"/>
        </w:rPr>
        <w:t xml:space="preserve"> awarded the contract to build and operate the airport and then transferring it to the GACA after 25 years (the period of the concession agreement).</w:t>
      </w:r>
      <w:r w:rsidRPr="00283395">
        <w:rPr>
          <w:rFonts w:ascii="Times New Roman" w:hAnsi="Times New Roman" w:cs="Times New Roman"/>
          <w:sz w:val="24"/>
          <w:szCs w:val="24"/>
          <w:vertAlign w:val="superscript"/>
        </w:rPr>
        <w:footnoteReference w:id="56"/>
      </w:r>
      <w:r>
        <w:rPr>
          <w:rFonts w:ascii="Times New Roman" w:hAnsi="Times New Roman" w:cs="Times New Roman"/>
          <w:sz w:val="24"/>
          <w:szCs w:val="24"/>
        </w:rPr>
        <w:t xml:space="preserve"> </w:t>
      </w:r>
      <w:r w:rsidR="000E1D62" w:rsidRPr="000E1D62">
        <w:rPr>
          <w:rFonts w:ascii="Times New Roman" w:hAnsi="Times New Roman" w:cs="Times New Roman"/>
          <w:sz w:val="24"/>
          <w:szCs w:val="24"/>
        </w:rPr>
        <w:t>Under the terms of the BTO contract, Tibah was committed to building and expanding a new terminal facility and other facilities within three years;</w:t>
      </w:r>
      <w:r w:rsidR="000E1D62">
        <w:rPr>
          <w:rFonts w:ascii="Times New Roman" w:hAnsi="Times New Roman" w:cs="Times New Roman"/>
          <w:sz w:val="24"/>
          <w:szCs w:val="24"/>
        </w:rPr>
        <w:t xml:space="preserve"> </w:t>
      </w:r>
      <w:r w:rsidR="003129A9">
        <w:rPr>
          <w:rFonts w:ascii="Times New Roman" w:hAnsi="Times New Roman" w:cs="Times New Roman"/>
          <w:sz w:val="24"/>
          <w:szCs w:val="24"/>
        </w:rPr>
        <w:t>i</w:t>
      </w:r>
      <w:r>
        <w:rPr>
          <w:rFonts w:ascii="Times New Roman" w:hAnsi="Times New Roman" w:cs="Times New Roman"/>
          <w:sz w:val="24"/>
          <w:szCs w:val="24"/>
        </w:rPr>
        <w:t>t should also give 54.5% of the annual turnover of the airport operations to GACA as a concession fee</w:t>
      </w:r>
      <w:r w:rsidR="003129A9">
        <w:rPr>
          <w:rFonts w:ascii="Times New Roman" w:hAnsi="Times New Roman" w:cs="Times New Roman"/>
          <w:sz w:val="24"/>
          <w:szCs w:val="24"/>
        </w:rPr>
        <w:t>.</w:t>
      </w:r>
      <w:r>
        <w:rPr>
          <w:rFonts w:ascii="Times New Roman" w:hAnsi="Times New Roman" w:cs="Times New Roman"/>
          <w:sz w:val="24"/>
          <w:szCs w:val="24"/>
        </w:rPr>
        <w:t xml:space="preserve"> </w:t>
      </w:r>
      <w:r w:rsidR="003129A9">
        <w:rPr>
          <w:rFonts w:ascii="Times New Roman" w:hAnsi="Times New Roman" w:cs="Times New Roman"/>
          <w:sz w:val="24"/>
          <w:szCs w:val="24"/>
        </w:rPr>
        <w:t>T</w:t>
      </w:r>
      <w:r>
        <w:rPr>
          <w:rFonts w:ascii="Times New Roman" w:hAnsi="Times New Roman" w:cs="Times New Roman"/>
          <w:sz w:val="24"/>
          <w:szCs w:val="24"/>
        </w:rPr>
        <w:t xml:space="preserve">his </w:t>
      </w:r>
      <w:r w:rsidRPr="001B1556">
        <w:rPr>
          <w:rFonts w:ascii="Times New Roman" w:hAnsi="Times New Roman" w:cs="Times New Roman"/>
          <w:sz w:val="24"/>
          <w:szCs w:val="24"/>
        </w:rPr>
        <w:t xml:space="preserve">concession </w:t>
      </w:r>
      <w:r>
        <w:rPr>
          <w:rFonts w:ascii="Times New Roman" w:hAnsi="Times New Roman" w:cs="Times New Roman"/>
          <w:sz w:val="24"/>
          <w:szCs w:val="24"/>
        </w:rPr>
        <w:t>will</w:t>
      </w:r>
      <w:r w:rsidRPr="001B1556">
        <w:rPr>
          <w:rFonts w:ascii="Times New Roman" w:hAnsi="Times New Roman" w:cs="Times New Roman"/>
          <w:sz w:val="24"/>
          <w:szCs w:val="24"/>
        </w:rPr>
        <w:t xml:space="preserve"> </w:t>
      </w:r>
      <w:r w:rsidR="006F0309">
        <w:rPr>
          <w:rFonts w:ascii="Times New Roman" w:hAnsi="Times New Roman" w:cs="Times New Roman"/>
          <w:sz w:val="24"/>
          <w:szCs w:val="24"/>
        </w:rPr>
        <w:t xml:space="preserve">be </w:t>
      </w:r>
      <w:r w:rsidRPr="001B1556">
        <w:rPr>
          <w:rFonts w:ascii="Times New Roman" w:hAnsi="Times New Roman" w:cs="Times New Roman"/>
          <w:sz w:val="24"/>
          <w:szCs w:val="24"/>
        </w:rPr>
        <w:t>reduced to 27.25% for the first two years that follow completion of the construction of the new terminal in Q2 2015</w:t>
      </w:r>
      <w:r>
        <w:rPr>
          <w:rFonts w:ascii="Times New Roman" w:hAnsi="Times New Roman" w:cs="Times New Roman"/>
          <w:sz w:val="24"/>
          <w:szCs w:val="24"/>
        </w:rPr>
        <w:t xml:space="preserve">. </w:t>
      </w:r>
      <w:r w:rsidRPr="00E27BCB">
        <w:rPr>
          <w:rFonts w:ascii="Times New Roman" w:hAnsi="Times New Roman" w:cs="Times New Roman"/>
          <w:sz w:val="24"/>
          <w:szCs w:val="24"/>
        </w:rPr>
        <w:t>The project was designed in two phases, to increase capacity from 4</w:t>
      </w:r>
      <w:r w:rsidR="006F0309">
        <w:rPr>
          <w:rFonts w:ascii="Times New Roman" w:hAnsi="Times New Roman" w:cs="Times New Roman"/>
          <w:sz w:val="24"/>
          <w:szCs w:val="24"/>
        </w:rPr>
        <w:t>-</w:t>
      </w:r>
      <w:r w:rsidRPr="00E27BCB">
        <w:rPr>
          <w:rFonts w:ascii="Times New Roman" w:hAnsi="Times New Roman" w:cs="Times New Roman"/>
          <w:sz w:val="24"/>
          <w:szCs w:val="24"/>
        </w:rPr>
        <w:t xml:space="preserve">5 to 8 million passengers a year when the first phase was completed in 2015, with </w:t>
      </w:r>
      <w:r w:rsidR="006F0309">
        <w:rPr>
          <w:rFonts w:ascii="Times New Roman" w:hAnsi="Times New Roman" w:cs="Times New Roman"/>
          <w:sz w:val="24"/>
          <w:szCs w:val="24"/>
        </w:rPr>
        <w:t xml:space="preserve">the </w:t>
      </w:r>
      <w:r w:rsidRPr="00E27BCB">
        <w:rPr>
          <w:rFonts w:ascii="Times New Roman" w:hAnsi="Times New Roman" w:cs="Times New Roman"/>
          <w:sz w:val="24"/>
          <w:szCs w:val="24"/>
        </w:rPr>
        <w:t>potential for further expansion to 16-18 million by 2037.</w:t>
      </w:r>
    </w:p>
    <w:p w14:paraId="09B83B93" w14:textId="490AB88C" w:rsidR="00A65CDF" w:rsidRPr="00E27BCB" w:rsidRDefault="00A65CDF" w:rsidP="0008496D">
      <w:pPr>
        <w:suppressAutoHyphens/>
        <w:spacing w:before="240" w:line="360" w:lineRule="auto"/>
        <w:ind w:firstLine="567"/>
        <w:jc w:val="both"/>
        <w:rPr>
          <w:rFonts w:ascii="Times New Roman" w:hAnsi="Times New Roman" w:cs="Times New Roman"/>
          <w:sz w:val="24"/>
          <w:szCs w:val="24"/>
        </w:rPr>
      </w:pPr>
      <w:r w:rsidRPr="00E27BCB">
        <w:rPr>
          <w:rFonts w:ascii="Times New Roman" w:hAnsi="Times New Roman" w:cs="Times New Roman"/>
          <w:sz w:val="24"/>
          <w:szCs w:val="24"/>
        </w:rPr>
        <w:t>International Finance Corporation IFC was the lead adviser to GACA and recommended a build-transfer-operate (BTO) structure in a 25-year concession. This structure would keep ownership of assets in government hands, as required by GACA</w:t>
      </w:r>
      <w:r w:rsidR="00D70158">
        <w:rPr>
          <w:rFonts w:ascii="Times New Roman" w:hAnsi="Times New Roman" w:cs="Times New Roman"/>
          <w:sz w:val="24"/>
          <w:szCs w:val="24"/>
        </w:rPr>
        <w:t>, e</w:t>
      </w:r>
      <w:r w:rsidRPr="00E27BCB">
        <w:rPr>
          <w:rFonts w:ascii="Times New Roman" w:hAnsi="Times New Roman" w:cs="Times New Roman"/>
          <w:sz w:val="24"/>
          <w:szCs w:val="24"/>
        </w:rPr>
        <w:t>nsuring that private sector partners would contribute funding and expertise for a world-class international airport</w:t>
      </w:r>
      <w:r w:rsidR="00D70158">
        <w:rPr>
          <w:rFonts w:ascii="Times New Roman" w:hAnsi="Times New Roman" w:cs="Times New Roman"/>
          <w:sz w:val="24"/>
          <w:szCs w:val="24"/>
        </w:rPr>
        <w:t>.</w:t>
      </w:r>
      <w:r>
        <w:rPr>
          <w:rFonts w:ascii="Times New Roman" w:hAnsi="Times New Roman" w:cs="Times New Roman"/>
          <w:sz w:val="24"/>
          <w:szCs w:val="24"/>
        </w:rPr>
        <w:t xml:space="preserve"> </w:t>
      </w:r>
      <w:r w:rsidR="00D70158">
        <w:rPr>
          <w:rFonts w:ascii="Times New Roman" w:hAnsi="Times New Roman" w:cs="Times New Roman"/>
          <w:sz w:val="24"/>
          <w:szCs w:val="24"/>
        </w:rPr>
        <w:t>It was</w:t>
      </w:r>
      <w:r w:rsidRPr="00E27BCB">
        <w:rPr>
          <w:rFonts w:ascii="Times New Roman" w:hAnsi="Times New Roman" w:cs="Times New Roman"/>
          <w:sz w:val="24"/>
          <w:szCs w:val="24"/>
        </w:rPr>
        <w:t xml:space="preserve"> officially commenced in June 2012</w:t>
      </w:r>
      <w:r w:rsidR="00F0450F">
        <w:rPr>
          <w:rFonts w:ascii="Times New Roman" w:hAnsi="Times New Roman" w:cs="Times New Roman"/>
          <w:sz w:val="24"/>
          <w:szCs w:val="24"/>
        </w:rPr>
        <w:t>,</w:t>
      </w:r>
      <w:r>
        <w:rPr>
          <w:rFonts w:ascii="Times New Roman" w:hAnsi="Times New Roman" w:cs="Times New Roman"/>
          <w:sz w:val="24"/>
          <w:szCs w:val="24"/>
        </w:rPr>
        <w:t xml:space="preserve"> and </w:t>
      </w:r>
      <w:r w:rsidRPr="00735E56">
        <w:rPr>
          <w:rFonts w:ascii="Times New Roman" w:hAnsi="Times New Roman" w:cs="Times New Roman"/>
          <w:sz w:val="24"/>
          <w:szCs w:val="24"/>
        </w:rPr>
        <w:t>the airport handover was completed</w:t>
      </w:r>
      <w:r>
        <w:rPr>
          <w:rFonts w:ascii="Times New Roman" w:hAnsi="Times New Roman" w:cs="Times New Roman"/>
          <w:sz w:val="24"/>
          <w:szCs w:val="24"/>
        </w:rPr>
        <w:t xml:space="preserve">. </w:t>
      </w:r>
      <w:r w:rsidRPr="00BB17E0">
        <w:rPr>
          <w:rFonts w:ascii="Times New Roman" w:hAnsi="Times New Roman" w:cs="Times New Roman"/>
          <w:sz w:val="24"/>
          <w:szCs w:val="24"/>
        </w:rPr>
        <w:t xml:space="preserve">The </w:t>
      </w:r>
      <w:r>
        <w:rPr>
          <w:rFonts w:ascii="Times New Roman" w:hAnsi="Times New Roman" w:cs="Times New Roman"/>
          <w:sz w:val="24"/>
          <w:szCs w:val="24"/>
        </w:rPr>
        <w:t>lenders</w:t>
      </w:r>
      <w:r w:rsidRPr="00BB17E0">
        <w:rPr>
          <w:rFonts w:ascii="Times New Roman" w:hAnsi="Times New Roman" w:cs="Times New Roman"/>
          <w:sz w:val="24"/>
          <w:szCs w:val="24"/>
        </w:rPr>
        <w:t xml:space="preserve"> were Saudi British Bank (SABB), </w:t>
      </w:r>
      <w:r w:rsidRPr="00BB17E0">
        <w:rPr>
          <w:rFonts w:ascii="Times New Roman" w:hAnsi="Times New Roman" w:cs="Times New Roman"/>
          <w:sz w:val="24"/>
          <w:szCs w:val="24"/>
        </w:rPr>
        <w:lastRenderedPageBreak/>
        <w:t>Arab National Bank (ANB), National commercial bank (NCB)</w:t>
      </w:r>
      <w:r w:rsidR="00D70158">
        <w:rPr>
          <w:rFonts w:ascii="Times New Roman" w:hAnsi="Times New Roman" w:cs="Times New Roman"/>
          <w:sz w:val="24"/>
          <w:szCs w:val="24"/>
        </w:rPr>
        <w:t xml:space="preserve">, </w:t>
      </w:r>
      <w:r w:rsidRPr="00BB17E0">
        <w:rPr>
          <w:rFonts w:ascii="Times New Roman" w:hAnsi="Times New Roman" w:cs="Times New Roman"/>
          <w:sz w:val="24"/>
          <w:szCs w:val="24"/>
        </w:rPr>
        <w:t>and Sumitomo Mitsui Banking Corp</w:t>
      </w:r>
      <w:r w:rsidR="00D70158">
        <w:rPr>
          <w:rFonts w:ascii="Times New Roman" w:hAnsi="Times New Roman" w:cs="Times New Roman"/>
          <w:sz w:val="24"/>
          <w:szCs w:val="24"/>
        </w:rPr>
        <w:t>,</w:t>
      </w:r>
      <w:r w:rsidR="007F0683">
        <w:rPr>
          <w:rFonts w:ascii="Times New Roman" w:hAnsi="Times New Roman" w:cs="Times New Roman"/>
          <w:sz w:val="24"/>
          <w:szCs w:val="24"/>
        </w:rPr>
        <w:t xml:space="preserve"> </w:t>
      </w:r>
      <w:r w:rsidRPr="00BB17E0">
        <w:rPr>
          <w:rFonts w:ascii="Times New Roman" w:hAnsi="Times New Roman" w:cs="Times New Roman"/>
          <w:sz w:val="24"/>
          <w:szCs w:val="24"/>
        </w:rPr>
        <w:t>invested $296</w:t>
      </w:r>
      <w:r w:rsidR="00FF5642">
        <w:rPr>
          <w:rFonts w:ascii="Times New Roman" w:hAnsi="Times New Roman" w:cs="Times New Roman"/>
          <w:sz w:val="24"/>
          <w:szCs w:val="24"/>
        </w:rPr>
        <w:t xml:space="preserve"> </w:t>
      </w:r>
      <w:r w:rsidR="00D70158">
        <w:rPr>
          <w:rFonts w:ascii="Times New Roman" w:hAnsi="Times New Roman" w:cs="Times New Roman"/>
          <w:sz w:val="24"/>
          <w:szCs w:val="24"/>
        </w:rPr>
        <w:t>m</w:t>
      </w:r>
      <w:r w:rsidRPr="00BB17E0">
        <w:rPr>
          <w:rFonts w:ascii="Times New Roman" w:hAnsi="Times New Roman" w:cs="Times New Roman"/>
          <w:sz w:val="24"/>
          <w:szCs w:val="24"/>
        </w:rPr>
        <w:t>, $316</w:t>
      </w:r>
      <w:r w:rsidR="00FF5642">
        <w:rPr>
          <w:rFonts w:ascii="Times New Roman" w:hAnsi="Times New Roman" w:cs="Times New Roman"/>
          <w:sz w:val="24"/>
          <w:szCs w:val="24"/>
        </w:rPr>
        <w:t xml:space="preserve"> </w:t>
      </w:r>
      <w:r w:rsidR="00D70158">
        <w:rPr>
          <w:rFonts w:ascii="Times New Roman" w:hAnsi="Times New Roman" w:cs="Times New Roman"/>
          <w:sz w:val="24"/>
          <w:szCs w:val="24"/>
        </w:rPr>
        <w:t>m</w:t>
      </w:r>
      <w:r w:rsidRPr="00BB17E0">
        <w:rPr>
          <w:rFonts w:ascii="Times New Roman" w:hAnsi="Times New Roman" w:cs="Times New Roman"/>
          <w:sz w:val="24"/>
          <w:szCs w:val="24"/>
        </w:rPr>
        <w:t>, $296</w:t>
      </w:r>
      <w:r w:rsidR="00FF5642">
        <w:rPr>
          <w:rFonts w:ascii="Times New Roman" w:hAnsi="Times New Roman" w:cs="Times New Roman"/>
          <w:sz w:val="24"/>
          <w:szCs w:val="24"/>
        </w:rPr>
        <w:t xml:space="preserve"> </w:t>
      </w:r>
      <w:r w:rsidR="00D70158">
        <w:rPr>
          <w:rFonts w:ascii="Times New Roman" w:hAnsi="Times New Roman" w:cs="Times New Roman"/>
          <w:sz w:val="24"/>
          <w:szCs w:val="24"/>
        </w:rPr>
        <w:t>m,</w:t>
      </w:r>
      <w:r w:rsidRPr="00BB17E0">
        <w:rPr>
          <w:rFonts w:ascii="Times New Roman" w:hAnsi="Times New Roman" w:cs="Times New Roman"/>
          <w:sz w:val="24"/>
          <w:szCs w:val="24"/>
        </w:rPr>
        <w:t xml:space="preserve"> and $296</w:t>
      </w:r>
      <w:r w:rsidR="00FF5642">
        <w:rPr>
          <w:rFonts w:ascii="Times New Roman" w:hAnsi="Times New Roman" w:cs="Times New Roman"/>
          <w:sz w:val="24"/>
          <w:szCs w:val="24"/>
        </w:rPr>
        <w:t xml:space="preserve"> </w:t>
      </w:r>
      <w:r w:rsidR="00D70158">
        <w:rPr>
          <w:rFonts w:ascii="Times New Roman" w:hAnsi="Times New Roman" w:cs="Times New Roman"/>
          <w:sz w:val="24"/>
          <w:szCs w:val="24"/>
        </w:rPr>
        <w:t>m</w:t>
      </w:r>
      <w:r w:rsidRPr="00BB17E0">
        <w:rPr>
          <w:rFonts w:ascii="Times New Roman" w:hAnsi="Times New Roman" w:cs="Times New Roman"/>
          <w:sz w:val="24"/>
          <w:szCs w:val="24"/>
        </w:rPr>
        <w:t xml:space="preserve"> respectively</w:t>
      </w:r>
      <w:r>
        <w:rPr>
          <w:rFonts w:ascii="Times New Roman" w:hAnsi="Times New Roman" w:cs="Times New Roman"/>
          <w:sz w:val="24"/>
          <w:szCs w:val="24"/>
        </w:rPr>
        <w:t>.</w:t>
      </w:r>
    </w:p>
    <w:p w14:paraId="47419E0F" w14:textId="338EDD57" w:rsidR="00A65CDF" w:rsidRDefault="00A65CDF" w:rsidP="0008496D">
      <w:pPr>
        <w:suppressAutoHyphens/>
        <w:spacing w:before="240" w:line="360" w:lineRule="auto"/>
        <w:ind w:firstLine="567"/>
        <w:jc w:val="both"/>
        <w:rPr>
          <w:rFonts w:ascii="Times New Roman" w:hAnsi="Times New Roman" w:cs="Times New Roman"/>
          <w:sz w:val="24"/>
          <w:szCs w:val="24"/>
        </w:rPr>
      </w:pPr>
      <w:r w:rsidRPr="000F003B">
        <w:rPr>
          <w:rFonts w:ascii="Times New Roman" w:hAnsi="Times New Roman" w:cs="Times New Roman"/>
          <w:sz w:val="24"/>
          <w:szCs w:val="24"/>
        </w:rPr>
        <w:t xml:space="preserve">The $1.2 </w:t>
      </w:r>
      <w:r w:rsidR="00F842D0">
        <w:rPr>
          <w:rFonts w:ascii="Times New Roman" w:hAnsi="Times New Roman" w:cs="Times New Roman"/>
          <w:sz w:val="24"/>
          <w:szCs w:val="24"/>
        </w:rPr>
        <w:t>bn</w:t>
      </w:r>
      <w:r w:rsidRPr="000F003B">
        <w:rPr>
          <w:rFonts w:ascii="Times New Roman" w:hAnsi="Times New Roman" w:cs="Times New Roman"/>
          <w:sz w:val="24"/>
          <w:szCs w:val="24"/>
        </w:rPr>
        <w:t xml:space="preserve"> expansion of Medina Airport in Saudi Arabia was the first full airport PPP in the GCC region</w:t>
      </w:r>
      <w:r w:rsidR="006F0309">
        <w:rPr>
          <w:rFonts w:ascii="Times New Roman" w:hAnsi="Times New Roman" w:cs="Times New Roman"/>
          <w:sz w:val="24"/>
          <w:szCs w:val="24"/>
        </w:rPr>
        <w:t xml:space="preserve"> </w:t>
      </w:r>
      <w:r w:rsidRPr="000F003B">
        <w:rPr>
          <w:rFonts w:ascii="Times New Roman" w:hAnsi="Times New Roman" w:cs="Times New Roman"/>
          <w:sz w:val="24"/>
          <w:szCs w:val="24"/>
        </w:rPr>
        <w:t xml:space="preserve">and </w:t>
      </w:r>
      <w:r>
        <w:rPr>
          <w:rFonts w:ascii="Times New Roman" w:hAnsi="Times New Roman" w:cs="Times New Roman"/>
          <w:sz w:val="24"/>
          <w:szCs w:val="24"/>
        </w:rPr>
        <w:t>fully</w:t>
      </w:r>
      <w:r w:rsidRPr="000F003B">
        <w:rPr>
          <w:rFonts w:ascii="Times New Roman" w:hAnsi="Times New Roman" w:cs="Times New Roman"/>
          <w:sz w:val="24"/>
          <w:szCs w:val="24"/>
        </w:rPr>
        <w:t xml:space="preserve"> funded by Islamic compliant finance</w:t>
      </w:r>
      <w:r w:rsidR="00D70158">
        <w:rPr>
          <w:rFonts w:ascii="Times New Roman" w:hAnsi="Times New Roman" w:cs="Times New Roman"/>
          <w:sz w:val="24"/>
          <w:szCs w:val="24"/>
        </w:rPr>
        <w:t xml:space="preserve">, using </w:t>
      </w:r>
      <w:r w:rsidRPr="004E3B89">
        <w:rPr>
          <w:rFonts w:ascii="Times New Roman" w:hAnsi="Times New Roman" w:cs="Times New Roman"/>
          <w:sz w:val="24"/>
          <w:szCs w:val="24"/>
        </w:rPr>
        <w:t>an Istisna</w:t>
      </w:r>
      <w:r w:rsidR="00E20029" w:rsidRPr="00E20029">
        <w:rPr>
          <w:rFonts w:ascii="Times New Roman" w:hAnsi="Times New Roman" w:cs="Times New Roman"/>
          <w:sz w:val="24"/>
          <w:szCs w:val="24"/>
        </w:rPr>
        <w:t>'</w:t>
      </w:r>
      <w:r w:rsidRPr="004E3B89">
        <w:rPr>
          <w:rFonts w:ascii="Times New Roman" w:hAnsi="Times New Roman" w:cs="Times New Roman"/>
          <w:sz w:val="24"/>
          <w:szCs w:val="24"/>
        </w:rPr>
        <w:t>a</w:t>
      </w:r>
      <w:r w:rsidR="00D70158">
        <w:rPr>
          <w:rFonts w:ascii="Times New Roman" w:hAnsi="Times New Roman" w:cs="Times New Roman"/>
          <w:sz w:val="24"/>
          <w:szCs w:val="24"/>
        </w:rPr>
        <w:t xml:space="preserve"> contract</w:t>
      </w:r>
      <w:r>
        <w:rPr>
          <w:rFonts w:ascii="Times New Roman" w:hAnsi="Times New Roman" w:cs="Times New Roman"/>
          <w:sz w:val="24"/>
          <w:szCs w:val="24"/>
        </w:rPr>
        <w:t xml:space="preserve"> d</w:t>
      </w:r>
      <w:r w:rsidRPr="004E3B89">
        <w:rPr>
          <w:rFonts w:ascii="Times New Roman" w:hAnsi="Times New Roman" w:cs="Times New Roman"/>
          <w:sz w:val="24"/>
          <w:szCs w:val="24"/>
        </w:rPr>
        <w:t>uring the construction stage</w:t>
      </w:r>
      <w:r w:rsidR="00D70158">
        <w:rPr>
          <w:rFonts w:ascii="Times New Roman" w:hAnsi="Times New Roman" w:cs="Times New Roman"/>
          <w:sz w:val="24"/>
          <w:szCs w:val="24"/>
        </w:rPr>
        <w:t xml:space="preserve">, </w:t>
      </w:r>
      <w:r w:rsidRPr="00D527E2">
        <w:rPr>
          <w:rFonts w:ascii="Times New Roman" w:hAnsi="Times New Roman" w:cs="Times New Roman"/>
          <w:sz w:val="24"/>
          <w:szCs w:val="24"/>
        </w:rPr>
        <w:t xml:space="preserve">under which the SPV transferred certain rights </w:t>
      </w:r>
      <w:r w:rsidR="00D70158">
        <w:rPr>
          <w:rFonts w:ascii="Times New Roman" w:hAnsi="Times New Roman" w:cs="Times New Roman"/>
          <w:sz w:val="24"/>
          <w:szCs w:val="24"/>
        </w:rPr>
        <w:t>in</w:t>
      </w:r>
      <w:r w:rsidRPr="00D527E2">
        <w:rPr>
          <w:rFonts w:ascii="Times New Roman" w:hAnsi="Times New Roman" w:cs="Times New Roman"/>
          <w:sz w:val="24"/>
          <w:szCs w:val="24"/>
        </w:rPr>
        <w:t xml:space="preserve"> the BTO agreement to the financiers</w:t>
      </w:r>
      <w:r>
        <w:rPr>
          <w:rFonts w:ascii="Times New Roman" w:hAnsi="Times New Roman" w:cs="Times New Roman"/>
          <w:sz w:val="24"/>
          <w:szCs w:val="24"/>
        </w:rPr>
        <w:t>. As t</w:t>
      </w:r>
      <w:r w:rsidRPr="003C2364">
        <w:rPr>
          <w:rFonts w:ascii="Times New Roman" w:hAnsi="Times New Roman" w:cs="Times New Roman"/>
          <w:sz w:val="24"/>
          <w:szCs w:val="24"/>
        </w:rPr>
        <w:t>he SPV did not own the project assets, a</w:t>
      </w:r>
      <w:r>
        <w:rPr>
          <w:rFonts w:ascii="Times New Roman" w:hAnsi="Times New Roman" w:cs="Times New Roman"/>
          <w:sz w:val="24"/>
          <w:szCs w:val="24"/>
        </w:rPr>
        <w:t xml:space="preserve"> </w:t>
      </w:r>
      <w:r w:rsidRPr="003C2364">
        <w:rPr>
          <w:rFonts w:ascii="Times New Roman" w:hAnsi="Times New Roman" w:cs="Times New Roman"/>
          <w:sz w:val="24"/>
          <w:szCs w:val="24"/>
        </w:rPr>
        <w:t>leasing (Ijara) structure based on the ownership of</w:t>
      </w:r>
      <w:r>
        <w:rPr>
          <w:rFonts w:ascii="Times New Roman" w:hAnsi="Times New Roman" w:cs="Times New Roman"/>
          <w:sz w:val="24"/>
          <w:szCs w:val="24"/>
        </w:rPr>
        <w:t xml:space="preserve"> </w:t>
      </w:r>
      <w:r w:rsidRPr="003C2364">
        <w:rPr>
          <w:rFonts w:ascii="Times New Roman" w:hAnsi="Times New Roman" w:cs="Times New Roman"/>
          <w:sz w:val="24"/>
          <w:szCs w:val="24"/>
        </w:rPr>
        <w:t>project assets, as typically used in a BOT project, could</w:t>
      </w:r>
      <w:r>
        <w:rPr>
          <w:rFonts w:ascii="Times New Roman" w:hAnsi="Times New Roman" w:cs="Times New Roman"/>
          <w:sz w:val="24"/>
          <w:szCs w:val="24"/>
        </w:rPr>
        <w:t xml:space="preserve"> </w:t>
      </w:r>
      <w:r w:rsidRPr="003C2364">
        <w:rPr>
          <w:rFonts w:ascii="Times New Roman" w:hAnsi="Times New Roman" w:cs="Times New Roman"/>
          <w:sz w:val="24"/>
          <w:szCs w:val="24"/>
        </w:rPr>
        <w:t>not be used. Therefore, an innovative structure</w:t>
      </w:r>
      <w:r>
        <w:rPr>
          <w:rFonts w:ascii="Times New Roman" w:hAnsi="Times New Roman" w:cs="Times New Roman"/>
          <w:sz w:val="24"/>
          <w:szCs w:val="24"/>
        </w:rPr>
        <w:t xml:space="preserve"> </w:t>
      </w:r>
      <w:r w:rsidRPr="003C2364">
        <w:rPr>
          <w:rFonts w:ascii="Times New Roman" w:hAnsi="Times New Roman" w:cs="Times New Roman"/>
          <w:sz w:val="24"/>
          <w:szCs w:val="24"/>
        </w:rPr>
        <w:t xml:space="preserve">combining the </w:t>
      </w:r>
      <w:r w:rsidRPr="004E3B89">
        <w:rPr>
          <w:rFonts w:ascii="Times New Roman" w:hAnsi="Times New Roman" w:cs="Times New Roman"/>
          <w:sz w:val="24"/>
          <w:szCs w:val="24"/>
        </w:rPr>
        <w:t>Istisna</w:t>
      </w:r>
      <w:r w:rsidR="00E20029" w:rsidRPr="00E20029">
        <w:rPr>
          <w:rFonts w:ascii="Times New Roman" w:hAnsi="Times New Roman" w:cs="Times New Roman"/>
          <w:sz w:val="24"/>
          <w:szCs w:val="24"/>
        </w:rPr>
        <w:t>'</w:t>
      </w:r>
      <w:r w:rsidRPr="004E3B89">
        <w:rPr>
          <w:rFonts w:ascii="Times New Roman" w:hAnsi="Times New Roman" w:cs="Times New Roman"/>
          <w:sz w:val="24"/>
          <w:szCs w:val="24"/>
        </w:rPr>
        <w:t>a</w:t>
      </w:r>
      <w:r>
        <w:rPr>
          <w:rFonts w:ascii="Times New Roman" w:hAnsi="Times New Roman" w:cs="Times New Roman"/>
          <w:sz w:val="24"/>
          <w:szCs w:val="24"/>
        </w:rPr>
        <w:t xml:space="preserve"> </w:t>
      </w:r>
      <w:r w:rsidRPr="003C2364">
        <w:rPr>
          <w:rFonts w:ascii="Times New Roman" w:hAnsi="Times New Roman" w:cs="Times New Roman"/>
          <w:sz w:val="24"/>
          <w:szCs w:val="24"/>
        </w:rPr>
        <w:t>structure during the construction</w:t>
      </w:r>
      <w:r>
        <w:rPr>
          <w:rFonts w:ascii="Times New Roman" w:hAnsi="Times New Roman" w:cs="Times New Roman"/>
          <w:sz w:val="24"/>
          <w:szCs w:val="24"/>
        </w:rPr>
        <w:t xml:space="preserve"> </w:t>
      </w:r>
      <w:r w:rsidRPr="003C2364">
        <w:rPr>
          <w:rFonts w:ascii="Times New Roman" w:hAnsi="Times New Roman" w:cs="Times New Roman"/>
          <w:sz w:val="24"/>
          <w:szCs w:val="24"/>
        </w:rPr>
        <w:t>phase and assignment of commercial rights during the</w:t>
      </w:r>
      <w:r>
        <w:rPr>
          <w:rFonts w:ascii="Times New Roman" w:hAnsi="Times New Roman" w:cs="Times New Roman"/>
          <w:sz w:val="24"/>
          <w:szCs w:val="24"/>
        </w:rPr>
        <w:t xml:space="preserve"> </w:t>
      </w:r>
      <w:r w:rsidRPr="003C2364">
        <w:rPr>
          <w:rFonts w:ascii="Times New Roman" w:hAnsi="Times New Roman" w:cs="Times New Roman"/>
          <w:sz w:val="24"/>
          <w:szCs w:val="24"/>
        </w:rPr>
        <w:t>operations phase was successfully employed</w:t>
      </w:r>
      <w:r>
        <w:rPr>
          <w:rFonts w:ascii="Times New Roman" w:hAnsi="Times New Roman" w:cs="Times New Roman"/>
          <w:sz w:val="24"/>
          <w:szCs w:val="24"/>
        </w:rPr>
        <w:t xml:space="preserve">. </w:t>
      </w:r>
      <w:r w:rsidRPr="00E97589">
        <w:rPr>
          <w:rFonts w:ascii="Times New Roman" w:hAnsi="Times New Roman" w:cs="Times New Roman"/>
          <w:sz w:val="24"/>
          <w:szCs w:val="24"/>
        </w:rPr>
        <w:t>The project finance structure of the project is summarised in</w:t>
      </w:r>
      <w:r>
        <w:rPr>
          <w:sz w:val="21"/>
          <w:szCs w:val="21"/>
        </w:rPr>
        <w:t xml:space="preserve"> </w:t>
      </w:r>
      <w:r w:rsidR="00876543" w:rsidRPr="00876543">
        <w:rPr>
          <w:rFonts w:ascii="Times New Roman" w:hAnsi="Times New Roman" w:cs="Times New Roman"/>
          <w:i/>
          <w:iCs/>
          <w:sz w:val="24"/>
          <w:szCs w:val="24"/>
        </w:rPr>
        <w:t xml:space="preserve">Fig. </w:t>
      </w:r>
      <w:r w:rsidR="002F702D">
        <w:rPr>
          <w:rFonts w:ascii="Times New Roman" w:hAnsi="Times New Roman" w:cs="Times New Roman"/>
          <w:i/>
          <w:iCs/>
          <w:sz w:val="24"/>
          <w:szCs w:val="24"/>
        </w:rPr>
        <w:t>2.</w:t>
      </w:r>
      <w:r w:rsidR="00876543" w:rsidRPr="00876543">
        <w:rPr>
          <w:rFonts w:ascii="Times New Roman" w:hAnsi="Times New Roman" w:cs="Times New Roman"/>
          <w:i/>
          <w:iCs/>
          <w:sz w:val="24"/>
          <w:szCs w:val="24"/>
        </w:rPr>
        <w:t>6</w:t>
      </w:r>
      <w:r w:rsidR="00876543">
        <w:rPr>
          <w:rFonts w:ascii="Times New Roman" w:hAnsi="Times New Roman" w:cs="Times New Roman"/>
          <w:sz w:val="24"/>
          <w:szCs w:val="24"/>
        </w:rPr>
        <w:t>.</w:t>
      </w:r>
    </w:p>
    <w:p w14:paraId="43C19919" w14:textId="77777777" w:rsidR="00876543" w:rsidRDefault="00A65CDF" w:rsidP="00876543">
      <w:pPr>
        <w:keepNext/>
        <w:spacing w:before="240" w:line="360" w:lineRule="auto"/>
      </w:pPr>
      <w:r w:rsidRPr="001378CC">
        <w:rPr>
          <w:i/>
          <w:iCs/>
          <w:noProof/>
          <w:color w:val="44546A" w:themeColor="text2"/>
          <w:sz w:val="18"/>
          <w:szCs w:val="18"/>
          <w:lang w:val="en-US"/>
        </w:rPr>
        <w:drawing>
          <wp:inline distT="0" distB="0" distL="0" distR="0" wp14:anchorId="3555F1B8" wp14:editId="65F3E3EA">
            <wp:extent cx="5731510" cy="3078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78480"/>
                    </a:xfrm>
                    <a:prstGeom prst="rect">
                      <a:avLst/>
                    </a:prstGeom>
                  </pic:spPr>
                </pic:pic>
              </a:graphicData>
            </a:graphic>
          </wp:inline>
        </w:drawing>
      </w:r>
    </w:p>
    <w:p w14:paraId="751B1CD6" w14:textId="4D055CFB" w:rsidR="00876543" w:rsidRPr="00876543" w:rsidRDefault="00876543" w:rsidP="006B51D7">
      <w:pPr>
        <w:spacing w:after="0" w:line="360" w:lineRule="auto"/>
        <w:jc w:val="both"/>
        <w:rPr>
          <w:rFonts w:ascii="Times New Roman" w:hAnsi="Times New Roman" w:cs="Times New Roman"/>
          <w:sz w:val="24"/>
          <w:szCs w:val="24"/>
        </w:rPr>
      </w:pPr>
      <w:r w:rsidRPr="00876543">
        <w:rPr>
          <w:rFonts w:ascii="Times New Roman" w:hAnsi="Times New Roman" w:cs="Times New Roman"/>
          <w:i/>
          <w:iCs/>
          <w:sz w:val="24"/>
          <w:szCs w:val="24"/>
        </w:rPr>
        <w:t xml:space="preserve">Fig. </w:t>
      </w:r>
      <w:r w:rsidR="002F702D">
        <w:rPr>
          <w:rFonts w:ascii="Times New Roman" w:hAnsi="Times New Roman" w:cs="Times New Roman"/>
          <w:i/>
          <w:iCs/>
          <w:sz w:val="24"/>
          <w:szCs w:val="24"/>
        </w:rPr>
        <w:t>2.</w:t>
      </w:r>
      <w:r w:rsidRPr="00876543">
        <w:rPr>
          <w:rFonts w:ascii="Times New Roman" w:hAnsi="Times New Roman" w:cs="Times New Roman"/>
          <w:i/>
          <w:iCs/>
          <w:sz w:val="24"/>
          <w:szCs w:val="24"/>
        </w:rPr>
        <w:fldChar w:fldCharType="begin"/>
      </w:r>
      <w:r w:rsidRPr="00876543">
        <w:rPr>
          <w:rFonts w:ascii="Times New Roman" w:hAnsi="Times New Roman" w:cs="Times New Roman"/>
          <w:i/>
          <w:iCs/>
          <w:sz w:val="24"/>
          <w:szCs w:val="24"/>
        </w:rPr>
        <w:instrText xml:space="preserve"> SEQ Figure \* ARABIC </w:instrText>
      </w:r>
      <w:r w:rsidRPr="00876543">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6</w:t>
      </w:r>
      <w:r w:rsidRPr="00876543">
        <w:rPr>
          <w:rFonts w:ascii="Times New Roman" w:hAnsi="Times New Roman" w:cs="Times New Roman"/>
          <w:i/>
          <w:iCs/>
          <w:sz w:val="24"/>
          <w:szCs w:val="24"/>
        </w:rPr>
        <w:fldChar w:fldCharType="end"/>
      </w:r>
      <w:r>
        <w:rPr>
          <w:rFonts w:ascii="Times New Roman" w:hAnsi="Times New Roman" w:cs="Times New Roman"/>
          <w:sz w:val="24"/>
          <w:szCs w:val="24"/>
        </w:rPr>
        <w:t>.</w:t>
      </w:r>
      <w:r w:rsidRPr="00876543">
        <w:rPr>
          <w:rFonts w:ascii="Times New Roman" w:hAnsi="Times New Roman" w:cs="Times New Roman"/>
          <w:sz w:val="24"/>
          <w:szCs w:val="24"/>
        </w:rPr>
        <w:t xml:space="preserve"> Madinah PPP </w:t>
      </w:r>
      <w:r>
        <w:rPr>
          <w:rFonts w:ascii="Times New Roman" w:hAnsi="Times New Roman" w:cs="Times New Roman"/>
          <w:sz w:val="24"/>
          <w:szCs w:val="24"/>
        </w:rPr>
        <w:t>a</w:t>
      </w:r>
      <w:r w:rsidRPr="00876543">
        <w:rPr>
          <w:rFonts w:ascii="Times New Roman" w:hAnsi="Times New Roman" w:cs="Times New Roman"/>
          <w:sz w:val="24"/>
          <w:szCs w:val="24"/>
        </w:rPr>
        <w:t xml:space="preserve">irport </w:t>
      </w:r>
      <w:r>
        <w:rPr>
          <w:rFonts w:ascii="Times New Roman" w:hAnsi="Times New Roman" w:cs="Times New Roman"/>
          <w:sz w:val="24"/>
          <w:szCs w:val="24"/>
        </w:rPr>
        <w:t>p</w:t>
      </w:r>
      <w:r w:rsidRPr="00876543">
        <w:rPr>
          <w:rFonts w:ascii="Times New Roman" w:hAnsi="Times New Roman" w:cs="Times New Roman"/>
          <w:sz w:val="24"/>
          <w:szCs w:val="24"/>
        </w:rPr>
        <w:t xml:space="preserve">roject </w:t>
      </w:r>
      <w:r>
        <w:rPr>
          <w:rFonts w:ascii="Times New Roman" w:hAnsi="Times New Roman" w:cs="Times New Roman"/>
          <w:sz w:val="24"/>
          <w:szCs w:val="24"/>
        </w:rPr>
        <w:t>I</w:t>
      </w:r>
      <w:r w:rsidRPr="00876543">
        <w:rPr>
          <w:rFonts w:ascii="Times New Roman" w:hAnsi="Times New Roman" w:cs="Times New Roman"/>
          <w:sz w:val="24"/>
          <w:szCs w:val="24"/>
        </w:rPr>
        <w:t xml:space="preserve">slamic </w:t>
      </w:r>
      <w:r>
        <w:rPr>
          <w:rFonts w:ascii="Times New Roman" w:hAnsi="Times New Roman" w:cs="Times New Roman"/>
          <w:sz w:val="24"/>
          <w:szCs w:val="24"/>
        </w:rPr>
        <w:t>f</w:t>
      </w:r>
      <w:r w:rsidRPr="00876543">
        <w:rPr>
          <w:rFonts w:ascii="Times New Roman" w:hAnsi="Times New Roman" w:cs="Times New Roman"/>
          <w:sz w:val="24"/>
          <w:szCs w:val="24"/>
        </w:rPr>
        <w:t xml:space="preserve">inance </w:t>
      </w:r>
      <w:r>
        <w:rPr>
          <w:rFonts w:ascii="Times New Roman" w:hAnsi="Times New Roman" w:cs="Times New Roman"/>
          <w:sz w:val="24"/>
          <w:szCs w:val="24"/>
        </w:rPr>
        <w:t>s</w:t>
      </w:r>
      <w:r w:rsidRPr="00876543">
        <w:rPr>
          <w:rFonts w:ascii="Times New Roman" w:hAnsi="Times New Roman" w:cs="Times New Roman"/>
          <w:sz w:val="24"/>
          <w:szCs w:val="24"/>
        </w:rPr>
        <w:t>tructure</w:t>
      </w:r>
    </w:p>
    <w:p w14:paraId="56A2A4A1" w14:textId="3B09B477" w:rsidR="00A65CDF" w:rsidRPr="00345605" w:rsidRDefault="0096385D" w:rsidP="006B51D7">
      <w:pPr>
        <w:keepNext/>
        <w:spacing w:line="360" w:lineRule="auto"/>
        <w:rPr>
          <w:rFonts w:ascii="Times New Roman" w:hAnsi="Times New Roman" w:cs="Times New Roman"/>
          <w:lang w:val="en-US"/>
        </w:rPr>
      </w:pPr>
      <w:r w:rsidRPr="00345605">
        <w:rPr>
          <w:rFonts w:ascii="Times New Roman" w:hAnsi="Times New Roman" w:cs="Times New Roman"/>
          <w:i/>
          <w:iCs/>
          <w:lang w:val="en-US"/>
        </w:rPr>
        <w:t>Source</w:t>
      </w:r>
      <w:r w:rsidR="00A65CDF" w:rsidRPr="00345605">
        <w:rPr>
          <w:rFonts w:ascii="Times New Roman" w:hAnsi="Times New Roman" w:cs="Times New Roman"/>
          <w:i/>
          <w:iCs/>
          <w:lang w:val="en-US"/>
        </w:rPr>
        <w:t>:</w:t>
      </w:r>
      <w:r w:rsidR="00A65CDF" w:rsidRPr="00345605">
        <w:rPr>
          <w:rFonts w:ascii="Times New Roman" w:hAnsi="Times New Roman" w:cs="Times New Roman"/>
          <w:lang w:val="en-US"/>
        </w:rPr>
        <w:t xml:space="preserve"> </w:t>
      </w:r>
      <w:r w:rsidR="009738BC" w:rsidRPr="009738BC">
        <w:rPr>
          <w:rFonts w:ascii="Times New Roman" w:hAnsi="Times New Roman" w:cs="Times New Roman"/>
          <w:lang w:val="en-US"/>
        </w:rPr>
        <w:t xml:space="preserve">compiled by </w:t>
      </w:r>
      <w:r w:rsidR="007F0683">
        <w:rPr>
          <w:rFonts w:ascii="Times New Roman" w:hAnsi="Times New Roman" w:cs="Times New Roman"/>
          <w:lang w:val="en-US"/>
        </w:rPr>
        <w:t xml:space="preserve">the </w:t>
      </w:r>
      <w:r w:rsidR="009738BC" w:rsidRPr="009738BC">
        <w:rPr>
          <w:rFonts w:ascii="Times New Roman" w:hAnsi="Times New Roman" w:cs="Times New Roman"/>
          <w:lang w:val="en-US"/>
        </w:rPr>
        <w:t>author based on</w:t>
      </w:r>
      <w:r w:rsidR="009738BC" w:rsidRPr="00345605">
        <w:rPr>
          <w:rFonts w:ascii="Times New Roman" w:hAnsi="Times New Roman" w:cs="Times New Roman"/>
          <w:lang w:val="en-US"/>
        </w:rPr>
        <w:t xml:space="preserve"> </w:t>
      </w:r>
      <w:r w:rsidR="00A65CDF" w:rsidRPr="00345605">
        <w:rPr>
          <w:rFonts w:ascii="Times New Roman" w:hAnsi="Times New Roman" w:cs="Times New Roman"/>
          <w:lang w:val="en-US"/>
        </w:rPr>
        <w:t>World Bank</w:t>
      </w:r>
      <w:r w:rsidR="009738BC">
        <w:rPr>
          <w:rFonts w:ascii="Times New Roman" w:hAnsi="Times New Roman" w:cs="Times New Roman"/>
          <w:lang w:val="en-US"/>
        </w:rPr>
        <w:t>.</w:t>
      </w:r>
      <w:r w:rsidR="009738BC">
        <w:rPr>
          <w:rStyle w:val="FootnoteReference"/>
          <w:rFonts w:ascii="Times New Roman" w:hAnsi="Times New Roman" w:cs="Times New Roman"/>
          <w:sz w:val="24"/>
          <w:szCs w:val="24"/>
        </w:rPr>
        <w:footnoteReference w:id="57"/>
      </w:r>
    </w:p>
    <w:p w14:paraId="2B9938F9" w14:textId="77777777" w:rsidR="002F702D" w:rsidRDefault="002F702D" w:rsidP="0008496D">
      <w:pPr>
        <w:suppressAutoHyphens/>
        <w:spacing w:before="240" w:line="360" w:lineRule="auto"/>
        <w:ind w:firstLine="567"/>
        <w:jc w:val="both"/>
        <w:rPr>
          <w:rFonts w:ascii="Times New Roman" w:hAnsi="Times New Roman" w:cs="Times New Roman"/>
          <w:sz w:val="24"/>
          <w:szCs w:val="24"/>
        </w:rPr>
      </w:pPr>
      <w:r w:rsidRPr="001E335F">
        <w:rPr>
          <w:rFonts w:ascii="Times New Roman" w:hAnsi="Times New Roman" w:cs="Times New Roman"/>
          <w:sz w:val="24"/>
          <w:szCs w:val="24"/>
        </w:rPr>
        <w:t xml:space="preserve">The monthly lease payments during </w:t>
      </w:r>
      <w:r>
        <w:rPr>
          <w:rFonts w:ascii="Times New Roman" w:hAnsi="Times New Roman" w:cs="Times New Roman"/>
          <w:sz w:val="24"/>
          <w:szCs w:val="24"/>
        </w:rPr>
        <w:t>the</w:t>
      </w:r>
      <w:r w:rsidRPr="001E335F">
        <w:rPr>
          <w:rFonts w:ascii="Times New Roman" w:hAnsi="Times New Roman" w:cs="Times New Roman"/>
          <w:sz w:val="24"/>
          <w:szCs w:val="24"/>
        </w:rPr>
        <w:t xml:space="preserve"> operation </w:t>
      </w:r>
      <w:r>
        <w:rPr>
          <w:rFonts w:ascii="Times New Roman" w:hAnsi="Times New Roman" w:cs="Times New Roman"/>
          <w:sz w:val="24"/>
          <w:szCs w:val="24"/>
        </w:rPr>
        <w:t>stage</w:t>
      </w:r>
      <w:r w:rsidRPr="001E335F">
        <w:rPr>
          <w:rFonts w:ascii="Times New Roman" w:hAnsi="Times New Roman" w:cs="Times New Roman"/>
          <w:sz w:val="24"/>
          <w:szCs w:val="24"/>
        </w:rPr>
        <w:t xml:space="preserve"> </w:t>
      </w:r>
      <w:r>
        <w:rPr>
          <w:rFonts w:ascii="Times New Roman" w:hAnsi="Times New Roman" w:cs="Times New Roman"/>
          <w:sz w:val="24"/>
          <w:szCs w:val="24"/>
        </w:rPr>
        <w:t>are</w:t>
      </w:r>
      <w:r w:rsidRPr="001E335F">
        <w:rPr>
          <w:rFonts w:ascii="Times New Roman" w:hAnsi="Times New Roman" w:cs="Times New Roman"/>
          <w:sz w:val="24"/>
          <w:szCs w:val="24"/>
        </w:rPr>
        <w:t xml:space="preserve"> calculated based on the total cost of the fund plus the profit.</w:t>
      </w:r>
      <w:r>
        <w:rPr>
          <w:rFonts w:ascii="Times New Roman" w:hAnsi="Times New Roman" w:cs="Times New Roman"/>
          <w:sz w:val="24"/>
          <w:szCs w:val="24"/>
        </w:rPr>
        <w:t xml:space="preserve"> Under the Ijara contract, the Islamic lenders will be provided with fixed income.</w:t>
      </w:r>
    </w:p>
    <w:p w14:paraId="302B7C14" w14:textId="5DA2CFC1" w:rsidR="002F702D" w:rsidRDefault="002F702D" w:rsidP="0008496D">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BB17E0">
        <w:rPr>
          <w:rFonts w:ascii="Times New Roman" w:hAnsi="Times New Roman" w:cs="Times New Roman"/>
          <w:sz w:val="24"/>
          <w:szCs w:val="24"/>
        </w:rPr>
        <w:t xml:space="preserve">uring the time of its development, there </w:t>
      </w:r>
      <w:r>
        <w:rPr>
          <w:rFonts w:ascii="Times New Roman" w:hAnsi="Times New Roman" w:cs="Times New Roman"/>
          <w:sz w:val="24"/>
          <w:szCs w:val="24"/>
        </w:rPr>
        <w:t>was</w:t>
      </w:r>
      <w:r w:rsidRPr="00BB17E0">
        <w:rPr>
          <w:rFonts w:ascii="Times New Roman" w:hAnsi="Times New Roman" w:cs="Times New Roman"/>
          <w:sz w:val="24"/>
          <w:szCs w:val="24"/>
        </w:rPr>
        <w:t xml:space="preserve"> uncertainty for the future volumes of passengers that would use the airport. In the end, Medina airport ended up becoming a successful project</w:t>
      </w:r>
      <w:r>
        <w:rPr>
          <w:rFonts w:ascii="Times New Roman" w:hAnsi="Times New Roman" w:cs="Times New Roman"/>
          <w:sz w:val="24"/>
          <w:szCs w:val="24"/>
        </w:rPr>
        <w:t>, op</w:t>
      </w:r>
      <w:r w:rsidR="00D10E80">
        <w:rPr>
          <w:rFonts w:ascii="Times New Roman" w:hAnsi="Times New Roman" w:cs="Times New Roman"/>
          <w:sz w:val="24"/>
          <w:szCs w:val="24"/>
        </w:rPr>
        <w:t>e</w:t>
      </w:r>
      <w:r>
        <w:rPr>
          <w:rFonts w:ascii="Times New Roman" w:hAnsi="Times New Roman" w:cs="Times New Roman"/>
          <w:sz w:val="24"/>
          <w:szCs w:val="24"/>
        </w:rPr>
        <w:t>ning</w:t>
      </w:r>
      <w:r w:rsidRPr="00BB17E0">
        <w:rPr>
          <w:rFonts w:ascii="Times New Roman" w:hAnsi="Times New Roman" w:cs="Times New Roman"/>
          <w:sz w:val="24"/>
          <w:szCs w:val="24"/>
        </w:rPr>
        <w:t xml:space="preserve"> doors for plans on PPP projects in the country.</w:t>
      </w:r>
      <w:r w:rsidRPr="00BB17E0">
        <w:rPr>
          <w:rFonts w:ascii="Times New Roman" w:hAnsi="Times New Roman" w:cs="Times New Roman"/>
          <w:sz w:val="24"/>
          <w:szCs w:val="24"/>
          <w:vertAlign w:val="superscript"/>
        </w:rPr>
        <w:footnoteReference w:id="58"/>
      </w:r>
      <w:r w:rsidRPr="00BB17E0">
        <w:rPr>
          <w:rFonts w:ascii="Times New Roman" w:hAnsi="Times New Roman" w:cs="Times New Roman"/>
          <w:sz w:val="24"/>
          <w:szCs w:val="24"/>
        </w:rPr>
        <w:t xml:space="preserve"> Thomson Reuters has named Medina project as the </w:t>
      </w:r>
      <w:r w:rsidRPr="00BB17E0">
        <w:rPr>
          <w:rFonts w:ascii="Times New Roman" w:hAnsi="Times New Roman" w:cs="Times New Roman"/>
          <w:sz w:val="24"/>
          <w:szCs w:val="24"/>
        </w:rPr>
        <w:lastRenderedPageBreak/>
        <w:t>Middle East and Africa Infrastructure Deal of the Year in 2013,</w:t>
      </w:r>
      <w:r w:rsidRPr="00BB17E0">
        <w:rPr>
          <w:vertAlign w:val="superscript"/>
        </w:rPr>
        <w:footnoteReference w:id="59"/>
      </w:r>
      <w:r w:rsidRPr="00BB17E0">
        <w:rPr>
          <w:rFonts w:ascii="Times New Roman" w:hAnsi="Times New Roman" w:cs="Times New Roman"/>
          <w:sz w:val="24"/>
          <w:szCs w:val="24"/>
        </w:rPr>
        <w:t> and Best Islamic Finance Project (2013) by Euromoney Islamic Finance Awards.</w:t>
      </w:r>
    </w:p>
    <w:p w14:paraId="6D19D3C4" w14:textId="4A08F9A0" w:rsidR="00A65CDF" w:rsidRDefault="00A65CDF" w:rsidP="0008496D">
      <w:pPr>
        <w:suppressAutoHyphens/>
        <w:spacing w:line="360" w:lineRule="auto"/>
        <w:ind w:firstLine="567"/>
        <w:jc w:val="both"/>
        <w:rPr>
          <w:rFonts w:ascii="Times New Roman" w:hAnsi="Times New Roman" w:cs="Times New Roman"/>
          <w:sz w:val="24"/>
          <w:szCs w:val="24"/>
        </w:rPr>
      </w:pPr>
      <w:r w:rsidRPr="001E0697">
        <w:rPr>
          <w:rFonts w:ascii="Times New Roman" w:hAnsi="Times New Roman" w:cs="Times New Roman"/>
          <w:sz w:val="24"/>
          <w:szCs w:val="24"/>
        </w:rPr>
        <w:t xml:space="preserve">Tibah forecasted a </w:t>
      </w:r>
      <w:r>
        <w:rPr>
          <w:rFonts w:ascii="Times New Roman" w:hAnsi="Times New Roman" w:cs="Times New Roman"/>
          <w:sz w:val="24"/>
          <w:szCs w:val="24"/>
        </w:rPr>
        <w:t>drop</w:t>
      </w:r>
      <w:r w:rsidRPr="001E0697">
        <w:rPr>
          <w:rFonts w:ascii="Times New Roman" w:hAnsi="Times New Roman" w:cs="Times New Roman"/>
          <w:sz w:val="24"/>
          <w:szCs w:val="24"/>
        </w:rPr>
        <w:t xml:space="preserve"> in </w:t>
      </w:r>
      <w:r>
        <w:rPr>
          <w:rFonts w:ascii="Times New Roman" w:hAnsi="Times New Roman" w:cs="Times New Roman"/>
          <w:sz w:val="24"/>
          <w:szCs w:val="24"/>
        </w:rPr>
        <w:t>the volumes of traffic and passengers until the end of</w:t>
      </w:r>
      <w:r w:rsidRPr="001E0697">
        <w:rPr>
          <w:rFonts w:ascii="Times New Roman" w:hAnsi="Times New Roman" w:cs="Times New Roman"/>
          <w:sz w:val="24"/>
          <w:szCs w:val="24"/>
        </w:rPr>
        <w:t xml:space="preserve"> 2012</w:t>
      </w:r>
      <w:r w:rsidR="00F63D42">
        <w:rPr>
          <w:rFonts w:ascii="Times New Roman" w:hAnsi="Times New Roman" w:cs="Times New Roman"/>
          <w:sz w:val="24"/>
          <w:szCs w:val="24"/>
        </w:rPr>
        <w:t>,</w:t>
      </w:r>
      <w:r w:rsidRPr="001E0697">
        <w:rPr>
          <w:rFonts w:ascii="Times New Roman" w:hAnsi="Times New Roman" w:cs="Times New Roman"/>
          <w:sz w:val="24"/>
          <w:szCs w:val="24"/>
        </w:rPr>
        <w:t xml:space="preserve"> due to the</w:t>
      </w:r>
      <w:r>
        <w:rPr>
          <w:rFonts w:ascii="Times New Roman" w:hAnsi="Times New Roman" w:cs="Times New Roman"/>
          <w:sz w:val="24"/>
          <w:szCs w:val="24"/>
        </w:rPr>
        <w:t xml:space="preserve"> </w:t>
      </w:r>
      <w:r w:rsidRPr="001E0697">
        <w:rPr>
          <w:rFonts w:ascii="Times New Roman" w:hAnsi="Times New Roman" w:cs="Times New Roman"/>
          <w:sz w:val="24"/>
          <w:szCs w:val="24"/>
        </w:rPr>
        <w:t xml:space="preserve">restrictions </w:t>
      </w:r>
      <w:r>
        <w:rPr>
          <w:rFonts w:ascii="Times New Roman" w:hAnsi="Times New Roman" w:cs="Times New Roman"/>
          <w:sz w:val="24"/>
          <w:szCs w:val="24"/>
        </w:rPr>
        <w:t>for</w:t>
      </w:r>
      <w:r w:rsidRPr="001E0697">
        <w:rPr>
          <w:rFonts w:ascii="Times New Roman" w:hAnsi="Times New Roman" w:cs="Times New Roman"/>
          <w:sz w:val="24"/>
          <w:szCs w:val="24"/>
        </w:rPr>
        <w:t xml:space="preserve"> facilitat</w:t>
      </w:r>
      <w:r>
        <w:rPr>
          <w:rFonts w:ascii="Times New Roman" w:hAnsi="Times New Roman" w:cs="Times New Roman"/>
          <w:sz w:val="24"/>
          <w:szCs w:val="24"/>
        </w:rPr>
        <w:t>ing</w:t>
      </w:r>
      <w:r w:rsidRPr="001E0697">
        <w:rPr>
          <w:rFonts w:ascii="Times New Roman" w:hAnsi="Times New Roman" w:cs="Times New Roman"/>
          <w:sz w:val="24"/>
          <w:szCs w:val="24"/>
        </w:rPr>
        <w:t xml:space="preserve"> </w:t>
      </w:r>
      <w:r>
        <w:rPr>
          <w:rFonts w:ascii="Times New Roman" w:hAnsi="Times New Roman" w:cs="Times New Roman"/>
          <w:sz w:val="24"/>
          <w:szCs w:val="24"/>
        </w:rPr>
        <w:t>the</w:t>
      </w:r>
      <w:r w:rsidRPr="001E0697">
        <w:rPr>
          <w:rFonts w:ascii="Times New Roman" w:hAnsi="Times New Roman" w:cs="Times New Roman"/>
          <w:sz w:val="24"/>
          <w:szCs w:val="24"/>
        </w:rPr>
        <w:t xml:space="preserve"> construction work.</w:t>
      </w:r>
      <w:r>
        <w:rPr>
          <w:rFonts w:ascii="Times New Roman" w:hAnsi="Times New Roman" w:cs="Times New Roman"/>
          <w:sz w:val="24"/>
          <w:szCs w:val="24"/>
        </w:rPr>
        <w:t xml:space="preserve"> </w:t>
      </w:r>
      <w:r w:rsidRPr="001E0697">
        <w:rPr>
          <w:rFonts w:ascii="Times New Roman" w:hAnsi="Times New Roman" w:cs="Times New Roman"/>
          <w:sz w:val="24"/>
          <w:szCs w:val="24"/>
        </w:rPr>
        <w:t>However, Passenger traffic volumes exceeded</w:t>
      </w:r>
      <w:r>
        <w:rPr>
          <w:rFonts w:ascii="Times New Roman" w:hAnsi="Times New Roman" w:cs="Times New Roman"/>
          <w:sz w:val="24"/>
          <w:szCs w:val="24"/>
        </w:rPr>
        <w:t xml:space="preserve"> </w:t>
      </w:r>
      <w:r w:rsidRPr="001E0697">
        <w:rPr>
          <w:rFonts w:ascii="Times New Roman" w:hAnsi="Times New Roman" w:cs="Times New Roman"/>
          <w:sz w:val="24"/>
          <w:szCs w:val="24"/>
        </w:rPr>
        <w:t>expectations</w:t>
      </w:r>
      <w:r>
        <w:rPr>
          <w:rFonts w:ascii="Times New Roman" w:hAnsi="Times New Roman" w:cs="Times New Roman"/>
          <w:sz w:val="24"/>
          <w:szCs w:val="24"/>
        </w:rPr>
        <w:t>.</w:t>
      </w:r>
    </w:p>
    <w:p w14:paraId="12DDFCF8" w14:textId="770A5F85" w:rsidR="00A65CDF" w:rsidRDefault="00A65CDF" w:rsidP="0008496D">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Before the deal, the </w:t>
      </w:r>
      <w:r w:rsidRPr="00051186">
        <w:rPr>
          <w:rFonts w:ascii="Times New Roman" w:hAnsi="Times New Roman" w:cs="Times New Roman"/>
          <w:sz w:val="24"/>
          <w:szCs w:val="24"/>
        </w:rPr>
        <w:t xml:space="preserve">average </w:t>
      </w:r>
      <w:r w:rsidR="00AC294F" w:rsidRPr="00AC294F">
        <w:rPr>
          <w:rFonts w:ascii="Times New Roman" w:hAnsi="Times New Roman" w:cs="Times New Roman"/>
          <w:sz w:val="24"/>
          <w:szCs w:val="24"/>
        </w:rPr>
        <w:t xml:space="preserve">growth </w:t>
      </w:r>
      <w:r w:rsidRPr="00051186">
        <w:rPr>
          <w:rFonts w:ascii="Times New Roman" w:hAnsi="Times New Roman" w:cs="Times New Roman"/>
          <w:sz w:val="24"/>
          <w:szCs w:val="24"/>
        </w:rPr>
        <w:t>rate of Passenger volumes</w:t>
      </w:r>
      <w:r w:rsidR="00F63D42">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051186">
        <w:rPr>
          <w:rFonts w:ascii="Times New Roman" w:hAnsi="Times New Roman" w:cs="Times New Roman"/>
          <w:sz w:val="24"/>
          <w:szCs w:val="24"/>
        </w:rPr>
        <w:t>1</w:t>
      </w:r>
      <w:r>
        <w:rPr>
          <w:rFonts w:ascii="Times New Roman" w:hAnsi="Times New Roman" w:cs="Times New Roman"/>
          <w:sz w:val="24"/>
          <w:szCs w:val="24"/>
        </w:rPr>
        <w:t>2</w:t>
      </w:r>
      <w:r w:rsidRPr="00051186">
        <w:rPr>
          <w:rFonts w:ascii="Times New Roman" w:hAnsi="Times New Roman" w:cs="Times New Roman"/>
          <w:sz w:val="24"/>
          <w:szCs w:val="24"/>
        </w:rPr>
        <w:t>% per year</w:t>
      </w:r>
      <w:r>
        <w:rPr>
          <w:rFonts w:ascii="Times New Roman" w:hAnsi="Times New Roman" w:cs="Times New Roman"/>
          <w:sz w:val="24"/>
          <w:szCs w:val="24"/>
        </w:rPr>
        <w:t xml:space="preserve">. </w:t>
      </w:r>
      <w:r w:rsidR="00551623" w:rsidRPr="00551623">
        <w:rPr>
          <w:rFonts w:ascii="Times New Roman" w:hAnsi="Times New Roman" w:cs="Times New Roman"/>
          <w:sz w:val="24"/>
          <w:szCs w:val="24"/>
        </w:rPr>
        <w:t>However, following the project, the rate increased to an average of 14%, reaching 8.76 million passengers by 2018, as shown in </w:t>
      </w:r>
      <w:r w:rsidR="00551623" w:rsidRPr="00551623">
        <w:rPr>
          <w:rFonts w:ascii="Times New Roman" w:hAnsi="Times New Roman" w:cs="Times New Roman"/>
          <w:i/>
          <w:iCs/>
          <w:sz w:val="24"/>
          <w:szCs w:val="24"/>
        </w:rPr>
        <w:t>Fig. 2.7</w:t>
      </w:r>
      <w:r w:rsidR="00551623" w:rsidRPr="00551623">
        <w:rPr>
          <w:rFonts w:ascii="Times New Roman" w:hAnsi="Times New Roman" w:cs="Times New Roman"/>
          <w:sz w:val="24"/>
          <w:szCs w:val="24"/>
        </w:rPr>
        <w:t>.</w:t>
      </w:r>
    </w:p>
    <w:p w14:paraId="781E54F9" w14:textId="77777777" w:rsidR="006B51D7" w:rsidRDefault="00A65CDF" w:rsidP="006B51D7">
      <w:pPr>
        <w:keepNext/>
        <w:spacing w:line="360" w:lineRule="auto"/>
        <w:jc w:val="both"/>
      </w:pPr>
      <w:r>
        <w:rPr>
          <w:noProof/>
        </w:rPr>
        <w:drawing>
          <wp:inline distT="0" distB="0" distL="0" distR="0" wp14:anchorId="1AD5654B" wp14:editId="6CF79F02">
            <wp:extent cx="5798820" cy="2964180"/>
            <wp:effectExtent l="0" t="0" r="11430" b="7620"/>
            <wp:docPr id="5" name="Chart 5">
              <a:extLst xmlns:a="http://schemas.openxmlformats.org/drawingml/2006/main">
                <a:ext uri="{FF2B5EF4-FFF2-40B4-BE49-F238E27FC236}">
                  <a16:creationId xmlns:a16="http://schemas.microsoft.com/office/drawing/2014/main" id="{9D172DED-617F-40AF-96BA-0451ED8AB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13782F" w14:textId="1F66294D" w:rsidR="006B51D7" w:rsidRDefault="006B51D7" w:rsidP="006B51D7">
      <w:pPr>
        <w:spacing w:after="0" w:line="360" w:lineRule="auto"/>
        <w:jc w:val="both"/>
        <w:rPr>
          <w:rFonts w:ascii="Times New Roman" w:hAnsi="Times New Roman" w:cs="Times New Roman"/>
          <w:sz w:val="24"/>
          <w:szCs w:val="24"/>
        </w:rPr>
      </w:pPr>
      <w:r w:rsidRPr="006B51D7">
        <w:rPr>
          <w:rFonts w:ascii="Times New Roman" w:hAnsi="Times New Roman" w:cs="Times New Roman"/>
          <w:i/>
          <w:iCs/>
          <w:sz w:val="24"/>
          <w:szCs w:val="24"/>
        </w:rPr>
        <w:t xml:space="preserve">Fig. </w:t>
      </w:r>
      <w:r w:rsidR="00385B20">
        <w:rPr>
          <w:rFonts w:ascii="Times New Roman" w:hAnsi="Times New Roman" w:cs="Times New Roman"/>
          <w:i/>
          <w:iCs/>
          <w:sz w:val="24"/>
          <w:szCs w:val="24"/>
        </w:rPr>
        <w:t>2.</w:t>
      </w:r>
      <w:r w:rsidRPr="006B51D7">
        <w:rPr>
          <w:rFonts w:ascii="Times New Roman" w:hAnsi="Times New Roman" w:cs="Times New Roman"/>
          <w:i/>
          <w:iCs/>
          <w:sz w:val="24"/>
          <w:szCs w:val="24"/>
        </w:rPr>
        <w:fldChar w:fldCharType="begin"/>
      </w:r>
      <w:r w:rsidRPr="006B51D7">
        <w:rPr>
          <w:rFonts w:ascii="Times New Roman" w:hAnsi="Times New Roman" w:cs="Times New Roman"/>
          <w:i/>
          <w:iCs/>
          <w:sz w:val="24"/>
          <w:szCs w:val="24"/>
        </w:rPr>
        <w:instrText xml:space="preserve"> SEQ Figure \* ARABIC </w:instrText>
      </w:r>
      <w:r w:rsidRPr="006B51D7">
        <w:rPr>
          <w:rFonts w:ascii="Times New Roman" w:hAnsi="Times New Roman" w:cs="Times New Roman"/>
          <w:i/>
          <w:iCs/>
          <w:sz w:val="24"/>
          <w:szCs w:val="24"/>
        </w:rPr>
        <w:fldChar w:fldCharType="separate"/>
      </w:r>
      <w:r w:rsidR="0071318D">
        <w:rPr>
          <w:rFonts w:ascii="Times New Roman" w:hAnsi="Times New Roman" w:cs="Times New Roman"/>
          <w:i/>
          <w:iCs/>
          <w:noProof/>
          <w:sz w:val="24"/>
          <w:szCs w:val="24"/>
        </w:rPr>
        <w:t>7</w:t>
      </w:r>
      <w:r w:rsidRPr="006B51D7">
        <w:rPr>
          <w:rFonts w:ascii="Times New Roman" w:hAnsi="Times New Roman" w:cs="Times New Roman"/>
          <w:i/>
          <w:iCs/>
          <w:sz w:val="24"/>
          <w:szCs w:val="24"/>
        </w:rPr>
        <w:fldChar w:fldCharType="end"/>
      </w:r>
      <w:r w:rsidRPr="006B51D7">
        <w:rPr>
          <w:rFonts w:ascii="Times New Roman" w:hAnsi="Times New Roman" w:cs="Times New Roman"/>
          <w:sz w:val="24"/>
          <w:szCs w:val="24"/>
        </w:rPr>
        <w:t>. Medina Airport</w:t>
      </w:r>
      <w:r w:rsidR="00E20029" w:rsidRPr="00E20029">
        <w:rPr>
          <w:rFonts w:ascii="Times New Roman" w:hAnsi="Times New Roman" w:cs="Times New Roman"/>
          <w:sz w:val="24"/>
          <w:szCs w:val="24"/>
        </w:rPr>
        <w:t>'</w:t>
      </w:r>
      <w:r w:rsidRPr="006B51D7">
        <w:rPr>
          <w:rFonts w:ascii="Times New Roman" w:hAnsi="Times New Roman" w:cs="Times New Roman"/>
          <w:sz w:val="24"/>
          <w:szCs w:val="24"/>
        </w:rPr>
        <w:t>s actual and expected traffic movements between 2005 to 2018</w:t>
      </w:r>
    </w:p>
    <w:p w14:paraId="1FF38BFA" w14:textId="5B40768D" w:rsidR="00A65CDF" w:rsidRPr="004A12E7" w:rsidRDefault="006B51D7" w:rsidP="006B51D7">
      <w:pPr>
        <w:spacing w:line="360" w:lineRule="auto"/>
        <w:jc w:val="both"/>
        <w:rPr>
          <w:rFonts w:ascii="Times New Roman" w:hAnsi="Times New Roman" w:cs="Times New Roman"/>
          <w:lang w:val="en-US"/>
        </w:rPr>
      </w:pPr>
      <w:r w:rsidRPr="00507134">
        <w:rPr>
          <w:rFonts w:ascii="Times New Roman" w:hAnsi="Times New Roman" w:cs="Times New Roman"/>
          <w:i/>
          <w:iCs/>
          <w:lang w:val="en-US"/>
        </w:rPr>
        <w:t>Source</w:t>
      </w:r>
      <w:r w:rsidR="00507134" w:rsidRPr="00507134">
        <w:rPr>
          <w:rFonts w:ascii="Times New Roman" w:hAnsi="Times New Roman" w:cs="Times New Roman"/>
          <w:sz w:val="24"/>
          <w:szCs w:val="24"/>
        </w:rPr>
        <w:t xml:space="preserve">: </w:t>
      </w:r>
      <w:r w:rsidR="00507134" w:rsidRPr="00507134">
        <w:rPr>
          <w:rFonts w:ascii="Times New Roman" w:hAnsi="Times New Roman" w:cs="Times New Roman"/>
          <w:lang w:val="en-US"/>
        </w:rPr>
        <w:t>author's calculation according to</w:t>
      </w:r>
      <w:r w:rsidR="004A12E7">
        <w:rPr>
          <w:rFonts w:ascii="Times New Roman" w:hAnsi="Times New Roman" w:cs="Times New Roman"/>
          <w:lang w:val="en-US"/>
        </w:rPr>
        <w:t xml:space="preserve"> </w:t>
      </w:r>
      <w:r w:rsidR="004A12E7" w:rsidRPr="004A12E7">
        <w:rPr>
          <w:rFonts w:ascii="Times New Roman" w:hAnsi="Times New Roman" w:cs="Times New Roman"/>
          <w:lang w:val="en-US"/>
        </w:rPr>
        <w:t xml:space="preserve">GACA </w:t>
      </w:r>
      <w:r w:rsidR="004A12E7">
        <w:rPr>
          <w:rFonts w:ascii="Times New Roman" w:hAnsi="Times New Roman" w:cs="Times New Roman"/>
          <w:lang w:val="en-US"/>
        </w:rPr>
        <w:t>a</w:t>
      </w:r>
      <w:r w:rsidR="004A12E7" w:rsidRPr="004A12E7">
        <w:rPr>
          <w:rFonts w:ascii="Times New Roman" w:hAnsi="Times New Roman" w:cs="Times New Roman"/>
          <w:lang w:val="en-US"/>
        </w:rPr>
        <w:t>nnual reports</w:t>
      </w:r>
      <w:r w:rsidR="004A12E7">
        <w:rPr>
          <w:rFonts w:ascii="Times New Roman" w:hAnsi="Times New Roman" w:cs="Times New Roman"/>
          <w:lang w:val="en-US"/>
        </w:rPr>
        <w:t xml:space="preserve"> and TAV Airports annual reports.</w:t>
      </w:r>
    </w:p>
    <w:p w14:paraId="08982C72" w14:textId="71213787" w:rsidR="00A65CDF" w:rsidRDefault="00A65CDF" w:rsidP="0008496D">
      <w:pPr>
        <w:suppressAutoHyphens/>
        <w:spacing w:before="240" w:line="360" w:lineRule="auto"/>
        <w:ind w:firstLine="567"/>
        <w:jc w:val="both"/>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lang w:val="en-US"/>
        </w:rPr>
        <w:t xml:space="preserve">Sohar Aluminum </w:t>
      </w:r>
      <w:r w:rsidR="00385B20">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Oman</w:t>
      </w:r>
      <w:r w:rsidR="00385B20">
        <w:rPr>
          <w:rFonts w:ascii="Times New Roman" w:hAnsi="Times New Roman" w:cs="Times New Roman"/>
          <w:b/>
          <w:bCs/>
          <w:sz w:val="24"/>
          <w:szCs w:val="24"/>
          <w:lang w:val="en-US"/>
        </w:rPr>
        <w:t xml:space="preserve">. </w:t>
      </w:r>
      <w:r>
        <w:rPr>
          <w:rFonts w:ascii="Times New Roman" w:eastAsia="Times New Roman" w:hAnsi="Times New Roman" w:cs="Times New Roman"/>
          <w:color w:val="000000"/>
          <w:sz w:val="24"/>
          <w:szCs w:val="24"/>
          <w:lang w:val="en-US"/>
        </w:rPr>
        <w:t xml:space="preserve">Sohar Aluminum smelter project in Oman was the first greenfield aluminum smelter to be built in Oman. Sohar </w:t>
      </w:r>
      <w:r w:rsidR="00AC294F">
        <w:rPr>
          <w:rFonts w:ascii="Times New Roman" w:eastAsia="Times New Roman" w:hAnsi="Times New Roman" w:cs="Times New Roman"/>
          <w:color w:val="000000"/>
          <w:sz w:val="24"/>
          <w:szCs w:val="24"/>
          <w:lang w:val="en-US"/>
        </w:rPr>
        <w:t>Aluminum</w:t>
      </w:r>
      <w:r>
        <w:rPr>
          <w:rFonts w:ascii="Times New Roman" w:eastAsia="Times New Roman" w:hAnsi="Times New Roman" w:cs="Times New Roman"/>
          <w:color w:val="000000"/>
          <w:sz w:val="24"/>
          <w:szCs w:val="24"/>
          <w:lang w:val="en-US"/>
        </w:rPr>
        <w:t xml:space="preserve"> was formed in September 2004, the deal was closed in 2005</w:t>
      </w:r>
      <w:r w:rsidR="00F63D42">
        <w:rPr>
          <w:rFonts w:ascii="Times New Roman" w:eastAsia="Times New Roman" w:hAnsi="Times New Roman" w:cs="Times New Roman"/>
          <w:color w:val="000000"/>
          <w:sz w:val="24"/>
          <w:szCs w:val="24"/>
          <w:lang w:val="en-US"/>
        </w:rPr>
        <w:t xml:space="preserve">, and </w:t>
      </w:r>
      <w:r>
        <w:rPr>
          <w:rFonts w:ascii="Times New Roman" w:eastAsia="Times New Roman" w:hAnsi="Times New Roman" w:cs="Times New Roman"/>
          <w:color w:val="000000"/>
          <w:sz w:val="24"/>
          <w:szCs w:val="24"/>
          <w:lang w:val="en-US"/>
        </w:rPr>
        <w:t>the plant start</w:t>
      </w:r>
      <w:r w:rsidR="00F63D42">
        <w:rPr>
          <w:rFonts w:ascii="Times New Roman" w:eastAsia="Times New Roman" w:hAnsi="Times New Roman" w:cs="Times New Roman"/>
          <w:color w:val="000000"/>
          <w:sz w:val="24"/>
          <w:szCs w:val="24"/>
          <w:lang w:val="en-US"/>
        </w:rPr>
        <w:t>ed production</w:t>
      </w:r>
      <w:r>
        <w:rPr>
          <w:rFonts w:ascii="Times New Roman" w:eastAsia="Times New Roman" w:hAnsi="Times New Roman" w:cs="Times New Roman"/>
          <w:color w:val="000000"/>
          <w:sz w:val="24"/>
          <w:szCs w:val="24"/>
          <w:lang w:val="en-US"/>
        </w:rPr>
        <w:t xml:space="preserve"> in 2008 </w:t>
      </w:r>
      <w:r w:rsidR="00F63D42">
        <w:rPr>
          <w:rFonts w:ascii="Times New Roman" w:eastAsia="Times New Roman" w:hAnsi="Times New Roman" w:cs="Times New Roman"/>
          <w:color w:val="000000"/>
          <w:sz w:val="24"/>
          <w:szCs w:val="24"/>
          <w:lang w:val="en-US"/>
        </w:rPr>
        <w:t>reaching</w:t>
      </w:r>
      <w:r>
        <w:rPr>
          <w:rFonts w:ascii="Times New Roman" w:eastAsia="Times New Roman" w:hAnsi="Times New Roman" w:cs="Times New Roman"/>
          <w:color w:val="000000"/>
          <w:sz w:val="24"/>
          <w:szCs w:val="24"/>
          <w:lang w:val="en-US"/>
        </w:rPr>
        <w:t xml:space="preserve"> full capacity in 2009.</w:t>
      </w:r>
    </w:p>
    <w:p w14:paraId="50EDD7D9" w14:textId="419C7C21" w:rsidR="00A65CDF" w:rsidRDefault="00A65CDF" w:rsidP="0008496D">
      <w:pPr>
        <w:suppressAutoHyphens/>
        <w:spacing w:line="360" w:lineRule="auto"/>
        <w:ind w:firstLine="567"/>
        <w:jc w:val="both"/>
      </w:pPr>
      <w:r>
        <w:rPr>
          <w:rFonts w:ascii="Times New Roman" w:eastAsia="Times New Roman" w:hAnsi="Times New Roman" w:cs="Times New Roman"/>
          <w:color w:val="000000"/>
          <w:sz w:val="24"/>
          <w:szCs w:val="24"/>
          <w:lang w:val="en-US"/>
        </w:rPr>
        <w:t xml:space="preserve">The project sponsors were Oman Oil Company (40%), Abu Dhabi National Energy Company PJSC – TAQA (40%), and Rio Tinto Alcan (20%). The </w:t>
      </w:r>
      <w:r w:rsidR="00DB469B">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lang w:val="en-US"/>
        </w:rPr>
        <w:t>roject ha</w:t>
      </w:r>
      <w:r w:rsidR="00F63D42">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lang w:val="en-US"/>
        </w:rPr>
        <w:t xml:space="preserve"> been very successful in attracting the necessary financing</w:t>
      </w:r>
      <w:r w:rsidR="0055162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00F63D42">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lang w:val="en-US"/>
        </w:rPr>
        <w:t>t only took eight months to get the full financial close. The financing plan involved $1</w:t>
      </w:r>
      <w:r w:rsidR="00E70BE9">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545 </w:t>
      </w:r>
      <w:r w:rsidR="00F842D0">
        <w:rPr>
          <w:rFonts w:ascii="Times New Roman" w:eastAsia="Times New Roman" w:hAnsi="Times New Roman" w:cs="Times New Roman"/>
          <w:color w:val="000000"/>
          <w:sz w:val="24"/>
          <w:szCs w:val="24"/>
          <w:lang w:val="en-US"/>
        </w:rPr>
        <w:t>bn</w:t>
      </w:r>
      <w:r>
        <w:rPr>
          <w:rFonts w:ascii="Times New Roman" w:eastAsia="Times New Roman" w:hAnsi="Times New Roman" w:cs="Times New Roman"/>
          <w:color w:val="000000"/>
          <w:sz w:val="24"/>
          <w:szCs w:val="24"/>
          <w:lang w:val="en-US"/>
        </w:rPr>
        <w:t xml:space="preserve"> in debt, $1.2 </w:t>
      </w:r>
      <w:r w:rsidR="00F842D0">
        <w:rPr>
          <w:rFonts w:ascii="Times New Roman" w:eastAsia="Times New Roman" w:hAnsi="Times New Roman" w:cs="Times New Roman"/>
          <w:color w:val="000000"/>
          <w:sz w:val="24"/>
          <w:szCs w:val="24"/>
          <w:lang w:val="en-US"/>
        </w:rPr>
        <w:t>bn</w:t>
      </w:r>
      <w:r>
        <w:rPr>
          <w:rFonts w:ascii="Times New Roman" w:eastAsia="Times New Roman" w:hAnsi="Times New Roman" w:cs="Times New Roman"/>
          <w:color w:val="000000"/>
          <w:sz w:val="24"/>
          <w:szCs w:val="24"/>
          <w:lang w:val="en-US"/>
        </w:rPr>
        <w:t xml:space="preserve"> of which was commercial debt,</w:t>
      </w:r>
      <w:r>
        <w:rPr>
          <w:rFonts w:ascii="Times New Roman" w:eastAsia="Times New Roman" w:hAnsi="Times New Roman" w:cs="Times New Roman"/>
          <w:color w:val="000000"/>
          <w:sz w:val="24"/>
          <w:szCs w:val="24"/>
          <w:vertAlign w:val="superscript"/>
          <w:lang w:val="en-US"/>
        </w:rPr>
        <w:footnoteReference w:id="60"/>
      </w:r>
      <w:r>
        <w:rPr>
          <w:rFonts w:ascii="Times New Roman" w:eastAsia="Times New Roman" w:hAnsi="Times New Roman" w:cs="Times New Roman"/>
          <w:color w:val="000000"/>
          <w:sz w:val="24"/>
          <w:szCs w:val="24"/>
          <w:lang w:val="en-US"/>
        </w:rPr>
        <w:t xml:space="preserve"> $85 </w:t>
      </w:r>
      <w:r w:rsidR="00F63D42">
        <w:rPr>
          <w:rFonts w:ascii="Times New Roman" w:eastAsia="Times New Roman" w:hAnsi="Times New Roman" w:cs="Times New Roman"/>
          <w:color w:val="000000"/>
          <w:sz w:val="24"/>
          <w:szCs w:val="24"/>
          <w:lang w:val="en-US"/>
        </w:rPr>
        <w:t>m</w:t>
      </w:r>
      <w:r>
        <w:rPr>
          <w:rFonts w:ascii="Times New Roman" w:eastAsia="Times New Roman" w:hAnsi="Times New Roman" w:cs="Times New Roman"/>
          <w:color w:val="000000"/>
          <w:sz w:val="24"/>
          <w:szCs w:val="24"/>
          <w:lang w:val="en-US"/>
        </w:rPr>
        <w:t xml:space="preserve"> letter</w:t>
      </w:r>
      <w:r w:rsidR="00551623">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 xml:space="preserve"> of credit facility, and $260 </w:t>
      </w:r>
      <w:r w:rsidR="00F63D42">
        <w:rPr>
          <w:rFonts w:ascii="Times New Roman" w:eastAsia="Times New Roman" w:hAnsi="Times New Roman" w:cs="Times New Roman"/>
          <w:color w:val="000000"/>
          <w:sz w:val="24"/>
          <w:szCs w:val="24"/>
          <w:lang w:val="en-US"/>
        </w:rPr>
        <w:t>m</w:t>
      </w:r>
      <w:r>
        <w:rPr>
          <w:rFonts w:ascii="Times New Roman" w:eastAsia="Times New Roman" w:hAnsi="Times New Roman" w:cs="Times New Roman"/>
          <w:color w:val="000000"/>
          <w:sz w:val="24"/>
          <w:szCs w:val="24"/>
          <w:lang w:val="en-US"/>
        </w:rPr>
        <w:t xml:space="preserve"> of it was financed through an Islamic financing tranche. The Islamic financing tranche </w:t>
      </w:r>
      <w:r>
        <w:rPr>
          <w:rFonts w:ascii="Times New Roman" w:eastAsia="Times New Roman" w:hAnsi="Times New Roman" w:cs="Times New Roman"/>
          <w:color w:val="000000"/>
          <w:sz w:val="24"/>
          <w:szCs w:val="24"/>
          <w:lang w:val="en-US"/>
        </w:rPr>
        <w:lastRenderedPageBreak/>
        <w:t>at that time was the first Islamic financing tranche in multi-sourced project financing in Oman, which used an Istisna</w:t>
      </w:r>
      <w:r w:rsidR="00E20029" w:rsidRPr="00E20029">
        <w:rPr>
          <w:rFonts w:ascii="Times New Roman" w:hAnsi="Times New Roman" w:cs="Times New Roman"/>
          <w:sz w:val="24"/>
          <w:szCs w:val="24"/>
        </w:rPr>
        <w:t>'</w:t>
      </w:r>
      <w:r>
        <w:rPr>
          <w:rFonts w:ascii="Times New Roman" w:eastAsia="Times New Roman" w:hAnsi="Times New Roman" w:cs="Times New Roman"/>
          <w:color w:val="000000"/>
          <w:sz w:val="24"/>
          <w:szCs w:val="24"/>
          <w:lang w:val="en-US"/>
        </w:rPr>
        <w:t>a - Ijara financing structure.</w:t>
      </w:r>
    </w:p>
    <w:p w14:paraId="4F7E6FC8" w14:textId="5B1D9D32" w:rsidR="00A65CDF" w:rsidRDefault="00A65CDF" w:rsidP="0008496D">
      <w:pPr>
        <w:suppressAutoHyphens/>
        <w:spacing w:line="360" w:lineRule="auto"/>
        <w:ind w:firstLine="567"/>
        <w:jc w:val="both"/>
      </w:pPr>
      <w:r>
        <w:rPr>
          <w:rFonts w:ascii="Times New Roman" w:eastAsia="Times New Roman" w:hAnsi="Times New Roman" w:cs="Times New Roman"/>
          <w:color w:val="000000"/>
          <w:sz w:val="24"/>
          <w:szCs w:val="24"/>
          <w:lang w:val="en-US"/>
        </w:rPr>
        <w:t>The Istisna</w:t>
      </w:r>
      <w:r w:rsidR="00E20029" w:rsidRPr="00E20029">
        <w:rPr>
          <w:rFonts w:ascii="Times New Roman" w:hAnsi="Times New Roman" w:cs="Times New Roman"/>
          <w:sz w:val="24"/>
          <w:szCs w:val="24"/>
        </w:rPr>
        <w:t>'</w:t>
      </w:r>
      <w:r>
        <w:rPr>
          <w:rFonts w:ascii="Times New Roman" w:eastAsia="Times New Roman" w:hAnsi="Times New Roman" w:cs="Times New Roman"/>
          <w:color w:val="000000"/>
          <w:sz w:val="24"/>
          <w:szCs w:val="24"/>
          <w:lang w:val="en-US"/>
        </w:rPr>
        <w:t>a - Ijara structure was formulated with an Istisna</w:t>
      </w:r>
      <w:r w:rsidR="00E20029" w:rsidRPr="00E20029">
        <w:rPr>
          <w:rFonts w:ascii="Times New Roman" w:hAnsi="Times New Roman" w:cs="Times New Roman"/>
          <w:sz w:val="24"/>
          <w:szCs w:val="24"/>
        </w:rPr>
        <w:t>'</w:t>
      </w:r>
      <w:proofErr w:type="spellStart"/>
      <w:r>
        <w:rPr>
          <w:rFonts w:ascii="Times New Roman" w:eastAsia="Times New Roman" w:hAnsi="Times New Roman" w:cs="Times New Roman"/>
          <w:color w:val="000000"/>
          <w:sz w:val="24"/>
          <w:szCs w:val="24"/>
          <w:lang w:val="en-US"/>
        </w:rPr>
        <w:t>a</w:t>
      </w:r>
      <w:proofErr w:type="spellEnd"/>
      <w:r>
        <w:rPr>
          <w:rFonts w:ascii="Times New Roman" w:eastAsia="Times New Roman" w:hAnsi="Times New Roman" w:cs="Times New Roman"/>
          <w:color w:val="000000"/>
          <w:sz w:val="24"/>
          <w:szCs w:val="24"/>
          <w:lang w:val="en-US"/>
        </w:rPr>
        <w:t xml:space="preserve"> agreement (a sale of assets to be constructed), a forward Ijara agreement (an Islamic lease), sale and purchase undertakings, a service agency agreement, an investment agency agreement</w:t>
      </w:r>
      <w:r w:rsidR="00F63D42">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and a common terms agreement.</w:t>
      </w:r>
      <w:r>
        <w:rPr>
          <w:rStyle w:val="FootnoteReference"/>
        </w:rPr>
        <w:footnoteReference w:id="61"/>
      </w:r>
    </w:p>
    <w:p w14:paraId="40931E3A" w14:textId="0745771F" w:rsidR="00A65CDF" w:rsidRDefault="00A65CDF" w:rsidP="0008496D">
      <w:pPr>
        <w:suppressAutoHyphens/>
        <w:spacing w:line="36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Regarding the Istisna</w:t>
      </w:r>
      <w:r w:rsidR="00E20029" w:rsidRPr="00E20029">
        <w:rPr>
          <w:rFonts w:ascii="Times New Roman" w:hAnsi="Times New Roman" w:cs="Times New Roman"/>
          <w:sz w:val="24"/>
          <w:szCs w:val="24"/>
        </w:rPr>
        <w:t>'</w:t>
      </w:r>
      <w:proofErr w:type="spellStart"/>
      <w:r>
        <w:rPr>
          <w:rFonts w:ascii="Times New Roman" w:eastAsia="Times New Roman" w:hAnsi="Times New Roman" w:cs="Times New Roman"/>
          <w:color w:val="000000"/>
          <w:sz w:val="24"/>
          <w:szCs w:val="24"/>
          <w:lang w:val="en-US"/>
        </w:rPr>
        <w:t>a</w:t>
      </w:r>
      <w:proofErr w:type="spellEnd"/>
      <w:r>
        <w:rPr>
          <w:rFonts w:ascii="Times New Roman" w:eastAsia="Times New Roman" w:hAnsi="Times New Roman" w:cs="Times New Roman"/>
          <w:color w:val="000000"/>
          <w:sz w:val="24"/>
          <w:szCs w:val="24"/>
          <w:lang w:val="en-US"/>
        </w:rPr>
        <w:t xml:space="preserve"> agreement, it was operated during the construction phase of </w:t>
      </w:r>
      <w:r w:rsidR="00F63D42">
        <w:rPr>
          <w:rFonts w:ascii="Times New Roman" w:eastAsia="Times New Roman" w:hAnsi="Times New Roman" w:cs="Times New Roman"/>
          <w:color w:val="000000"/>
          <w:sz w:val="24"/>
          <w:szCs w:val="24"/>
          <w:lang w:val="en-US"/>
        </w:rPr>
        <w:t>the</w:t>
      </w:r>
      <w:r>
        <w:rPr>
          <w:rFonts w:ascii="Times New Roman" w:eastAsia="Times New Roman" w:hAnsi="Times New Roman" w:cs="Times New Roman"/>
          <w:color w:val="000000"/>
          <w:sz w:val="24"/>
          <w:szCs w:val="24"/>
          <w:lang w:val="en-US"/>
        </w:rPr>
        <w:t xml:space="preserve"> project</w:t>
      </w:r>
      <w:r w:rsidR="004A4F45">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Sohar Aluminum Project Company commissioned the construction of the Islamic-financed assets on behalf of the Islamic lenders. When the assets were complete, they were delivered to Sohar Aluminum Project Company, but</w:t>
      </w:r>
      <w:r w:rsidR="00AC294F">
        <w:rPr>
          <w:rFonts w:ascii="Times New Roman" w:eastAsia="Times New Roman" w:hAnsi="Times New Roman" w:cs="Times New Roman"/>
          <w:color w:val="000000"/>
          <w:sz w:val="24"/>
          <w:szCs w:val="24"/>
          <w:lang w:val="en-US"/>
        </w:rPr>
        <w:t xml:space="preserve"> the</w:t>
      </w:r>
      <w:r>
        <w:rPr>
          <w:rFonts w:ascii="Times New Roman" w:eastAsia="Times New Roman" w:hAnsi="Times New Roman" w:cs="Times New Roman"/>
          <w:color w:val="000000"/>
          <w:sz w:val="24"/>
          <w:szCs w:val="24"/>
          <w:lang w:val="en-US"/>
        </w:rPr>
        <w:t xml:space="preserve"> title to the assets passed to the Islamic lenders. </w:t>
      </w:r>
    </w:p>
    <w:p w14:paraId="66FB775A" w14:textId="09A5CE5F" w:rsidR="00A65CDF" w:rsidRDefault="004A4F45" w:rsidP="0008496D">
      <w:pPr>
        <w:suppressAutoHyphens/>
        <w:spacing w:line="360" w:lineRule="auto"/>
        <w:ind w:firstLine="567"/>
        <w:jc w:val="both"/>
      </w:pPr>
      <w:r w:rsidRPr="004A4F45">
        <w:rPr>
          <w:rFonts w:ascii="Times New Roman" w:eastAsia="Times New Roman" w:hAnsi="Times New Roman" w:cs="Times New Roman"/>
          <w:color w:val="000000"/>
          <w:sz w:val="24"/>
          <w:szCs w:val="24"/>
          <w:lang w:val="en-US"/>
        </w:rPr>
        <w:t>Sohar Alu­minum Project Company entered into an Ijara agreement with the Islamic lenders for the project's operational phase</w:t>
      </w:r>
      <w:r w:rsidR="00A65CDF">
        <w:rPr>
          <w:rFonts w:ascii="Times New Roman" w:eastAsia="Times New Roman" w:hAnsi="Times New Roman" w:cs="Times New Roman"/>
          <w:color w:val="000000"/>
          <w:sz w:val="24"/>
          <w:szCs w:val="24"/>
          <w:lang w:val="en-US"/>
        </w:rPr>
        <w:t xml:space="preserve">. Under the Ijara lease agreement, Sohar Aluminum Project Company leased the financed assets from the Islamic lenders and made lease payments that were </w:t>
      </w:r>
      <w:r w:rsidR="00551623" w:rsidRPr="00551623">
        <w:rPr>
          <w:rFonts w:ascii="Times New Roman" w:eastAsia="Times New Roman" w:hAnsi="Times New Roman" w:cs="Times New Roman"/>
          <w:color w:val="000000"/>
          <w:sz w:val="24"/>
          <w:szCs w:val="24"/>
          <w:lang w:val="en-US"/>
        </w:rPr>
        <w:t xml:space="preserve">near </w:t>
      </w:r>
      <w:r w:rsidR="00A65CDF">
        <w:rPr>
          <w:rFonts w:ascii="Times New Roman" w:eastAsia="Times New Roman" w:hAnsi="Times New Roman" w:cs="Times New Roman"/>
          <w:color w:val="000000"/>
          <w:sz w:val="24"/>
          <w:szCs w:val="24"/>
          <w:lang w:val="en-US"/>
        </w:rPr>
        <w:t>equivalent to the principal and interest payments made under the commercial bank tranche.</w:t>
      </w:r>
      <w:r w:rsidR="00A65CDF">
        <w:rPr>
          <w:rFonts w:ascii="Times New Roman" w:eastAsia="Times New Roman" w:hAnsi="Times New Roman" w:cs="Times New Roman"/>
          <w:color w:val="000000"/>
          <w:sz w:val="24"/>
          <w:szCs w:val="24"/>
          <w:vertAlign w:val="superscript"/>
          <w:lang w:val="en-US"/>
        </w:rPr>
        <w:footnoteReference w:id="62"/>
      </w:r>
    </w:p>
    <w:p w14:paraId="581EA131" w14:textId="008738D9" w:rsidR="00A65CDF" w:rsidRDefault="00A65CDF" w:rsidP="0008496D">
      <w:pPr>
        <w:suppressAutoHyphens/>
        <w:spacing w:line="36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Istisna</w:t>
      </w:r>
      <w:r w:rsidR="00E20029" w:rsidRPr="00E20029">
        <w:rPr>
          <w:rFonts w:ascii="Times New Roman" w:hAnsi="Times New Roman" w:cs="Times New Roman"/>
          <w:sz w:val="24"/>
          <w:szCs w:val="24"/>
        </w:rPr>
        <w:t>'</w:t>
      </w:r>
      <w:r>
        <w:rPr>
          <w:rFonts w:ascii="Times New Roman" w:eastAsia="Times New Roman" w:hAnsi="Times New Roman" w:cs="Times New Roman"/>
          <w:color w:val="000000"/>
          <w:sz w:val="24"/>
          <w:szCs w:val="24"/>
          <w:lang w:val="en-US"/>
        </w:rPr>
        <w:t>a - Ijara structure highlights the importance of title retention for Sharia compliance. In sum, the Islamic lenders financed the purchase of some of the project assets for Sohar Aluminum Project Company under the Istisna</w:t>
      </w:r>
      <w:r w:rsidR="00E20029" w:rsidRPr="00E20029">
        <w:rPr>
          <w:rFonts w:ascii="Times New Roman" w:hAnsi="Times New Roman" w:cs="Times New Roman"/>
          <w:sz w:val="24"/>
          <w:szCs w:val="24"/>
        </w:rPr>
        <w:t>'</w:t>
      </w:r>
      <w:proofErr w:type="spellStart"/>
      <w:r>
        <w:rPr>
          <w:rFonts w:ascii="Times New Roman" w:eastAsia="Times New Roman" w:hAnsi="Times New Roman" w:cs="Times New Roman"/>
          <w:color w:val="000000"/>
          <w:sz w:val="24"/>
          <w:szCs w:val="24"/>
          <w:lang w:val="en-US"/>
        </w:rPr>
        <w:t>a</w:t>
      </w:r>
      <w:proofErr w:type="spellEnd"/>
      <w:r>
        <w:rPr>
          <w:rFonts w:ascii="Times New Roman" w:eastAsia="Times New Roman" w:hAnsi="Times New Roman" w:cs="Times New Roman"/>
          <w:color w:val="000000"/>
          <w:sz w:val="24"/>
          <w:szCs w:val="24"/>
          <w:lang w:val="en-US"/>
        </w:rPr>
        <w:t xml:space="preserve"> agreement</w:t>
      </w:r>
      <w:r w:rsidR="00892C8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and received title to those assets. The Islamic lenders then received payment on this financing via the Ijara agreement</w:t>
      </w:r>
      <w:r w:rsidR="0055162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00551623">
        <w:rPr>
          <w:rFonts w:ascii="Times New Roman" w:eastAsia="Times New Roman" w:hAnsi="Times New Roman" w:cs="Times New Roman"/>
          <w:color w:val="000000"/>
          <w:sz w:val="24"/>
          <w:szCs w:val="24"/>
          <w:lang w:val="en-US"/>
        </w:rPr>
        <w:t>U</w:t>
      </w:r>
      <w:r>
        <w:rPr>
          <w:rFonts w:ascii="Times New Roman" w:eastAsia="Times New Roman" w:hAnsi="Times New Roman" w:cs="Times New Roman"/>
          <w:color w:val="000000"/>
          <w:sz w:val="24"/>
          <w:szCs w:val="24"/>
          <w:lang w:val="en-US"/>
        </w:rPr>
        <w:t>pon completion of the lease term,</w:t>
      </w:r>
      <w:r w:rsidR="00F63D42">
        <w:rPr>
          <w:rFonts w:ascii="Times New Roman" w:eastAsia="Times New Roman" w:hAnsi="Times New Roman" w:cs="Times New Roman"/>
          <w:color w:val="000000"/>
          <w:sz w:val="24"/>
          <w:szCs w:val="24"/>
          <w:lang w:val="en-US"/>
        </w:rPr>
        <w:t xml:space="preserve"> they</w:t>
      </w:r>
      <w:r>
        <w:rPr>
          <w:rFonts w:ascii="Times New Roman" w:eastAsia="Times New Roman" w:hAnsi="Times New Roman" w:cs="Times New Roman"/>
          <w:color w:val="000000"/>
          <w:sz w:val="24"/>
          <w:szCs w:val="24"/>
          <w:lang w:val="en-US"/>
        </w:rPr>
        <w:t xml:space="preserve"> would </w:t>
      </w:r>
      <w:r w:rsidR="00DB3348">
        <w:rPr>
          <w:rFonts w:ascii="Times New Roman" w:eastAsia="Times New Roman" w:hAnsi="Times New Roman" w:cs="Times New Roman"/>
          <w:color w:val="000000"/>
          <w:sz w:val="24"/>
          <w:szCs w:val="24"/>
          <w:lang w:val="en-US"/>
        </w:rPr>
        <w:t xml:space="preserve">return </w:t>
      </w:r>
      <w:r w:rsidR="00F63D42">
        <w:rPr>
          <w:rFonts w:ascii="Times New Roman" w:eastAsia="Times New Roman" w:hAnsi="Times New Roman" w:cs="Times New Roman"/>
          <w:color w:val="000000"/>
          <w:sz w:val="24"/>
          <w:szCs w:val="24"/>
          <w:lang w:val="en-US"/>
        </w:rPr>
        <w:t>the</w:t>
      </w:r>
      <w:r w:rsidR="00DB3348">
        <w:rPr>
          <w:rFonts w:ascii="Times New Roman" w:eastAsia="Times New Roman" w:hAnsi="Times New Roman" w:cs="Times New Roman"/>
          <w:color w:val="000000"/>
          <w:sz w:val="24"/>
          <w:szCs w:val="24"/>
          <w:lang w:val="en-US"/>
        </w:rPr>
        <w:t xml:space="preserve"> title</w:t>
      </w:r>
      <w:r>
        <w:rPr>
          <w:rFonts w:ascii="Times New Roman" w:eastAsia="Times New Roman" w:hAnsi="Times New Roman" w:cs="Times New Roman"/>
          <w:color w:val="000000"/>
          <w:sz w:val="24"/>
          <w:szCs w:val="24"/>
          <w:lang w:val="en-US"/>
        </w:rPr>
        <w:t xml:space="preserve"> to the assets to Sohar Aluminum Project Company.</w:t>
      </w:r>
    </w:p>
    <w:p w14:paraId="60FA6996" w14:textId="5FB00531" w:rsidR="00A65CDF" w:rsidRDefault="00A65CDF" w:rsidP="0008496D">
      <w:pPr>
        <w:suppressAutoHyphens/>
        <w:spacing w:before="240" w:line="360" w:lineRule="auto"/>
        <w:ind w:firstLine="567"/>
        <w:jc w:val="both"/>
      </w:pPr>
      <w:r w:rsidRPr="00471464">
        <w:rPr>
          <w:rFonts w:ascii="Times New Roman" w:hAnsi="Times New Roman" w:cs="Times New Roman"/>
          <w:b/>
          <w:bCs/>
          <w:sz w:val="24"/>
          <w:szCs w:val="24"/>
          <w:lang w:val="en-US"/>
        </w:rPr>
        <w:t>Sada</w:t>
      </w:r>
      <w:r w:rsidR="004604AA">
        <w:rPr>
          <w:rFonts w:ascii="Times New Roman" w:hAnsi="Times New Roman" w:cs="Times New Roman"/>
          <w:b/>
          <w:bCs/>
          <w:sz w:val="24"/>
          <w:szCs w:val="24"/>
          <w:lang w:val="en-US"/>
        </w:rPr>
        <w:t>ra</w:t>
      </w:r>
      <w:r w:rsidRPr="00471464">
        <w:rPr>
          <w:rFonts w:ascii="Times New Roman" w:hAnsi="Times New Roman" w:cs="Times New Roman"/>
          <w:b/>
          <w:bCs/>
          <w:sz w:val="24"/>
          <w:szCs w:val="24"/>
          <w:lang w:val="en-US"/>
        </w:rPr>
        <w:t xml:space="preserve"> </w:t>
      </w:r>
      <w:r w:rsidR="009A3917" w:rsidRPr="00471464">
        <w:rPr>
          <w:rFonts w:ascii="Times New Roman" w:hAnsi="Times New Roman" w:cs="Times New Roman"/>
          <w:b/>
          <w:bCs/>
          <w:sz w:val="24"/>
          <w:szCs w:val="24"/>
          <w:lang w:val="en-US"/>
        </w:rPr>
        <w:t>Petrochemical</w:t>
      </w:r>
      <w:r>
        <w:rPr>
          <w:rFonts w:ascii="Times New Roman" w:hAnsi="Times New Roman" w:cs="Times New Roman"/>
          <w:b/>
          <w:bCs/>
          <w:sz w:val="24"/>
          <w:szCs w:val="24"/>
          <w:lang w:val="en-US"/>
        </w:rPr>
        <w:t xml:space="preserve"> - Saudi Arabia</w:t>
      </w:r>
      <w:r w:rsidR="00385B20">
        <w:rPr>
          <w:rFonts w:ascii="Times New Roman" w:hAnsi="Times New Roman" w:cs="Times New Roman"/>
          <w:b/>
          <w:bCs/>
          <w:sz w:val="24"/>
          <w:szCs w:val="24"/>
          <w:lang w:val="en-US"/>
        </w:rPr>
        <w:t xml:space="preserve">. </w:t>
      </w:r>
      <w:r w:rsidRPr="00471464">
        <w:rPr>
          <w:rFonts w:ascii="Times New Roman" w:eastAsia="Times New Roman" w:hAnsi="Times New Roman" w:cs="Times New Roman"/>
          <w:color w:val="000000"/>
          <w:sz w:val="24"/>
          <w:szCs w:val="24"/>
          <w:lang w:val="en-US"/>
        </w:rPr>
        <w:t xml:space="preserve">Sadara </w:t>
      </w:r>
      <w:r w:rsidR="00DB3348">
        <w:rPr>
          <w:rFonts w:ascii="Times New Roman" w:eastAsia="Times New Roman" w:hAnsi="Times New Roman" w:cs="Times New Roman"/>
          <w:color w:val="000000"/>
          <w:sz w:val="24"/>
          <w:szCs w:val="24"/>
          <w:lang w:val="en-US"/>
        </w:rPr>
        <w:t>was e</w:t>
      </w:r>
      <w:r w:rsidRPr="00471464">
        <w:rPr>
          <w:rFonts w:ascii="Times New Roman" w:eastAsia="Times New Roman" w:hAnsi="Times New Roman" w:cs="Times New Roman"/>
          <w:color w:val="000000"/>
          <w:sz w:val="24"/>
          <w:szCs w:val="24"/>
          <w:lang w:val="en-US"/>
        </w:rPr>
        <w:t>stablished in 2011</w:t>
      </w:r>
      <w:r w:rsidR="00551623">
        <w:rPr>
          <w:rFonts w:ascii="Times New Roman" w:eastAsia="Times New Roman" w:hAnsi="Times New Roman" w:cs="Times New Roman"/>
          <w:color w:val="000000"/>
          <w:sz w:val="24"/>
          <w:szCs w:val="24"/>
          <w:lang w:val="en-US"/>
        </w:rPr>
        <w:t>;</w:t>
      </w:r>
      <w:r w:rsidRPr="00471464">
        <w:rPr>
          <w:rFonts w:ascii="Times New Roman" w:eastAsia="Times New Roman" w:hAnsi="Times New Roman" w:cs="Times New Roman"/>
          <w:color w:val="000000"/>
          <w:sz w:val="24"/>
          <w:szCs w:val="24"/>
          <w:lang w:val="en-US"/>
        </w:rPr>
        <w:t xml:space="preserve"> </w:t>
      </w:r>
      <w:r w:rsidR="00DB3348">
        <w:rPr>
          <w:rFonts w:ascii="Times New Roman" w:eastAsia="Times New Roman" w:hAnsi="Times New Roman" w:cs="Times New Roman"/>
          <w:color w:val="000000"/>
          <w:sz w:val="24"/>
          <w:szCs w:val="24"/>
          <w:lang w:val="en-US"/>
        </w:rPr>
        <w:t>it</w:t>
      </w:r>
      <w:r w:rsidRPr="00471464">
        <w:rPr>
          <w:rFonts w:ascii="Times New Roman" w:eastAsia="Times New Roman" w:hAnsi="Times New Roman" w:cs="Times New Roman"/>
          <w:color w:val="000000"/>
          <w:sz w:val="24"/>
          <w:szCs w:val="24"/>
          <w:lang w:val="en-US"/>
        </w:rPr>
        <w:t xml:space="preserve"> is a $20 </w:t>
      </w:r>
      <w:r w:rsidR="00F842D0">
        <w:rPr>
          <w:rFonts w:ascii="Times New Roman" w:eastAsia="Times New Roman" w:hAnsi="Times New Roman" w:cs="Times New Roman"/>
          <w:color w:val="000000"/>
          <w:sz w:val="24"/>
          <w:szCs w:val="24"/>
          <w:lang w:val="en-US"/>
        </w:rPr>
        <w:t>bn</w:t>
      </w:r>
      <w:r w:rsidRPr="00471464">
        <w:rPr>
          <w:rFonts w:ascii="Times New Roman" w:eastAsia="Times New Roman" w:hAnsi="Times New Roman" w:cs="Times New Roman"/>
          <w:color w:val="000000"/>
          <w:sz w:val="24"/>
          <w:szCs w:val="24"/>
          <w:lang w:val="en-US"/>
        </w:rPr>
        <w:t xml:space="preserve"> joint venture between Saudi Aramco (national oil company in Saudi Arabia) and Dow Chemicals. Under this </w:t>
      </w:r>
      <w:r w:rsidR="00DB3348" w:rsidRPr="00471464">
        <w:rPr>
          <w:rFonts w:ascii="Times New Roman" w:eastAsia="Times New Roman" w:hAnsi="Times New Roman" w:cs="Times New Roman"/>
          <w:color w:val="000000"/>
          <w:sz w:val="24"/>
          <w:szCs w:val="24"/>
          <w:lang w:val="en-US"/>
        </w:rPr>
        <w:t>joint venture</w:t>
      </w:r>
      <w:r w:rsidRPr="00471464">
        <w:rPr>
          <w:rFonts w:ascii="Times New Roman" w:eastAsia="Times New Roman" w:hAnsi="Times New Roman" w:cs="Times New Roman"/>
          <w:color w:val="000000"/>
          <w:sz w:val="24"/>
          <w:szCs w:val="24"/>
          <w:lang w:val="en-US"/>
        </w:rPr>
        <w:t>, 26 manufacturing units with a production capacity of over 3 million tons are being constructed in Jubail</w:t>
      </w:r>
      <w:r w:rsidR="00DB3348">
        <w:rPr>
          <w:rFonts w:ascii="Times New Roman" w:eastAsia="Times New Roman" w:hAnsi="Times New Roman" w:cs="Times New Roman"/>
          <w:color w:val="000000"/>
          <w:sz w:val="24"/>
          <w:szCs w:val="24"/>
          <w:lang w:val="en-US"/>
        </w:rPr>
        <w:t xml:space="preserve"> city</w:t>
      </w:r>
      <w:r w:rsidRPr="00471464">
        <w:rPr>
          <w:rFonts w:ascii="Times New Roman" w:eastAsia="Times New Roman" w:hAnsi="Times New Roman" w:cs="Times New Roman"/>
          <w:color w:val="000000"/>
          <w:sz w:val="24"/>
          <w:szCs w:val="24"/>
          <w:lang w:val="en-US"/>
        </w:rPr>
        <w:t xml:space="preserve">. </w:t>
      </w:r>
      <w:r w:rsidR="000B0C59" w:rsidRPr="000B0C59">
        <w:rPr>
          <w:rFonts w:ascii="Times New Roman" w:eastAsia="Times New Roman" w:hAnsi="Times New Roman" w:cs="Times New Roman"/>
          <w:color w:val="000000"/>
          <w:sz w:val="24"/>
          <w:szCs w:val="24"/>
          <w:lang w:val="en-US"/>
        </w:rPr>
        <w:t>Once completed, this facility would be the world's largest integrated chemical complex ever built in a single phase</w:t>
      </w:r>
      <w:r w:rsidRPr="00471464">
        <w:rPr>
          <w:rFonts w:ascii="Times New Roman" w:eastAsia="Times New Roman" w:hAnsi="Times New Roman" w:cs="Times New Roman"/>
          <w:color w:val="000000"/>
          <w:sz w:val="24"/>
          <w:szCs w:val="24"/>
          <w:lang w:val="en-US"/>
        </w:rPr>
        <w:t>. The complex will be adjacent to a new industrial park where downstream manufacturers will be situated aiding clustering efforts. 14 of the 26 manufacturing facilities will bring</w:t>
      </w:r>
      <w:r w:rsidR="00DB3348">
        <w:rPr>
          <w:rFonts w:ascii="Times New Roman" w:eastAsia="Times New Roman" w:hAnsi="Times New Roman" w:cs="Times New Roman"/>
          <w:color w:val="000000"/>
          <w:sz w:val="24"/>
          <w:szCs w:val="24"/>
          <w:lang w:val="en-US"/>
        </w:rPr>
        <w:t xml:space="preserve"> new</w:t>
      </w:r>
      <w:r w:rsidRPr="00471464">
        <w:rPr>
          <w:rFonts w:ascii="Times New Roman" w:eastAsia="Times New Roman" w:hAnsi="Times New Roman" w:cs="Times New Roman"/>
          <w:color w:val="000000"/>
          <w:sz w:val="24"/>
          <w:szCs w:val="24"/>
          <w:lang w:val="en-US"/>
        </w:rPr>
        <w:t xml:space="preserve"> technology to the Saudi chemical cluster</w:t>
      </w:r>
      <w:r w:rsidR="00DB3348">
        <w:rPr>
          <w:rFonts w:ascii="Times New Roman" w:eastAsia="Times New Roman" w:hAnsi="Times New Roman" w:cs="Times New Roman"/>
          <w:color w:val="000000"/>
          <w:sz w:val="24"/>
          <w:szCs w:val="24"/>
          <w:lang w:val="en-US"/>
        </w:rPr>
        <w:t xml:space="preserve">, </w:t>
      </w:r>
      <w:r w:rsidRPr="00471464">
        <w:rPr>
          <w:rFonts w:ascii="Times New Roman" w:eastAsia="Times New Roman" w:hAnsi="Times New Roman" w:cs="Times New Roman"/>
          <w:color w:val="000000"/>
          <w:sz w:val="24"/>
          <w:szCs w:val="24"/>
          <w:lang w:val="en-US"/>
        </w:rPr>
        <w:t xml:space="preserve">while the complex will be the first to crack naphtha throughout the GCC. The complex </w:t>
      </w:r>
      <w:r w:rsidR="00DB3348">
        <w:rPr>
          <w:rFonts w:ascii="Times New Roman" w:eastAsia="Times New Roman" w:hAnsi="Times New Roman" w:cs="Times New Roman"/>
          <w:color w:val="000000"/>
          <w:sz w:val="24"/>
          <w:szCs w:val="24"/>
          <w:lang w:val="en-US"/>
        </w:rPr>
        <w:t>was</w:t>
      </w:r>
      <w:r w:rsidRPr="00471464">
        <w:rPr>
          <w:rFonts w:ascii="Times New Roman" w:eastAsia="Times New Roman" w:hAnsi="Times New Roman" w:cs="Times New Roman"/>
          <w:color w:val="000000"/>
          <w:sz w:val="24"/>
          <w:szCs w:val="24"/>
          <w:lang w:val="en-US"/>
        </w:rPr>
        <w:t xml:space="preserve"> expected to achieve full operational status in 2016</w:t>
      </w:r>
      <w:r>
        <w:t>.</w:t>
      </w:r>
      <w:r>
        <w:rPr>
          <w:rStyle w:val="FootnoteReference"/>
        </w:rPr>
        <w:footnoteReference w:id="63"/>
      </w:r>
    </w:p>
    <w:p w14:paraId="01B195A9" w14:textId="3E3F29F5" w:rsidR="00A65CDF" w:rsidRDefault="00A65CDF" w:rsidP="00385B20">
      <w:pPr>
        <w:spacing w:line="360" w:lineRule="auto"/>
        <w:ind w:firstLine="567"/>
        <w:jc w:val="both"/>
        <w:rPr>
          <w:rFonts w:ascii="Times New Roman" w:eastAsia="Times New Roman" w:hAnsi="Times New Roman" w:cs="Times New Roman"/>
          <w:color w:val="000000"/>
          <w:sz w:val="24"/>
          <w:szCs w:val="24"/>
          <w:lang w:val="en-US"/>
        </w:rPr>
      </w:pPr>
      <w:r w:rsidRPr="008C30AD">
        <w:rPr>
          <w:rFonts w:ascii="Times New Roman" w:eastAsia="Times New Roman" w:hAnsi="Times New Roman" w:cs="Times New Roman"/>
          <w:color w:val="000000"/>
          <w:sz w:val="24"/>
          <w:szCs w:val="24"/>
          <w:lang w:val="en-US"/>
        </w:rPr>
        <w:lastRenderedPageBreak/>
        <w:t xml:space="preserve">The deal </w:t>
      </w:r>
      <w:r w:rsidR="00DB3348">
        <w:rPr>
          <w:rFonts w:ascii="Times New Roman" w:eastAsia="Times New Roman" w:hAnsi="Times New Roman" w:cs="Times New Roman"/>
          <w:color w:val="000000"/>
          <w:sz w:val="24"/>
          <w:szCs w:val="24"/>
          <w:lang w:val="en-US"/>
        </w:rPr>
        <w:t>was</w:t>
      </w:r>
      <w:r w:rsidRPr="008C30AD">
        <w:rPr>
          <w:rFonts w:ascii="Times New Roman" w:eastAsia="Times New Roman" w:hAnsi="Times New Roman" w:cs="Times New Roman"/>
          <w:color w:val="000000"/>
          <w:sz w:val="24"/>
          <w:szCs w:val="24"/>
          <w:lang w:val="en-US"/>
        </w:rPr>
        <w:t xml:space="preserve"> the largest project financing in the Middle East and </w:t>
      </w:r>
      <w:r w:rsidR="00DB3348">
        <w:rPr>
          <w:rFonts w:ascii="Times New Roman" w:eastAsia="Times New Roman" w:hAnsi="Times New Roman" w:cs="Times New Roman"/>
          <w:color w:val="000000"/>
          <w:sz w:val="24"/>
          <w:szCs w:val="24"/>
          <w:lang w:val="en-US"/>
        </w:rPr>
        <w:t>was</w:t>
      </w:r>
      <w:r w:rsidRPr="008C30AD">
        <w:rPr>
          <w:rFonts w:ascii="Times New Roman" w:eastAsia="Times New Roman" w:hAnsi="Times New Roman" w:cs="Times New Roman"/>
          <w:color w:val="000000"/>
          <w:sz w:val="24"/>
          <w:szCs w:val="24"/>
          <w:lang w:val="en-US"/>
        </w:rPr>
        <w:t xml:space="preserve"> set to be the largest project finance deal in the world in 2013. </w:t>
      </w:r>
      <w:r w:rsidR="00DB3348" w:rsidRPr="00DB3348">
        <w:rPr>
          <w:rFonts w:ascii="Times New Roman" w:eastAsia="Times New Roman" w:hAnsi="Times New Roman" w:cs="Times New Roman"/>
          <w:color w:val="000000"/>
          <w:sz w:val="24"/>
          <w:szCs w:val="24"/>
          <w:lang w:val="en-US"/>
        </w:rPr>
        <w:t>Leading to the</w:t>
      </w:r>
      <w:r w:rsidR="00DB3348">
        <w:rPr>
          <w:rFonts w:ascii="Times New Roman" w:eastAsia="Times New Roman" w:hAnsi="Times New Roman" w:cs="Times New Roman"/>
          <w:color w:val="000000"/>
          <w:sz w:val="24"/>
          <w:szCs w:val="24"/>
          <w:lang w:val="en-US"/>
        </w:rPr>
        <w:t xml:space="preserve"> </w:t>
      </w:r>
      <w:r w:rsidRPr="008C30AD">
        <w:rPr>
          <w:rFonts w:ascii="Times New Roman" w:eastAsia="Times New Roman" w:hAnsi="Times New Roman" w:cs="Times New Roman"/>
          <w:color w:val="000000"/>
          <w:sz w:val="24"/>
          <w:szCs w:val="24"/>
          <w:lang w:val="en-US"/>
        </w:rPr>
        <w:t>construction of the largest single-phase integrated chemical</w:t>
      </w:r>
      <w:r w:rsidR="00892C86">
        <w:rPr>
          <w:rFonts w:ascii="Times New Roman" w:eastAsia="Times New Roman" w:hAnsi="Times New Roman" w:cs="Times New Roman"/>
          <w:color w:val="000000"/>
          <w:sz w:val="24"/>
          <w:szCs w:val="24"/>
          <w:lang w:val="en-US"/>
        </w:rPr>
        <w:t xml:space="preserve"> </w:t>
      </w:r>
      <w:r w:rsidRPr="008C30AD">
        <w:rPr>
          <w:rFonts w:ascii="Times New Roman" w:eastAsia="Times New Roman" w:hAnsi="Times New Roman" w:cs="Times New Roman"/>
          <w:color w:val="000000"/>
          <w:sz w:val="24"/>
          <w:szCs w:val="24"/>
          <w:lang w:val="en-US"/>
        </w:rPr>
        <w:t>facility ever built.</w:t>
      </w:r>
    </w:p>
    <w:p w14:paraId="3423EC49" w14:textId="18229178" w:rsidR="00A65CDF" w:rsidRPr="008C30AD" w:rsidRDefault="00A65CDF" w:rsidP="0008496D">
      <w:pPr>
        <w:suppressAutoHyphens/>
        <w:spacing w:before="240" w:line="360" w:lineRule="auto"/>
        <w:ind w:firstLine="567"/>
        <w:jc w:val="both"/>
        <w:rPr>
          <w:rFonts w:asciiTheme="majorBidi" w:eastAsia="Times New Roman" w:hAnsiTheme="majorBidi" w:cstheme="majorBidi"/>
          <w:color w:val="000000"/>
          <w:sz w:val="24"/>
          <w:szCs w:val="24"/>
          <w:lang w:val="en-US"/>
        </w:rPr>
      </w:pPr>
      <w:r w:rsidRPr="008C30AD">
        <w:rPr>
          <w:rFonts w:ascii="Times New Roman" w:hAnsi="Times New Roman" w:cs="Times New Roman"/>
          <w:b/>
          <w:bCs/>
          <w:sz w:val="24"/>
          <w:szCs w:val="24"/>
          <w:lang w:val="en-US"/>
        </w:rPr>
        <w:t xml:space="preserve">Al Dur (IWPP) </w:t>
      </w:r>
      <w:r w:rsidR="00385B20">
        <w:rPr>
          <w:rFonts w:ascii="Times New Roman" w:hAnsi="Times New Roman" w:cs="Times New Roman"/>
          <w:b/>
          <w:bCs/>
          <w:sz w:val="24"/>
          <w:szCs w:val="24"/>
          <w:lang w:val="en-US"/>
        </w:rPr>
        <w:t>–</w:t>
      </w:r>
      <w:r w:rsidRPr="008C30AD">
        <w:rPr>
          <w:rFonts w:ascii="Times New Roman" w:hAnsi="Times New Roman" w:cs="Times New Roman"/>
          <w:b/>
          <w:bCs/>
          <w:sz w:val="24"/>
          <w:szCs w:val="24"/>
          <w:lang w:val="en-US"/>
        </w:rPr>
        <w:t xml:space="preserve"> Bahrain</w:t>
      </w:r>
      <w:r w:rsidR="00385B20">
        <w:rPr>
          <w:rFonts w:ascii="Times New Roman" w:hAnsi="Times New Roman" w:cs="Times New Roman"/>
          <w:b/>
          <w:bCs/>
          <w:sz w:val="24"/>
          <w:szCs w:val="24"/>
          <w:lang w:val="en-US"/>
        </w:rPr>
        <w:t xml:space="preserve">. </w:t>
      </w:r>
      <w:r w:rsidR="00DB3348">
        <w:rPr>
          <w:rFonts w:asciiTheme="majorBidi" w:eastAsia="Times New Roman" w:hAnsiTheme="majorBidi" w:cstheme="majorBidi"/>
          <w:color w:val="000000"/>
          <w:sz w:val="24"/>
          <w:szCs w:val="24"/>
          <w:lang w:val="en-US"/>
        </w:rPr>
        <w:t>E</w:t>
      </w:r>
      <w:r w:rsidRPr="008C30AD">
        <w:rPr>
          <w:rFonts w:asciiTheme="majorBidi" w:eastAsia="Times New Roman" w:hAnsiTheme="majorBidi" w:cstheme="majorBidi"/>
          <w:color w:val="000000"/>
          <w:sz w:val="24"/>
          <w:szCs w:val="24"/>
          <w:lang w:val="en-US"/>
        </w:rPr>
        <w:t>lectricity infrastructure</w:t>
      </w:r>
      <w:r w:rsidR="00DB3348">
        <w:rPr>
          <w:rFonts w:asciiTheme="majorBidi" w:eastAsia="Times New Roman" w:hAnsiTheme="majorBidi" w:cstheme="majorBidi"/>
          <w:color w:val="000000"/>
          <w:sz w:val="24"/>
          <w:szCs w:val="24"/>
          <w:lang w:val="en-US"/>
        </w:rPr>
        <w:t xml:space="preserve"> nowadays</w:t>
      </w:r>
      <w:r w:rsidRPr="008C30AD">
        <w:rPr>
          <w:rFonts w:asciiTheme="majorBidi" w:eastAsia="Times New Roman" w:hAnsiTheme="majorBidi" w:cstheme="majorBidi"/>
          <w:color w:val="000000"/>
          <w:sz w:val="24"/>
          <w:szCs w:val="24"/>
          <w:lang w:val="en-US"/>
        </w:rPr>
        <w:t xml:space="preserve"> is becoming a central component of the economy for many reasons. Firstly, as Bahrain is the center of finance in the Gulf Cooperation Council (GCC) region, electricity is an essential factor for the effectiveness of the banking and financial sector. Secondly, Bahrain is moving toward an industrial</w:t>
      </w:r>
      <w:r w:rsidR="00892C86">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lang w:val="en-US"/>
        </w:rPr>
        <w:t xml:space="preserve">based economy to diversify its economy and to shrink its dependency </w:t>
      </w:r>
      <w:r w:rsidR="00892C86">
        <w:rPr>
          <w:rFonts w:asciiTheme="majorBidi" w:eastAsia="Times New Roman" w:hAnsiTheme="majorBidi" w:cstheme="majorBidi"/>
          <w:color w:val="000000"/>
          <w:sz w:val="24"/>
          <w:szCs w:val="24"/>
          <w:lang w:val="en-US"/>
        </w:rPr>
        <w:t>on</w:t>
      </w:r>
      <w:r w:rsidRPr="008C30AD">
        <w:rPr>
          <w:rFonts w:asciiTheme="majorBidi" w:eastAsia="Times New Roman" w:hAnsiTheme="majorBidi" w:cstheme="majorBidi"/>
          <w:color w:val="000000"/>
          <w:sz w:val="24"/>
          <w:szCs w:val="24"/>
          <w:lang w:val="en-US"/>
        </w:rPr>
        <w:t xml:space="preserve"> oil</w:t>
      </w:r>
      <w:r w:rsidR="00551623">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lang w:val="en-US"/>
        </w:rPr>
        <w:t xml:space="preserve"> thus</w:t>
      </w:r>
      <w:r w:rsidR="00551623">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lang w:val="en-US"/>
        </w:rPr>
        <w:t xml:space="preserve"> electricity is becoming an </w:t>
      </w:r>
      <w:r w:rsidR="00551623" w:rsidRPr="00551623">
        <w:rPr>
          <w:rFonts w:asciiTheme="majorBidi" w:eastAsia="Times New Roman" w:hAnsiTheme="majorBidi" w:cstheme="majorBidi"/>
          <w:color w:val="000000"/>
          <w:sz w:val="24"/>
          <w:szCs w:val="24"/>
          <w:lang w:val="en-US"/>
        </w:rPr>
        <w:t xml:space="preserve">essential </w:t>
      </w:r>
      <w:r w:rsidRPr="008C30AD">
        <w:rPr>
          <w:rFonts w:asciiTheme="majorBidi" w:eastAsia="Times New Roman" w:hAnsiTheme="majorBidi" w:cstheme="majorBidi"/>
          <w:color w:val="000000"/>
          <w:sz w:val="24"/>
          <w:szCs w:val="24"/>
          <w:lang w:val="en-US"/>
        </w:rPr>
        <w:t xml:space="preserve">factor for achieving this goal. </w:t>
      </w:r>
    </w:p>
    <w:p w14:paraId="612C85E8" w14:textId="29577C1C" w:rsidR="00A65CDF" w:rsidRPr="008C30AD" w:rsidRDefault="00843CEC" w:rsidP="0008496D">
      <w:pPr>
        <w:suppressAutoHyphens/>
        <w:spacing w:line="360" w:lineRule="auto"/>
        <w:ind w:firstLine="567"/>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Bahrain</w:t>
      </w:r>
      <w:r w:rsidR="00A65CDF" w:rsidRPr="008C30AD">
        <w:rPr>
          <w:rFonts w:asciiTheme="majorBidi" w:eastAsia="Times New Roman" w:hAnsiTheme="majorBidi" w:cstheme="majorBidi"/>
          <w:color w:val="000000"/>
          <w:sz w:val="24"/>
          <w:szCs w:val="24"/>
          <w:lang w:val="en-US"/>
        </w:rPr>
        <w:t xml:space="preserve"> kingdom supported independent projects (IPPs) and engaged in</w:t>
      </w:r>
      <w:r w:rsidR="004E3FED">
        <w:rPr>
          <w:rFonts w:asciiTheme="majorBidi" w:eastAsia="Times New Roman" w:hAnsiTheme="majorBidi" w:cstheme="majorBidi"/>
          <w:color w:val="000000"/>
          <w:sz w:val="24"/>
          <w:szCs w:val="24"/>
          <w:lang w:val="en-US"/>
        </w:rPr>
        <w:t xml:space="preserve"> the</w:t>
      </w:r>
      <w:r w:rsidR="00A65CDF" w:rsidRPr="008C30AD">
        <w:rPr>
          <w:rFonts w:asciiTheme="majorBidi" w:eastAsia="Times New Roman" w:hAnsiTheme="majorBidi" w:cstheme="majorBidi"/>
          <w:color w:val="000000"/>
          <w:sz w:val="24"/>
          <w:szCs w:val="24"/>
          <w:lang w:val="en-US"/>
        </w:rPr>
        <w:t xml:space="preserve"> privatization process of some state-owned power sector assets. Al Dur plant is </w:t>
      </w:r>
      <w:r>
        <w:rPr>
          <w:rFonts w:asciiTheme="majorBidi" w:eastAsia="Times New Roman" w:hAnsiTheme="majorBidi" w:cstheme="majorBidi"/>
          <w:color w:val="000000"/>
          <w:sz w:val="24"/>
          <w:szCs w:val="24"/>
          <w:lang w:val="en-US"/>
        </w:rPr>
        <w:t>an</w:t>
      </w:r>
      <w:r w:rsidR="00A65CDF" w:rsidRPr="008C30AD">
        <w:rPr>
          <w:rFonts w:asciiTheme="majorBidi" w:eastAsia="Times New Roman" w:hAnsiTheme="majorBidi" w:cstheme="majorBidi"/>
          <w:color w:val="000000"/>
          <w:sz w:val="24"/>
          <w:szCs w:val="24"/>
          <w:lang w:val="en-US"/>
        </w:rPr>
        <w:t xml:space="preserve"> example</w:t>
      </w:r>
      <w:r w:rsidR="00551623">
        <w:rPr>
          <w:rFonts w:asciiTheme="majorBidi" w:eastAsia="Times New Roman" w:hAnsiTheme="majorBidi" w:cstheme="majorBidi"/>
          <w:color w:val="000000"/>
          <w:sz w:val="24"/>
          <w:szCs w:val="24"/>
          <w:lang w:val="en-US"/>
        </w:rPr>
        <w:t>;</w:t>
      </w:r>
      <w:r>
        <w:rPr>
          <w:rFonts w:asciiTheme="majorBidi" w:eastAsia="Times New Roman" w:hAnsiTheme="majorBidi" w:cstheme="majorBidi"/>
          <w:color w:val="000000"/>
          <w:sz w:val="24"/>
          <w:szCs w:val="24"/>
          <w:lang w:val="en-US"/>
        </w:rPr>
        <w:t xml:space="preserve"> i</w:t>
      </w:r>
      <w:r w:rsidR="00A65CDF" w:rsidRPr="008C30AD">
        <w:rPr>
          <w:rFonts w:asciiTheme="majorBidi" w:eastAsia="Times New Roman" w:hAnsiTheme="majorBidi" w:cstheme="majorBidi"/>
          <w:color w:val="000000"/>
          <w:sz w:val="24"/>
          <w:szCs w:val="24"/>
          <w:lang w:val="en-US"/>
        </w:rPr>
        <w:t xml:space="preserve">t </w:t>
      </w:r>
      <w:r>
        <w:rPr>
          <w:rFonts w:asciiTheme="majorBidi" w:eastAsia="Times New Roman" w:hAnsiTheme="majorBidi" w:cstheme="majorBidi"/>
          <w:color w:val="000000"/>
          <w:sz w:val="24"/>
          <w:szCs w:val="24"/>
          <w:lang w:val="en-US"/>
        </w:rPr>
        <w:t>was</w:t>
      </w:r>
      <w:r w:rsidR="00A65CDF" w:rsidRPr="008C30AD">
        <w:rPr>
          <w:rFonts w:asciiTheme="majorBidi" w:eastAsia="Times New Roman" w:hAnsiTheme="majorBidi" w:cstheme="majorBidi"/>
          <w:color w:val="000000"/>
          <w:sz w:val="24"/>
          <w:szCs w:val="24"/>
          <w:lang w:val="en-US"/>
        </w:rPr>
        <w:t xml:space="preserve"> planned to operate in two phases.</w:t>
      </w:r>
      <w:r w:rsidR="00A65CDF" w:rsidRPr="008C30AD">
        <w:rPr>
          <w:rFonts w:asciiTheme="majorBidi" w:eastAsia="Times New Roman" w:hAnsiTheme="majorBidi" w:cstheme="majorBidi"/>
          <w:color w:val="000000"/>
          <w:sz w:val="24"/>
          <w:szCs w:val="24"/>
          <w:vertAlign w:val="superscript"/>
          <w:lang w:val="en-US"/>
        </w:rPr>
        <w:footnoteReference w:id="64"/>
      </w:r>
    </w:p>
    <w:p w14:paraId="70651C03" w14:textId="48C534C5" w:rsidR="00843CEC" w:rsidRDefault="00A65CDF" w:rsidP="0008496D">
      <w:pPr>
        <w:suppressAutoHyphens/>
        <w:spacing w:after="0" w:line="360" w:lineRule="auto"/>
        <w:ind w:firstLine="567"/>
        <w:jc w:val="both"/>
        <w:rPr>
          <w:rFonts w:asciiTheme="majorBidi" w:eastAsia="Times New Roman" w:hAnsiTheme="majorBidi" w:cstheme="majorBidi"/>
          <w:color w:val="000000"/>
          <w:sz w:val="24"/>
          <w:szCs w:val="24"/>
          <w:lang w:val="en-US"/>
        </w:rPr>
      </w:pPr>
      <w:r w:rsidRPr="008C30AD">
        <w:rPr>
          <w:rFonts w:asciiTheme="majorBidi" w:eastAsia="Times New Roman" w:hAnsiTheme="majorBidi" w:cstheme="majorBidi"/>
          <w:color w:val="000000"/>
          <w:sz w:val="24"/>
          <w:szCs w:val="24"/>
          <w:lang w:val="en-US"/>
        </w:rPr>
        <w:t xml:space="preserve">In 2009, the contract to </w:t>
      </w:r>
      <w:r w:rsidR="000D01AC">
        <w:rPr>
          <w:rFonts w:asciiTheme="majorBidi" w:eastAsia="Times New Roman" w:hAnsiTheme="majorBidi" w:cstheme="majorBidi"/>
          <w:color w:val="000000"/>
          <w:sz w:val="24"/>
          <w:szCs w:val="24"/>
          <w:lang w:val="en-US"/>
        </w:rPr>
        <w:t>build</w:t>
      </w:r>
      <w:r w:rsidRPr="008C30AD">
        <w:rPr>
          <w:rFonts w:asciiTheme="majorBidi" w:eastAsia="Times New Roman" w:hAnsiTheme="majorBidi" w:cstheme="majorBidi"/>
          <w:color w:val="000000"/>
          <w:sz w:val="24"/>
          <w:szCs w:val="24"/>
          <w:lang w:val="en-US"/>
        </w:rPr>
        <w:t xml:space="preserve"> 218 000 m3/day water desalination and 1234 MW power project in Bahrain was won by a consortium comprising GDF Suez of France and Gulf Investment Corporation of Kuwait. The cost of the construction project was estimated at $2.1 </w:t>
      </w:r>
      <w:r w:rsidR="00F842D0">
        <w:rPr>
          <w:rFonts w:asciiTheme="majorBidi" w:eastAsia="Times New Roman" w:hAnsiTheme="majorBidi" w:cstheme="majorBidi"/>
          <w:color w:val="000000"/>
          <w:sz w:val="24"/>
          <w:szCs w:val="24"/>
          <w:lang w:val="en-US"/>
        </w:rPr>
        <w:t>bn</w:t>
      </w:r>
      <w:r w:rsidRPr="008C30AD">
        <w:rPr>
          <w:rFonts w:asciiTheme="majorBidi" w:eastAsia="Times New Roman" w:hAnsiTheme="majorBidi" w:cstheme="majorBidi"/>
          <w:color w:val="000000"/>
          <w:sz w:val="24"/>
          <w:szCs w:val="24"/>
          <w:lang w:val="en-US"/>
        </w:rPr>
        <w:t xml:space="preserve">. The first unit was expected to </w:t>
      </w:r>
      <w:r w:rsidR="00AF7C6E">
        <w:rPr>
          <w:rFonts w:asciiTheme="majorBidi" w:eastAsia="Times New Roman" w:hAnsiTheme="majorBidi" w:cstheme="majorBidi"/>
          <w:color w:val="000000"/>
          <w:sz w:val="24"/>
          <w:szCs w:val="24"/>
          <w:lang w:val="en-US"/>
        </w:rPr>
        <w:t>begin</w:t>
      </w:r>
      <w:r w:rsidRPr="008C30AD">
        <w:rPr>
          <w:rFonts w:asciiTheme="majorBidi" w:eastAsia="Times New Roman" w:hAnsiTheme="majorBidi" w:cstheme="majorBidi"/>
          <w:color w:val="000000"/>
          <w:sz w:val="24"/>
          <w:szCs w:val="24"/>
          <w:lang w:val="en-US"/>
        </w:rPr>
        <w:t xml:space="preserve"> in July 2010 and </w:t>
      </w:r>
      <w:r w:rsidR="00843CEC">
        <w:rPr>
          <w:rFonts w:asciiTheme="majorBidi" w:eastAsia="Times New Roman" w:hAnsiTheme="majorBidi" w:cstheme="majorBidi"/>
          <w:color w:val="000000"/>
          <w:sz w:val="24"/>
          <w:szCs w:val="24"/>
          <w:lang w:val="en-US"/>
        </w:rPr>
        <w:t>achieve</w:t>
      </w:r>
      <w:r w:rsidRPr="008C30AD">
        <w:rPr>
          <w:rFonts w:asciiTheme="majorBidi" w:eastAsia="Times New Roman" w:hAnsiTheme="majorBidi" w:cstheme="majorBidi"/>
          <w:color w:val="000000"/>
          <w:sz w:val="24"/>
          <w:szCs w:val="24"/>
          <w:lang w:val="en-US"/>
        </w:rPr>
        <w:t xml:space="preserve"> full operation capacity by July 2011. The project funding was from debt and equity in the ratio of 75:25 with the Power and Water Project Agreement (PWPA) tenure of 25</w:t>
      </w:r>
      <w:r>
        <w:rPr>
          <w:rFonts w:asciiTheme="majorBidi" w:eastAsia="Times New Roman" w:hAnsiTheme="majorBidi" w:cstheme="majorBidi"/>
          <w:color w:val="000000"/>
          <w:sz w:val="24"/>
          <w:szCs w:val="24"/>
          <w:lang w:val="en-US"/>
        </w:rPr>
        <w:t xml:space="preserve"> </w:t>
      </w:r>
      <w:r w:rsidRPr="008C30AD">
        <w:rPr>
          <w:rFonts w:asciiTheme="majorBidi" w:eastAsia="Times New Roman" w:hAnsiTheme="majorBidi" w:cstheme="majorBidi"/>
          <w:color w:val="000000"/>
          <w:sz w:val="24"/>
          <w:szCs w:val="24"/>
          <w:lang w:val="en-US"/>
        </w:rPr>
        <w:t>years. The $1.7</w:t>
      </w:r>
      <w:r>
        <w:rPr>
          <w:rFonts w:asciiTheme="majorBidi" w:eastAsia="Times New Roman" w:hAnsiTheme="majorBidi" w:cstheme="majorBidi"/>
          <w:color w:val="000000"/>
          <w:sz w:val="24"/>
          <w:szCs w:val="24"/>
          <w:lang w:val="en-US"/>
        </w:rPr>
        <w:t xml:space="preserve"> </w:t>
      </w:r>
      <w:r w:rsidR="00F842D0">
        <w:rPr>
          <w:rFonts w:asciiTheme="majorBidi" w:eastAsia="Times New Roman" w:hAnsiTheme="majorBidi" w:cstheme="majorBidi"/>
          <w:color w:val="000000"/>
          <w:sz w:val="24"/>
          <w:szCs w:val="24"/>
          <w:lang w:val="en-US"/>
        </w:rPr>
        <w:t xml:space="preserve">bn </w:t>
      </w:r>
      <w:r>
        <w:rPr>
          <w:rFonts w:asciiTheme="majorBidi" w:eastAsia="Times New Roman" w:hAnsiTheme="majorBidi" w:cstheme="majorBidi"/>
          <w:color w:val="000000"/>
          <w:sz w:val="24"/>
          <w:szCs w:val="24"/>
          <w:lang w:val="en-US"/>
        </w:rPr>
        <w:t>debt</w:t>
      </w:r>
      <w:r w:rsidRPr="008C30AD">
        <w:rPr>
          <w:rFonts w:asciiTheme="majorBidi" w:eastAsia="Times New Roman" w:hAnsiTheme="majorBidi" w:cstheme="majorBidi"/>
          <w:color w:val="000000"/>
          <w:sz w:val="24"/>
          <w:szCs w:val="24"/>
          <w:lang w:val="en-US"/>
        </w:rPr>
        <w:t xml:space="preserve"> for the project was achieved from multiple sources</w:t>
      </w:r>
      <w:r w:rsidR="00674B1D">
        <w:rPr>
          <w:rFonts w:asciiTheme="majorBidi" w:eastAsia="Times New Roman" w:hAnsiTheme="majorBidi" w:cstheme="majorBidi"/>
          <w:color w:val="000000"/>
          <w:sz w:val="24"/>
          <w:szCs w:val="24"/>
          <w:lang w:val="en-US"/>
        </w:rPr>
        <w:t xml:space="preserve">, </w:t>
      </w:r>
      <w:r w:rsidRPr="008C30AD">
        <w:rPr>
          <w:rFonts w:asciiTheme="majorBidi" w:eastAsia="Times New Roman" w:hAnsiTheme="majorBidi" w:cstheme="majorBidi"/>
          <w:color w:val="000000"/>
          <w:sz w:val="24"/>
          <w:szCs w:val="24"/>
          <w:lang w:val="en-US"/>
        </w:rPr>
        <w:t>which include</w:t>
      </w:r>
      <w:r w:rsidR="004867C3">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lang w:val="en-US"/>
        </w:rPr>
        <w:t xml:space="preserve"> Islamic financing, export credit agencies</w:t>
      </w:r>
      <w:r w:rsidR="004E3FED">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lang w:val="en-US"/>
        </w:rPr>
        <w:t xml:space="preserve"> and commercial financing. </w:t>
      </w:r>
    </w:p>
    <w:p w14:paraId="041A09E0" w14:textId="0394C8F8" w:rsidR="00A65CDF" w:rsidRDefault="00A65CDF" w:rsidP="0008496D">
      <w:pPr>
        <w:suppressAutoHyphens/>
        <w:spacing w:before="240" w:after="0" w:line="360" w:lineRule="auto"/>
        <w:ind w:firstLine="567"/>
        <w:jc w:val="both"/>
        <w:rPr>
          <w:rFonts w:asciiTheme="majorBidi" w:eastAsia="Times New Roman" w:hAnsiTheme="majorBidi" w:cstheme="majorBidi"/>
          <w:color w:val="000000"/>
          <w:sz w:val="24"/>
          <w:szCs w:val="24"/>
          <w:lang w:val="en-US"/>
        </w:rPr>
      </w:pPr>
      <w:r w:rsidRPr="008C30AD">
        <w:rPr>
          <w:rFonts w:asciiTheme="majorBidi" w:eastAsia="Times New Roman" w:hAnsiTheme="majorBidi" w:cstheme="majorBidi"/>
          <w:color w:val="000000"/>
          <w:sz w:val="24"/>
          <w:szCs w:val="24"/>
          <w:lang w:val="en-US"/>
        </w:rPr>
        <w:t>This was the first Independent Water &amp; Power Project transaction with multiple Islamic tranches</w:t>
      </w:r>
      <w:r>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t</w:t>
      </w:r>
      <w:r w:rsidRPr="008C30AD">
        <w:rPr>
          <w:rFonts w:asciiTheme="majorBidi" w:eastAsia="Times New Roman" w:hAnsiTheme="majorBidi" w:cstheme="majorBidi"/>
          <w:color w:val="000000"/>
          <w:sz w:val="24"/>
          <w:szCs w:val="24"/>
          <w:lang w:val="en-US"/>
        </w:rPr>
        <w:t>he Islamic financing worth $300 million</w:t>
      </w:r>
      <w:r>
        <w:rPr>
          <w:rFonts w:asciiTheme="majorBidi" w:eastAsia="Times New Roman" w:hAnsiTheme="majorBidi" w:cstheme="majorBidi"/>
          <w:color w:val="000000"/>
          <w:sz w:val="24"/>
          <w:szCs w:val="24"/>
          <w:lang w:val="en-US"/>
        </w:rPr>
        <w:t>.</w:t>
      </w:r>
      <w:r w:rsidRPr="008C30AD">
        <w:rPr>
          <w:rStyle w:val="FootnoteReference"/>
          <w:rFonts w:asciiTheme="majorBidi" w:hAnsiTheme="majorBidi" w:cstheme="majorBidi"/>
        </w:rPr>
        <w:footnoteReference w:id="65"/>
      </w:r>
      <w:r w:rsidRPr="008C30AD">
        <w:rPr>
          <w:rFonts w:asciiTheme="majorBidi" w:eastAsia="Times New Roman" w:hAnsiTheme="majorBidi" w:cstheme="majorBidi"/>
          <w:color w:val="000000"/>
          <w:sz w:val="24"/>
          <w:szCs w:val="24"/>
          <w:lang w:val="en-US"/>
        </w:rPr>
        <w:t xml:space="preserve"> The financial deal for the project was achieved and successfully closed in July 2009 within an adverse market condition. Since long-term liquidity was not available, the project was only able to settle for </w:t>
      </w:r>
      <w:r>
        <w:rPr>
          <w:rFonts w:asciiTheme="majorBidi" w:eastAsia="Times New Roman" w:hAnsiTheme="majorBidi" w:cstheme="majorBidi"/>
          <w:color w:val="000000"/>
          <w:sz w:val="24"/>
          <w:szCs w:val="24"/>
          <w:lang w:val="en-US"/>
        </w:rPr>
        <w:t>8</w:t>
      </w:r>
      <w:r w:rsidRPr="008C30AD">
        <w:rPr>
          <w:rFonts w:asciiTheme="majorBidi" w:eastAsia="Times New Roman" w:hAnsiTheme="majorBidi" w:cstheme="majorBidi"/>
          <w:color w:val="000000"/>
          <w:sz w:val="24"/>
          <w:szCs w:val="24"/>
          <w:lang w:val="en-US"/>
        </w:rPr>
        <w:t>-year tenure</w:t>
      </w:r>
      <w:r>
        <w:rPr>
          <w:rFonts w:asciiTheme="majorBidi" w:eastAsia="Times New Roman" w:hAnsiTheme="majorBidi" w:cstheme="majorBidi"/>
          <w:color w:val="000000"/>
          <w:sz w:val="24"/>
          <w:szCs w:val="24"/>
          <w:lang w:val="en-US"/>
        </w:rPr>
        <w:t xml:space="preserve"> as it was </w:t>
      </w:r>
      <w:r w:rsidRPr="008C30AD">
        <w:rPr>
          <w:rFonts w:asciiTheme="majorBidi" w:eastAsia="Times New Roman" w:hAnsiTheme="majorBidi" w:cstheme="majorBidi"/>
          <w:color w:val="000000"/>
          <w:sz w:val="24"/>
          <w:szCs w:val="24"/>
          <w:lang w:val="en-US"/>
        </w:rPr>
        <w:t xml:space="preserve">faced with initial funding difficulties due to the crisis, closed using hard mini-perm financing </w:t>
      </w:r>
      <w:r w:rsidR="00D565AC" w:rsidRPr="008C30AD">
        <w:rPr>
          <w:rFonts w:asciiTheme="majorBidi" w:eastAsia="Times New Roman" w:hAnsiTheme="majorBidi" w:cstheme="majorBidi"/>
          <w:color w:val="000000"/>
          <w:sz w:val="24"/>
          <w:szCs w:val="24"/>
          <w:lang w:val="en-US"/>
        </w:rPr>
        <w:t>tota</w:t>
      </w:r>
      <w:r w:rsidR="00D565AC">
        <w:rPr>
          <w:rFonts w:asciiTheme="majorBidi" w:eastAsia="Times New Roman" w:hAnsiTheme="majorBidi" w:cstheme="majorBidi"/>
          <w:color w:val="000000"/>
          <w:sz w:val="24"/>
          <w:szCs w:val="24"/>
          <w:lang w:val="en-US"/>
        </w:rPr>
        <w:t>l</w:t>
      </w:r>
      <w:r w:rsidR="00D565AC" w:rsidRPr="008C30AD">
        <w:rPr>
          <w:rFonts w:asciiTheme="majorBidi" w:eastAsia="Times New Roman" w:hAnsiTheme="majorBidi" w:cstheme="majorBidi"/>
          <w:color w:val="000000"/>
          <w:sz w:val="24"/>
          <w:szCs w:val="24"/>
          <w:lang w:val="en-US"/>
        </w:rPr>
        <w:t>ing</w:t>
      </w:r>
      <w:r w:rsidRPr="008C30AD">
        <w:rPr>
          <w:rFonts w:asciiTheme="majorBidi" w:eastAsia="Times New Roman" w:hAnsiTheme="majorBidi" w:cstheme="majorBidi"/>
          <w:color w:val="000000"/>
          <w:sz w:val="24"/>
          <w:szCs w:val="24"/>
          <w:lang w:val="en-US"/>
        </w:rPr>
        <w:t xml:space="preserve"> $1.7 </w:t>
      </w:r>
      <w:r w:rsidR="00F842D0">
        <w:rPr>
          <w:rFonts w:asciiTheme="majorBidi" w:eastAsia="Times New Roman" w:hAnsiTheme="majorBidi" w:cstheme="majorBidi"/>
          <w:color w:val="000000"/>
          <w:sz w:val="24"/>
          <w:szCs w:val="24"/>
          <w:lang w:val="en-US"/>
        </w:rPr>
        <w:t>bn</w:t>
      </w:r>
      <w:r>
        <w:rPr>
          <w:rFonts w:asciiTheme="majorBidi" w:eastAsia="Times New Roman" w:hAnsiTheme="majorBidi" w:cstheme="majorBidi"/>
          <w:color w:val="000000"/>
          <w:sz w:val="24"/>
          <w:szCs w:val="24"/>
          <w:lang w:val="en-US"/>
        </w:rPr>
        <w:t>.</w:t>
      </w:r>
      <w:r w:rsidRPr="008C30AD">
        <w:rPr>
          <w:rFonts w:asciiTheme="majorBidi" w:eastAsia="Times New Roman" w:hAnsiTheme="majorBidi" w:cstheme="majorBidi"/>
          <w:color w:val="000000"/>
          <w:sz w:val="24"/>
          <w:szCs w:val="24"/>
          <w:vertAlign w:val="superscript"/>
          <w:lang w:val="en-US"/>
        </w:rPr>
        <w:footnoteReference w:id="66"/>
      </w:r>
    </w:p>
    <w:p w14:paraId="61ABD0CC" w14:textId="2C2CBC0F" w:rsidR="00843CEC" w:rsidRDefault="00843CEC" w:rsidP="0008496D">
      <w:pPr>
        <w:suppressAutoHyphens/>
        <w:spacing w:before="240" w:line="360" w:lineRule="auto"/>
        <w:jc w:val="both"/>
        <w:rPr>
          <w:rFonts w:asciiTheme="majorBidi" w:eastAsia="Times New Roman" w:hAnsiTheme="majorBidi" w:cstheme="majorBidi"/>
          <w:color w:val="000000"/>
          <w:sz w:val="24"/>
          <w:szCs w:val="24"/>
          <w:lang w:val="en-US"/>
        </w:rPr>
      </w:pPr>
    </w:p>
    <w:p w14:paraId="4B376417" w14:textId="77777777" w:rsidR="00385B20" w:rsidRDefault="00385B20" w:rsidP="007F623B">
      <w:pPr>
        <w:spacing w:before="240" w:line="360" w:lineRule="auto"/>
        <w:jc w:val="both"/>
        <w:rPr>
          <w:rFonts w:asciiTheme="majorBidi" w:eastAsia="Times New Roman" w:hAnsiTheme="majorBidi" w:cstheme="majorBidi"/>
          <w:color w:val="000000"/>
          <w:sz w:val="24"/>
          <w:szCs w:val="24"/>
          <w:lang w:val="en-US"/>
        </w:rPr>
      </w:pPr>
    </w:p>
    <w:p w14:paraId="4DB63B84" w14:textId="2A236FC5" w:rsidR="007F623B" w:rsidRPr="004808B0" w:rsidRDefault="007F623B" w:rsidP="004808B0">
      <w:pPr>
        <w:spacing w:before="240" w:line="360" w:lineRule="auto"/>
        <w:jc w:val="center"/>
        <w:rPr>
          <w:rFonts w:ascii="Times New Roman" w:hAnsi="Times New Roman" w:cs="Times New Roman"/>
          <w:sz w:val="28"/>
          <w:szCs w:val="28"/>
          <w:lang w:val="en-US"/>
        </w:rPr>
      </w:pPr>
      <w:r w:rsidRPr="004808B0">
        <w:rPr>
          <w:rFonts w:ascii="Times New Roman" w:hAnsi="Times New Roman" w:cs="Times New Roman"/>
          <w:sz w:val="28"/>
          <w:szCs w:val="28"/>
          <w:lang w:val="en-US"/>
        </w:rPr>
        <w:lastRenderedPageBreak/>
        <w:t>Summary</w:t>
      </w:r>
    </w:p>
    <w:p w14:paraId="63160F38" w14:textId="0A5CA031" w:rsidR="007F623B" w:rsidRPr="00BA788A" w:rsidRDefault="007F623B" w:rsidP="0008496D">
      <w:pPr>
        <w:suppressAutoHyphens/>
        <w:spacing w:line="360" w:lineRule="auto"/>
        <w:ind w:firstLine="567"/>
        <w:jc w:val="both"/>
        <w:rPr>
          <w:rFonts w:asciiTheme="majorBidi" w:hAnsiTheme="majorBidi" w:cstheme="majorBidi"/>
          <w:sz w:val="24"/>
          <w:szCs w:val="24"/>
        </w:rPr>
      </w:pPr>
      <w:r w:rsidRPr="00BA788A">
        <w:rPr>
          <w:rFonts w:asciiTheme="majorBidi" w:hAnsiTheme="majorBidi" w:cstheme="majorBidi"/>
          <w:sz w:val="24"/>
          <w:szCs w:val="24"/>
        </w:rPr>
        <w:t xml:space="preserve">The </w:t>
      </w:r>
      <w:r>
        <w:rPr>
          <w:rFonts w:asciiTheme="majorBidi" w:hAnsiTheme="majorBidi" w:cstheme="majorBidi"/>
          <w:sz w:val="24"/>
          <w:szCs w:val="24"/>
        </w:rPr>
        <w:t>second</w:t>
      </w:r>
      <w:r w:rsidRPr="00BA788A">
        <w:rPr>
          <w:rFonts w:asciiTheme="majorBidi" w:hAnsiTheme="majorBidi" w:cstheme="majorBidi"/>
          <w:sz w:val="24"/>
          <w:szCs w:val="24"/>
        </w:rPr>
        <w:t xml:space="preserve"> chapter consists of three paragraphs: </w:t>
      </w:r>
      <w:r>
        <w:rPr>
          <w:rFonts w:ascii="Times New Roman" w:hAnsi="Times New Roman" w:cs="Times New Roman"/>
          <w:sz w:val="24"/>
          <w:szCs w:val="24"/>
          <w:lang w:val="en-US"/>
        </w:rPr>
        <w:t xml:space="preserve">the </w:t>
      </w:r>
      <w:r w:rsidR="0015258B">
        <w:rPr>
          <w:rFonts w:ascii="Times New Roman" w:hAnsi="Times New Roman" w:cs="Times New Roman"/>
          <w:sz w:val="24"/>
          <w:szCs w:val="24"/>
          <w:lang w:val="en-US"/>
        </w:rPr>
        <w:t>development</w:t>
      </w:r>
      <w:r>
        <w:rPr>
          <w:rFonts w:ascii="Times New Roman" w:hAnsi="Times New Roman" w:cs="Times New Roman"/>
          <w:sz w:val="24"/>
          <w:szCs w:val="24"/>
          <w:lang w:val="en-US"/>
        </w:rPr>
        <w:t xml:space="preserve"> of project finance in the world</w:t>
      </w:r>
      <w:r w:rsidR="00AD001B">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15258B">
        <w:rPr>
          <w:rFonts w:ascii="Times New Roman" w:hAnsi="Times New Roman" w:cs="Times New Roman"/>
          <w:sz w:val="24"/>
          <w:szCs w:val="24"/>
          <w:lang w:val="en-US"/>
        </w:rPr>
        <w:t>growth</w:t>
      </w:r>
      <w:r>
        <w:rPr>
          <w:rFonts w:ascii="Times New Roman" w:hAnsi="Times New Roman" w:cs="Times New Roman"/>
          <w:sz w:val="24"/>
          <w:szCs w:val="24"/>
          <w:lang w:val="en-US"/>
        </w:rPr>
        <w:t xml:space="preserve"> of project finance in the Arab </w:t>
      </w:r>
      <w:r w:rsidR="0015258B">
        <w:rPr>
          <w:rFonts w:ascii="Times New Roman" w:hAnsi="Times New Roman" w:cs="Times New Roman"/>
          <w:sz w:val="24"/>
          <w:szCs w:val="24"/>
          <w:lang w:val="en-US"/>
        </w:rPr>
        <w:t>world</w:t>
      </w:r>
      <w:r w:rsidR="00AD001B">
        <w:rPr>
          <w:rFonts w:ascii="Times New Roman" w:hAnsi="Times New Roman" w:cs="Times New Roman"/>
          <w:sz w:val="24"/>
          <w:szCs w:val="24"/>
          <w:lang w:val="en-US"/>
        </w:rPr>
        <w:t>,</w:t>
      </w:r>
      <w:r>
        <w:rPr>
          <w:rFonts w:ascii="Times New Roman" w:hAnsi="Times New Roman" w:cs="Times New Roman"/>
          <w:sz w:val="24"/>
          <w:szCs w:val="24"/>
          <w:lang w:val="en-US"/>
        </w:rPr>
        <w:t xml:space="preserve"> and successful Arab project</w:t>
      </w:r>
      <w:r w:rsidR="007E14A0">
        <w:rPr>
          <w:rFonts w:ascii="Times New Roman" w:hAnsi="Times New Roman" w:cs="Times New Roman"/>
          <w:sz w:val="24"/>
          <w:szCs w:val="24"/>
          <w:lang w:val="en-US"/>
        </w:rPr>
        <w:t xml:space="preserve"> finance</w:t>
      </w:r>
      <w:r>
        <w:rPr>
          <w:rFonts w:ascii="Times New Roman" w:hAnsi="Times New Roman" w:cs="Times New Roman"/>
          <w:sz w:val="24"/>
          <w:szCs w:val="24"/>
          <w:lang w:val="en-US"/>
        </w:rPr>
        <w:t xml:space="preserve"> cases.</w:t>
      </w:r>
    </w:p>
    <w:p w14:paraId="6052B022" w14:textId="3D863B4C" w:rsidR="007F623B" w:rsidRPr="00F17447" w:rsidRDefault="007F623B" w:rsidP="0008496D">
      <w:pPr>
        <w:suppressAutoHyphens/>
        <w:spacing w:line="360" w:lineRule="auto"/>
        <w:ind w:firstLine="567"/>
        <w:jc w:val="both"/>
        <w:rPr>
          <w:rFonts w:asciiTheme="majorBidi" w:hAnsiTheme="majorBidi" w:cstheme="majorBidi"/>
          <w:sz w:val="24"/>
          <w:szCs w:val="24"/>
        </w:rPr>
      </w:pPr>
      <w:r w:rsidRPr="00F17447">
        <w:rPr>
          <w:rFonts w:asciiTheme="majorBidi" w:hAnsiTheme="majorBidi" w:cstheme="majorBidi"/>
          <w:sz w:val="24"/>
          <w:szCs w:val="24"/>
        </w:rPr>
        <w:t>In light of the above analysis, the world market reflects wide variations in the field of project financ</w:t>
      </w:r>
      <w:r w:rsidR="00A9322C">
        <w:rPr>
          <w:rFonts w:asciiTheme="majorBidi" w:hAnsiTheme="majorBidi" w:cstheme="majorBidi"/>
          <w:sz w:val="24"/>
          <w:szCs w:val="24"/>
        </w:rPr>
        <w:t>e</w:t>
      </w:r>
      <w:r w:rsidRPr="00F17447">
        <w:rPr>
          <w:rFonts w:asciiTheme="majorBidi" w:hAnsiTheme="majorBidi" w:cstheme="majorBidi"/>
          <w:sz w:val="24"/>
          <w:szCs w:val="24"/>
        </w:rPr>
        <w:t>. Th</w:t>
      </w:r>
      <w:r w:rsidR="00843CEC">
        <w:rPr>
          <w:rFonts w:asciiTheme="majorBidi" w:hAnsiTheme="majorBidi" w:cstheme="majorBidi"/>
          <w:sz w:val="24"/>
          <w:szCs w:val="24"/>
        </w:rPr>
        <w:t>is</w:t>
      </w:r>
      <w:r w:rsidRPr="00F17447">
        <w:rPr>
          <w:rFonts w:asciiTheme="majorBidi" w:hAnsiTheme="majorBidi" w:cstheme="majorBidi"/>
          <w:sz w:val="24"/>
          <w:szCs w:val="24"/>
        </w:rPr>
        <w:t xml:space="preserve"> </w:t>
      </w:r>
      <w:r>
        <w:rPr>
          <w:rFonts w:asciiTheme="majorBidi" w:hAnsiTheme="majorBidi" w:cstheme="majorBidi"/>
          <w:sz w:val="24"/>
          <w:szCs w:val="24"/>
        </w:rPr>
        <w:t>chapter</w:t>
      </w:r>
      <w:r w:rsidRPr="00F17447">
        <w:rPr>
          <w:rFonts w:asciiTheme="majorBidi" w:hAnsiTheme="majorBidi" w:cstheme="majorBidi"/>
          <w:sz w:val="24"/>
          <w:szCs w:val="24"/>
        </w:rPr>
        <w:t xml:space="preserve"> sheds light on the Arabic experience in the project finance market</w:t>
      </w:r>
      <w:r w:rsidR="00D565AC">
        <w:rPr>
          <w:rFonts w:asciiTheme="majorBidi" w:hAnsiTheme="majorBidi" w:cstheme="majorBidi"/>
          <w:sz w:val="24"/>
          <w:szCs w:val="24"/>
        </w:rPr>
        <w:t>;</w:t>
      </w:r>
      <w:r>
        <w:rPr>
          <w:rFonts w:asciiTheme="majorBidi" w:hAnsiTheme="majorBidi" w:cstheme="majorBidi"/>
          <w:sz w:val="24"/>
          <w:szCs w:val="24"/>
        </w:rPr>
        <w:t xml:space="preserve"> t</w:t>
      </w:r>
      <w:r w:rsidRPr="00F17447">
        <w:rPr>
          <w:rFonts w:asciiTheme="majorBidi" w:hAnsiTheme="majorBidi" w:cstheme="majorBidi"/>
          <w:sz w:val="24"/>
          <w:szCs w:val="24"/>
        </w:rPr>
        <w:t>his mechanism has been used in 18 Arab countries, the member states of the Gulf Cooperation Council (GCC), given its extensive energy resources</w:t>
      </w:r>
      <w:r w:rsidR="00AC2627">
        <w:rPr>
          <w:rFonts w:asciiTheme="majorBidi" w:hAnsiTheme="majorBidi" w:cstheme="majorBidi"/>
          <w:sz w:val="24"/>
          <w:szCs w:val="24"/>
        </w:rPr>
        <w:t>,</w:t>
      </w:r>
      <w:r w:rsidRPr="00F17447">
        <w:rPr>
          <w:rFonts w:asciiTheme="majorBidi" w:hAnsiTheme="majorBidi" w:cstheme="majorBidi"/>
          <w:sz w:val="24"/>
          <w:szCs w:val="24"/>
        </w:rPr>
        <w:t xml:space="preserve"> </w:t>
      </w:r>
      <w:r w:rsidR="00AC2627">
        <w:rPr>
          <w:rFonts w:asciiTheme="majorBidi" w:hAnsiTheme="majorBidi" w:cstheme="majorBidi"/>
          <w:sz w:val="24"/>
          <w:szCs w:val="24"/>
        </w:rPr>
        <w:t>were</w:t>
      </w:r>
      <w:r w:rsidRPr="00F17447">
        <w:rPr>
          <w:rFonts w:asciiTheme="majorBidi" w:hAnsiTheme="majorBidi" w:cstheme="majorBidi"/>
          <w:sz w:val="24"/>
          <w:szCs w:val="24"/>
        </w:rPr>
        <w:t xml:space="preserve"> actively engaged in project finance transactions, enhancing their role in the global economy. The transactions have primarily been used in three areas: energy and water supply, petrochemicals, and the oil and gas industry. Moreover, </w:t>
      </w:r>
      <w:r w:rsidR="00843CEC">
        <w:rPr>
          <w:rFonts w:asciiTheme="majorBidi" w:hAnsiTheme="majorBidi" w:cstheme="majorBidi"/>
          <w:sz w:val="24"/>
          <w:szCs w:val="24"/>
        </w:rPr>
        <w:t>it can be noticed</w:t>
      </w:r>
      <w:r w:rsidRPr="00F17447">
        <w:rPr>
          <w:rFonts w:asciiTheme="majorBidi" w:hAnsiTheme="majorBidi" w:cstheme="majorBidi"/>
          <w:sz w:val="24"/>
          <w:szCs w:val="24"/>
        </w:rPr>
        <w:t xml:space="preserve"> that project finance in the GCC region is witnessing a growing trend of using Islamic project finance structure.</w:t>
      </w:r>
    </w:p>
    <w:p w14:paraId="5F3BEB8E" w14:textId="2F7D85D2" w:rsidR="007F623B" w:rsidRPr="006B6548" w:rsidRDefault="007F623B" w:rsidP="0008496D">
      <w:pPr>
        <w:suppressAutoHyphens/>
        <w:spacing w:line="360" w:lineRule="auto"/>
        <w:ind w:firstLine="567"/>
        <w:jc w:val="both"/>
        <w:rPr>
          <w:rFonts w:asciiTheme="majorBidi" w:hAnsiTheme="majorBidi" w:cstheme="majorBidi"/>
          <w:sz w:val="24"/>
          <w:szCs w:val="24"/>
        </w:rPr>
      </w:pPr>
      <w:r w:rsidRPr="00F17447">
        <w:rPr>
          <w:rFonts w:asciiTheme="majorBidi" w:hAnsiTheme="majorBidi" w:cstheme="majorBidi"/>
          <w:sz w:val="24"/>
          <w:szCs w:val="24"/>
        </w:rPr>
        <w:t xml:space="preserve">This </w:t>
      </w:r>
      <w:r>
        <w:rPr>
          <w:rFonts w:asciiTheme="majorBidi" w:hAnsiTheme="majorBidi" w:cstheme="majorBidi"/>
          <w:sz w:val="24"/>
          <w:szCs w:val="24"/>
        </w:rPr>
        <w:t>last paragraph</w:t>
      </w:r>
      <w:r w:rsidRPr="00F17447">
        <w:rPr>
          <w:rFonts w:asciiTheme="majorBidi" w:hAnsiTheme="majorBidi" w:cstheme="majorBidi"/>
          <w:sz w:val="24"/>
          <w:szCs w:val="24"/>
        </w:rPr>
        <w:t xml:space="preserve"> examined four Arab experiences in using </w:t>
      </w:r>
      <w:r>
        <w:rPr>
          <w:rFonts w:asciiTheme="majorBidi" w:hAnsiTheme="majorBidi" w:cstheme="majorBidi"/>
          <w:sz w:val="24"/>
          <w:szCs w:val="24"/>
        </w:rPr>
        <w:t xml:space="preserve">project </w:t>
      </w:r>
      <w:r w:rsidRPr="00F17447">
        <w:rPr>
          <w:rFonts w:asciiTheme="majorBidi" w:hAnsiTheme="majorBidi" w:cstheme="majorBidi"/>
          <w:sz w:val="24"/>
          <w:szCs w:val="24"/>
        </w:rPr>
        <w:t>financ</w:t>
      </w:r>
      <w:r>
        <w:rPr>
          <w:rFonts w:asciiTheme="majorBidi" w:hAnsiTheme="majorBidi" w:cstheme="majorBidi"/>
          <w:sz w:val="24"/>
          <w:szCs w:val="24"/>
        </w:rPr>
        <w:t>e in four different industries</w:t>
      </w:r>
      <w:r w:rsidRPr="00F17447">
        <w:rPr>
          <w:rFonts w:asciiTheme="majorBidi" w:hAnsiTheme="majorBidi" w:cstheme="majorBidi"/>
          <w:sz w:val="24"/>
          <w:szCs w:val="24"/>
        </w:rPr>
        <w:t>, which are:</w:t>
      </w:r>
      <w:r>
        <w:rPr>
          <w:rFonts w:asciiTheme="majorBidi" w:hAnsiTheme="majorBidi" w:cstheme="majorBidi"/>
          <w:sz w:val="24"/>
          <w:szCs w:val="24"/>
        </w:rPr>
        <w:t xml:space="preserve"> </w:t>
      </w:r>
      <w:r w:rsidRPr="00F17447">
        <w:rPr>
          <w:rFonts w:asciiTheme="majorBidi" w:hAnsiTheme="majorBidi" w:cstheme="majorBidi"/>
          <w:sz w:val="24"/>
          <w:szCs w:val="24"/>
        </w:rPr>
        <w:t>Medina airport</w:t>
      </w:r>
      <w:r w:rsidR="00843CEC">
        <w:rPr>
          <w:rFonts w:asciiTheme="majorBidi" w:hAnsiTheme="majorBidi" w:cstheme="majorBidi"/>
          <w:sz w:val="24"/>
          <w:szCs w:val="24"/>
        </w:rPr>
        <w:t xml:space="preserve">, </w:t>
      </w:r>
      <w:r w:rsidRPr="00F17447">
        <w:rPr>
          <w:rFonts w:asciiTheme="majorBidi" w:hAnsiTheme="majorBidi" w:cstheme="majorBidi"/>
          <w:sz w:val="24"/>
          <w:szCs w:val="24"/>
        </w:rPr>
        <w:t>Sada</w:t>
      </w:r>
      <w:r w:rsidR="004604AA">
        <w:rPr>
          <w:rFonts w:asciiTheme="majorBidi" w:hAnsiTheme="majorBidi" w:cstheme="majorBidi"/>
          <w:sz w:val="24"/>
          <w:szCs w:val="24"/>
        </w:rPr>
        <w:t>ra</w:t>
      </w:r>
      <w:r w:rsidRPr="00F17447">
        <w:rPr>
          <w:rFonts w:asciiTheme="majorBidi" w:hAnsiTheme="majorBidi" w:cstheme="majorBidi"/>
          <w:sz w:val="24"/>
          <w:szCs w:val="24"/>
        </w:rPr>
        <w:t xml:space="preserve"> Petrochemical in Saudi Arabia, Sohar Aluminium in Oman, and Al Dur (IWPP) </w:t>
      </w:r>
      <w:r>
        <w:rPr>
          <w:rFonts w:asciiTheme="majorBidi" w:hAnsiTheme="majorBidi" w:cstheme="majorBidi"/>
          <w:sz w:val="24"/>
          <w:szCs w:val="24"/>
        </w:rPr>
        <w:t>–</w:t>
      </w:r>
      <w:r w:rsidRPr="00F17447">
        <w:rPr>
          <w:rFonts w:asciiTheme="majorBidi" w:hAnsiTheme="majorBidi" w:cstheme="majorBidi"/>
          <w:sz w:val="24"/>
          <w:szCs w:val="24"/>
        </w:rPr>
        <w:t xml:space="preserve"> Bahrain</w:t>
      </w:r>
      <w:r>
        <w:rPr>
          <w:rFonts w:asciiTheme="majorBidi" w:hAnsiTheme="majorBidi" w:cstheme="majorBidi"/>
          <w:sz w:val="24"/>
          <w:szCs w:val="24"/>
        </w:rPr>
        <w:t xml:space="preserve">. </w:t>
      </w:r>
      <w:r w:rsidRPr="006B6548">
        <w:rPr>
          <w:rFonts w:asciiTheme="majorBidi" w:hAnsiTheme="majorBidi" w:cstheme="majorBidi"/>
          <w:sz w:val="24"/>
          <w:szCs w:val="24"/>
        </w:rPr>
        <w:t>The expansion of Medina Airport was the first full airport PPP in the GCC region and fully funded by Islamic compliant finance, through Ijara and Istisna</w:t>
      </w:r>
      <w:r w:rsidR="00E20029" w:rsidRPr="00E20029">
        <w:rPr>
          <w:rFonts w:ascii="Times New Roman" w:hAnsi="Times New Roman" w:cs="Times New Roman"/>
          <w:sz w:val="24"/>
          <w:szCs w:val="24"/>
        </w:rPr>
        <w:t>'</w:t>
      </w:r>
      <w:r w:rsidRPr="006B6548">
        <w:rPr>
          <w:rFonts w:asciiTheme="majorBidi" w:hAnsiTheme="majorBidi" w:cstheme="majorBidi"/>
          <w:sz w:val="24"/>
          <w:szCs w:val="24"/>
        </w:rPr>
        <w:t xml:space="preserve">a agreements. The Sohar Aluminium smelter project in Oman was the first greenfield </w:t>
      </w:r>
      <w:r w:rsidR="00185C68" w:rsidRPr="00185C68">
        <w:rPr>
          <w:rFonts w:asciiTheme="majorBidi" w:hAnsiTheme="majorBidi" w:cstheme="majorBidi"/>
          <w:sz w:val="24"/>
          <w:szCs w:val="24"/>
        </w:rPr>
        <w:t xml:space="preserve">aluminium </w:t>
      </w:r>
      <w:r w:rsidRPr="006B6548">
        <w:rPr>
          <w:rFonts w:asciiTheme="majorBidi" w:hAnsiTheme="majorBidi" w:cstheme="majorBidi"/>
          <w:sz w:val="24"/>
          <w:szCs w:val="24"/>
        </w:rPr>
        <w:t>smelter to be built in Oman</w:t>
      </w:r>
      <w:r>
        <w:rPr>
          <w:rFonts w:asciiTheme="majorBidi" w:hAnsiTheme="majorBidi" w:cstheme="majorBidi"/>
          <w:sz w:val="24"/>
          <w:szCs w:val="24"/>
        </w:rPr>
        <w:t>, its financing plan involved 78% of commercial debt and 17% of I</w:t>
      </w:r>
      <w:r w:rsidRPr="006B6548">
        <w:rPr>
          <w:rFonts w:asciiTheme="majorBidi" w:hAnsiTheme="majorBidi" w:cstheme="majorBidi"/>
          <w:sz w:val="24"/>
          <w:szCs w:val="24"/>
        </w:rPr>
        <w:t xml:space="preserve">slamic financing tranche which used </w:t>
      </w:r>
      <w:r w:rsidR="00185C68" w:rsidRPr="006B6548">
        <w:rPr>
          <w:rFonts w:asciiTheme="majorBidi" w:hAnsiTheme="majorBidi" w:cstheme="majorBidi"/>
          <w:sz w:val="24"/>
          <w:szCs w:val="24"/>
        </w:rPr>
        <w:t>as</w:t>
      </w:r>
      <w:r w:rsidRPr="006B6548">
        <w:rPr>
          <w:rFonts w:asciiTheme="majorBidi" w:hAnsiTheme="majorBidi" w:cstheme="majorBidi"/>
          <w:sz w:val="24"/>
          <w:szCs w:val="24"/>
        </w:rPr>
        <w:t xml:space="preserve"> an Istisna</w:t>
      </w:r>
      <w:r w:rsidR="00E20029" w:rsidRPr="00E20029">
        <w:rPr>
          <w:rFonts w:ascii="Times New Roman" w:hAnsi="Times New Roman" w:cs="Times New Roman"/>
          <w:sz w:val="24"/>
          <w:szCs w:val="24"/>
        </w:rPr>
        <w:t>'</w:t>
      </w:r>
      <w:r w:rsidRPr="006B6548">
        <w:rPr>
          <w:rFonts w:asciiTheme="majorBidi" w:hAnsiTheme="majorBidi" w:cstheme="majorBidi"/>
          <w:sz w:val="24"/>
          <w:szCs w:val="24"/>
        </w:rPr>
        <w:t xml:space="preserve">a - Ijara financing structure. </w:t>
      </w:r>
      <w:r w:rsidRPr="007505E8">
        <w:rPr>
          <w:rFonts w:asciiTheme="majorBidi" w:hAnsiTheme="majorBidi" w:cstheme="majorBidi"/>
          <w:sz w:val="24"/>
          <w:szCs w:val="24"/>
        </w:rPr>
        <w:t>Al Dur (IWPP) project funding was from debt and equity in the ratio of 75:25</w:t>
      </w:r>
      <w:r w:rsidR="00D565AC">
        <w:rPr>
          <w:rFonts w:asciiTheme="majorBidi" w:hAnsiTheme="majorBidi" w:cstheme="majorBidi"/>
          <w:sz w:val="24"/>
          <w:szCs w:val="24"/>
        </w:rPr>
        <w:t>,</w:t>
      </w:r>
      <w:r w:rsidRPr="007505E8">
        <w:rPr>
          <w:rFonts w:asciiTheme="majorBidi" w:hAnsiTheme="majorBidi" w:cstheme="majorBidi"/>
          <w:sz w:val="24"/>
          <w:szCs w:val="24"/>
        </w:rPr>
        <w:t xml:space="preserve"> and it was the first Independent Water &amp; Power Project transaction with multiple Islamic tranches, the Islamic financing worth $300 million (15% of the deal). </w:t>
      </w:r>
    </w:p>
    <w:p w14:paraId="202EFB7C" w14:textId="77777777" w:rsidR="007F623B" w:rsidRPr="007F623B" w:rsidRDefault="007F623B" w:rsidP="0008496D">
      <w:pPr>
        <w:suppressAutoHyphens/>
        <w:spacing w:line="360" w:lineRule="auto"/>
        <w:jc w:val="both"/>
        <w:rPr>
          <w:rFonts w:asciiTheme="majorBidi" w:eastAsia="Times New Roman" w:hAnsiTheme="majorBidi" w:cstheme="majorBidi"/>
          <w:color w:val="000000"/>
          <w:sz w:val="24"/>
          <w:szCs w:val="24"/>
        </w:rPr>
      </w:pPr>
    </w:p>
    <w:p w14:paraId="30F2CE47" w14:textId="7341D34D" w:rsidR="00524246" w:rsidRDefault="00524246" w:rsidP="0008496D">
      <w:pPr>
        <w:suppressAutoHyphens/>
        <w:autoSpaceDE w:val="0"/>
        <w:spacing w:line="240" w:lineRule="auto"/>
        <w:jc w:val="center"/>
        <w:rPr>
          <w:rFonts w:ascii="TimesNewRomanPSMT-Identity-H" w:hAnsi="TimesNewRomanPSMT-Identity-H" w:cs="TimesNewRomanPSMT-Identity-H"/>
          <w:b/>
          <w:bCs/>
          <w:sz w:val="24"/>
          <w:szCs w:val="24"/>
          <w:lang w:val="en-US"/>
        </w:rPr>
      </w:pPr>
    </w:p>
    <w:p w14:paraId="3F54227D" w14:textId="19BBF672" w:rsidR="00D63EAF" w:rsidRDefault="00D63EAF" w:rsidP="0008496D">
      <w:pPr>
        <w:suppressAutoHyphens/>
        <w:autoSpaceDE w:val="0"/>
        <w:spacing w:line="240" w:lineRule="auto"/>
        <w:jc w:val="center"/>
        <w:rPr>
          <w:rFonts w:ascii="TimesNewRomanPSMT-Identity-H" w:hAnsi="TimesNewRomanPSMT-Identity-H" w:cs="TimesNewRomanPSMT-Identity-H"/>
          <w:b/>
          <w:bCs/>
          <w:sz w:val="24"/>
          <w:szCs w:val="24"/>
          <w:lang w:val="en-US"/>
        </w:rPr>
      </w:pPr>
    </w:p>
    <w:p w14:paraId="5AEA2F81" w14:textId="17E3C42E" w:rsidR="00D63EAF" w:rsidRDefault="00D63EAF" w:rsidP="0008496D">
      <w:pPr>
        <w:suppressAutoHyphens/>
        <w:autoSpaceDE w:val="0"/>
        <w:spacing w:line="240" w:lineRule="auto"/>
        <w:jc w:val="center"/>
        <w:rPr>
          <w:rFonts w:ascii="TimesNewRomanPSMT-Identity-H" w:hAnsi="TimesNewRomanPSMT-Identity-H" w:cs="TimesNewRomanPSMT-Identity-H"/>
          <w:b/>
          <w:bCs/>
          <w:sz w:val="24"/>
          <w:szCs w:val="24"/>
          <w:lang w:val="en-US"/>
        </w:rPr>
      </w:pPr>
    </w:p>
    <w:p w14:paraId="17E9D9D4" w14:textId="01564794" w:rsidR="00E20029" w:rsidRDefault="00E20029" w:rsidP="0008496D">
      <w:pPr>
        <w:suppressAutoHyphens/>
        <w:autoSpaceDE w:val="0"/>
        <w:spacing w:line="240" w:lineRule="auto"/>
        <w:jc w:val="center"/>
        <w:rPr>
          <w:rFonts w:ascii="TimesNewRomanPSMT-Identity-H" w:hAnsi="TimesNewRomanPSMT-Identity-H" w:cs="TimesNewRomanPSMT-Identity-H"/>
          <w:b/>
          <w:bCs/>
          <w:sz w:val="24"/>
          <w:szCs w:val="24"/>
          <w:lang w:val="en-US"/>
        </w:rPr>
      </w:pPr>
    </w:p>
    <w:p w14:paraId="660496A9" w14:textId="69EA17B9" w:rsidR="00E20029" w:rsidRDefault="00E20029" w:rsidP="00EA2D98">
      <w:pPr>
        <w:autoSpaceDE w:val="0"/>
        <w:spacing w:line="240" w:lineRule="auto"/>
        <w:jc w:val="center"/>
        <w:rPr>
          <w:rFonts w:ascii="TimesNewRomanPSMT-Identity-H" w:hAnsi="TimesNewRomanPSMT-Identity-H" w:cs="TimesNewRomanPSMT-Identity-H"/>
          <w:b/>
          <w:bCs/>
          <w:sz w:val="24"/>
          <w:szCs w:val="24"/>
          <w:lang w:val="en-US"/>
        </w:rPr>
      </w:pPr>
    </w:p>
    <w:p w14:paraId="549D02CD" w14:textId="69E3E66E" w:rsidR="00385B20" w:rsidRDefault="00385B20" w:rsidP="00EA2D98">
      <w:pPr>
        <w:autoSpaceDE w:val="0"/>
        <w:spacing w:line="240" w:lineRule="auto"/>
        <w:jc w:val="center"/>
        <w:rPr>
          <w:rFonts w:ascii="TimesNewRomanPSMT-Identity-H" w:hAnsi="TimesNewRomanPSMT-Identity-H" w:cs="TimesNewRomanPSMT-Identity-H"/>
          <w:b/>
          <w:bCs/>
          <w:sz w:val="24"/>
          <w:szCs w:val="24"/>
          <w:lang w:val="en-US"/>
        </w:rPr>
      </w:pPr>
    </w:p>
    <w:p w14:paraId="670C0298" w14:textId="52CC6BFE" w:rsidR="000329B7" w:rsidRDefault="000329B7" w:rsidP="00EA2D98">
      <w:pPr>
        <w:autoSpaceDE w:val="0"/>
        <w:spacing w:line="240" w:lineRule="auto"/>
        <w:jc w:val="center"/>
        <w:rPr>
          <w:rFonts w:ascii="TimesNewRomanPSMT-Identity-H" w:hAnsi="TimesNewRomanPSMT-Identity-H" w:cs="TimesNewRomanPSMT-Identity-H"/>
          <w:b/>
          <w:bCs/>
          <w:sz w:val="24"/>
          <w:szCs w:val="24"/>
          <w:lang w:val="en-US"/>
        </w:rPr>
      </w:pPr>
    </w:p>
    <w:p w14:paraId="0757C2E6" w14:textId="01149A4D" w:rsidR="000329B7" w:rsidRDefault="000329B7" w:rsidP="00EA2D98">
      <w:pPr>
        <w:autoSpaceDE w:val="0"/>
        <w:spacing w:line="240" w:lineRule="auto"/>
        <w:jc w:val="center"/>
        <w:rPr>
          <w:rFonts w:ascii="TimesNewRomanPSMT-Identity-H" w:hAnsi="TimesNewRomanPSMT-Identity-H" w:cs="TimesNewRomanPSMT-Identity-H"/>
          <w:b/>
          <w:bCs/>
          <w:sz w:val="24"/>
          <w:szCs w:val="24"/>
          <w:lang w:val="en-US"/>
        </w:rPr>
      </w:pPr>
    </w:p>
    <w:p w14:paraId="0E701FCB" w14:textId="77777777" w:rsidR="007E14A0" w:rsidRDefault="007E14A0" w:rsidP="00EA2D98">
      <w:pPr>
        <w:autoSpaceDE w:val="0"/>
        <w:spacing w:line="240" w:lineRule="auto"/>
        <w:jc w:val="center"/>
        <w:rPr>
          <w:rFonts w:ascii="TimesNewRomanPSMT-Identity-H" w:hAnsi="TimesNewRomanPSMT-Identity-H" w:cs="TimesNewRomanPSMT-Identity-H"/>
          <w:b/>
          <w:bCs/>
          <w:sz w:val="24"/>
          <w:szCs w:val="24"/>
          <w:lang w:val="en-US"/>
        </w:rPr>
      </w:pPr>
    </w:p>
    <w:p w14:paraId="1820FB52" w14:textId="4456255F" w:rsidR="00D63EAF" w:rsidRDefault="00D63EAF" w:rsidP="00EA2D98">
      <w:pPr>
        <w:autoSpaceDE w:val="0"/>
        <w:spacing w:line="240" w:lineRule="auto"/>
        <w:jc w:val="center"/>
        <w:rPr>
          <w:rFonts w:ascii="TimesNewRomanPSMT-Identity-H" w:hAnsi="TimesNewRomanPSMT-Identity-H" w:cs="TimesNewRomanPSMT-Identity-H"/>
          <w:b/>
          <w:bCs/>
          <w:sz w:val="24"/>
          <w:szCs w:val="24"/>
          <w:lang w:val="en-US"/>
        </w:rPr>
      </w:pPr>
    </w:p>
    <w:p w14:paraId="4D4D2672" w14:textId="0DBDE59A" w:rsidR="0066458F" w:rsidRPr="005613D4" w:rsidRDefault="0066458F" w:rsidP="005613D4">
      <w:pPr>
        <w:autoSpaceDE w:val="0"/>
        <w:spacing w:line="360" w:lineRule="auto"/>
        <w:ind w:left="680" w:right="680"/>
        <w:jc w:val="center"/>
        <w:rPr>
          <w:rFonts w:asciiTheme="majorBidi" w:hAnsiTheme="majorBidi" w:cstheme="majorBidi"/>
          <w:sz w:val="28"/>
          <w:szCs w:val="28"/>
        </w:rPr>
      </w:pPr>
      <w:r w:rsidRPr="0066458F">
        <w:rPr>
          <w:rFonts w:asciiTheme="majorBidi" w:hAnsiTheme="majorBidi" w:cstheme="majorBidi"/>
          <w:sz w:val="28"/>
          <w:szCs w:val="28"/>
        </w:rPr>
        <w:lastRenderedPageBreak/>
        <w:t xml:space="preserve">CHAPTER 3. </w:t>
      </w:r>
      <w:r w:rsidR="005613D4" w:rsidRPr="005613D4">
        <w:rPr>
          <w:rFonts w:asciiTheme="majorBidi" w:hAnsiTheme="majorBidi" w:cstheme="majorBidi"/>
          <w:sz w:val="28"/>
          <w:szCs w:val="28"/>
        </w:rPr>
        <w:t>THE PROJECT FINANCE POSSIBLE ROLE IN THE RECONSTRUCTION OF SYRIA</w:t>
      </w:r>
    </w:p>
    <w:p w14:paraId="5F4C2A95" w14:textId="5BD31EB0" w:rsidR="00C56FD7" w:rsidRPr="004808B0" w:rsidRDefault="00C56FD7" w:rsidP="0066458F">
      <w:pPr>
        <w:autoSpaceDE w:val="0"/>
        <w:spacing w:line="360" w:lineRule="auto"/>
        <w:jc w:val="both"/>
        <w:rPr>
          <w:rFonts w:asciiTheme="majorBidi" w:hAnsiTheme="majorBidi" w:cstheme="majorBidi"/>
          <w:sz w:val="28"/>
          <w:szCs w:val="28"/>
        </w:rPr>
      </w:pPr>
      <w:r w:rsidRPr="004808B0">
        <w:rPr>
          <w:rFonts w:asciiTheme="majorBidi" w:hAnsiTheme="majorBidi" w:cstheme="majorBidi"/>
          <w:sz w:val="28"/>
          <w:szCs w:val="28"/>
        </w:rPr>
        <w:t xml:space="preserve">3.1 Syria </w:t>
      </w:r>
      <w:r w:rsidR="00B96905" w:rsidRPr="004808B0">
        <w:rPr>
          <w:rFonts w:asciiTheme="majorBidi" w:hAnsiTheme="majorBidi" w:cstheme="majorBidi"/>
          <w:sz w:val="28"/>
          <w:szCs w:val="28"/>
        </w:rPr>
        <w:t>e</w:t>
      </w:r>
      <w:r w:rsidRPr="004808B0">
        <w:rPr>
          <w:rFonts w:asciiTheme="majorBidi" w:hAnsiTheme="majorBidi" w:cstheme="majorBidi"/>
          <w:sz w:val="28"/>
          <w:szCs w:val="28"/>
        </w:rPr>
        <w:t>conomy before and after the crisis</w:t>
      </w:r>
    </w:p>
    <w:p w14:paraId="080A7C09" w14:textId="31629C19" w:rsidR="00C56FD7" w:rsidRPr="000335FD" w:rsidRDefault="00C56FD7" w:rsidP="00634054">
      <w:pPr>
        <w:suppressAutoHyphens/>
        <w:autoSpaceDE w:val="0"/>
        <w:adjustRightInd w:val="0"/>
        <w:spacing w:before="240" w:line="360" w:lineRule="auto"/>
        <w:ind w:firstLine="567"/>
        <w:jc w:val="both"/>
        <w:rPr>
          <w:rFonts w:asciiTheme="majorBidi" w:hAnsiTheme="majorBidi" w:cstheme="majorBidi"/>
          <w:sz w:val="24"/>
          <w:szCs w:val="24"/>
        </w:rPr>
      </w:pPr>
      <w:r w:rsidRPr="000335FD">
        <w:rPr>
          <w:rFonts w:asciiTheme="majorBidi" w:hAnsiTheme="majorBidi" w:cstheme="majorBidi"/>
          <w:sz w:val="24"/>
          <w:szCs w:val="24"/>
        </w:rPr>
        <w:t>The geographical position of Syria is strategically important</w:t>
      </w:r>
      <w:r w:rsidR="00776C1D">
        <w:rPr>
          <w:rFonts w:asciiTheme="majorBidi" w:hAnsiTheme="majorBidi" w:cstheme="majorBidi"/>
          <w:sz w:val="24"/>
          <w:szCs w:val="24"/>
        </w:rPr>
        <w:t>;</w:t>
      </w:r>
      <w:r w:rsidR="00C201C3">
        <w:rPr>
          <w:rFonts w:asciiTheme="majorBidi" w:hAnsiTheme="majorBidi" w:cstheme="majorBidi"/>
          <w:sz w:val="24"/>
          <w:szCs w:val="24"/>
        </w:rPr>
        <w:t xml:space="preserve"> i</w:t>
      </w:r>
      <w:r w:rsidRPr="000335FD">
        <w:rPr>
          <w:rFonts w:asciiTheme="majorBidi" w:hAnsiTheme="majorBidi" w:cstheme="majorBidi"/>
          <w:sz w:val="24"/>
          <w:szCs w:val="24"/>
        </w:rPr>
        <w:t>t is located in the oil-rich Middle East</w:t>
      </w:r>
      <w:r w:rsidR="00C201C3">
        <w:rPr>
          <w:rFonts w:asciiTheme="majorBidi" w:hAnsiTheme="majorBidi" w:cstheme="majorBidi"/>
          <w:sz w:val="24"/>
          <w:szCs w:val="24"/>
        </w:rPr>
        <w:t>. A</w:t>
      </w:r>
      <w:r w:rsidRPr="000335FD">
        <w:rPr>
          <w:rFonts w:asciiTheme="majorBidi" w:hAnsiTheme="majorBidi" w:cstheme="majorBidi"/>
          <w:sz w:val="24"/>
          <w:szCs w:val="24"/>
        </w:rPr>
        <w:t xml:space="preserve">fter Syria gained </w:t>
      </w:r>
      <w:r w:rsidR="009848E1">
        <w:rPr>
          <w:rFonts w:asciiTheme="majorBidi" w:hAnsiTheme="majorBidi" w:cstheme="majorBidi"/>
          <w:sz w:val="24"/>
          <w:szCs w:val="24"/>
        </w:rPr>
        <w:t xml:space="preserve">its </w:t>
      </w:r>
      <w:r w:rsidRPr="000335FD">
        <w:rPr>
          <w:rFonts w:asciiTheme="majorBidi" w:hAnsiTheme="majorBidi" w:cstheme="majorBidi"/>
          <w:sz w:val="24"/>
          <w:szCs w:val="24"/>
        </w:rPr>
        <w:t xml:space="preserve">political independence in 1946, </w:t>
      </w:r>
      <w:r w:rsidRPr="00EE006D">
        <w:rPr>
          <w:rFonts w:asciiTheme="majorBidi" w:hAnsiTheme="majorBidi" w:cstheme="majorBidi"/>
          <w:sz w:val="24"/>
          <w:szCs w:val="24"/>
        </w:rPr>
        <w:t>measures were taken in the country to eliminate the consequences of colonialism, and the development of the national economy began</w:t>
      </w:r>
      <w:r w:rsidRPr="000335FD">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2741DF">
        <w:rPr>
          <w:rFonts w:asciiTheme="majorBidi" w:hAnsiTheme="majorBidi" w:cstheme="majorBidi"/>
          <w:sz w:val="24"/>
          <w:szCs w:val="24"/>
        </w:rPr>
        <w:t>Under the pressure of the masses, in the early 1950s, many railways and foreign companies producing electricity were nationalized, and the share of foreign capital in local companies was limited to 50%.</w:t>
      </w:r>
      <w:r>
        <w:rPr>
          <w:rStyle w:val="FootnoteReference"/>
          <w:rFonts w:asciiTheme="majorBidi" w:hAnsiTheme="majorBidi" w:cstheme="majorBidi"/>
          <w:sz w:val="24"/>
          <w:szCs w:val="24"/>
        </w:rPr>
        <w:footnoteReference w:id="67"/>
      </w:r>
      <w:r w:rsidRPr="002741DF">
        <w:rPr>
          <w:rFonts w:asciiTheme="majorBidi" w:hAnsiTheme="majorBidi" w:cstheme="majorBidi"/>
          <w:sz w:val="24"/>
          <w:szCs w:val="24"/>
        </w:rPr>
        <w:t xml:space="preserve"> </w:t>
      </w:r>
      <w:r>
        <w:rPr>
          <w:rFonts w:asciiTheme="majorBidi" w:hAnsiTheme="majorBidi" w:cstheme="majorBidi"/>
          <w:sz w:val="24"/>
          <w:szCs w:val="24"/>
        </w:rPr>
        <w:t xml:space="preserve"> </w:t>
      </w:r>
      <w:r w:rsidRPr="000335FD">
        <w:rPr>
          <w:rFonts w:asciiTheme="majorBidi" w:hAnsiTheme="majorBidi" w:cstheme="majorBidi"/>
          <w:sz w:val="24"/>
          <w:szCs w:val="24"/>
        </w:rPr>
        <w:t>In 1961 all banks, insurance companies, industrial plants</w:t>
      </w:r>
      <w:r w:rsidR="00C201C3">
        <w:rPr>
          <w:rFonts w:asciiTheme="majorBidi" w:hAnsiTheme="majorBidi" w:cstheme="majorBidi"/>
          <w:sz w:val="24"/>
          <w:szCs w:val="24"/>
        </w:rPr>
        <w:t>,</w:t>
      </w:r>
      <w:r w:rsidRPr="000335FD">
        <w:rPr>
          <w:rFonts w:asciiTheme="majorBidi" w:hAnsiTheme="majorBidi" w:cstheme="majorBidi"/>
          <w:sz w:val="24"/>
          <w:szCs w:val="24"/>
        </w:rPr>
        <w:t xml:space="preserve"> and public utilities </w:t>
      </w:r>
      <w:r w:rsidR="00C201C3">
        <w:rPr>
          <w:rFonts w:asciiTheme="majorBidi" w:hAnsiTheme="majorBidi" w:cstheme="majorBidi"/>
          <w:sz w:val="24"/>
          <w:szCs w:val="24"/>
        </w:rPr>
        <w:t>were</w:t>
      </w:r>
      <w:r>
        <w:rPr>
          <w:rFonts w:asciiTheme="majorBidi" w:hAnsiTheme="majorBidi" w:cstheme="majorBidi"/>
          <w:sz w:val="24"/>
          <w:szCs w:val="24"/>
        </w:rPr>
        <w:t xml:space="preserve"> fully </w:t>
      </w:r>
      <w:r w:rsidRPr="000335FD">
        <w:rPr>
          <w:rFonts w:asciiTheme="majorBidi" w:hAnsiTheme="majorBidi" w:cstheme="majorBidi"/>
          <w:sz w:val="24"/>
          <w:szCs w:val="24"/>
        </w:rPr>
        <w:t>nationalized</w:t>
      </w:r>
      <w:r w:rsidR="00776C1D">
        <w:rPr>
          <w:rFonts w:asciiTheme="majorBidi" w:hAnsiTheme="majorBidi" w:cstheme="majorBidi"/>
          <w:sz w:val="24"/>
          <w:szCs w:val="24"/>
        </w:rPr>
        <w:t>,</w:t>
      </w:r>
      <w:r w:rsidRPr="000335FD">
        <w:rPr>
          <w:rStyle w:val="FootnoteReference"/>
          <w:rFonts w:asciiTheme="majorBidi" w:hAnsiTheme="majorBidi" w:cstheme="majorBidi"/>
          <w:sz w:val="24"/>
          <w:szCs w:val="24"/>
        </w:rPr>
        <w:footnoteReference w:id="68"/>
      </w:r>
      <w:r>
        <w:rPr>
          <w:rFonts w:asciiTheme="majorBidi" w:hAnsiTheme="majorBidi" w:cstheme="majorBidi"/>
          <w:sz w:val="24"/>
          <w:szCs w:val="24"/>
        </w:rPr>
        <w:t xml:space="preserve"> </w:t>
      </w:r>
      <w:r w:rsidRPr="000335FD">
        <w:rPr>
          <w:rFonts w:asciiTheme="majorBidi" w:hAnsiTheme="majorBidi" w:cstheme="majorBidi"/>
          <w:sz w:val="24"/>
          <w:szCs w:val="24"/>
          <w:lang w:val="en-US"/>
        </w:rPr>
        <w:t>a large part of the economy under government control</w:t>
      </w:r>
      <w:r w:rsidR="00776C1D">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776C1D">
        <w:rPr>
          <w:rFonts w:asciiTheme="majorBidi" w:hAnsiTheme="majorBidi" w:cstheme="majorBidi"/>
          <w:sz w:val="24"/>
          <w:szCs w:val="24"/>
          <w:lang w:val="en-US"/>
        </w:rPr>
        <w:t>T</w:t>
      </w:r>
      <w:r w:rsidRPr="00306E6A">
        <w:rPr>
          <w:rFonts w:asciiTheme="majorBidi" w:hAnsiTheme="majorBidi" w:cstheme="majorBidi"/>
          <w:sz w:val="24"/>
          <w:szCs w:val="24"/>
        </w:rPr>
        <w:t xml:space="preserve">he economy </w:t>
      </w:r>
      <w:r>
        <w:rPr>
          <w:rFonts w:asciiTheme="majorBidi" w:hAnsiTheme="majorBidi" w:cstheme="majorBidi"/>
          <w:sz w:val="24"/>
          <w:szCs w:val="24"/>
        </w:rPr>
        <w:t>was</w:t>
      </w:r>
      <w:r w:rsidRPr="00306E6A">
        <w:rPr>
          <w:rFonts w:asciiTheme="majorBidi" w:hAnsiTheme="majorBidi" w:cstheme="majorBidi"/>
          <w:sz w:val="24"/>
          <w:szCs w:val="24"/>
        </w:rPr>
        <w:t xml:space="preserve"> </w:t>
      </w:r>
      <w:r w:rsidR="00776C1D">
        <w:rPr>
          <w:rFonts w:asciiTheme="majorBidi" w:hAnsiTheme="majorBidi" w:cstheme="majorBidi"/>
          <w:sz w:val="24"/>
          <w:szCs w:val="24"/>
        </w:rPr>
        <w:t>almost</w:t>
      </w:r>
      <w:r w:rsidRPr="00306E6A">
        <w:rPr>
          <w:rFonts w:asciiTheme="majorBidi" w:hAnsiTheme="majorBidi" w:cstheme="majorBidi"/>
          <w:sz w:val="24"/>
          <w:szCs w:val="24"/>
        </w:rPr>
        <w:t xml:space="preserve"> closed</w:t>
      </w:r>
      <w:r>
        <w:rPr>
          <w:rFonts w:asciiTheme="majorBidi" w:hAnsiTheme="majorBidi" w:cstheme="majorBidi"/>
          <w:sz w:val="24"/>
          <w:szCs w:val="24"/>
        </w:rPr>
        <w:t xml:space="preserve"> and </w:t>
      </w:r>
      <w:r w:rsidRPr="005F41B3">
        <w:rPr>
          <w:rFonts w:asciiTheme="majorBidi" w:hAnsiTheme="majorBidi" w:cstheme="majorBidi"/>
          <w:sz w:val="24"/>
          <w:szCs w:val="24"/>
        </w:rPr>
        <w:t>characterized by its continued and heavy reliance on the oil sector</w:t>
      </w:r>
      <w:r w:rsidR="00776C1D">
        <w:rPr>
          <w:rFonts w:asciiTheme="majorBidi" w:hAnsiTheme="majorBidi" w:cstheme="majorBidi"/>
          <w:sz w:val="24"/>
          <w:szCs w:val="24"/>
        </w:rPr>
        <w:t>;</w:t>
      </w:r>
      <w:r w:rsidR="00AD001B">
        <w:rPr>
          <w:rFonts w:asciiTheme="majorBidi" w:hAnsiTheme="majorBidi" w:cstheme="majorBidi"/>
          <w:sz w:val="24"/>
          <w:szCs w:val="24"/>
        </w:rPr>
        <w:t xml:space="preserve"> </w:t>
      </w:r>
      <w:r w:rsidRPr="00306E6A">
        <w:rPr>
          <w:rFonts w:asciiTheme="majorBidi" w:hAnsiTheme="majorBidi" w:cstheme="majorBidi"/>
          <w:sz w:val="24"/>
          <w:szCs w:val="24"/>
        </w:rPr>
        <w:t>the share of non-oil trade in GDP amounted to about 30 per</w:t>
      </w:r>
      <w:r w:rsidR="00776C1D">
        <w:rPr>
          <w:rFonts w:asciiTheme="majorBidi" w:hAnsiTheme="majorBidi" w:cstheme="majorBidi"/>
          <w:sz w:val="24"/>
          <w:szCs w:val="24"/>
        </w:rPr>
        <w:t xml:space="preserve"> </w:t>
      </w:r>
      <w:r w:rsidRPr="00306E6A">
        <w:rPr>
          <w:rFonts w:asciiTheme="majorBidi" w:hAnsiTheme="majorBidi" w:cstheme="majorBidi"/>
          <w:sz w:val="24"/>
          <w:szCs w:val="24"/>
        </w:rPr>
        <w:t>cent for the period 1974–2000</w:t>
      </w:r>
      <w:r>
        <w:rPr>
          <w:rFonts w:asciiTheme="majorBidi" w:hAnsiTheme="majorBidi" w:cstheme="majorBidi"/>
          <w:sz w:val="24"/>
          <w:szCs w:val="24"/>
        </w:rPr>
        <w:t>.</w:t>
      </w:r>
      <w:r>
        <w:rPr>
          <w:rStyle w:val="FootnoteReference"/>
          <w:rFonts w:asciiTheme="majorBidi" w:hAnsiTheme="majorBidi" w:cstheme="majorBidi"/>
          <w:sz w:val="24"/>
          <w:szCs w:val="24"/>
        </w:rPr>
        <w:footnoteReference w:id="69"/>
      </w:r>
    </w:p>
    <w:p w14:paraId="154519F2" w14:textId="788EF5FB"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rPr>
      </w:pPr>
      <w:r w:rsidRPr="007C17B1">
        <w:rPr>
          <w:rFonts w:asciiTheme="majorBidi" w:hAnsiTheme="majorBidi" w:cstheme="majorBidi"/>
          <w:sz w:val="24"/>
          <w:szCs w:val="24"/>
        </w:rPr>
        <w:t xml:space="preserve">Since the early 2000s, the Syrian economy has </w:t>
      </w:r>
      <w:r w:rsidR="003D17F1" w:rsidRPr="003D17F1">
        <w:rPr>
          <w:rFonts w:asciiTheme="majorBidi" w:hAnsiTheme="majorBidi" w:cstheme="majorBidi"/>
          <w:sz w:val="24"/>
          <w:szCs w:val="24"/>
        </w:rPr>
        <w:t xml:space="preserve">transformed </w:t>
      </w:r>
      <w:r w:rsidRPr="00062DE6">
        <w:rPr>
          <w:rFonts w:asciiTheme="majorBidi" w:hAnsiTheme="majorBidi" w:cstheme="majorBidi"/>
          <w:sz w:val="24"/>
          <w:szCs w:val="24"/>
        </w:rPr>
        <w:t>from a state-oriented economy into a liberal and competitive economy</w:t>
      </w:r>
      <w:r w:rsidRPr="007C17B1">
        <w:rPr>
          <w:rFonts w:asciiTheme="majorBidi" w:hAnsiTheme="majorBidi" w:cstheme="majorBidi"/>
          <w:sz w:val="24"/>
          <w:szCs w:val="24"/>
        </w:rPr>
        <w:t>.</w:t>
      </w:r>
      <w:r>
        <w:rPr>
          <w:rFonts w:asciiTheme="majorBidi" w:hAnsiTheme="majorBidi" w:cstheme="majorBidi"/>
          <w:sz w:val="24"/>
          <w:szCs w:val="24"/>
        </w:rPr>
        <w:t xml:space="preserve"> T</w:t>
      </w:r>
      <w:r w:rsidRPr="00062DE6">
        <w:rPr>
          <w:rFonts w:asciiTheme="majorBidi" w:hAnsiTheme="majorBidi" w:cstheme="majorBidi"/>
          <w:sz w:val="24"/>
          <w:szCs w:val="24"/>
        </w:rPr>
        <w:t>here were some attempts to integrate the Syrian economy into the global economy</w:t>
      </w:r>
      <w:r w:rsidR="00776C1D">
        <w:rPr>
          <w:rFonts w:asciiTheme="majorBidi" w:hAnsiTheme="majorBidi" w:cstheme="majorBidi"/>
          <w:sz w:val="24"/>
          <w:szCs w:val="24"/>
        </w:rPr>
        <w:t>;</w:t>
      </w:r>
      <w:r>
        <w:rPr>
          <w:rFonts w:asciiTheme="majorBidi" w:hAnsiTheme="majorBidi" w:cstheme="majorBidi"/>
          <w:sz w:val="24"/>
          <w:szCs w:val="24"/>
        </w:rPr>
        <w:t xml:space="preserve"> </w:t>
      </w:r>
      <w:r w:rsidRPr="00062DE6">
        <w:rPr>
          <w:rFonts w:asciiTheme="majorBidi" w:hAnsiTheme="majorBidi" w:cstheme="majorBidi"/>
          <w:sz w:val="24"/>
          <w:szCs w:val="24"/>
        </w:rPr>
        <w:t>these attempts included liberalization and policies encouraging greater competitiveness</w:t>
      </w:r>
      <w:r>
        <w:rPr>
          <w:rFonts w:asciiTheme="majorBidi" w:hAnsiTheme="majorBidi" w:cstheme="majorBidi"/>
          <w:sz w:val="24"/>
          <w:szCs w:val="24"/>
        </w:rPr>
        <w:t>.</w:t>
      </w:r>
      <w:r w:rsidRPr="00062DE6">
        <w:rPr>
          <w:rFonts w:asciiTheme="majorBidi" w:hAnsiTheme="majorBidi" w:cstheme="majorBidi"/>
          <w:sz w:val="24"/>
          <w:szCs w:val="24"/>
          <w:vertAlign w:val="superscript"/>
        </w:rPr>
        <w:footnoteReference w:id="70"/>
      </w:r>
      <w:r>
        <w:rPr>
          <w:rFonts w:asciiTheme="majorBidi" w:hAnsiTheme="majorBidi" w:cstheme="majorBidi"/>
          <w:sz w:val="24"/>
          <w:szCs w:val="24"/>
        </w:rPr>
        <w:t xml:space="preserve"> </w:t>
      </w:r>
    </w:p>
    <w:p w14:paraId="170126FE" w14:textId="53CF2D0D"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rtl/>
        </w:rPr>
      </w:pPr>
      <w:r>
        <w:rPr>
          <w:rFonts w:asciiTheme="majorBidi" w:hAnsiTheme="majorBidi" w:cstheme="majorBidi"/>
          <w:sz w:val="24"/>
          <w:szCs w:val="24"/>
        </w:rPr>
        <w:t>D</w:t>
      </w:r>
      <w:r w:rsidRPr="000335FD">
        <w:rPr>
          <w:rFonts w:asciiTheme="majorBidi" w:hAnsiTheme="majorBidi" w:cstheme="majorBidi"/>
          <w:sz w:val="24"/>
          <w:szCs w:val="24"/>
        </w:rPr>
        <w:t xml:space="preserve">espite </w:t>
      </w:r>
      <w:r>
        <w:rPr>
          <w:rFonts w:asciiTheme="majorBidi" w:hAnsiTheme="majorBidi" w:cstheme="majorBidi"/>
          <w:sz w:val="24"/>
          <w:szCs w:val="24"/>
        </w:rPr>
        <w:t>these</w:t>
      </w:r>
      <w:r w:rsidRPr="000335FD">
        <w:rPr>
          <w:rFonts w:asciiTheme="majorBidi" w:hAnsiTheme="majorBidi" w:cstheme="majorBidi"/>
          <w:sz w:val="24"/>
          <w:szCs w:val="24"/>
        </w:rPr>
        <w:t xml:space="preserve"> economic reforms, which included licensing private banks</w:t>
      </w:r>
      <w:r>
        <w:rPr>
          <w:rFonts w:asciiTheme="majorBidi" w:hAnsiTheme="majorBidi" w:cstheme="majorBidi"/>
          <w:sz w:val="24"/>
          <w:szCs w:val="24"/>
        </w:rPr>
        <w:t xml:space="preserve"> in 2004</w:t>
      </w:r>
      <w:r w:rsidRPr="000335FD">
        <w:rPr>
          <w:rFonts w:asciiTheme="majorBidi" w:hAnsiTheme="majorBidi" w:cstheme="majorBidi"/>
          <w:sz w:val="24"/>
          <w:szCs w:val="24"/>
        </w:rPr>
        <w:t>,</w:t>
      </w:r>
      <w:r>
        <w:rPr>
          <w:rFonts w:asciiTheme="majorBidi" w:hAnsiTheme="majorBidi" w:cstheme="majorBidi"/>
          <w:sz w:val="24"/>
          <w:szCs w:val="24"/>
        </w:rPr>
        <w:t xml:space="preserve"> </w:t>
      </w:r>
      <w:r w:rsidRPr="005859AD">
        <w:rPr>
          <w:rFonts w:asciiTheme="majorBidi" w:hAnsiTheme="majorBidi" w:cstheme="majorBidi"/>
          <w:sz w:val="24"/>
          <w:szCs w:val="24"/>
        </w:rPr>
        <w:t xml:space="preserve">policies for </w:t>
      </w:r>
      <w:r w:rsidRPr="00986FA0">
        <w:rPr>
          <w:rFonts w:asciiTheme="majorBidi" w:hAnsiTheme="majorBidi" w:cstheme="majorBidi"/>
          <w:sz w:val="24"/>
          <w:szCs w:val="24"/>
        </w:rPr>
        <w:t>reducing borrowing interes</w:t>
      </w:r>
      <w:r w:rsidRPr="005859AD">
        <w:rPr>
          <w:rFonts w:asciiTheme="majorBidi" w:hAnsiTheme="majorBidi" w:cstheme="majorBidi"/>
          <w:sz w:val="24"/>
          <w:szCs w:val="24"/>
        </w:rPr>
        <w:t>t</w:t>
      </w:r>
      <w:r>
        <w:rPr>
          <w:rFonts w:asciiTheme="majorBidi" w:hAnsiTheme="majorBidi" w:cstheme="majorBidi"/>
          <w:sz w:val="24"/>
          <w:szCs w:val="24"/>
        </w:rPr>
        <w:t xml:space="preserve">, and </w:t>
      </w:r>
      <w:r w:rsidRPr="00986FA0">
        <w:rPr>
          <w:rFonts w:asciiTheme="majorBidi" w:hAnsiTheme="majorBidi" w:cstheme="majorBidi"/>
          <w:sz w:val="24"/>
          <w:szCs w:val="24"/>
        </w:rPr>
        <w:t xml:space="preserve">reopening </w:t>
      </w:r>
      <w:r w:rsidR="005C0A96">
        <w:rPr>
          <w:rFonts w:asciiTheme="majorBidi" w:hAnsiTheme="majorBidi" w:cstheme="majorBidi"/>
          <w:sz w:val="24"/>
          <w:szCs w:val="24"/>
        </w:rPr>
        <w:t xml:space="preserve">the </w:t>
      </w:r>
      <w:r w:rsidRPr="00986FA0">
        <w:rPr>
          <w:rFonts w:asciiTheme="majorBidi" w:hAnsiTheme="majorBidi" w:cstheme="majorBidi"/>
          <w:sz w:val="24"/>
          <w:szCs w:val="24"/>
        </w:rPr>
        <w:t>Damascus Stock</w:t>
      </w:r>
      <w:r w:rsidRPr="005859AD">
        <w:rPr>
          <w:rFonts w:asciiTheme="majorBidi" w:hAnsiTheme="majorBidi" w:cstheme="majorBidi"/>
          <w:sz w:val="24"/>
          <w:szCs w:val="24"/>
        </w:rPr>
        <w:t xml:space="preserve"> Exchange</w:t>
      </w:r>
      <w:r>
        <w:rPr>
          <w:rFonts w:asciiTheme="majorBidi" w:hAnsiTheme="majorBidi" w:cstheme="majorBidi"/>
          <w:sz w:val="24"/>
          <w:szCs w:val="24"/>
        </w:rPr>
        <w:t xml:space="preserve"> (DSE) in 2009</w:t>
      </w:r>
      <w:r w:rsidRPr="00986FA0">
        <w:rPr>
          <w:rFonts w:asciiTheme="majorBidi" w:hAnsiTheme="majorBidi" w:cstheme="majorBidi"/>
          <w:sz w:val="24"/>
          <w:szCs w:val="24"/>
        </w:rPr>
        <w:t xml:space="preserve"> after more than 40 years</w:t>
      </w:r>
      <w:r w:rsidR="009848E1">
        <w:rPr>
          <w:rFonts w:asciiTheme="majorBidi" w:hAnsiTheme="majorBidi" w:cstheme="majorBidi"/>
          <w:sz w:val="24"/>
          <w:szCs w:val="24"/>
        </w:rPr>
        <w:t xml:space="preserve"> of closure</w:t>
      </w:r>
      <w:r>
        <w:rPr>
          <w:rFonts w:asciiTheme="majorBidi" w:hAnsiTheme="majorBidi" w:cstheme="majorBidi"/>
          <w:sz w:val="24"/>
          <w:szCs w:val="24"/>
        </w:rPr>
        <w:t>. T</w:t>
      </w:r>
      <w:r w:rsidRPr="000335FD">
        <w:rPr>
          <w:rFonts w:asciiTheme="majorBidi" w:hAnsiTheme="majorBidi" w:cstheme="majorBidi"/>
          <w:sz w:val="24"/>
          <w:szCs w:val="24"/>
        </w:rPr>
        <w:t xml:space="preserve">he Syrian economy remains highly controlled by the government, </w:t>
      </w:r>
      <w:r>
        <w:rPr>
          <w:rFonts w:asciiTheme="majorBidi" w:hAnsiTheme="majorBidi" w:cstheme="majorBidi"/>
          <w:sz w:val="24"/>
          <w:szCs w:val="24"/>
        </w:rPr>
        <w:t xml:space="preserve">with </w:t>
      </w:r>
      <w:r w:rsidRPr="000335FD">
        <w:rPr>
          <w:rFonts w:asciiTheme="majorBidi" w:hAnsiTheme="majorBidi" w:cstheme="majorBidi"/>
          <w:sz w:val="24"/>
          <w:szCs w:val="24"/>
        </w:rPr>
        <w:t>declining oil production and exports, weak investment, high unemployment</w:t>
      </w:r>
      <w:r w:rsidR="009848E1">
        <w:rPr>
          <w:rFonts w:asciiTheme="majorBidi" w:hAnsiTheme="majorBidi" w:cstheme="majorBidi"/>
          <w:sz w:val="24"/>
          <w:szCs w:val="24"/>
        </w:rPr>
        <w:t xml:space="preserve"> levels</w:t>
      </w:r>
      <w:r w:rsidRPr="000335FD">
        <w:rPr>
          <w:rFonts w:asciiTheme="majorBidi" w:hAnsiTheme="majorBidi" w:cstheme="majorBidi"/>
          <w:sz w:val="24"/>
          <w:szCs w:val="24"/>
        </w:rPr>
        <w:t>, and economic sanctions.</w:t>
      </w:r>
      <w:r w:rsidRPr="00062DE6">
        <w:rPr>
          <w:rFonts w:asciiTheme="majorBidi" w:hAnsiTheme="majorBidi" w:cstheme="majorBidi"/>
          <w:sz w:val="24"/>
          <w:szCs w:val="24"/>
          <w:vertAlign w:val="superscript"/>
        </w:rPr>
        <w:footnoteReference w:id="71"/>
      </w:r>
    </w:p>
    <w:p w14:paraId="22419C17" w14:textId="31133AEF" w:rsidR="00C56FD7" w:rsidRPr="00062DE6" w:rsidRDefault="00C56FD7" w:rsidP="00634054">
      <w:pPr>
        <w:suppressAutoHyphens/>
        <w:autoSpaceDE w:val="0"/>
        <w:adjustRightInd w:val="0"/>
        <w:spacing w:line="360" w:lineRule="auto"/>
        <w:ind w:firstLine="567"/>
        <w:jc w:val="both"/>
        <w:rPr>
          <w:rFonts w:asciiTheme="majorBidi" w:hAnsiTheme="majorBidi" w:cstheme="majorBidi"/>
          <w:sz w:val="24"/>
          <w:szCs w:val="24"/>
        </w:rPr>
      </w:pPr>
      <w:r w:rsidRPr="004B7D5E">
        <w:rPr>
          <w:rFonts w:asciiTheme="majorBidi" w:hAnsiTheme="majorBidi" w:cstheme="majorBidi"/>
          <w:sz w:val="24"/>
          <w:szCs w:val="24"/>
        </w:rPr>
        <w:t xml:space="preserve">This </w:t>
      </w:r>
      <w:r w:rsidR="00B96905">
        <w:rPr>
          <w:rFonts w:asciiTheme="majorBidi" w:hAnsiTheme="majorBidi" w:cstheme="majorBidi"/>
          <w:sz w:val="24"/>
          <w:szCs w:val="24"/>
        </w:rPr>
        <w:t>paragraph</w:t>
      </w:r>
      <w:r w:rsidRPr="004B7D5E">
        <w:rPr>
          <w:rFonts w:asciiTheme="majorBidi" w:hAnsiTheme="majorBidi" w:cstheme="majorBidi"/>
          <w:sz w:val="24"/>
          <w:szCs w:val="24"/>
        </w:rPr>
        <w:t xml:space="preserve"> </w:t>
      </w:r>
      <w:r w:rsidR="00776C1D" w:rsidRPr="00776C1D">
        <w:rPr>
          <w:rFonts w:asciiTheme="majorBidi" w:hAnsiTheme="majorBidi" w:cstheme="majorBidi"/>
          <w:sz w:val="24"/>
          <w:szCs w:val="24"/>
        </w:rPr>
        <w:t xml:space="preserve">outlines </w:t>
      </w:r>
      <w:r w:rsidRPr="00DD1CAB">
        <w:rPr>
          <w:rFonts w:asciiTheme="majorBidi" w:hAnsiTheme="majorBidi" w:cstheme="majorBidi"/>
          <w:sz w:val="24"/>
          <w:szCs w:val="24"/>
        </w:rPr>
        <w:t>how Syria</w:t>
      </w:r>
      <w:r w:rsidR="00E20029" w:rsidRPr="00E20029">
        <w:rPr>
          <w:rFonts w:ascii="Times New Roman" w:hAnsi="Times New Roman" w:cs="Times New Roman"/>
          <w:sz w:val="24"/>
          <w:szCs w:val="24"/>
        </w:rPr>
        <w:t>'</w:t>
      </w:r>
      <w:r w:rsidRPr="00DD1CAB">
        <w:rPr>
          <w:rFonts w:asciiTheme="majorBidi" w:hAnsiTheme="majorBidi" w:cstheme="majorBidi"/>
          <w:sz w:val="24"/>
          <w:szCs w:val="24"/>
        </w:rPr>
        <w:t>s economy</w:t>
      </w:r>
      <w:r w:rsidRPr="00DD1CAB">
        <w:rPr>
          <w:rFonts w:asciiTheme="majorBidi" w:hAnsiTheme="majorBidi" w:cstheme="majorBidi" w:hint="cs"/>
          <w:sz w:val="24"/>
          <w:szCs w:val="24"/>
          <w:rtl/>
        </w:rPr>
        <w:t xml:space="preserve"> </w:t>
      </w:r>
      <w:r w:rsidRPr="00DD1CAB">
        <w:rPr>
          <w:rFonts w:asciiTheme="majorBidi" w:hAnsiTheme="majorBidi" w:cstheme="majorBidi"/>
          <w:sz w:val="24"/>
          <w:szCs w:val="24"/>
        </w:rPr>
        <w:t>ha</w:t>
      </w:r>
      <w:r w:rsidR="00C201C3">
        <w:rPr>
          <w:rFonts w:asciiTheme="majorBidi" w:hAnsiTheme="majorBidi" w:cstheme="majorBidi"/>
          <w:sz w:val="24"/>
          <w:szCs w:val="24"/>
        </w:rPr>
        <w:t>s</w:t>
      </w:r>
      <w:r w:rsidRPr="00DD1CAB">
        <w:rPr>
          <w:rFonts w:asciiTheme="majorBidi" w:hAnsiTheme="majorBidi" w:cstheme="majorBidi"/>
          <w:sz w:val="24"/>
          <w:szCs w:val="24"/>
        </w:rPr>
        <w:t xml:space="preserve"> been affected</w:t>
      </w:r>
      <w:r w:rsidRPr="00DD1CAB">
        <w:rPr>
          <w:rFonts w:asciiTheme="majorBidi" w:hAnsiTheme="majorBidi" w:cstheme="majorBidi" w:hint="cs"/>
          <w:sz w:val="24"/>
          <w:szCs w:val="24"/>
          <w:rtl/>
        </w:rPr>
        <w:t xml:space="preserve"> </w:t>
      </w:r>
      <w:r w:rsidRPr="00DD1CAB">
        <w:rPr>
          <w:rFonts w:asciiTheme="majorBidi" w:hAnsiTheme="majorBidi" w:cstheme="majorBidi"/>
          <w:sz w:val="24"/>
          <w:szCs w:val="24"/>
        </w:rPr>
        <w:t>by the crisis</w:t>
      </w:r>
      <w:r w:rsidR="00B75472">
        <w:rPr>
          <w:rFonts w:asciiTheme="majorBidi" w:hAnsiTheme="majorBidi" w:cstheme="majorBidi"/>
          <w:sz w:val="24"/>
          <w:szCs w:val="24"/>
        </w:rPr>
        <w:t>;</w:t>
      </w:r>
      <w:r w:rsidRPr="004B7D5E">
        <w:rPr>
          <w:rFonts w:asciiTheme="majorBidi" w:hAnsiTheme="majorBidi" w:cstheme="majorBidi"/>
          <w:sz w:val="24"/>
          <w:szCs w:val="24"/>
        </w:rPr>
        <w:t xml:space="preserve"> </w:t>
      </w:r>
      <w:r w:rsidR="009848E1">
        <w:rPr>
          <w:rFonts w:asciiTheme="majorBidi" w:hAnsiTheme="majorBidi" w:cstheme="majorBidi"/>
          <w:sz w:val="24"/>
          <w:szCs w:val="24"/>
        </w:rPr>
        <w:t>I</w:t>
      </w:r>
      <w:r>
        <w:rPr>
          <w:rFonts w:asciiTheme="majorBidi" w:hAnsiTheme="majorBidi" w:cstheme="majorBidi"/>
          <w:sz w:val="24"/>
          <w:szCs w:val="24"/>
        </w:rPr>
        <w:t>t</w:t>
      </w:r>
      <w:r w:rsidRPr="004B7D5E">
        <w:rPr>
          <w:rFonts w:asciiTheme="majorBidi" w:hAnsiTheme="majorBidi" w:cstheme="majorBidi"/>
          <w:sz w:val="24"/>
          <w:szCs w:val="24"/>
        </w:rPr>
        <w:t xml:space="preserve"> has cost the national economy enormous losses</w:t>
      </w:r>
      <w:r w:rsidR="00B75472">
        <w:rPr>
          <w:rFonts w:asciiTheme="majorBidi" w:hAnsiTheme="majorBidi" w:cstheme="majorBidi"/>
          <w:sz w:val="24"/>
          <w:szCs w:val="24"/>
        </w:rPr>
        <w:t xml:space="preserve"> </w:t>
      </w:r>
      <w:r w:rsidR="00B75472" w:rsidRPr="00B75472">
        <w:rPr>
          <w:rFonts w:asciiTheme="majorBidi" w:hAnsiTheme="majorBidi" w:cstheme="majorBidi"/>
          <w:sz w:val="24"/>
          <w:szCs w:val="24"/>
        </w:rPr>
        <w:t>that are difficult to estimate</w:t>
      </w:r>
      <w:r w:rsidRPr="004B7D5E">
        <w:rPr>
          <w:rFonts w:asciiTheme="majorBidi" w:hAnsiTheme="majorBidi" w:cstheme="majorBidi"/>
          <w:sz w:val="24"/>
          <w:szCs w:val="24"/>
        </w:rPr>
        <w:t>,</w:t>
      </w:r>
      <w:r>
        <w:rPr>
          <w:rFonts w:asciiTheme="majorBidi" w:hAnsiTheme="majorBidi" w:cstheme="majorBidi" w:hint="cs"/>
          <w:sz w:val="24"/>
          <w:szCs w:val="24"/>
          <w:rtl/>
        </w:rPr>
        <w:t xml:space="preserve"> </w:t>
      </w:r>
      <w:r w:rsidR="00B75472">
        <w:rPr>
          <w:rFonts w:asciiTheme="majorBidi" w:hAnsiTheme="majorBidi" w:cstheme="majorBidi"/>
          <w:sz w:val="24"/>
          <w:szCs w:val="24"/>
        </w:rPr>
        <w:t>due to</w:t>
      </w:r>
      <w:r w:rsidRPr="004B7D5E">
        <w:rPr>
          <w:rFonts w:asciiTheme="majorBidi" w:hAnsiTheme="majorBidi" w:cstheme="majorBidi"/>
          <w:sz w:val="24"/>
          <w:szCs w:val="24"/>
        </w:rPr>
        <w:t xml:space="preserve"> the </w:t>
      </w:r>
      <w:r w:rsidR="00B75472">
        <w:rPr>
          <w:rFonts w:asciiTheme="majorBidi" w:hAnsiTheme="majorBidi" w:cstheme="majorBidi"/>
          <w:sz w:val="24"/>
          <w:szCs w:val="24"/>
        </w:rPr>
        <w:t>absence</w:t>
      </w:r>
      <w:r w:rsidRPr="004B7D5E">
        <w:rPr>
          <w:rFonts w:asciiTheme="majorBidi" w:hAnsiTheme="majorBidi" w:cstheme="majorBidi"/>
          <w:sz w:val="24"/>
          <w:szCs w:val="24"/>
        </w:rPr>
        <w:t xml:space="preserve"> of official economic figures and statistics, either because they were not published, or because of the difficulty of collecting the data necessary to estimate them.</w:t>
      </w:r>
    </w:p>
    <w:p w14:paraId="4A0DF293" w14:textId="268187EF"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rPr>
      </w:pPr>
      <w:r w:rsidRPr="00A80797">
        <w:rPr>
          <w:rFonts w:asciiTheme="majorBidi" w:hAnsiTheme="majorBidi" w:cstheme="majorBidi"/>
          <w:sz w:val="24"/>
          <w:szCs w:val="24"/>
        </w:rPr>
        <w:lastRenderedPageBreak/>
        <w:t>As the crisis negatively affected the gross domestic product</w:t>
      </w:r>
      <w:r w:rsidR="00516B8A">
        <w:rPr>
          <w:rFonts w:asciiTheme="majorBidi" w:hAnsiTheme="majorBidi" w:cstheme="majorBidi"/>
          <w:sz w:val="24"/>
          <w:szCs w:val="24"/>
        </w:rPr>
        <w:t xml:space="preserve">, </w:t>
      </w:r>
      <w:r w:rsidRPr="00A80797">
        <w:rPr>
          <w:rFonts w:asciiTheme="majorBidi" w:hAnsiTheme="majorBidi" w:cstheme="majorBidi"/>
          <w:sz w:val="24"/>
          <w:szCs w:val="24"/>
        </w:rPr>
        <w:t xml:space="preserve">the state budget, </w:t>
      </w:r>
      <w:r w:rsidR="00516B8A">
        <w:rPr>
          <w:rFonts w:asciiTheme="majorBidi" w:hAnsiTheme="majorBidi" w:cstheme="majorBidi"/>
          <w:sz w:val="24"/>
          <w:szCs w:val="24"/>
        </w:rPr>
        <w:t>and o</w:t>
      </w:r>
      <w:r w:rsidR="00516B8A" w:rsidRPr="00516B8A">
        <w:rPr>
          <w:rFonts w:asciiTheme="majorBidi" w:hAnsiTheme="majorBidi" w:cstheme="majorBidi"/>
          <w:sz w:val="24"/>
          <w:szCs w:val="24"/>
        </w:rPr>
        <w:t>ther economic indicators</w:t>
      </w:r>
      <w:r>
        <w:rPr>
          <w:rFonts w:asciiTheme="majorBidi" w:hAnsiTheme="majorBidi" w:cstheme="majorBidi"/>
          <w:sz w:val="24"/>
          <w:szCs w:val="24"/>
        </w:rPr>
        <w:t xml:space="preserve">. </w:t>
      </w:r>
      <w:r w:rsidRPr="00A80797">
        <w:rPr>
          <w:rFonts w:asciiTheme="majorBidi" w:hAnsiTheme="majorBidi" w:cstheme="majorBidi"/>
          <w:sz w:val="24"/>
          <w:szCs w:val="24"/>
        </w:rPr>
        <w:t>The economy turned to what is known as the war economy</w:t>
      </w:r>
      <w:r w:rsidR="008C7AD8">
        <w:rPr>
          <w:rFonts w:asciiTheme="majorBidi" w:hAnsiTheme="majorBidi" w:cstheme="majorBidi"/>
          <w:sz w:val="24"/>
          <w:szCs w:val="24"/>
        </w:rPr>
        <w:t>;</w:t>
      </w:r>
      <w:r w:rsidRPr="00A80797">
        <w:rPr>
          <w:rFonts w:asciiTheme="majorBidi" w:hAnsiTheme="majorBidi" w:cstheme="majorBidi"/>
          <w:sz w:val="24"/>
          <w:szCs w:val="24"/>
        </w:rPr>
        <w:t xml:space="preserve"> it became a priority to secure </w:t>
      </w:r>
      <w:r w:rsidR="00133353" w:rsidRPr="00133353">
        <w:rPr>
          <w:rFonts w:asciiTheme="majorBidi" w:hAnsiTheme="majorBidi" w:cstheme="majorBidi"/>
          <w:sz w:val="24"/>
          <w:szCs w:val="24"/>
        </w:rPr>
        <w:t xml:space="preserve">necessary </w:t>
      </w:r>
      <w:r w:rsidRPr="00A80797">
        <w:rPr>
          <w:rFonts w:asciiTheme="majorBidi" w:hAnsiTheme="majorBidi" w:cstheme="majorBidi"/>
          <w:sz w:val="24"/>
          <w:szCs w:val="24"/>
        </w:rPr>
        <w:t>materials such as fuel, food</w:t>
      </w:r>
      <w:r w:rsidR="00C201C3">
        <w:rPr>
          <w:rFonts w:asciiTheme="majorBidi" w:hAnsiTheme="majorBidi" w:cstheme="majorBidi"/>
          <w:sz w:val="24"/>
          <w:szCs w:val="24"/>
        </w:rPr>
        <w:t>,</w:t>
      </w:r>
      <w:r w:rsidRPr="00A80797">
        <w:rPr>
          <w:rFonts w:asciiTheme="majorBidi" w:hAnsiTheme="majorBidi" w:cstheme="majorBidi"/>
          <w:sz w:val="24"/>
          <w:szCs w:val="24"/>
        </w:rPr>
        <w:t xml:space="preserve"> and medicines, </w:t>
      </w:r>
      <w:r>
        <w:rPr>
          <w:rFonts w:asciiTheme="majorBidi" w:hAnsiTheme="majorBidi" w:cstheme="majorBidi"/>
          <w:sz w:val="24"/>
          <w:szCs w:val="24"/>
        </w:rPr>
        <w:t>with</w:t>
      </w:r>
      <w:r w:rsidRPr="00A80797">
        <w:rPr>
          <w:rFonts w:asciiTheme="majorBidi" w:hAnsiTheme="majorBidi" w:cstheme="majorBidi"/>
          <w:sz w:val="24"/>
          <w:szCs w:val="24"/>
        </w:rPr>
        <w:t xml:space="preserve"> a decline in the activity of many productive sectors.</w:t>
      </w:r>
    </w:p>
    <w:p w14:paraId="141FD18A" w14:textId="2F102ACF" w:rsidR="00C56FD7" w:rsidRDefault="00BC6BCC" w:rsidP="00634054">
      <w:pPr>
        <w:suppressAutoHyphens/>
        <w:autoSpaceDE w:val="0"/>
        <w:adjustRightInd w:val="0"/>
        <w:spacing w:line="360" w:lineRule="auto"/>
        <w:ind w:firstLine="567"/>
        <w:jc w:val="both"/>
        <w:rPr>
          <w:rFonts w:asciiTheme="majorBidi" w:hAnsiTheme="majorBidi" w:cstheme="majorBidi"/>
          <w:sz w:val="24"/>
          <w:szCs w:val="24"/>
        </w:rPr>
      </w:pPr>
      <w:r w:rsidRPr="00BC6BCC">
        <w:rPr>
          <w:rFonts w:asciiTheme="majorBidi" w:hAnsiTheme="majorBidi" w:cstheme="majorBidi"/>
          <w:sz w:val="24"/>
          <w:szCs w:val="24"/>
        </w:rPr>
        <w:t>We will review the effects of the crisis on the country on the economic level and its overall indicators: GDP, inflation, government budget</w:t>
      </w:r>
      <w:r w:rsidR="00EC5E03">
        <w:rPr>
          <w:rFonts w:asciiTheme="majorBidi" w:hAnsiTheme="majorBidi" w:cstheme="majorBidi"/>
          <w:sz w:val="24"/>
          <w:szCs w:val="24"/>
        </w:rPr>
        <w:t xml:space="preserve">, </w:t>
      </w:r>
      <w:r w:rsidRPr="00BC6BCC">
        <w:rPr>
          <w:rFonts w:asciiTheme="majorBidi" w:hAnsiTheme="majorBidi" w:cstheme="majorBidi"/>
          <w:sz w:val="24"/>
          <w:szCs w:val="24"/>
        </w:rPr>
        <w:t>deficit, and the exchange rate of the Syrian pound</w:t>
      </w:r>
      <w:r w:rsidR="00C56FD7" w:rsidRPr="00C201C3">
        <w:rPr>
          <w:rFonts w:asciiTheme="majorBidi" w:hAnsiTheme="majorBidi" w:cstheme="majorBidi"/>
          <w:sz w:val="24"/>
          <w:szCs w:val="24"/>
        </w:rPr>
        <w:t>.</w:t>
      </w:r>
    </w:p>
    <w:p w14:paraId="23B65055" w14:textId="120B8D49" w:rsidR="00C56FD7" w:rsidRDefault="00725429"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725429">
        <w:rPr>
          <w:rFonts w:asciiTheme="majorBidi" w:hAnsiTheme="majorBidi" w:cstheme="majorBidi"/>
          <w:sz w:val="24"/>
          <w:szCs w:val="24"/>
        </w:rPr>
        <w:t>The gross domestic product (GDP) is one of the nation's main indicators; it is used to measure the country's economic growth</w:t>
      </w:r>
      <w:r w:rsidR="00C56FD7" w:rsidRPr="00D4565F">
        <w:rPr>
          <w:rFonts w:asciiTheme="majorBidi" w:hAnsiTheme="majorBidi" w:cstheme="majorBidi"/>
          <w:sz w:val="24"/>
          <w:szCs w:val="24"/>
          <w:rtl/>
        </w:rPr>
        <w:t>.</w:t>
      </w:r>
      <w:r w:rsidR="00C56FD7">
        <w:rPr>
          <w:rFonts w:asciiTheme="majorBidi" w:hAnsiTheme="majorBidi" w:cstheme="majorBidi"/>
          <w:sz w:val="24"/>
          <w:szCs w:val="24"/>
        </w:rPr>
        <w:t xml:space="preserve"> </w:t>
      </w:r>
      <w:r w:rsidR="00C56FD7" w:rsidRPr="00D4565F">
        <w:rPr>
          <w:rFonts w:asciiTheme="majorBidi" w:hAnsiTheme="majorBidi" w:cstheme="majorBidi"/>
          <w:sz w:val="24"/>
          <w:szCs w:val="24"/>
        </w:rPr>
        <w:t>Syria has achieved during the period from 2001 to 2010</w:t>
      </w:r>
      <w:r w:rsidR="009848E1">
        <w:rPr>
          <w:rFonts w:asciiTheme="majorBidi" w:hAnsiTheme="majorBidi" w:cstheme="majorBidi"/>
          <w:sz w:val="24"/>
          <w:szCs w:val="24"/>
        </w:rPr>
        <w:t xml:space="preserve"> high</w:t>
      </w:r>
      <w:r w:rsidR="00C56FD7" w:rsidRPr="00D4565F">
        <w:rPr>
          <w:rFonts w:asciiTheme="majorBidi" w:hAnsiTheme="majorBidi" w:cstheme="majorBidi"/>
          <w:sz w:val="24"/>
          <w:szCs w:val="24"/>
        </w:rPr>
        <w:t xml:space="preserve"> economic growth rates up to </w:t>
      </w:r>
      <w:r w:rsidR="00C56FD7">
        <w:rPr>
          <w:rFonts w:asciiTheme="majorBidi" w:hAnsiTheme="majorBidi" w:cstheme="majorBidi"/>
          <w:sz w:val="24"/>
          <w:szCs w:val="24"/>
        </w:rPr>
        <w:t>5.17</w:t>
      </w:r>
      <w:r w:rsidR="00C56FD7" w:rsidRPr="00D4565F">
        <w:rPr>
          <w:rFonts w:asciiTheme="majorBidi" w:hAnsiTheme="majorBidi" w:cstheme="majorBidi"/>
          <w:sz w:val="24"/>
          <w:szCs w:val="24"/>
        </w:rPr>
        <w:t>% per annum on average.</w:t>
      </w:r>
      <w:r w:rsidR="00C56FD7">
        <w:rPr>
          <w:rFonts w:asciiTheme="majorBidi" w:hAnsiTheme="majorBidi" w:cstheme="majorBidi"/>
          <w:sz w:val="24"/>
          <w:szCs w:val="24"/>
        </w:rPr>
        <w:t xml:space="preserve"> </w:t>
      </w:r>
      <w:r w:rsidR="00B6353B" w:rsidRPr="00B6353B">
        <w:rPr>
          <w:rFonts w:asciiTheme="majorBidi" w:hAnsiTheme="majorBidi" w:cstheme="majorBidi"/>
          <w:sz w:val="24"/>
          <w:szCs w:val="24"/>
        </w:rPr>
        <w:t>Compared</w:t>
      </w:r>
      <w:r w:rsidR="00B6353B">
        <w:rPr>
          <w:rFonts w:asciiTheme="majorBidi" w:hAnsiTheme="majorBidi" w:cstheme="majorBidi"/>
          <w:sz w:val="24"/>
          <w:szCs w:val="24"/>
        </w:rPr>
        <w:t xml:space="preserve"> </w:t>
      </w:r>
      <w:r w:rsidR="00C56FD7" w:rsidRPr="00173085">
        <w:rPr>
          <w:rFonts w:asciiTheme="majorBidi" w:hAnsiTheme="majorBidi" w:cstheme="majorBidi"/>
          <w:sz w:val="24"/>
          <w:szCs w:val="24"/>
        </w:rPr>
        <w:t>with the Arab region, the growth performance in Syria was slightly higher than the average rate</w:t>
      </w:r>
      <w:r w:rsidR="00C56FD7">
        <w:rPr>
          <w:rFonts w:asciiTheme="majorBidi" w:hAnsiTheme="majorBidi" w:cstheme="majorBidi"/>
          <w:sz w:val="24"/>
          <w:szCs w:val="24"/>
        </w:rPr>
        <w:t xml:space="preserve">, but </w:t>
      </w:r>
      <w:r w:rsidR="00C56FD7" w:rsidRPr="00173085">
        <w:rPr>
          <w:rFonts w:asciiTheme="majorBidi" w:hAnsiTheme="majorBidi" w:cstheme="majorBidi"/>
          <w:sz w:val="24"/>
          <w:szCs w:val="24"/>
        </w:rPr>
        <w:t>the per capita GDP was still relatively low.</w:t>
      </w:r>
      <w:r w:rsidR="00C56FD7" w:rsidRPr="00173085">
        <w:rPr>
          <w:rStyle w:val="FootnoteReference"/>
          <w:rFonts w:asciiTheme="majorBidi" w:hAnsiTheme="majorBidi" w:cstheme="majorBidi"/>
          <w:sz w:val="24"/>
          <w:szCs w:val="24"/>
          <w:rtl/>
          <w:lang w:val="en-US"/>
        </w:rPr>
        <w:t xml:space="preserve"> </w:t>
      </w:r>
      <w:r w:rsidR="00C56FD7">
        <w:rPr>
          <w:rStyle w:val="FootnoteReference"/>
          <w:rFonts w:asciiTheme="majorBidi" w:hAnsiTheme="majorBidi" w:cstheme="majorBidi"/>
          <w:sz w:val="24"/>
          <w:szCs w:val="24"/>
          <w:rtl/>
          <w:lang w:val="en-US"/>
        </w:rPr>
        <w:footnoteReference w:id="72"/>
      </w:r>
    </w:p>
    <w:p w14:paraId="2434A55F" w14:textId="477DF10F" w:rsidR="00C56FD7" w:rsidRDefault="00133353"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133353">
        <w:rPr>
          <w:rFonts w:asciiTheme="majorBidi" w:hAnsiTheme="majorBidi" w:cstheme="majorBidi"/>
          <w:sz w:val="24"/>
          <w:szCs w:val="24"/>
          <w:lang w:val="en-US"/>
        </w:rPr>
        <w:t>As a result of the crisis, the national economy was subjected to systematic infrastructure destruction; most of the oil and gas fields were stolen and sabotaged by armed groups</w:t>
      </w:r>
      <w:r w:rsidR="009848E1">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w:t>
      </w:r>
      <w:r w:rsidR="009848E1">
        <w:rPr>
          <w:rFonts w:asciiTheme="majorBidi" w:hAnsiTheme="majorBidi" w:cstheme="majorBidi"/>
          <w:sz w:val="24"/>
          <w:szCs w:val="24"/>
          <w:lang w:val="en-US"/>
        </w:rPr>
        <w:t>T</w:t>
      </w:r>
      <w:r w:rsidR="00C56FD7" w:rsidRPr="003A1401">
        <w:rPr>
          <w:rFonts w:asciiTheme="majorBidi" w:hAnsiTheme="majorBidi" w:cstheme="majorBidi"/>
          <w:sz w:val="24"/>
          <w:szCs w:val="24"/>
          <w:lang w:val="en-US"/>
        </w:rPr>
        <w:t xml:space="preserve">he economy was </w:t>
      </w:r>
      <w:r w:rsidR="00C56FD7">
        <w:rPr>
          <w:rFonts w:asciiTheme="majorBidi" w:hAnsiTheme="majorBidi" w:cstheme="majorBidi"/>
          <w:sz w:val="24"/>
          <w:szCs w:val="24"/>
          <w:lang w:val="en-US"/>
        </w:rPr>
        <w:t>also</w:t>
      </w:r>
      <w:r w:rsidR="00C56FD7" w:rsidRPr="003A1401">
        <w:rPr>
          <w:rFonts w:asciiTheme="majorBidi" w:hAnsiTheme="majorBidi" w:cstheme="majorBidi"/>
          <w:sz w:val="24"/>
          <w:szCs w:val="24"/>
          <w:lang w:val="en-US"/>
        </w:rPr>
        <w:t xml:space="preserve"> severely affected</w:t>
      </w:r>
      <w:r w:rsidR="00C56FD7">
        <w:rPr>
          <w:rFonts w:asciiTheme="majorBidi" w:hAnsiTheme="majorBidi" w:cstheme="majorBidi"/>
          <w:sz w:val="24"/>
          <w:szCs w:val="24"/>
          <w:lang w:val="en-US"/>
        </w:rPr>
        <w:t xml:space="preserve"> because</w:t>
      </w:r>
      <w:r w:rsidR="00C56FD7" w:rsidRPr="003A1401">
        <w:rPr>
          <w:rFonts w:asciiTheme="majorBidi" w:hAnsiTheme="majorBidi" w:cstheme="majorBidi"/>
          <w:sz w:val="24"/>
          <w:szCs w:val="24"/>
          <w:lang w:val="en-US"/>
        </w:rPr>
        <w:t xml:space="preserve"> of the unfair economic sanctions imposed by the </w:t>
      </w:r>
      <w:r w:rsidR="009848E1">
        <w:rPr>
          <w:rFonts w:asciiTheme="majorBidi" w:hAnsiTheme="majorBidi" w:cstheme="majorBidi"/>
          <w:sz w:val="24"/>
          <w:szCs w:val="24"/>
          <w:lang w:val="en-US"/>
        </w:rPr>
        <w:t>USA</w:t>
      </w:r>
      <w:r w:rsidR="00C56FD7" w:rsidRPr="003A1401">
        <w:rPr>
          <w:rFonts w:asciiTheme="majorBidi" w:hAnsiTheme="majorBidi" w:cstheme="majorBidi"/>
          <w:sz w:val="24"/>
          <w:szCs w:val="24"/>
          <w:lang w:val="en-US"/>
        </w:rPr>
        <w:t>,</w:t>
      </w:r>
      <w:r>
        <w:rPr>
          <w:rFonts w:asciiTheme="majorBidi" w:hAnsiTheme="majorBidi" w:cstheme="majorBidi"/>
          <w:sz w:val="24"/>
          <w:szCs w:val="24"/>
          <w:lang w:val="en-US"/>
        </w:rPr>
        <w:t xml:space="preserve"> the</w:t>
      </w:r>
      <w:r w:rsidR="00C56FD7" w:rsidRPr="003A1401">
        <w:rPr>
          <w:rFonts w:asciiTheme="majorBidi" w:hAnsiTheme="majorBidi" w:cstheme="majorBidi"/>
          <w:sz w:val="24"/>
          <w:szCs w:val="24"/>
          <w:lang w:val="en-US"/>
        </w:rPr>
        <w:t xml:space="preserve"> European Union</w:t>
      </w:r>
      <w:r w:rsidR="00FD268D">
        <w:rPr>
          <w:rFonts w:asciiTheme="majorBidi" w:hAnsiTheme="majorBidi" w:cstheme="majorBidi"/>
          <w:sz w:val="24"/>
          <w:szCs w:val="24"/>
          <w:lang w:val="en-US"/>
        </w:rPr>
        <w:t>,</w:t>
      </w:r>
      <w:r w:rsidR="00C56FD7" w:rsidRPr="003A1401">
        <w:rPr>
          <w:rFonts w:asciiTheme="majorBidi" w:hAnsiTheme="majorBidi" w:cstheme="majorBidi"/>
          <w:sz w:val="24"/>
          <w:szCs w:val="24"/>
          <w:lang w:val="en-US"/>
        </w:rPr>
        <w:t xml:space="preserve"> and some Arab countries</w:t>
      </w:r>
      <w:r w:rsidR="00C56FD7" w:rsidRPr="00B467F0">
        <w:rPr>
          <w:rFonts w:asciiTheme="majorBidi" w:hAnsiTheme="majorBidi" w:cstheme="majorBidi"/>
          <w:sz w:val="24"/>
          <w:szCs w:val="24"/>
          <w:lang w:val="en-US"/>
        </w:rPr>
        <w:t xml:space="preserve"> hampering imports and exports</w:t>
      </w:r>
      <w:r w:rsidR="00C56FD7">
        <w:rPr>
          <w:rFonts w:asciiTheme="majorBidi" w:hAnsiTheme="majorBidi" w:cstheme="majorBidi"/>
          <w:sz w:val="24"/>
          <w:szCs w:val="24"/>
          <w:lang w:val="en-US"/>
        </w:rPr>
        <w:t xml:space="preserve">. </w:t>
      </w:r>
      <w:r w:rsidR="00C56FD7" w:rsidRPr="00B467F0">
        <w:rPr>
          <w:rFonts w:asciiTheme="majorBidi" w:hAnsiTheme="majorBidi" w:cstheme="majorBidi"/>
          <w:sz w:val="24"/>
          <w:szCs w:val="24"/>
          <w:lang w:val="en-US"/>
        </w:rPr>
        <w:t>All these reasons have led to a large decline in GDP,</w:t>
      </w:r>
      <w:r w:rsidR="00C56FD7">
        <w:rPr>
          <w:rFonts w:asciiTheme="majorBidi" w:hAnsiTheme="majorBidi" w:cstheme="majorBidi"/>
          <w:sz w:val="24"/>
          <w:szCs w:val="24"/>
          <w:lang w:val="en-US"/>
        </w:rPr>
        <w:t xml:space="preserve"> </w:t>
      </w:r>
      <w:r w:rsidR="009848E1">
        <w:rPr>
          <w:rFonts w:asciiTheme="majorBidi" w:hAnsiTheme="majorBidi" w:cstheme="majorBidi"/>
          <w:sz w:val="24"/>
          <w:szCs w:val="24"/>
          <w:lang w:val="en-US"/>
        </w:rPr>
        <w:t>w</w:t>
      </w:r>
      <w:r w:rsidR="00C56FD7" w:rsidRPr="003C48FE">
        <w:rPr>
          <w:rFonts w:asciiTheme="majorBidi" w:hAnsiTheme="majorBidi" w:cstheme="majorBidi"/>
          <w:sz w:val="24"/>
          <w:szCs w:val="24"/>
          <w:lang w:val="en-US"/>
        </w:rPr>
        <w:t xml:space="preserve">here the GDP lost about 60% of its </w:t>
      </w:r>
      <w:r w:rsidR="00FD268D">
        <w:rPr>
          <w:rFonts w:asciiTheme="majorBidi" w:hAnsiTheme="majorBidi" w:cstheme="majorBidi"/>
          <w:sz w:val="24"/>
          <w:szCs w:val="24"/>
          <w:lang w:val="en-US"/>
        </w:rPr>
        <w:t>level</w:t>
      </w:r>
      <w:r w:rsidR="00C56FD7" w:rsidRPr="003C48FE">
        <w:rPr>
          <w:rFonts w:asciiTheme="majorBidi" w:hAnsiTheme="majorBidi" w:cstheme="majorBidi"/>
          <w:sz w:val="24"/>
          <w:szCs w:val="24"/>
          <w:lang w:val="en-US"/>
        </w:rPr>
        <w:t xml:space="preserve"> in 2010</w:t>
      </w:r>
      <w:r w:rsidR="00C56FD7">
        <w:rPr>
          <w:rFonts w:asciiTheme="majorBidi" w:hAnsiTheme="majorBidi" w:cstheme="majorBidi"/>
          <w:sz w:val="24"/>
          <w:szCs w:val="24"/>
          <w:lang w:val="en-US"/>
        </w:rPr>
        <w:t>,</w:t>
      </w:r>
      <w:r w:rsidR="00C56FD7" w:rsidRPr="00B467F0">
        <w:rPr>
          <w:rFonts w:asciiTheme="majorBidi" w:hAnsiTheme="majorBidi" w:cstheme="majorBidi"/>
          <w:sz w:val="24"/>
          <w:szCs w:val="24"/>
          <w:lang w:val="en-US"/>
        </w:rPr>
        <w:t xml:space="preserve"> with annual economic growth declining from</w:t>
      </w:r>
      <w:r w:rsidR="00C56FD7">
        <w:rPr>
          <w:rFonts w:asciiTheme="majorBidi" w:hAnsiTheme="majorBidi" w:cstheme="majorBidi"/>
          <w:sz w:val="24"/>
          <w:szCs w:val="24"/>
          <w:lang w:val="en-US"/>
        </w:rPr>
        <w:t xml:space="preserve"> </w:t>
      </w:r>
      <w:r w:rsidR="00C56FD7" w:rsidRPr="00B467F0">
        <w:rPr>
          <w:rFonts w:asciiTheme="majorBidi" w:hAnsiTheme="majorBidi" w:cstheme="majorBidi"/>
          <w:sz w:val="24"/>
          <w:szCs w:val="24"/>
          <w:lang w:val="en-US"/>
        </w:rPr>
        <w:t>5</w:t>
      </w:r>
      <w:r w:rsidR="00C56FD7">
        <w:rPr>
          <w:rFonts w:asciiTheme="majorBidi" w:hAnsiTheme="majorBidi" w:cstheme="majorBidi"/>
          <w:sz w:val="24"/>
          <w:szCs w:val="24"/>
          <w:lang w:val="en-US"/>
        </w:rPr>
        <w:t>.19</w:t>
      </w:r>
      <w:r w:rsidR="00C56FD7" w:rsidRPr="00B467F0">
        <w:rPr>
          <w:rFonts w:asciiTheme="majorBidi" w:hAnsiTheme="majorBidi" w:cstheme="majorBidi"/>
          <w:sz w:val="24"/>
          <w:szCs w:val="24"/>
          <w:lang w:val="en-US"/>
        </w:rPr>
        <w:t xml:space="preserve">% in 2010 to about </w:t>
      </w:r>
      <w:r>
        <w:rPr>
          <w:rFonts w:asciiTheme="majorBidi" w:hAnsiTheme="majorBidi" w:cstheme="majorBidi"/>
          <w:sz w:val="24"/>
          <w:szCs w:val="24"/>
          <w:lang w:val="en-US"/>
        </w:rPr>
        <w:t>(</w:t>
      </w:r>
      <w:r w:rsidR="00C56FD7">
        <w:rPr>
          <w:rFonts w:asciiTheme="majorBidi" w:hAnsiTheme="majorBidi" w:cstheme="majorBidi"/>
          <w:sz w:val="24"/>
          <w:szCs w:val="24"/>
          <w:lang w:val="en-US"/>
        </w:rPr>
        <w:t>-10%</w:t>
      </w:r>
      <w:r>
        <w:rPr>
          <w:rFonts w:asciiTheme="majorBidi" w:hAnsiTheme="majorBidi" w:cstheme="majorBidi"/>
          <w:sz w:val="24"/>
          <w:szCs w:val="24"/>
          <w:lang w:val="en-US"/>
        </w:rPr>
        <w:t>)</w:t>
      </w:r>
      <w:r w:rsidR="00C56FD7" w:rsidRPr="00B467F0">
        <w:rPr>
          <w:rFonts w:asciiTheme="majorBidi" w:hAnsiTheme="majorBidi" w:cstheme="majorBidi"/>
          <w:sz w:val="24"/>
          <w:szCs w:val="24"/>
          <w:lang w:val="en-US"/>
        </w:rPr>
        <w:t xml:space="preserve"> on average during the crisis years (2011-</w:t>
      </w:r>
      <w:r w:rsidR="00C56FD7">
        <w:rPr>
          <w:rFonts w:asciiTheme="majorBidi" w:hAnsiTheme="majorBidi" w:cstheme="majorBidi"/>
          <w:sz w:val="24"/>
          <w:szCs w:val="24"/>
          <w:lang w:val="en-US"/>
        </w:rPr>
        <w:t>2017</w:t>
      </w:r>
      <w:r w:rsidR="00C56FD7" w:rsidRPr="00B467F0">
        <w:rPr>
          <w:rFonts w:asciiTheme="majorBidi" w:hAnsiTheme="majorBidi" w:cstheme="majorBidi"/>
          <w:sz w:val="24"/>
          <w:szCs w:val="24"/>
          <w:lang w:val="en-US"/>
        </w:rPr>
        <w:t>)</w:t>
      </w:r>
      <w:r>
        <w:rPr>
          <w:rFonts w:asciiTheme="majorBidi" w:hAnsiTheme="majorBidi" w:cstheme="majorBidi"/>
          <w:sz w:val="24"/>
          <w:szCs w:val="24"/>
          <w:lang w:val="en-US"/>
        </w:rPr>
        <w:t>, a</w:t>
      </w:r>
      <w:r w:rsidR="00C56FD7" w:rsidRPr="005670D1">
        <w:rPr>
          <w:rFonts w:asciiTheme="majorBidi" w:hAnsiTheme="majorBidi" w:cstheme="majorBidi"/>
          <w:sz w:val="24"/>
          <w:szCs w:val="24"/>
          <w:lang w:val="en-US"/>
        </w:rPr>
        <w:t xml:space="preserve">s shown </w:t>
      </w:r>
      <w:r w:rsidR="00C56FD7" w:rsidRPr="00B96905">
        <w:rPr>
          <w:rFonts w:asciiTheme="majorBidi" w:hAnsiTheme="majorBidi" w:cstheme="majorBidi"/>
          <w:sz w:val="24"/>
          <w:szCs w:val="24"/>
          <w:lang w:val="en-US"/>
        </w:rPr>
        <w:t xml:space="preserve">in </w:t>
      </w:r>
      <w:r w:rsidR="00C56FD7" w:rsidRPr="00B96905">
        <w:rPr>
          <w:rFonts w:asciiTheme="majorBidi" w:hAnsiTheme="majorBidi" w:cstheme="majorBidi"/>
          <w:i/>
          <w:iCs/>
          <w:sz w:val="24"/>
          <w:szCs w:val="24"/>
          <w:lang w:val="en-US"/>
        </w:rPr>
        <w:t xml:space="preserve">Fig. </w:t>
      </w:r>
      <w:r w:rsidR="00545DBC">
        <w:rPr>
          <w:rFonts w:asciiTheme="majorBidi" w:hAnsiTheme="majorBidi" w:cstheme="majorBidi"/>
          <w:i/>
          <w:iCs/>
          <w:sz w:val="24"/>
          <w:szCs w:val="24"/>
          <w:lang w:val="en-US"/>
        </w:rPr>
        <w:t>3.1</w:t>
      </w:r>
      <w:r w:rsidR="00C56FD7" w:rsidRPr="00B96905">
        <w:rPr>
          <w:rFonts w:asciiTheme="majorBidi" w:hAnsiTheme="majorBidi" w:cstheme="majorBidi"/>
          <w:sz w:val="24"/>
          <w:szCs w:val="24"/>
          <w:lang w:val="en-US"/>
        </w:rPr>
        <w:t>.</w:t>
      </w:r>
    </w:p>
    <w:p w14:paraId="1D79F905" w14:textId="77777777" w:rsidR="00D23F14" w:rsidRDefault="00C56FD7" w:rsidP="00545DBC">
      <w:pPr>
        <w:keepNext/>
        <w:autoSpaceDE w:val="0"/>
        <w:adjustRightInd w:val="0"/>
        <w:spacing w:after="0" w:line="360" w:lineRule="auto"/>
      </w:pPr>
      <w:r>
        <w:rPr>
          <w:noProof/>
        </w:rPr>
        <w:drawing>
          <wp:inline distT="0" distB="0" distL="0" distR="0" wp14:anchorId="6EC9FCBE" wp14:editId="6B8CC1C3">
            <wp:extent cx="6004560" cy="2971800"/>
            <wp:effectExtent l="0" t="0" r="15240" b="0"/>
            <wp:docPr id="8" name="Chart 8">
              <a:extLst xmlns:a="http://schemas.openxmlformats.org/drawingml/2006/main">
                <a:ext uri="{FF2B5EF4-FFF2-40B4-BE49-F238E27FC236}">
                  <a16:creationId xmlns:a16="http://schemas.microsoft.com/office/drawing/2014/main" id="{4139A7B7-9714-4C8E-9DCE-BD5FB8F74C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922D4F" w14:textId="2B4DA368" w:rsidR="00C56FD7" w:rsidRPr="00D23F14" w:rsidRDefault="00D23F14" w:rsidP="00D23F14">
      <w:pPr>
        <w:autoSpaceDE w:val="0"/>
        <w:adjustRightInd w:val="0"/>
        <w:spacing w:after="0" w:line="360" w:lineRule="auto"/>
        <w:jc w:val="both"/>
        <w:rPr>
          <w:rFonts w:asciiTheme="majorBidi" w:hAnsiTheme="majorBidi" w:cstheme="majorBidi"/>
          <w:sz w:val="24"/>
          <w:szCs w:val="24"/>
        </w:rPr>
      </w:pPr>
      <w:r w:rsidRPr="00D23F14">
        <w:rPr>
          <w:rFonts w:asciiTheme="majorBidi" w:hAnsiTheme="majorBidi" w:cstheme="majorBidi"/>
          <w:i/>
          <w:iCs/>
          <w:sz w:val="24"/>
          <w:szCs w:val="24"/>
        </w:rPr>
        <w:t xml:space="preserve">Fig. </w:t>
      </w:r>
      <w:r w:rsidR="00545DBC">
        <w:rPr>
          <w:rFonts w:asciiTheme="majorBidi" w:hAnsiTheme="majorBidi" w:cstheme="majorBidi"/>
          <w:i/>
          <w:iCs/>
          <w:sz w:val="24"/>
          <w:szCs w:val="24"/>
        </w:rPr>
        <w:t>3.1</w:t>
      </w:r>
      <w:r>
        <w:rPr>
          <w:rFonts w:asciiTheme="majorBidi" w:hAnsiTheme="majorBidi" w:cstheme="majorBidi"/>
          <w:sz w:val="24"/>
          <w:szCs w:val="24"/>
        </w:rPr>
        <w:t>.</w:t>
      </w:r>
      <w:r w:rsidRPr="00D23F14">
        <w:rPr>
          <w:rFonts w:asciiTheme="majorBidi" w:hAnsiTheme="majorBidi" w:cstheme="majorBidi"/>
          <w:sz w:val="24"/>
          <w:szCs w:val="24"/>
        </w:rPr>
        <w:t xml:space="preserve"> Nominal GDP growth rates</w:t>
      </w:r>
      <w:r>
        <w:rPr>
          <w:rFonts w:asciiTheme="majorBidi" w:hAnsiTheme="majorBidi" w:cstheme="majorBidi"/>
          <w:sz w:val="24"/>
          <w:szCs w:val="24"/>
        </w:rPr>
        <w:t xml:space="preserve"> between</w:t>
      </w:r>
      <w:r w:rsidRPr="00D23F14">
        <w:rPr>
          <w:rFonts w:asciiTheme="majorBidi" w:hAnsiTheme="majorBidi" w:cstheme="majorBidi"/>
          <w:sz w:val="24"/>
          <w:szCs w:val="24"/>
        </w:rPr>
        <w:t xml:space="preserve"> 2010-2017</w:t>
      </w:r>
    </w:p>
    <w:p w14:paraId="093DDB3C" w14:textId="746F8BE4" w:rsidR="0096385D" w:rsidRDefault="00074BC4" w:rsidP="00C56FD7">
      <w:pPr>
        <w:autoSpaceDE w:val="0"/>
        <w:adjustRightInd w:val="0"/>
        <w:spacing w:line="360" w:lineRule="auto"/>
        <w:jc w:val="both"/>
        <w:rPr>
          <w:rFonts w:ascii="Times New Roman" w:hAnsi="Times New Roman" w:cs="Times New Roman"/>
          <w:lang w:val="en-US"/>
        </w:rPr>
      </w:pPr>
      <w:r w:rsidRPr="004A12E7">
        <w:rPr>
          <w:rFonts w:ascii="Times New Roman" w:hAnsi="Times New Roman" w:cs="Times New Roman"/>
          <w:i/>
          <w:iCs/>
          <w:lang w:val="en-US"/>
        </w:rPr>
        <w:t xml:space="preserve">Source: </w:t>
      </w:r>
      <w:r w:rsidR="0096385D" w:rsidRPr="004A12E7">
        <w:rPr>
          <w:rFonts w:ascii="Times New Roman" w:hAnsi="Times New Roman" w:cs="Times New Roman"/>
          <w:lang w:val="en-US"/>
        </w:rPr>
        <w:t>author's calculation according to</w:t>
      </w:r>
      <w:r w:rsidR="004A12E7" w:rsidRPr="004A12E7">
        <w:rPr>
          <w:rFonts w:ascii="Times New Roman" w:hAnsi="Times New Roman" w:cs="Times New Roman"/>
          <w:lang w:val="en-US"/>
        </w:rPr>
        <w:t xml:space="preserve"> </w:t>
      </w:r>
      <w:r w:rsidR="004A12E7">
        <w:rPr>
          <w:rFonts w:ascii="Times New Roman" w:hAnsi="Times New Roman" w:cs="Times New Roman"/>
          <w:lang w:val="en-US"/>
        </w:rPr>
        <w:t>Central Bureau of Statistics</w:t>
      </w:r>
      <w:r w:rsidR="004A12E7" w:rsidRPr="004A12E7">
        <w:rPr>
          <w:rFonts w:ascii="Times New Roman" w:hAnsi="Times New Roman" w:cs="Times New Roman"/>
          <w:lang w:val="en-US"/>
        </w:rPr>
        <w:t xml:space="preserve"> </w:t>
      </w:r>
      <w:r w:rsidR="004A12E7">
        <w:rPr>
          <w:rFonts w:ascii="Times New Roman" w:hAnsi="Times New Roman" w:cs="Times New Roman"/>
          <w:lang w:val="en-US"/>
        </w:rPr>
        <w:t xml:space="preserve">annual </w:t>
      </w:r>
      <w:r w:rsidR="004A12E7" w:rsidRPr="004A12E7">
        <w:rPr>
          <w:rFonts w:ascii="Times New Roman" w:hAnsi="Times New Roman" w:cs="Times New Roman"/>
          <w:lang w:val="en-US"/>
        </w:rPr>
        <w:t>reports</w:t>
      </w:r>
      <w:r w:rsidR="004A12E7">
        <w:rPr>
          <w:rFonts w:ascii="Times New Roman" w:hAnsi="Times New Roman" w:cs="Times New Roman"/>
          <w:lang w:val="en-US"/>
        </w:rPr>
        <w:t>.</w:t>
      </w:r>
    </w:p>
    <w:p w14:paraId="75726A7A" w14:textId="77777777" w:rsidR="00017829" w:rsidRDefault="00017829" w:rsidP="00634054">
      <w:pPr>
        <w:suppressAutoHyphens/>
        <w:autoSpaceDE w:val="0"/>
        <w:adjustRightInd w:val="0"/>
        <w:spacing w:line="360" w:lineRule="auto"/>
        <w:ind w:firstLine="567"/>
        <w:jc w:val="both"/>
        <w:rPr>
          <w:rFonts w:asciiTheme="majorBidi" w:hAnsiTheme="majorBidi" w:cstheme="majorBidi"/>
          <w:sz w:val="24"/>
          <w:szCs w:val="24"/>
          <w:rtl/>
        </w:rPr>
      </w:pPr>
      <w:r w:rsidRPr="005670D1">
        <w:rPr>
          <w:rFonts w:asciiTheme="majorBidi" w:hAnsiTheme="majorBidi" w:cstheme="majorBidi"/>
          <w:sz w:val="24"/>
          <w:szCs w:val="24"/>
        </w:rPr>
        <w:lastRenderedPageBreak/>
        <w:t>It can be said that the Syrian economy went through three stages during the crisis, namely</w:t>
      </w:r>
      <w:r>
        <w:rPr>
          <w:rFonts w:asciiTheme="majorBidi" w:hAnsiTheme="majorBidi" w:cstheme="majorBidi"/>
          <w:sz w:val="24"/>
          <w:szCs w:val="24"/>
        </w:rPr>
        <w:t>:</w:t>
      </w:r>
      <w:r>
        <w:rPr>
          <w:rStyle w:val="FootnoteReference"/>
          <w:rFonts w:asciiTheme="majorBidi" w:hAnsiTheme="majorBidi" w:cstheme="majorBidi"/>
          <w:sz w:val="24"/>
          <w:szCs w:val="24"/>
        </w:rPr>
        <w:footnoteReference w:id="73"/>
      </w:r>
    </w:p>
    <w:p w14:paraId="416BB624" w14:textId="0AE6422F" w:rsidR="00017829" w:rsidRDefault="00017829" w:rsidP="00634054">
      <w:pPr>
        <w:pStyle w:val="ListParagraph"/>
        <w:numPr>
          <w:ilvl w:val="0"/>
          <w:numId w:val="22"/>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rPr>
      </w:pPr>
      <w:r w:rsidRPr="005670D1">
        <w:rPr>
          <w:rFonts w:asciiTheme="majorBidi" w:hAnsiTheme="majorBidi" w:cstheme="majorBidi"/>
          <w:sz w:val="24"/>
          <w:szCs w:val="24"/>
        </w:rPr>
        <w:t xml:space="preserve">The first stage: It started from the middle of 2011 until the end of </w:t>
      </w:r>
      <w:r>
        <w:rPr>
          <w:rFonts w:asciiTheme="majorBidi" w:hAnsiTheme="majorBidi" w:cstheme="majorBidi" w:hint="cs"/>
          <w:sz w:val="24"/>
          <w:szCs w:val="24"/>
          <w:rtl/>
        </w:rPr>
        <w:t>2013</w:t>
      </w:r>
      <w:r w:rsidRPr="005670D1">
        <w:rPr>
          <w:rFonts w:asciiTheme="majorBidi" w:hAnsiTheme="majorBidi" w:cstheme="majorBidi"/>
          <w:sz w:val="24"/>
          <w:szCs w:val="24"/>
        </w:rPr>
        <w:t xml:space="preserve">, this stage </w:t>
      </w:r>
      <w:r>
        <w:rPr>
          <w:rFonts w:asciiTheme="majorBidi" w:hAnsiTheme="majorBidi" w:cstheme="majorBidi"/>
          <w:sz w:val="24"/>
          <w:szCs w:val="24"/>
        </w:rPr>
        <w:t>is</w:t>
      </w:r>
      <w:r w:rsidRPr="005670D1">
        <w:rPr>
          <w:rFonts w:asciiTheme="majorBidi" w:hAnsiTheme="majorBidi" w:cstheme="majorBidi"/>
          <w:sz w:val="24"/>
          <w:szCs w:val="24"/>
        </w:rPr>
        <w:t xml:space="preserve"> known as the shock phase of the Syrian economy. It was characterized by a near economic collapse and paralysis.</w:t>
      </w:r>
    </w:p>
    <w:p w14:paraId="5C376B9A" w14:textId="258AEA31" w:rsidR="00017829" w:rsidRDefault="00017829" w:rsidP="00634054">
      <w:pPr>
        <w:pStyle w:val="ListParagraph"/>
        <w:numPr>
          <w:ilvl w:val="0"/>
          <w:numId w:val="22"/>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rPr>
      </w:pPr>
      <w:r w:rsidRPr="00822772">
        <w:rPr>
          <w:rFonts w:asciiTheme="majorBidi" w:hAnsiTheme="majorBidi" w:cstheme="majorBidi"/>
          <w:sz w:val="24"/>
          <w:szCs w:val="24"/>
        </w:rPr>
        <w:t xml:space="preserve">The second stage: </w:t>
      </w:r>
      <w:r>
        <w:rPr>
          <w:rFonts w:asciiTheme="majorBidi" w:hAnsiTheme="majorBidi" w:cstheme="majorBidi"/>
          <w:sz w:val="24"/>
          <w:szCs w:val="24"/>
          <w:lang w:val="en-US"/>
        </w:rPr>
        <w:t>It</w:t>
      </w:r>
      <w:r w:rsidRPr="00822772">
        <w:rPr>
          <w:rFonts w:asciiTheme="majorBidi" w:hAnsiTheme="majorBidi" w:cstheme="majorBidi"/>
          <w:sz w:val="24"/>
          <w:szCs w:val="24"/>
        </w:rPr>
        <w:t xml:space="preserve"> was characterized by the economy's attempt to absorb the shock, during the year 2014, and the pursuit of partial revival</w:t>
      </w:r>
      <w:r>
        <w:rPr>
          <w:rFonts w:asciiTheme="majorBidi" w:hAnsiTheme="majorBidi" w:cstheme="majorBidi"/>
          <w:sz w:val="24"/>
          <w:szCs w:val="24"/>
        </w:rPr>
        <w:t xml:space="preserve">, </w:t>
      </w:r>
      <w:r w:rsidRPr="00822772">
        <w:rPr>
          <w:rFonts w:asciiTheme="majorBidi" w:hAnsiTheme="majorBidi" w:cstheme="majorBidi"/>
          <w:sz w:val="24"/>
          <w:szCs w:val="24"/>
        </w:rPr>
        <w:t xml:space="preserve">as the economy </w:t>
      </w:r>
      <w:r w:rsidR="00133353">
        <w:rPr>
          <w:rFonts w:asciiTheme="majorBidi" w:hAnsiTheme="majorBidi" w:cstheme="majorBidi"/>
          <w:sz w:val="24"/>
          <w:szCs w:val="24"/>
        </w:rPr>
        <w:t>tries</w:t>
      </w:r>
      <w:r w:rsidRPr="00822772">
        <w:rPr>
          <w:rFonts w:asciiTheme="majorBidi" w:hAnsiTheme="majorBidi" w:cstheme="majorBidi"/>
          <w:sz w:val="24"/>
          <w:szCs w:val="24"/>
        </w:rPr>
        <w:t xml:space="preserve"> to adapt to the crisis and switch to </w:t>
      </w:r>
      <w:r>
        <w:rPr>
          <w:rFonts w:asciiTheme="majorBidi" w:hAnsiTheme="majorBidi" w:cstheme="majorBidi"/>
          <w:sz w:val="24"/>
          <w:szCs w:val="24"/>
        </w:rPr>
        <w:t>the</w:t>
      </w:r>
      <w:r w:rsidRPr="00822772">
        <w:rPr>
          <w:rFonts w:asciiTheme="majorBidi" w:hAnsiTheme="majorBidi" w:cstheme="majorBidi"/>
          <w:sz w:val="24"/>
          <w:szCs w:val="24"/>
        </w:rPr>
        <w:t xml:space="preserve"> war economy</w:t>
      </w:r>
      <w:r>
        <w:rPr>
          <w:rFonts w:asciiTheme="majorBidi" w:hAnsiTheme="majorBidi" w:cstheme="majorBidi"/>
          <w:sz w:val="24"/>
          <w:szCs w:val="24"/>
        </w:rPr>
        <w:t>, striving</w:t>
      </w:r>
      <w:r w:rsidRPr="00822772">
        <w:rPr>
          <w:rFonts w:asciiTheme="majorBidi" w:hAnsiTheme="majorBidi" w:cstheme="majorBidi"/>
          <w:sz w:val="24"/>
          <w:szCs w:val="24"/>
        </w:rPr>
        <w:t xml:space="preserve"> to bypass</w:t>
      </w:r>
      <w:r>
        <w:rPr>
          <w:rFonts w:asciiTheme="majorBidi" w:hAnsiTheme="majorBidi" w:cstheme="majorBidi"/>
          <w:sz w:val="24"/>
          <w:szCs w:val="24"/>
        </w:rPr>
        <w:t xml:space="preserve"> the</w:t>
      </w:r>
      <w:r w:rsidRPr="00822772">
        <w:rPr>
          <w:rFonts w:asciiTheme="majorBidi" w:hAnsiTheme="majorBidi" w:cstheme="majorBidi"/>
          <w:sz w:val="24"/>
          <w:szCs w:val="24"/>
        </w:rPr>
        <w:t xml:space="preserve"> international sanctions.</w:t>
      </w:r>
    </w:p>
    <w:p w14:paraId="5527DBB2" w14:textId="71604EDD" w:rsidR="00017829" w:rsidRDefault="00017829" w:rsidP="00634054">
      <w:pPr>
        <w:pStyle w:val="ListParagraph"/>
        <w:numPr>
          <w:ilvl w:val="0"/>
          <w:numId w:val="22"/>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rPr>
      </w:pPr>
      <w:r w:rsidRPr="00822772">
        <w:rPr>
          <w:rFonts w:asciiTheme="majorBidi" w:hAnsiTheme="majorBidi" w:cstheme="majorBidi"/>
          <w:sz w:val="24"/>
          <w:szCs w:val="24"/>
        </w:rPr>
        <w:t xml:space="preserve">The third stage: From the beginning of the year 2015 until now, there </w:t>
      </w:r>
      <w:r w:rsidR="007B42E0">
        <w:rPr>
          <w:rFonts w:asciiTheme="majorBidi" w:hAnsiTheme="majorBidi" w:cstheme="majorBidi"/>
          <w:sz w:val="24"/>
          <w:szCs w:val="24"/>
        </w:rPr>
        <w:t>have</w:t>
      </w:r>
      <w:r w:rsidRPr="00822772">
        <w:rPr>
          <w:rFonts w:asciiTheme="majorBidi" w:hAnsiTheme="majorBidi" w:cstheme="majorBidi"/>
          <w:sz w:val="24"/>
          <w:szCs w:val="24"/>
        </w:rPr>
        <w:t xml:space="preserve"> been some attempts to move forward at all levels</w:t>
      </w:r>
      <w:r>
        <w:rPr>
          <w:rFonts w:asciiTheme="majorBidi" w:hAnsiTheme="majorBidi" w:cstheme="majorBidi"/>
          <w:sz w:val="24"/>
          <w:szCs w:val="24"/>
        </w:rPr>
        <w:t>.</w:t>
      </w:r>
    </w:p>
    <w:p w14:paraId="2A8F05FD" w14:textId="4B265FC7" w:rsidR="00C56FD7" w:rsidRDefault="008C7AD8" w:rsidP="00634054">
      <w:pPr>
        <w:suppressAutoHyphens/>
        <w:autoSpaceDE w:val="0"/>
        <w:adjustRightInd w:val="0"/>
        <w:spacing w:line="360" w:lineRule="auto"/>
        <w:ind w:firstLine="567"/>
        <w:jc w:val="both"/>
        <w:rPr>
          <w:rFonts w:asciiTheme="majorBidi" w:hAnsiTheme="majorBidi" w:cstheme="majorBidi"/>
          <w:sz w:val="24"/>
          <w:szCs w:val="24"/>
          <w:rtl/>
          <w:lang w:val="en-US"/>
        </w:rPr>
      </w:pPr>
      <w:r w:rsidRPr="008C7AD8">
        <w:rPr>
          <w:rFonts w:asciiTheme="majorBidi" w:hAnsiTheme="majorBidi" w:cstheme="majorBidi"/>
          <w:sz w:val="24"/>
          <w:szCs w:val="24"/>
        </w:rPr>
        <w:t xml:space="preserve">Assuming the GDP estimate if the crisis does not occur in Syria, </w:t>
      </w:r>
      <w:r>
        <w:rPr>
          <w:rFonts w:asciiTheme="majorBidi" w:hAnsiTheme="majorBidi" w:cstheme="majorBidi"/>
          <w:sz w:val="24"/>
          <w:szCs w:val="24"/>
        </w:rPr>
        <w:t xml:space="preserve">and </w:t>
      </w:r>
      <w:r w:rsidRPr="008C7AD8">
        <w:rPr>
          <w:rFonts w:asciiTheme="majorBidi" w:hAnsiTheme="majorBidi" w:cstheme="majorBidi"/>
          <w:sz w:val="24"/>
          <w:szCs w:val="24"/>
        </w:rPr>
        <w:t>the average economic performance in 2000-2010 will continue</w:t>
      </w:r>
      <w:r w:rsidR="00C56FD7">
        <w:rPr>
          <w:rFonts w:asciiTheme="majorBidi" w:hAnsiTheme="majorBidi" w:cstheme="majorBidi"/>
          <w:sz w:val="24"/>
          <w:szCs w:val="24"/>
          <w:lang w:val="en-US"/>
        </w:rPr>
        <w:t>. By c</w:t>
      </w:r>
      <w:r w:rsidR="00C56FD7" w:rsidRPr="00290D66">
        <w:rPr>
          <w:rFonts w:asciiTheme="majorBidi" w:hAnsiTheme="majorBidi" w:cstheme="majorBidi"/>
          <w:sz w:val="24"/>
          <w:szCs w:val="24"/>
          <w:lang w:val="en-US"/>
        </w:rPr>
        <w:t>ompar</w:t>
      </w:r>
      <w:r w:rsidR="00C56FD7">
        <w:rPr>
          <w:rFonts w:asciiTheme="majorBidi" w:hAnsiTheme="majorBidi" w:cstheme="majorBidi"/>
          <w:sz w:val="24"/>
          <w:szCs w:val="24"/>
          <w:lang w:val="en-US"/>
        </w:rPr>
        <w:t xml:space="preserve">ing </w:t>
      </w:r>
      <w:r w:rsidR="00C56FD7" w:rsidRPr="00290D66">
        <w:rPr>
          <w:rFonts w:asciiTheme="majorBidi" w:hAnsiTheme="majorBidi" w:cstheme="majorBidi"/>
          <w:sz w:val="24"/>
          <w:szCs w:val="24"/>
          <w:lang w:val="en-US"/>
        </w:rPr>
        <w:t xml:space="preserve">the estimated value of the </w:t>
      </w:r>
      <w:r w:rsidR="00C56FD7">
        <w:rPr>
          <w:rFonts w:asciiTheme="majorBidi" w:hAnsiTheme="majorBidi" w:cstheme="majorBidi"/>
          <w:sz w:val="24"/>
          <w:szCs w:val="24"/>
          <w:lang w:val="en-US"/>
        </w:rPr>
        <w:t>GDP</w:t>
      </w:r>
      <w:r w:rsidR="00C56FD7" w:rsidRPr="00290D66">
        <w:rPr>
          <w:rFonts w:asciiTheme="majorBidi" w:hAnsiTheme="majorBidi" w:cstheme="majorBidi"/>
          <w:sz w:val="24"/>
          <w:szCs w:val="24"/>
          <w:lang w:val="en-US"/>
        </w:rPr>
        <w:t xml:space="preserve"> with the actual </w:t>
      </w:r>
      <w:r w:rsidR="00C56FD7">
        <w:rPr>
          <w:rFonts w:asciiTheme="majorBidi" w:hAnsiTheme="majorBidi" w:cstheme="majorBidi"/>
          <w:sz w:val="24"/>
          <w:szCs w:val="24"/>
          <w:lang w:val="en-US"/>
        </w:rPr>
        <w:t>GDP, w</w:t>
      </w:r>
      <w:r w:rsidR="00C56FD7" w:rsidRPr="00AB46D6">
        <w:rPr>
          <w:rFonts w:asciiTheme="majorBidi" w:hAnsiTheme="majorBidi" w:cstheme="majorBidi"/>
          <w:sz w:val="24"/>
          <w:szCs w:val="24"/>
          <w:lang w:val="en-US"/>
        </w:rPr>
        <w:t xml:space="preserve">e can measure the total loss </w:t>
      </w:r>
      <w:r w:rsidR="00EA04F1">
        <w:rPr>
          <w:rFonts w:asciiTheme="majorBidi" w:hAnsiTheme="majorBidi" w:cstheme="majorBidi"/>
          <w:sz w:val="24"/>
          <w:szCs w:val="24"/>
          <w:lang w:val="en-US"/>
        </w:rPr>
        <w:t>to</w:t>
      </w:r>
      <w:r w:rsidR="00C56FD7" w:rsidRPr="00AB46D6">
        <w:rPr>
          <w:rFonts w:asciiTheme="majorBidi" w:hAnsiTheme="majorBidi" w:cstheme="majorBidi"/>
          <w:sz w:val="24"/>
          <w:szCs w:val="24"/>
          <w:lang w:val="en-US"/>
        </w:rPr>
        <w:t xml:space="preserve"> the Syrian economy as a result of the crisis</w:t>
      </w:r>
      <w:r w:rsidR="00F11E62">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as</w:t>
      </w:r>
      <w:r w:rsidR="00C56FD7" w:rsidRPr="000120CB">
        <w:rPr>
          <w:rFonts w:asciiTheme="majorBidi" w:hAnsiTheme="majorBidi" w:cstheme="majorBidi"/>
          <w:sz w:val="24"/>
          <w:szCs w:val="24"/>
          <w:lang w:val="en-US"/>
        </w:rPr>
        <w:t xml:space="preserve"> </w:t>
      </w:r>
      <w:r w:rsidR="00C56FD7" w:rsidRPr="00D23F14">
        <w:rPr>
          <w:rFonts w:asciiTheme="majorBidi" w:hAnsiTheme="majorBidi" w:cstheme="majorBidi"/>
          <w:sz w:val="24"/>
          <w:szCs w:val="24"/>
          <w:lang w:val="en-US"/>
        </w:rPr>
        <w:t xml:space="preserve">shown in </w:t>
      </w:r>
      <w:r w:rsidR="00C56FD7" w:rsidRPr="00D23F14">
        <w:rPr>
          <w:rFonts w:asciiTheme="majorBidi" w:hAnsiTheme="majorBidi" w:cstheme="majorBidi"/>
          <w:i/>
          <w:iCs/>
          <w:sz w:val="24"/>
          <w:szCs w:val="24"/>
          <w:lang w:val="en-US"/>
        </w:rPr>
        <w:t xml:space="preserve">Fig. </w:t>
      </w:r>
      <w:r w:rsidR="00545DBC">
        <w:rPr>
          <w:rFonts w:asciiTheme="majorBidi" w:hAnsiTheme="majorBidi" w:cstheme="majorBidi"/>
          <w:i/>
          <w:iCs/>
          <w:sz w:val="24"/>
          <w:szCs w:val="24"/>
          <w:lang w:val="en-US"/>
        </w:rPr>
        <w:t>3.2</w:t>
      </w:r>
      <w:r w:rsidR="00C56FD7" w:rsidRPr="00D23F14">
        <w:rPr>
          <w:rFonts w:asciiTheme="majorBidi" w:hAnsiTheme="majorBidi" w:cstheme="majorBidi"/>
          <w:sz w:val="24"/>
          <w:szCs w:val="24"/>
          <w:lang w:val="en-US"/>
        </w:rPr>
        <w:t>. Accordingly,</w:t>
      </w:r>
      <w:r w:rsidR="00C56FD7" w:rsidRPr="00AB46D6">
        <w:rPr>
          <w:rFonts w:asciiTheme="majorBidi" w:hAnsiTheme="majorBidi" w:cstheme="majorBidi"/>
          <w:sz w:val="24"/>
          <w:szCs w:val="24"/>
          <w:lang w:val="en-US"/>
        </w:rPr>
        <w:t xml:space="preserve"> the </w:t>
      </w:r>
      <w:r w:rsidR="00C56FD7">
        <w:rPr>
          <w:rFonts w:asciiTheme="majorBidi" w:hAnsiTheme="majorBidi" w:cstheme="majorBidi"/>
          <w:sz w:val="24"/>
          <w:szCs w:val="24"/>
          <w:lang w:val="en-US"/>
        </w:rPr>
        <w:t>accumulated</w:t>
      </w:r>
      <w:r w:rsidR="00C56FD7" w:rsidRPr="00AB46D6">
        <w:rPr>
          <w:rFonts w:asciiTheme="majorBidi" w:hAnsiTheme="majorBidi" w:cstheme="majorBidi"/>
          <w:sz w:val="24"/>
          <w:szCs w:val="24"/>
          <w:lang w:val="en-US"/>
        </w:rPr>
        <w:t xml:space="preserve"> loss in GDP as a result of the crisis</w:t>
      </w:r>
      <w:r w:rsidR="00C56FD7">
        <w:rPr>
          <w:rFonts w:asciiTheme="majorBidi" w:hAnsiTheme="majorBidi" w:cstheme="majorBidi"/>
          <w:sz w:val="24"/>
          <w:szCs w:val="24"/>
          <w:lang w:val="en-US"/>
        </w:rPr>
        <w:t xml:space="preserve"> until the end of 2017</w:t>
      </w:r>
      <w:r w:rsidR="00C56FD7" w:rsidRPr="00AB46D6">
        <w:rPr>
          <w:rFonts w:asciiTheme="majorBidi" w:hAnsiTheme="majorBidi" w:cstheme="majorBidi"/>
          <w:sz w:val="24"/>
          <w:szCs w:val="24"/>
          <w:lang w:val="en-US"/>
        </w:rPr>
        <w:t xml:space="preserve"> reached </w:t>
      </w:r>
      <w:r w:rsidR="00C56FD7">
        <w:rPr>
          <w:rFonts w:asciiTheme="majorBidi" w:hAnsiTheme="majorBidi" w:cstheme="majorBidi"/>
          <w:sz w:val="24"/>
          <w:szCs w:val="24"/>
          <w:lang w:val="en-US"/>
        </w:rPr>
        <w:t xml:space="preserve">SP </w:t>
      </w:r>
      <w:r w:rsidR="00C56FD7" w:rsidRPr="00AB46D6">
        <w:rPr>
          <w:rFonts w:asciiTheme="majorBidi" w:hAnsiTheme="majorBidi" w:cstheme="majorBidi"/>
          <w:sz w:val="24"/>
          <w:szCs w:val="24"/>
          <w:lang w:val="en-US"/>
        </w:rPr>
        <w:t xml:space="preserve">6562 </w:t>
      </w:r>
      <w:r w:rsidR="00C56FD7">
        <w:rPr>
          <w:rFonts w:asciiTheme="majorBidi" w:hAnsiTheme="majorBidi" w:cstheme="majorBidi"/>
          <w:sz w:val="24"/>
          <w:szCs w:val="24"/>
          <w:lang w:val="en-US"/>
        </w:rPr>
        <w:t>bn</w:t>
      </w:r>
      <w:r w:rsidR="00C56FD7" w:rsidRPr="00AB46D6">
        <w:rPr>
          <w:rFonts w:asciiTheme="majorBidi" w:hAnsiTheme="majorBidi" w:cstheme="majorBidi"/>
          <w:sz w:val="24"/>
          <w:szCs w:val="24"/>
          <w:lang w:val="en-US"/>
        </w:rPr>
        <w:t xml:space="preserve"> (about </w:t>
      </w:r>
      <w:r w:rsidR="00C56FD7">
        <w:rPr>
          <w:rFonts w:asciiTheme="majorBidi" w:hAnsiTheme="majorBidi" w:cstheme="majorBidi"/>
          <w:sz w:val="24"/>
          <w:szCs w:val="24"/>
          <w:lang w:val="en-US"/>
        </w:rPr>
        <w:t>$131.25</w:t>
      </w:r>
      <w:r w:rsidR="00C56FD7" w:rsidRPr="00AB46D6">
        <w:rPr>
          <w:rFonts w:asciiTheme="majorBidi" w:hAnsiTheme="majorBidi" w:cstheme="majorBidi"/>
          <w:sz w:val="24"/>
          <w:szCs w:val="24"/>
          <w:lang w:val="en-US"/>
        </w:rPr>
        <w:t xml:space="preserve"> </w:t>
      </w:r>
      <w:r w:rsidR="00C56FD7">
        <w:rPr>
          <w:rFonts w:asciiTheme="majorBidi" w:hAnsiTheme="majorBidi" w:cstheme="majorBidi"/>
          <w:sz w:val="24"/>
          <w:szCs w:val="24"/>
          <w:lang w:val="en-US"/>
        </w:rPr>
        <w:t>bn</w:t>
      </w:r>
      <w:r w:rsidR="00C56FD7" w:rsidRPr="00AB46D6">
        <w:rPr>
          <w:rFonts w:asciiTheme="majorBidi" w:hAnsiTheme="majorBidi" w:cstheme="majorBidi"/>
          <w:sz w:val="24"/>
          <w:szCs w:val="24"/>
          <w:lang w:val="en-US"/>
        </w:rPr>
        <w:t>)</w:t>
      </w:r>
      <w:r w:rsidR="00C56FD7">
        <w:rPr>
          <w:rFonts w:asciiTheme="majorBidi" w:hAnsiTheme="majorBidi" w:cstheme="majorBidi"/>
          <w:sz w:val="24"/>
          <w:szCs w:val="24"/>
          <w:lang w:val="en-US"/>
        </w:rPr>
        <w:t>, t</w:t>
      </w:r>
      <w:r w:rsidR="00C56FD7" w:rsidRPr="0022392E">
        <w:rPr>
          <w:rFonts w:asciiTheme="majorBidi" w:hAnsiTheme="majorBidi" w:cstheme="majorBidi"/>
          <w:sz w:val="24"/>
          <w:szCs w:val="24"/>
          <w:lang w:val="en-US"/>
        </w:rPr>
        <w:t>his loss is equivalent to about 4.4 times the GDP</w:t>
      </w:r>
      <w:r w:rsidR="00C56FD7">
        <w:rPr>
          <w:rFonts w:asciiTheme="majorBidi" w:hAnsiTheme="majorBidi" w:cstheme="majorBidi"/>
          <w:sz w:val="24"/>
          <w:szCs w:val="24"/>
          <w:lang w:val="en-US"/>
        </w:rPr>
        <w:t xml:space="preserve"> </w:t>
      </w:r>
      <w:r w:rsidR="00C56FD7" w:rsidRPr="0022392E">
        <w:rPr>
          <w:rFonts w:asciiTheme="majorBidi" w:hAnsiTheme="majorBidi" w:cstheme="majorBidi"/>
          <w:sz w:val="24"/>
          <w:szCs w:val="24"/>
          <w:lang w:val="en-US"/>
        </w:rPr>
        <w:t>of 2010 before the crisis.</w:t>
      </w:r>
    </w:p>
    <w:p w14:paraId="62A5E3A4" w14:textId="77777777" w:rsidR="00710A0B" w:rsidRDefault="00C56FD7" w:rsidP="00545DBC">
      <w:pPr>
        <w:keepNext/>
        <w:autoSpaceDE w:val="0"/>
        <w:adjustRightInd w:val="0"/>
        <w:spacing w:after="0" w:line="360" w:lineRule="auto"/>
      </w:pPr>
      <w:r>
        <w:rPr>
          <w:noProof/>
        </w:rPr>
        <w:drawing>
          <wp:inline distT="0" distB="0" distL="0" distR="0" wp14:anchorId="41438DDE" wp14:editId="622D122A">
            <wp:extent cx="6103620" cy="2750820"/>
            <wp:effectExtent l="0" t="0" r="11430" b="11430"/>
            <wp:docPr id="9" name="Chart 9">
              <a:extLst xmlns:a="http://schemas.openxmlformats.org/drawingml/2006/main">
                <a:ext uri="{FF2B5EF4-FFF2-40B4-BE49-F238E27FC236}">
                  <a16:creationId xmlns:a16="http://schemas.microsoft.com/office/drawing/2014/main" id="{A514C724-05ED-4E9A-82B2-6E011DBC1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BF18FC" w14:textId="6A8D59FA" w:rsidR="00710A0B" w:rsidRPr="00710A0B" w:rsidRDefault="00710A0B" w:rsidP="00710A0B">
      <w:pPr>
        <w:autoSpaceDE w:val="0"/>
        <w:adjustRightInd w:val="0"/>
        <w:spacing w:after="0" w:line="360" w:lineRule="auto"/>
        <w:jc w:val="both"/>
        <w:rPr>
          <w:rFonts w:asciiTheme="majorBidi" w:hAnsiTheme="majorBidi" w:cstheme="majorBidi"/>
          <w:sz w:val="24"/>
          <w:szCs w:val="24"/>
          <w:lang w:val="en-US"/>
        </w:rPr>
      </w:pPr>
      <w:r w:rsidRPr="00710A0B">
        <w:rPr>
          <w:rFonts w:asciiTheme="majorBidi" w:hAnsiTheme="majorBidi" w:cstheme="majorBidi"/>
          <w:i/>
          <w:iCs/>
          <w:sz w:val="24"/>
          <w:szCs w:val="24"/>
          <w:lang w:val="en-US"/>
        </w:rPr>
        <w:t xml:space="preserve">Fig. </w:t>
      </w:r>
      <w:r w:rsidR="00545DBC">
        <w:rPr>
          <w:rFonts w:asciiTheme="majorBidi" w:hAnsiTheme="majorBidi" w:cstheme="majorBidi"/>
          <w:i/>
          <w:iCs/>
          <w:sz w:val="24"/>
          <w:szCs w:val="24"/>
          <w:lang w:val="en-US"/>
        </w:rPr>
        <w:t>3.2</w:t>
      </w:r>
      <w:r>
        <w:rPr>
          <w:rFonts w:asciiTheme="majorBidi" w:hAnsiTheme="majorBidi" w:cstheme="majorBidi"/>
          <w:sz w:val="24"/>
          <w:szCs w:val="24"/>
          <w:lang w:val="en-US"/>
        </w:rPr>
        <w:t>.</w:t>
      </w:r>
      <w:r w:rsidRPr="00710A0B">
        <w:rPr>
          <w:rFonts w:asciiTheme="majorBidi" w:hAnsiTheme="majorBidi" w:cstheme="majorBidi"/>
          <w:sz w:val="24"/>
          <w:szCs w:val="24"/>
          <w:lang w:val="en-US"/>
        </w:rPr>
        <w:t xml:space="preserve"> Actual GDP, Estimated GDP without crisis, Accumulated loss in GDP (SP bn)</w:t>
      </w:r>
    </w:p>
    <w:p w14:paraId="51805AF7" w14:textId="7F0D7B5D" w:rsidR="00074BC4" w:rsidRPr="004A12E7" w:rsidRDefault="00074BC4" w:rsidP="00074BC4">
      <w:pPr>
        <w:autoSpaceDE w:val="0"/>
        <w:adjustRightInd w:val="0"/>
        <w:spacing w:line="360" w:lineRule="auto"/>
        <w:jc w:val="both"/>
        <w:rPr>
          <w:rFonts w:asciiTheme="majorBidi" w:hAnsiTheme="majorBidi" w:cstheme="majorBidi"/>
          <w:sz w:val="24"/>
          <w:szCs w:val="24"/>
        </w:rPr>
      </w:pPr>
      <w:r w:rsidRPr="004A12E7">
        <w:rPr>
          <w:rFonts w:ascii="Times New Roman" w:hAnsi="Times New Roman" w:cs="Times New Roman"/>
          <w:i/>
          <w:iCs/>
          <w:lang w:val="en-US"/>
        </w:rPr>
        <w:t xml:space="preserve">Source: </w:t>
      </w:r>
      <w:r w:rsidRPr="004A12E7">
        <w:rPr>
          <w:rFonts w:ascii="Times New Roman" w:hAnsi="Times New Roman" w:cs="Times New Roman"/>
          <w:lang w:val="en-US"/>
        </w:rPr>
        <w:t>author's calculation</w:t>
      </w:r>
      <w:r w:rsidR="003F7D25">
        <w:rPr>
          <w:rFonts w:ascii="Times New Roman" w:hAnsi="Times New Roman" w:cs="Times New Roman"/>
          <w:lang w:val="en-US"/>
        </w:rPr>
        <w:t xml:space="preserve"> </w:t>
      </w:r>
      <w:r w:rsidR="003F7D25" w:rsidRPr="004A12E7">
        <w:rPr>
          <w:rFonts w:ascii="Times New Roman" w:hAnsi="Times New Roman" w:cs="Times New Roman"/>
          <w:lang w:val="en-US"/>
        </w:rPr>
        <w:t xml:space="preserve">according to </w:t>
      </w:r>
      <w:r w:rsidR="003F7D25">
        <w:rPr>
          <w:rFonts w:ascii="Times New Roman" w:hAnsi="Times New Roman" w:cs="Times New Roman"/>
          <w:lang w:val="en-US"/>
        </w:rPr>
        <w:t>Central Bureau of Statistics</w:t>
      </w:r>
      <w:r w:rsidR="003F7D25" w:rsidRPr="004A12E7">
        <w:rPr>
          <w:rFonts w:ascii="Times New Roman" w:hAnsi="Times New Roman" w:cs="Times New Roman"/>
          <w:lang w:val="en-US"/>
        </w:rPr>
        <w:t xml:space="preserve"> </w:t>
      </w:r>
      <w:r w:rsidR="003F7D25">
        <w:rPr>
          <w:rFonts w:ascii="Times New Roman" w:hAnsi="Times New Roman" w:cs="Times New Roman"/>
          <w:lang w:val="en-US"/>
        </w:rPr>
        <w:t xml:space="preserve">annual </w:t>
      </w:r>
      <w:r w:rsidR="003F7D25" w:rsidRPr="004A12E7">
        <w:rPr>
          <w:rFonts w:ascii="Times New Roman" w:hAnsi="Times New Roman" w:cs="Times New Roman"/>
          <w:lang w:val="en-US"/>
        </w:rPr>
        <w:t>reports</w:t>
      </w:r>
      <w:r w:rsidR="003F7D25">
        <w:rPr>
          <w:rFonts w:ascii="Times New Roman" w:hAnsi="Times New Roman" w:cs="Times New Roman"/>
          <w:lang w:val="en-US"/>
        </w:rPr>
        <w:t>.</w:t>
      </w:r>
    </w:p>
    <w:p w14:paraId="6164C8E0" w14:textId="1E65F2AC" w:rsidR="00C56FD7" w:rsidRDefault="00C56FD7" w:rsidP="00634054">
      <w:pPr>
        <w:suppressAutoHyphens/>
        <w:autoSpaceDE w:val="0"/>
        <w:adjustRightInd w:val="0"/>
        <w:spacing w:before="240" w:line="360" w:lineRule="auto"/>
        <w:ind w:firstLine="567"/>
        <w:jc w:val="both"/>
        <w:rPr>
          <w:rFonts w:asciiTheme="majorBidi" w:hAnsiTheme="majorBidi" w:cstheme="majorBidi"/>
          <w:sz w:val="24"/>
          <w:szCs w:val="24"/>
        </w:rPr>
      </w:pPr>
      <w:r w:rsidRPr="00E83C39">
        <w:rPr>
          <w:rFonts w:asciiTheme="majorBidi" w:hAnsiTheme="majorBidi" w:cstheme="majorBidi"/>
          <w:b/>
          <w:bCs/>
          <w:sz w:val="24"/>
          <w:szCs w:val="24"/>
        </w:rPr>
        <w:t>Inflation</w:t>
      </w:r>
      <w:r w:rsidR="00545DBC">
        <w:rPr>
          <w:rFonts w:asciiTheme="majorBidi" w:hAnsiTheme="majorBidi" w:cstheme="majorBidi"/>
          <w:b/>
          <w:bCs/>
          <w:sz w:val="24"/>
          <w:szCs w:val="24"/>
        </w:rPr>
        <w:t xml:space="preserve">. </w:t>
      </w:r>
      <w:r w:rsidRPr="000D290D">
        <w:rPr>
          <w:rFonts w:asciiTheme="majorBidi" w:hAnsiTheme="majorBidi" w:cstheme="majorBidi"/>
          <w:sz w:val="24"/>
          <w:szCs w:val="24"/>
        </w:rPr>
        <w:t>Syria has experienced high rates of inflation in multiple periods</w:t>
      </w:r>
      <w:r>
        <w:rPr>
          <w:rFonts w:asciiTheme="majorBidi" w:hAnsiTheme="majorBidi" w:cstheme="majorBidi"/>
          <w:sz w:val="24"/>
          <w:szCs w:val="24"/>
        </w:rPr>
        <w:t xml:space="preserve"> before the crisis</w:t>
      </w:r>
      <w:r w:rsidR="007B42E0">
        <w:rPr>
          <w:rFonts w:asciiTheme="majorBidi" w:hAnsiTheme="majorBidi" w:cstheme="majorBidi"/>
          <w:sz w:val="24"/>
          <w:szCs w:val="24"/>
        </w:rPr>
        <w:t>.</w:t>
      </w:r>
      <w:r>
        <w:rPr>
          <w:rFonts w:asciiTheme="majorBidi" w:hAnsiTheme="majorBidi" w:cstheme="majorBidi"/>
          <w:sz w:val="24"/>
          <w:szCs w:val="24"/>
        </w:rPr>
        <w:t xml:space="preserve"> </w:t>
      </w:r>
      <w:r w:rsidR="007B42E0">
        <w:rPr>
          <w:rFonts w:asciiTheme="majorBidi" w:hAnsiTheme="majorBidi" w:cstheme="majorBidi"/>
          <w:sz w:val="24"/>
          <w:szCs w:val="24"/>
        </w:rPr>
        <w:t>I</w:t>
      </w:r>
      <w:r w:rsidRPr="000D290D">
        <w:rPr>
          <w:rFonts w:asciiTheme="majorBidi" w:hAnsiTheme="majorBidi" w:cstheme="majorBidi"/>
          <w:sz w:val="24"/>
          <w:szCs w:val="24"/>
        </w:rPr>
        <w:t>n light of an economic approach based on various theories bearing contradiction between them</w:t>
      </w:r>
      <w:r>
        <w:rPr>
          <w:rFonts w:asciiTheme="majorBidi" w:hAnsiTheme="majorBidi" w:cstheme="majorBidi"/>
          <w:sz w:val="24"/>
          <w:szCs w:val="24"/>
        </w:rPr>
        <w:t>, g</w:t>
      </w:r>
      <w:r w:rsidRPr="001276F2">
        <w:rPr>
          <w:rFonts w:asciiTheme="majorBidi" w:hAnsiTheme="majorBidi" w:cstheme="majorBidi"/>
          <w:sz w:val="24"/>
          <w:szCs w:val="24"/>
        </w:rPr>
        <w:t xml:space="preserve">iven the complexity and interconnectedness of the </w:t>
      </w:r>
      <w:r w:rsidR="007B42E0" w:rsidRPr="007B42E0">
        <w:rPr>
          <w:rFonts w:asciiTheme="majorBidi" w:hAnsiTheme="majorBidi" w:cstheme="majorBidi"/>
          <w:sz w:val="24"/>
          <w:szCs w:val="24"/>
        </w:rPr>
        <w:t>inflation's causes</w:t>
      </w:r>
      <w:r w:rsidRPr="001276F2">
        <w:rPr>
          <w:rFonts w:asciiTheme="majorBidi" w:hAnsiTheme="majorBidi" w:cstheme="majorBidi"/>
          <w:sz w:val="24"/>
          <w:szCs w:val="24"/>
        </w:rPr>
        <w:t xml:space="preserve">, they were driven by a </w:t>
      </w:r>
      <w:r w:rsidR="007B42E0" w:rsidRPr="007B42E0">
        <w:rPr>
          <w:rFonts w:asciiTheme="majorBidi" w:hAnsiTheme="majorBidi" w:cstheme="majorBidi"/>
          <w:sz w:val="24"/>
          <w:szCs w:val="24"/>
        </w:rPr>
        <w:t xml:space="preserve">combination </w:t>
      </w:r>
      <w:r w:rsidRPr="001276F2">
        <w:rPr>
          <w:rFonts w:asciiTheme="majorBidi" w:hAnsiTheme="majorBidi" w:cstheme="majorBidi"/>
          <w:sz w:val="24"/>
          <w:szCs w:val="24"/>
        </w:rPr>
        <w:lastRenderedPageBreak/>
        <w:t xml:space="preserve">of factors on </w:t>
      </w:r>
      <w:r w:rsidR="007B42E0" w:rsidRPr="007B42E0">
        <w:rPr>
          <w:rFonts w:asciiTheme="majorBidi" w:hAnsiTheme="majorBidi" w:cstheme="majorBidi"/>
          <w:sz w:val="24"/>
          <w:szCs w:val="24"/>
        </w:rPr>
        <w:t>both the supply and the demand sides</w:t>
      </w:r>
      <w:r w:rsidRPr="001276F2">
        <w:rPr>
          <w:rFonts w:asciiTheme="majorBidi" w:hAnsiTheme="majorBidi" w:cstheme="majorBidi"/>
          <w:sz w:val="24"/>
          <w:szCs w:val="24"/>
        </w:rPr>
        <w:t>, whether in the commodity or the money market.</w:t>
      </w:r>
      <w:r>
        <w:rPr>
          <w:rFonts w:asciiTheme="majorBidi" w:hAnsiTheme="majorBidi" w:cstheme="majorBidi"/>
          <w:sz w:val="24"/>
          <w:szCs w:val="24"/>
        </w:rPr>
        <w:t xml:space="preserve"> </w:t>
      </w:r>
      <w:r w:rsidRPr="001276F2">
        <w:rPr>
          <w:rFonts w:asciiTheme="majorBidi" w:hAnsiTheme="majorBidi" w:cstheme="majorBidi"/>
          <w:sz w:val="24"/>
          <w:szCs w:val="24"/>
        </w:rPr>
        <w:t>Although inflation has acquired a monetary nature in the outcome.</w:t>
      </w:r>
      <w:r>
        <w:rPr>
          <w:rStyle w:val="FootnoteReference"/>
          <w:rFonts w:asciiTheme="majorBidi" w:hAnsiTheme="majorBidi" w:cstheme="majorBidi"/>
          <w:sz w:val="24"/>
          <w:szCs w:val="24"/>
        </w:rPr>
        <w:footnoteReference w:id="74"/>
      </w:r>
      <w:r>
        <w:rPr>
          <w:rFonts w:asciiTheme="majorBidi" w:hAnsiTheme="majorBidi" w:cstheme="majorBidi"/>
          <w:sz w:val="24"/>
          <w:szCs w:val="24"/>
        </w:rPr>
        <w:t xml:space="preserve"> </w:t>
      </w:r>
      <w:r w:rsidRPr="00C201C3">
        <w:rPr>
          <w:rFonts w:asciiTheme="majorBidi" w:hAnsiTheme="majorBidi" w:cstheme="majorBidi"/>
          <w:sz w:val="24"/>
          <w:szCs w:val="24"/>
        </w:rPr>
        <w:t>Monetary policy of the Syrian government aimed at price stability, the average</w:t>
      </w:r>
      <w:r w:rsidRPr="00DA2316">
        <w:rPr>
          <w:rFonts w:asciiTheme="majorBidi" w:hAnsiTheme="majorBidi" w:cstheme="majorBidi"/>
          <w:sz w:val="24"/>
          <w:szCs w:val="24"/>
        </w:rPr>
        <w:t xml:space="preserve"> inflation rate during the period (200</w:t>
      </w:r>
      <w:r>
        <w:rPr>
          <w:rFonts w:asciiTheme="majorBidi" w:hAnsiTheme="majorBidi" w:cstheme="majorBidi"/>
          <w:sz w:val="24"/>
          <w:szCs w:val="24"/>
        </w:rPr>
        <w:t>0</w:t>
      </w:r>
      <w:r w:rsidRPr="00DA2316">
        <w:rPr>
          <w:rFonts w:asciiTheme="majorBidi" w:hAnsiTheme="majorBidi" w:cstheme="majorBidi"/>
          <w:sz w:val="24"/>
          <w:szCs w:val="24"/>
        </w:rPr>
        <w:t xml:space="preserve">-2010) </w:t>
      </w:r>
      <w:r w:rsidRPr="00CC2795">
        <w:rPr>
          <w:rFonts w:asciiTheme="majorBidi" w:hAnsiTheme="majorBidi" w:cstheme="majorBidi"/>
          <w:sz w:val="24"/>
          <w:szCs w:val="24"/>
        </w:rPr>
        <w:t>was 4.9%.</w:t>
      </w:r>
      <w:r>
        <w:rPr>
          <w:rStyle w:val="FootnoteReference"/>
          <w:rFonts w:asciiTheme="majorBidi" w:hAnsiTheme="majorBidi" w:cstheme="majorBidi"/>
          <w:sz w:val="24"/>
          <w:szCs w:val="24"/>
        </w:rPr>
        <w:footnoteReference w:id="75"/>
      </w:r>
    </w:p>
    <w:p w14:paraId="727B1A7B" w14:textId="11F91811" w:rsidR="00C56FD7" w:rsidRDefault="007D3861" w:rsidP="00634054">
      <w:pPr>
        <w:suppressAutoHyphens/>
        <w:autoSpaceDE w:val="0"/>
        <w:adjustRightInd w:val="0"/>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In t</w:t>
      </w:r>
      <w:r w:rsidR="00C56FD7" w:rsidRPr="008F650B">
        <w:rPr>
          <w:rFonts w:asciiTheme="majorBidi" w:hAnsiTheme="majorBidi" w:cstheme="majorBidi"/>
          <w:sz w:val="24"/>
          <w:szCs w:val="24"/>
        </w:rPr>
        <w:t xml:space="preserve">he </w:t>
      </w:r>
      <w:r>
        <w:rPr>
          <w:rFonts w:asciiTheme="majorBidi" w:hAnsiTheme="majorBidi" w:cstheme="majorBidi"/>
          <w:sz w:val="24"/>
          <w:szCs w:val="24"/>
        </w:rPr>
        <w:t>last</w:t>
      </w:r>
      <w:r w:rsidR="00C56FD7" w:rsidRPr="008F650B">
        <w:rPr>
          <w:rFonts w:asciiTheme="majorBidi" w:hAnsiTheme="majorBidi" w:cstheme="majorBidi"/>
          <w:sz w:val="24"/>
          <w:szCs w:val="24"/>
        </w:rPr>
        <w:t xml:space="preserve"> years have witnessed successive increases in local price levels</w:t>
      </w:r>
      <w:r w:rsidR="009379CE">
        <w:rPr>
          <w:rFonts w:asciiTheme="majorBidi" w:hAnsiTheme="majorBidi" w:cstheme="majorBidi"/>
          <w:sz w:val="24"/>
          <w:szCs w:val="24"/>
        </w:rPr>
        <w:t>;</w:t>
      </w:r>
      <w:r w:rsidR="00C56FD7">
        <w:rPr>
          <w:rFonts w:asciiTheme="majorBidi" w:hAnsiTheme="majorBidi" w:cstheme="majorBidi"/>
          <w:sz w:val="24"/>
          <w:szCs w:val="24"/>
        </w:rPr>
        <w:t xml:space="preserve"> the main reasons were:</w:t>
      </w:r>
    </w:p>
    <w:p w14:paraId="77B3CA1B" w14:textId="531DF045" w:rsidR="00C56FD7" w:rsidRDefault="00C56FD7" w:rsidP="00634054">
      <w:pPr>
        <w:pStyle w:val="ListParagraph"/>
        <w:numPr>
          <w:ilvl w:val="0"/>
          <w:numId w:val="44"/>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T</w:t>
      </w:r>
      <w:r w:rsidRPr="009D148F">
        <w:rPr>
          <w:rFonts w:asciiTheme="majorBidi" w:hAnsiTheme="majorBidi" w:cstheme="majorBidi"/>
          <w:sz w:val="24"/>
          <w:szCs w:val="24"/>
        </w:rPr>
        <w:t xml:space="preserve">he deterioration of the security situation, </w:t>
      </w:r>
      <w:r w:rsidR="00C201C3">
        <w:rPr>
          <w:rFonts w:asciiTheme="majorBidi" w:hAnsiTheme="majorBidi" w:cstheme="majorBidi"/>
          <w:sz w:val="24"/>
          <w:szCs w:val="24"/>
        </w:rPr>
        <w:t xml:space="preserve">the </w:t>
      </w:r>
      <w:r w:rsidRPr="009D148F">
        <w:rPr>
          <w:rFonts w:asciiTheme="majorBidi" w:hAnsiTheme="majorBidi" w:cstheme="majorBidi"/>
          <w:sz w:val="24"/>
          <w:szCs w:val="24"/>
        </w:rPr>
        <w:t>decline in production, and dependence on imported goods</w:t>
      </w:r>
      <w:r w:rsidR="00EA04F1">
        <w:rPr>
          <w:rFonts w:asciiTheme="majorBidi" w:hAnsiTheme="majorBidi" w:cstheme="majorBidi"/>
          <w:sz w:val="24"/>
          <w:szCs w:val="24"/>
        </w:rPr>
        <w:t>.</w:t>
      </w:r>
      <w:r w:rsidRPr="009D148F">
        <w:rPr>
          <w:rFonts w:asciiTheme="majorBidi" w:hAnsiTheme="majorBidi" w:cstheme="majorBidi"/>
          <w:sz w:val="24"/>
          <w:szCs w:val="24"/>
        </w:rPr>
        <w:t xml:space="preserve"> </w:t>
      </w:r>
      <w:r w:rsidR="00EA04F1">
        <w:rPr>
          <w:rFonts w:asciiTheme="majorBidi" w:hAnsiTheme="majorBidi" w:cstheme="majorBidi"/>
          <w:sz w:val="24"/>
          <w:szCs w:val="24"/>
        </w:rPr>
        <w:t>I</w:t>
      </w:r>
      <w:r w:rsidRPr="009D148F">
        <w:rPr>
          <w:rFonts w:asciiTheme="majorBidi" w:hAnsiTheme="majorBidi" w:cstheme="majorBidi"/>
          <w:sz w:val="24"/>
          <w:szCs w:val="24"/>
        </w:rPr>
        <w:t>n addition to raising the prices of oil derivatives and the increase in transportation costs. All of these factors led to higher production costs</w:t>
      </w:r>
      <w:r>
        <w:rPr>
          <w:rFonts w:asciiTheme="majorBidi" w:hAnsiTheme="majorBidi" w:cstheme="majorBidi"/>
          <w:sz w:val="24"/>
          <w:szCs w:val="24"/>
        </w:rPr>
        <w:t>.</w:t>
      </w:r>
    </w:p>
    <w:p w14:paraId="475D5D87" w14:textId="22A77345" w:rsidR="00C56FD7" w:rsidRDefault="00C56FD7" w:rsidP="00634054">
      <w:pPr>
        <w:pStyle w:val="ListParagraph"/>
        <w:numPr>
          <w:ilvl w:val="0"/>
          <w:numId w:val="44"/>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rPr>
      </w:pPr>
      <w:r>
        <w:rPr>
          <w:rFonts w:asciiTheme="majorBidi" w:hAnsiTheme="majorBidi" w:cstheme="majorBidi"/>
          <w:sz w:val="24"/>
          <w:szCs w:val="24"/>
        </w:rPr>
        <w:t>T</w:t>
      </w:r>
      <w:r w:rsidRPr="009D148F">
        <w:rPr>
          <w:rFonts w:asciiTheme="majorBidi" w:hAnsiTheme="majorBidi" w:cstheme="majorBidi"/>
          <w:sz w:val="24"/>
          <w:szCs w:val="24"/>
        </w:rPr>
        <w:t>he market monopoly by some traders, and their exploitation of exchange rate changes</w:t>
      </w:r>
      <w:r w:rsidR="00EA04F1">
        <w:rPr>
          <w:rFonts w:asciiTheme="majorBidi" w:hAnsiTheme="majorBidi" w:cstheme="majorBidi"/>
          <w:sz w:val="24"/>
          <w:szCs w:val="24"/>
        </w:rPr>
        <w:t xml:space="preserve">, </w:t>
      </w:r>
      <w:r w:rsidRPr="009D148F">
        <w:rPr>
          <w:rFonts w:asciiTheme="majorBidi" w:hAnsiTheme="majorBidi" w:cstheme="majorBidi"/>
          <w:sz w:val="24"/>
          <w:szCs w:val="24"/>
        </w:rPr>
        <w:t xml:space="preserve">raising the prices of several commodities by a much </w:t>
      </w:r>
      <w:r w:rsidR="00817950">
        <w:rPr>
          <w:rFonts w:asciiTheme="majorBidi" w:hAnsiTheme="majorBidi" w:cstheme="majorBidi"/>
          <w:sz w:val="24"/>
          <w:szCs w:val="24"/>
        </w:rPr>
        <w:t>higher</w:t>
      </w:r>
      <w:r w:rsidRPr="009D148F">
        <w:rPr>
          <w:rFonts w:asciiTheme="majorBidi" w:hAnsiTheme="majorBidi" w:cstheme="majorBidi"/>
          <w:sz w:val="24"/>
          <w:szCs w:val="24"/>
        </w:rPr>
        <w:t xml:space="preserve"> rate than the depreciation of the exchange rate.</w:t>
      </w:r>
    </w:p>
    <w:p w14:paraId="63D9D749" w14:textId="3BA0C4C9" w:rsidR="00C56FD7" w:rsidRPr="009D148F" w:rsidRDefault="00C56FD7" w:rsidP="00634054">
      <w:pPr>
        <w:pStyle w:val="ListParagraph"/>
        <w:numPr>
          <w:ilvl w:val="0"/>
          <w:numId w:val="44"/>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rPr>
      </w:pPr>
      <w:r w:rsidRPr="009D148F">
        <w:rPr>
          <w:rFonts w:asciiTheme="majorBidi" w:hAnsiTheme="majorBidi" w:cstheme="majorBidi"/>
          <w:sz w:val="24"/>
          <w:szCs w:val="24"/>
        </w:rPr>
        <w:t>The increase in the public budget deficit and its financing through direct borrowing from the Central Bank</w:t>
      </w:r>
      <w:r w:rsidR="00EA04F1">
        <w:rPr>
          <w:rFonts w:asciiTheme="majorBidi" w:hAnsiTheme="majorBidi" w:cstheme="majorBidi"/>
          <w:sz w:val="24"/>
          <w:szCs w:val="24"/>
        </w:rPr>
        <w:t>. I</w:t>
      </w:r>
      <w:r w:rsidRPr="009D148F">
        <w:rPr>
          <w:rFonts w:asciiTheme="majorBidi" w:hAnsiTheme="majorBidi" w:cstheme="majorBidi"/>
          <w:sz w:val="24"/>
          <w:szCs w:val="24"/>
        </w:rPr>
        <w:t>n light of the high level of public spending and the decline in public revenues, whether from taxes</w:t>
      </w:r>
      <w:r w:rsidR="00C201C3">
        <w:rPr>
          <w:rFonts w:asciiTheme="majorBidi" w:hAnsiTheme="majorBidi" w:cstheme="majorBidi"/>
          <w:sz w:val="24"/>
          <w:szCs w:val="24"/>
        </w:rPr>
        <w:t xml:space="preserve"> </w:t>
      </w:r>
      <w:r>
        <w:rPr>
          <w:rFonts w:asciiTheme="majorBidi" w:hAnsiTheme="majorBidi" w:cstheme="majorBidi"/>
          <w:sz w:val="24"/>
          <w:szCs w:val="24"/>
        </w:rPr>
        <w:t>o</w:t>
      </w:r>
      <w:r w:rsidRPr="009D148F">
        <w:rPr>
          <w:rFonts w:asciiTheme="majorBidi" w:hAnsiTheme="majorBidi" w:cstheme="majorBidi"/>
          <w:sz w:val="24"/>
          <w:szCs w:val="24"/>
        </w:rPr>
        <w:t xml:space="preserve">r because of sabotage actions in the oil sector, which was an </w:t>
      </w:r>
      <w:r w:rsidR="00482535" w:rsidRPr="00482535">
        <w:rPr>
          <w:rFonts w:asciiTheme="majorBidi" w:hAnsiTheme="majorBidi" w:cstheme="majorBidi"/>
          <w:sz w:val="24"/>
          <w:szCs w:val="24"/>
        </w:rPr>
        <w:t xml:space="preserve">essential </w:t>
      </w:r>
      <w:r w:rsidRPr="009D148F">
        <w:rPr>
          <w:rFonts w:asciiTheme="majorBidi" w:hAnsiTheme="majorBidi" w:cstheme="majorBidi"/>
          <w:sz w:val="24"/>
          <w:szCs w:val="24"/>
        </w:rPr>
        <w:t xml:space="preserve">resource for the </w:t>
      </w:r>
      <w:r>
        <w:rPr>
          <w:rFonts w:asciiTheme="majorBidi" w:hAnsiTheme="majorBidi" w:cstheme="majorBidi"/>
          <w:sz w:val="24"/>
          <w:szCs w:val="24"/>
        </w:rPr>
        <w:t>state</w:t>
      </w:r>
      <w:r w:rsidRPr="009D148F">
        <w:rPr>
          <w:rFonts w:asciiTheme="majorBidi" w:hAnsiTheme="majorBidi" w:cstheme="majorBidi"/>
          <w:sz w:val="24"/>
          <w:szCs w:val="24"/>
        </w:rPr>
        <w:t xml:space="preserve"> budget</w:t>
      </w:r>
      <w:r>
        <w:rPr>
          <w:rFonts w:asciiTheme="majorBidi" w:hAnsiTheme="majorBidi" w:cstheme="majorBidi"/>
          <w:sz w:val="24"/>
          <w:szCs w:val="24"/>
        </w:rPr>
        <w:t>.</w:t>
      </w:r>
      <w:r>
        <w:rPr>
          <w:rStyle w:val="FootnoteReference"/>
          <w:rFonts w:asciiTheme="majorBidi" w:hAnsiTheme="majorBidi" w:cstheme="majorBidi"/>
          <w:sz w:val="24"/>
          <w:szCs w:val="24"/>
        </w:rPr>
        <w:footnoteReference w:id="76"/>
      </w:r>
    </w:p>
    <w:p w14:paraId="37250428" w14:textId="0378B654"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rPr>
      </w:pPr>
      <w:r w:rsidRPr="00A80802">
        <w:rPr>
          <w:rFonts w:asciiTheme="majorBidi" w:hAnsiTheme="majorBidi" w:cstheme="majorBidi"/>
          <w:sz w:val="24"/>
          <w:szCs w:val="24"/>
        </w:rPr>
        <w:t>The Consumer Price Index (CPI) is one of the indicators that are still regularly published (monthly) by the Syrian Central Statistical Bureau, which gives an overall picture of the evolution of prices for goods and services consumed by Syrian families.</w:t>
      </w:r>
      <w:r>
        <w:rPr>
          <w:rFonts w:asciiTheme="majorBidi" w:hAnsiTheme="majorBidi" w:cstheme="majorBidi"/>
          <w:sz w:val="24"/>
          <w:szCs w:val="24"/>
        </w:rPr>
        <w:t xml:space="preserve"> </w:t>
      </w:r>
      <w:r w:rsidRPr="00A80802">
        <w:rPr>
          <w:rFonts w:asciiTheme="majorBidi" w:hAnsiTheme="majorBidi" w:cstheme="majorBidi"/>
          <w:sz w:val="24"/>
          <w:szCs w:val="24"/>
        </w:rPr>
        <w:t xml:space="preserve">The cumulative </w:t>
      </w:r>
      <w:r>
        <w:rPr>
          <w:rFonts w:asciiTheme="majorBidi" w:hAnsiTheme="majorBidi" w:cstheme="majorBidi"/>
          <w:sz w:val="24"/>
          <w:szCs w:val="24"/>
        </w:rPr>
        <w:t>CPI</w:t>
      </w:r>
      <w:r w:rsidRPr="00A80802">
        <w:rPr>
          <w:rFonts w:asciiTheme="majorBidi" w:hAnsiTheme="majorBidi" w:cstheme="majorBidi"/>
          <w:sz w:val="24"/>
          <w:szCs w:val="24"/>
        </w:rPr>
        <w:t xml:space="preserve"> </w:t>
      </w:r>
      <w:r>
        <w:rPr>
          <w:rFonts w:asciiTheme="majorBidi" w:hAnsiTheme="majorBidi" w:cstheme="majorBidi"/>
          <w:sz w:val="24"/>
          <w:szCs w:val="24"/>
        </w:rPr>
        <w:t xml:space="preserve">has increased </w:t>
      </w:r>
      <w:r w:rsidRPr="00A80802">
        <w:rPr>
          <w:rFonts w:asciiTheme="majorBidi" w:hAnsiTheme="majorBidi" w:cstheme="majorBidi"/>
          <w:sz w:val="24"/>
          <w:szCs w:val="24"/>
        </w:rPr>
        <w:t xml:space="preserve">by </w:t>
      </w:r>
      <w:r>
        <w:rPr>
          <w:rFonts w:asciiTheme="majorBidi" w:hAnsiTheme="majorBidi" w:cstheme="majorBidi"/>
          <w:sz w:val="24"/>
          <w:szCs w:val="24"/>
        </w:rPr>
        <w:t>720</w:t>
      </w:r>
      <w:r w:rsidRPr="00A80802">
        <w:rPr>
          <w:rFonts w:asciiTheme="majorBidi" w:hAnsiTheme="majorBidi" w:cstheme="majorBidi"/>
          <w:sz w:val="24"/>
          <w:szCs w:val="24"/>
        </w:rPr>
        <w:t xml:space="preserve"> per</w:t>
      </w:r>
      <w:r w:rsidR="009379CE">
        <w:rPr>
          <w:rFonts w:asciiTheme="majorBidi" w:hAnsiTheme="majorBidi" w:cstheme="majorBidi"/>
          <w:sz w:val="24"/>
          <w:szCs w:val="24"/>
        </w:rPr>
        <w:t xml:space="preserve"> </w:t>
      </w:r>
      <w:r w:rsidRPr="00A80802">
        <w:rPr>
          <w:rFonts w:asciiTheme="majorBidi" w:hAnsiTheme="majorBidi" w:cstheme="majorBidi"/>
          <w:sz w:val="24"/>
          <w:szCs w:val="24"/>
        </w:rPr>
        <w:t>cent between March 2011 and June 2019.</w:t>
      </w:r>
    </w:p>
    <w:p w14:paraId="3F0A88C3" w14:textId="77777777" w:rsidR="000329B7" w:rsidRPr="000329B7" w:rsidRDefault="000329B7" w:rsidP="000329B7">
      <w:pPr>
        <w:autoSpaceDE w:val="0"/>
        <w:adjustRightInd w:val="0"/>
        <w:spacing w:after="0" w:line="360" w:lineRule="auto"/>
        <w:jc w:val="right"/>
        <w:rPr>
          <w:rFonts w:asciiTheme="majorBidi" w:hAnsiTheme="majorBidi" w:cstheme="majorBidi"/>
          <w:i/>
          <w:iCs/>
          <w:sz w:val="24"/>
          <w:szCs w:val="24"/>
          <w:lang w:val="en-US"/>
        </w:rPr>
      </w:pPr>
      <w:r w:rsidRPr="000329B7">
        <w:rPr>
          <w:rFonts w:asciiTheme="majorBidi" w:hAnsiTheme="majorBidi" w:cstheme="majorBidi"/>
          <w:i/>
          <w:iCs/>
          <w:sz w:val="24"/>
          <w:szCs w:val="24"/>
          <w:lang w:val="en-US"/>
        </w:rPr>
        <w:t>Table 3.1</w:t>
      </w:r>
    </w:p>
    <w:p w14:paraId="122D8027" w14:textId="77777777" w:rsidR="000329B7" w:rsidRPr="00694417" w:rsidRDefault="000329B7" w:rsidP="000329B7">
      <w:pPr>
        <w:autoSpaceDE w:val="0"/>
        <w:adjustRightInd w:val="0"/>
        <w:spacing w:line="360" w:lineRule="auto"/>
        <w:jc w:val="center"/>
        <w:rPr>
          <w:rFonts w:asciiTheme="majorBidi" w:hAnsiTheme="majorBidi" w:cstheme="majorBidi"/>
          <w:sz w:val="24"/>
          <w:szCs w:val="24"/>
          <w:lang w:val="en-US"/>
        </w:rPr>
      </w:pPr>
      <w:r w:rsidRPr="00694417">
        <w:rPr>
          <w:rFonts w:asciiTheme="majorBidi" w:hAnsiTheme="majorBidi" w:cstheme="majorBidi"/>
          <w:sz w:val="24"/>
          <w:szCs w:val="24"/>
          <w:lang w:val="en-US"/>
        </w:rPr>
        <w:t>Annual inflation rate (2010-2018)</w:t>
      </w:r>
    </w:p>
    <w:tbl>
      <w:tblPr>
        <w:tblStyle w:val="TableGrid"/>
        <w:tblW w:w="0" w:type="auto"/>
        <w:tblInd w:w="0" w:type="dxa"/>
        <w:tblLook w:val="04A0" w:firstRow="1" w:lastRow="0" w:firstColumn="1" w:lastColumn="0" w:noHBand="0" w:noVBand="1"/>
      </w:tblPr>
      <w:tblGrid>
        <w:gridCol w:w="1341"/>
        <w:gridCol w:w="870"/>
        <w:gridCol w:w="881"/>
        <w:gridCol w:w="988"/>
        <w:gridCol w:w="924"/>
        <w:gridCol w:w="924"/>
        <w:gridCol w:w="927"/>
        <w:gridCol w:w="924"/>
        <w:gridCol w:w="924"/>
        <w:gridCol w:w="864"/>
      </w:tblGrid>
      <w:tr w:rsidR="000329B7" w14:paraId="6B8E346F" w14:textId="77777777" w:rsidTr="009379CE">
        <w:trPr>
          <w:trHeight w:val="377"/>
        </w:trPr>
        <w:tc>
          <w:tcPr>
            <w:tcW w:w="1341" w:type="dxa"/>
            <w:vAlign w:val="center"/>
          </w:tcPr>
          <w:p w14:paraId="769A0D70"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Year</w:t>
            </w:r>
          </w:p>
        </w:tc>
        <w:tc>
          <w:tcPr>
            <w:tcW w:w="870" w:type="dxa"/>
            <w:vAlign w:val="center"/>
          </w:tcPr>
          <w:p w14:paraId="0F028783"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2010</w:t>
            </w:r>
          </w:p>
        </w:tc>
        <w:tc>
          <w:tcPr>
            <w:tcW w:w="881" w:type="dxa"/>
            <w:vAlign w:val="center"/>
          </w:tcPr>
          <w:p w14:paraId="6F156FF3"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2011</w:t>
            </w:r>
          </w:p>
        </w:tc>
        <w:tc>
          <w:tcPr>
            <w:tcW w:w="988" w:type="dxa"/>
            <w:vAlign w:val="center"/>
          </w:tcPr>
          <w:p w14:paraId="2474A26F"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2012</w:t>
            </w:r>
          </w:p>
        </w:tc>
        <w:tc>
          <w:tcPr>
            <w:tcW w:w="924" w:type="dxa"/>
            <w:vAlign w:val="center"/>
          </w:tcPr>
          <w:p w14:paraId="29883832"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2013</w:t>
            </w:r>
          </w:p>
        </w:tc>
        <w:tc>
          <w:tcPr>
            <w:tcW w:w="924" w:type="dxa"/>
            <w:vAlign w:val="center"/>
          </w:tcPr>
          <w:p w14:paraId="69E08EA8"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2014</w:t>
            </w:r>
          </w:p>
        </w:tc>
        <w:tc>
          <w:tcPr>
            <w:tcW w:w="927" w:type="dxa"/>
            <w:vAlign w:val="center"/>
          </w:tcPr>
          <w:p w14:paraId="66CDC195"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2015</w:t>
            </w:r>
          </w:p>
        </w:tc>
        <w:tc>
          <w:tcPr>
            <w:tcW w:w="924" w:type="dxa"/>
            <w:vAlign w:val="center"/>
          </w:tcPr>
          <w:p w14:paraId="7E88694F"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2016</w:t>
            </w:r>
          </w:p>
        </w:tc>
        <w:tc>
          <w:tcPr>
            <w:tcW w:w="924" w:type="dxa"/>
            <w:vAlign w:val="center"/>
          </w:tcPr>
          <w:p w14:paraId="523D0963"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2017</w:t>
            </w:r>
          </w:p>
        </w:tc>
        <w:tc>
          <w:tcPr>
            <w:tcW w:w="864" w:type="dxa"/>
            <w:vAlign w:val="center"/>
          </w:tcPr>
          <w:p w14:paraId="0A9E0764"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2018</w:t>
            </w:r>
          </w:p>
        </w:tc>
      </w:tr>
      <w:tr w:rsidR="000329B7" w14:paraId="0C0CCF73" w14:textId="77777777" w:rsidTr="007D3861">
        <w:trPr>
          <w:trHeight w:val="719"/>
        </w:trPr>
        <w:tc>
          <w:tcPr>
            <w:tcW w:w="1341" w:type="dxa"/>
            <w:vAlign w:val="center"/>
          </w:tcPr>
          <w:p w14:paraId="497E6D80"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 xml:space="preserve">Annual </w:t>
            </w:r>
            <w:r>
              <w:rPr>
                <w:rFonts w:asciiTheme="majorBidi" w:hAnsiTheme="majorBidi" w:cstheme="majorBidi"/>
                <w:sz w:val="20"/>
                <w:szCs w:val="20"/>
                <w:lang w:val="en-US"/>
              </w:rPr>
              <w:t>i</w:t>
            </w:r>
            <w:r w:rsidRPr="00694417">
              <w:rPr>
                <w:rFonts w:asciiTheme="majorBidi" w:hAnsiTheme="majorBidi" w:cstheme="majorBidi"/>
                <w:sz w:val="20"/>
                <w:szCs w:val="20"/>
                <w:lang w:val="en-US"/>
              </w:rPr>
              <w:t xml:space="preserve">nflation </w:t>
            </w:r>
            <w:r>
              <w:rPr>
                <w:rFonts w:asciiTheme="majorBidi" w:hAnsiTheme="majorBidi" w:cstheme="majorBidi"/>
                <w:sz w:val="20"/>
                <w:szCs w:val="20"/>
                <w:lang w:val="en-US"/>
              </w:rPr>
              <w:t>r</w:t>
            </w:r>
            <w:r w:rsidRPr="00694417">
              <w:rPr>
                <w:rFonts w:asciiTheme="majorBidi" w:hAnsiTheme="majorBidi" w:cstheme="majorBidi"/>
                <w:sz w:val="20"/>
                <w:szCs w:val="20"/>
                <w:lang w:val="en-US"/>
              </w:rPr>
              <w:t>ate %</w:t>
            </w:r>
          </w:p>
        </w:tc>
        <w:tc>
          <w:tcPr>
            <w:tcW w:w="870" w:type="dxa"/>
            <w:vAlign w:val="center"/>
          </w:tcPr>
          <w:p w14:paraId="123BA5FD"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4.39%</w:t>
            </w:r>
          </w:p>
        </w:tc>
        <w:tc>
          <w:tcPr>
            <w:tcW w:w="881" w:type="dxa"/>
            <w:vAlign w:val="center"/>
          </w:tcPr>
          <w:p w14:paraId="155B9043"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4.73%</w:t>
            </w:r>
          </w:p>
        </w:tc>
        <w:tc>
          <w:tcPr>
            <w:tcW w:w="988" w:type="dxa"/>
            <w:vAlign w:val="center"/>
          </w:tcPr>
          <w:p w14:paraId="74BA1A67"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33.48%</w:t>
            </w:r>
          </w:p>
        </w:tc>
        <w:tc>
          <w:tcPr>
            <w:tcW w:w="924" w:type="dxa"/>
            <w:vAlign w:val="center"/>
          </w:tcPr>
          <w:p w14:paraId="2293C6DF"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87.73%</w:t>
            </w:r>
          </w:p>
        </w:tc>
        <w:tc>
          <w:tcPr>
            <w:tcW w:w="924" w:type="dxa"/>
            <w:vAlign w:val="center"/>
          </w:tcPr>
          <w:p w14:paraId="1A4130C1"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24.94%</w:t>
            </w:r>
          </w:p>
        </w:tc>
        <w:tc>
          <w:tcPr>
            <w:tcW w:w="927" w:type="dxa"/>
            <w:vAlign w:val="center"/>
          </w:tcPr>
          <w:p w14:paraId="51F82A7D"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38.19%</w:t>
            </w:r>
          </w:p>
        </w:tc>
        <w:tc>
          <w:tcPr>
            <w:tcW w:w="924" w:type="dxa"/>
            <w:vAlign w:val="center"/>
          </w:tcPr>
          <w:p w14:paraId="3882D71A"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47.67%</w:t>
            </w:r>
          </w:p>
        </w:tc>
        <w:tc>
          <w:tcPr>
            <w:tcW w:w="924" w:type="dxa"/>
            <w:vAlign w:val="center"/>
          </w:tcPr>
          <w:p w14:paraId="0E82C42F"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19.36%</w:t>
            </w:r>
          </w:p>
        </w:tc>
        <w:tc>
          <w:tcPr>
            <w:tcW w:w="864" w:type="dxa"/>
            <w:vAlign w:val="center"/>
          </w:tcPr>
          <w:p w14:paraId="49ACFA58" w14:textId="77777777" w:rsidR="000329B7" w:rsidRPr="00694417" w:rsidRDefault="000329B7" w:rsidP="009379CE">
            <w:pPr>
              <w:autoSpaceDE w:val="0"/>
              <w:autoSpaceDN w:val="0"/>
              <w:adjustRightInd w:val="0"/>
              <w:jc w:val="center"/>
              <w:rPr>
                <w:rFonts w:asciiTheme="majorBidi" w:hAnsiTheme="majorBidi" w:cstheme="majorBidi"/>
                <w:sz w:val="20"/>
                <w:szCs w:val="20"/>
                <w:lang w:val="en-US"/>
              </w:rPr>
            </w:pPr>
            <w:r w:rsidRPr="00694417">
              <w:rPr>
                <w:rFonts w:asciiTheme="majorBidi" w:hAnsiTheme="majorBidi" w:cstheme="majorBidi"/>
                <w:sz w:val="20"/>
                <w:szCs w:val="20"/>
                <w:lang w:val="en-US"/>
              </w:rPr>
              <w:t>0.92%</w:t>
            </w:r>
          </w:p>
        </w:tc>
      </w:tr>
    </w:tbl>
    <w:p w14:paraId="627F1B35" w14:textId="77777777" w:rsidR="000329B7" w:rsidRPr="004A12E7" w:rsidRDefault="000329B7" w:rsidP="000329B7">
      <w:pPr>
        <w:autoSpaceDE w:val="0"/>
        <w:adjustRightInd w:val="0"/>
        <w:spacing w:before="240" w:line="360" w:lineRule="auto"/>
        <w:jc w:val="both"/>
        <w:rPr>
          <w:rFonts w:asciiTheme="majorBidi" w:hAnsiTheme="majorBidi" w:cstheme="majorBidi"/>
          <w:sz w:val="24"/>
          <w:szCs w:val="24"/>
        </w:rPr>
      </w:pPr>
      <w:r w:rsidRPr="004A12E7">
        <w:rPr>
          <w:rFonts w:ascii="Times New Roman" w:hAnsi="Times New Roman" w:cs="Times New Roman"/>
          <w:i/>
          <w:iCs/>
          <w:lang w:val="en-US"/>
        </w:rPr>
        <w:t xml:space="preserve">Source: </w:t>
      </w:r>
      <w:r w:rsidRPr="004A12E7">
        <w:rPr>
          <w:rFonts w:ascii="Times New Roman" w:hAnsi="Times New Roman" w:cs="Times New Roman"/>
          <w:lang w:val="en-US"/>
        </w:rPr>
        <w:t xml:space="preserve">author's calculation according to </w:t>
      </w:r>
      <w:r>
        <w:rPr>
          <w:rFonts w:ascii="Times New Roman" w:hAnsi="Times New Roman" w:cs="Times New Roman"/>
          <w:lang w:val="en-US"/>
        </w:rPr>
        <w:t>Central Bureau of Statistics</w:t>
      </w:r>
      <w:r w:rsidRPr="004A12E7">
        <w:rPr>
          <w:rFonts w:ascii="Times New Roman" w:hAnsi="Times New Roman" w:cs="Times New Roman"/>
          <w:lang w:val="en-US"/>
        </w:rPr>
        <w:t xml:space="preserve"> </w:t>
      </w:r>
      <w:r>
        <w:rPr>
          <w:rFonts w:ascii="Times New Roman" w:hAnsi="Times New Roman" w:cs="Times New Roman"/>
          <w:lang w:val="en-US"/>
        </w:rPr>
        <w:t xml:space="preserve">annual </w:t>
      </w:r>
      <w:r w:rsidRPr="004A12E7">
        <w:rPr>
          <w:rFonts w:ascii="Times New Roman" w:hAnsi="Times New Roman" w:cs="Times New Roman"/>
          <w:lang w:val="en-US"/>
        </w:rPr>
        <w:t>reports</w:t>
      </w:r>
      <w:r>
        <w:rPr>
          <w:rFonts w:ascii="Times New Roman" w:hAnsi="Times New Roman" w:cs="Times New Roman"/>
          <w:lang w:val="en-US"/>
        </w:rPr>
        <w:t>.</w:t>
      </w:r>
      <w:r>
        <w:rPr>
          <w:rStyle w:val="FootnoteReference"/>
          <w:rFonts w:asciiTheme="majorBidi" w:hAnsiTheme="majorBidi" w:cstheme="majorBidi"/>
          <w:sz w:val="24"/>
          <w:szCs w:val="24"/>
          <w:lang w:val="en-US"/>
        </w:rPr>
        <w:footnoteReference w:id="77"/>
      </w:r>
    </w:p>
    <w:p w14:paraId="221D36F1" w14:textId="284E70FC"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7F01F3">
        <w:rPr>
          <w:rFonts w:asciiTheme="majorBidi" w:hAnsiTheme="majorBidi" w:cstheme="majorBidi"/>
          <w:sz w:val="24"/>
          <w:szCs w:val="24"/>
        </w:rPr>
        <w:t xml:space="preserve">As shown </w:t>
      </w:r>
      <w:r w:rsidRPr="000A4432">
        <w:rPr>
          <w:rFonts w:asciiTheme="majorBidi" w:hAnsiTheme="majorBidi" w:cstheme="majorBidi"/>
          <w:sz w:val="24"/>
          <w:szCs w:val="24"/>
        </w:rPr>
        <w:t xml:space="preserve">in </w:t>
      </w:r>
      <w:r w:rsidRPr="000A4432">
        <w:rPr>
          <w:rFonts w:asciiTheme="majorBidi" w:hAnsiTheme="majorBidi" w:cstheme="majorBidi"/>
          <w:i/>
          <w:iCs/>
          <w:sz w:val="24"/>
          <w:szCs w:val="24"/>
        </w:rPr>
        <w:t>Table</w:t>
      </w:r>
      <w:r w:rsidR="000A4432" w:rsidRPr="000A4432">
        <w:rPr>
          <w:rFonts w:asciiTheme="majorBidi" w:hAnsiTheme="majorBidi" w:cstheme="majorBidi"/>
          <w:i/>
          <w:iCs/>
          <w:sz w:val="24"/>
          <w:szCs w:val="24"/>
        </w:rPr>
        <w:t xml:space="preserve"> </w:t>
      </w:r>
      <w:r w:rsidR="000329B7">
        <w:rPr>
          <w:rFonts w:asciiTheme="majorBidi" w:hAnsiTheme="majorBidi" w:cstheme="majorBidi"/>
          <w:i/>
          <w:iCs/>
          <w:sz w:val="24"/>
          <w:szCs w:val="24"/>
        </w:rPr>
        <w:t>3.1</w:t>
      </w:r>
      <w:r w:rsidRPr="000A4432">
        <w:rPr>
          <w:rFonts w:asciiTheme="majorBidi" w:hAnsiTheme="majorBidi" w:cstheme="majorBidi"/>
          <w:sz w:val="24"/>
          <w:szCs w:val="24"/>
          <w:lang w:val="en-US"/>
        </w:rPr>
        <w:t>, t</w:t>
      </w:r>
      <w:r w:rsidRPr="000A4432">
        <w:rPr>
          <w:rFonts w:asciiTheme="majorBidi" w:hAnsiTheme="majorBidi" w:cstheme="majorBidi"/>
          <w:sz w:val="24"/>
          <w:szCs w:val="24"/>
        </w:rPr>
        <w:t>he</w:t>
      </w:r>
      <w:r w:rsidRPr="00F745EE">
        <w:rPr>
          <w:rFonts w:asciiTheme="majorBidi" w:hAnsiTheme="majorBidi" w:cstheme="majorBidi"/>
          <w:sz w:val="24"/>
          <w:szCs w:val="24"/>
        </w:rPr>
        <w:t xml:space="preserve"> inflation rate was 4.75% in 2011, increasing to 33.5% in 2012</w:t>
      </w:r>
      <w:r w:rsidR="00EA04F1">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F745EE">
        <w:rPr>
          <w:rFonts w:asciiTheme="majorBidi" w:hAnsiTheme="majorBidi" w:cstheme="majorBidi"/>
          <w:sz w:val="24"/>
          <w:szCs w:val="24"/>
          <w:lang w:val="en-US"/>
        </w:rPr>
        <w:t xml:space="preserve">In 2013 inflation has recorded </w:t>
      </w:r>
      <w:r>
        <w:rPr>
          <w:rFonts w:asciiTheme="majorBidi" w:hAnsiTheme="majorBidi" w:cstheme="majorBidi"/>
          <w:sz w:val="24"/>
          <w:szCs w:val="24"/>
          <w:lang w:val="en-US"/>
        </w:rPr>
        <w:t>its</w:t>
      </w:r>
      <w:r w:rsidRPr="00F745EE">
        <w:rPr>
          <w:rFonts w:asciiTheme="majorBidi" w:hAnsiTheme="majorBidi" w:cstheme="majorBidi"/>
          <w:sz w:val="24"/>
          <w:szCs w:val="24"/>
          <w:lang w:val="en-US"/>
        </w:rPr>
        <w:t xml:space="preserve"> highest level in the crisis</w:t>
      </w:r>
      <w:r w:rsidR="00482535">
        <w:rPr>
          <w:rFonts w:asciiTheme="majorBidi" w:hAnsiTheme="majorBidi" w:cstheme="majorBidi"/>
          <w:sz w:val="24"/>
          <w:szCs w:val="24"/>
          <w:lang w:val="en-US"/>
        </w:rPr>
        <w:t>,</w:t>
      </w:r>
      <w:r w:rsidRPr="00F745EE">
        <w:rPr>
          <w:rFonts w:asciiTheme="majorBidi" w:hAnsiTheme="majorBidi" w:cstheme="majorBidi"/>
          <w:sz w:val="24"/>
          <w:szCs w:val="24"/>
          <w:lang w:val="en-US"/>
        </w:rPr>
        <w:t xml:space="preserve"> </w:t>
      </w:r>
      <w:r w:rsidR="00EA04F1">
        <w:rPr>
          <w:rFonts w:asciiTheme="majorBidi" w:hAnsiTheme="majorBidi" w:cstheme="majorBidi"/>
          <w:sz w:val="24"/>
          <w:szCs w:val="24"/>
          <w:lang w:val="en-US"/>
        </w:rPr>
        <w:t>reaching</w:t>
      </w:r>
      <w:r w:rsidRPr="00F745EE">
        <w:rPr>
          <w:rFonts w:asciiTheme="majorBidi" w:hAnsiTheme="majorBidi" w:cstheme="majorBidi"/>
          <w:sz w:val="24"/>
          <w:szCs w:val="24"/>
          <w:lang w:val="en-US"/>
        </w:rPr>
        <w:t xml:space="preserve"> 87.75%</w:t>
      </w:r>
      <w:r w:rsidR="00482535">
        <w:rPr>
          <w:rFonts w:asciiTheme="majorBidi" w:hAnsiTheme="majorBidi" w:cstheme="majorBidi"/>
          <w:sz w:val="24"/>
          <w:szCs w:val="24"/>
          <w:lang w:val="en-US"/>
        </w:rPr>
        <w:t>;</w:t>
      </w:r>
      <w:r>
        <w:rPr>
          <w:rFonts w:asciiTheme="majorBidi" w:hAnsiTheme="majorBidi" w:cstheme="majorBidi"/>
          <w:sz w:val="24"/>
          <w:szCs w:val="24"/>
          <w:lang w:val="en-US"/>
        </w:rPr>
        <w:t xml:space="preserve"> between </w:t>
      </w:r>
      <w:r w:rsidRPr="001A51C4">
        <w:rPr>
          <w:rFonts w:asciiTheme="majorBidi" w:hAnsiTheme="majorBidi" w:cstheme="majorBidi"/>
          <w:sz w:val="24"/>
          <w:szCs w:val="24"/>
          <w:lang w:val="en-US"/>
        </w:rPr>
        <w:t>2014-2017</w:t>
      </w:r>
      <w:r w:rsidR="00B50B08">
        <w:rPr>
          <w:rFonts w:asciiTheme="majorBidi" w:hAnsiTheme="majorBidi" w:cstheme="majorBidi"/>
          <w:sz w:val="24"/>
          <w:szCs w:val="24"/>
          <w:lang w:val="en-US"/>
        </w:rPr>
        <w:t>,</w:t>
      </w:r>
      <w:r w:rsidRPr="001A51C4">
        <w:rPr>
          <w:rFonts w:asciiTheme="majorBidi" w:hAnsiTheme="majorBidi" w:cstheme="majorBidi"/>
          <w:sz w:val="24"/>
          <w:szCs w:val="24"/>
          <w:lang w:val="en-US"/>
        </w:rPr>
        <w:t xml:space="preserve"> the </w:t>
      </w:r>
      <w:r>
        <w:rPr>
          <w:rFonts w:asciiTheme="majorBidi" w:hAnsiTheme="majorBidi" w:cstheme="majorBidi"/>
          <w:sz w:val="24"/>
          <w:szCs w:val="24"/>
          <w:lang w:val="en-US"/>
        </w:rPr>
        <w:lastRenderedPageBreak/>
        <w:t xml:space="preserve">inflation </w:t>
      </w:r>
      <w:r w:rsidRPr="001A51C4">
        <w:rPr>
          <w:rFonts w:asciiTheme="majorBidi" w:hAnsiTheme="majorBidi" w:cstheme="majorBidi"/>
          <w:sz w:val="24"/>
          <w:szCs w:val="24"/>
          <w:lang w:val="en-US"/>
        </w:rPr>
        <w:t>rate decreased relatively, ranging between 19% and 48%.</w:t>
      </w:r>
      <w:r>
        <w:rPr>
          <w:rFonts w:asciiTheme="majorBidi" w:hAnsiTheme="majorBidi" w:cstheme="majorBidi"/>
          <w:sz w:val="24"/>
          <w:szCs w:val="24"/>
          <w:lang w:val="en-US"/>
        </w:rPr>
        <w:t xml:space="preserve"> </w:t>
      </w:r>
      <w:r w:rsidR="00482535">
        <w:rPr>
          <w:rFonts w:asciiTheme="majorBidi" w:hAnsiTheme="majorBidi" w:cstheme="majorBidi"/>
          <w:sz w:val="24"/>
          <w:szCs w:val="24"/>
          <w:lang w:val="en-US"/>
        </w:rPr>
        <w:t>I</w:t>
      </w:r>
      <w:r w:rsidRPr="00F745EE">
        <w:rPr>
          <w:rFonts w:asciiTheme="majorBidi" w:hAnsiTheme="majorBidi" w:cstheme="majorBidi"/>
          <w:sz w:val="24"/>
          <w:szCs w:val="24"/>
          <w:lang w:val="en-US"/>
        </w:rPr>
        <w:t xml:space="preserve">n 2018, inflation hit its lowest level during the </w:t>
      </w:r>
      <w:r w:rsidR="00EA04F1">
        <w:rPr>
          <w:rFonts w:asciiTheme="majorBidi" w:hAnsiTheme="majorBidi" w:cstheme="majorBidi"/>
          <w:sz w:val="24"/>
          <w:szCs w:val="24"/>
          <w:lang w:val="en-US"/>
        </w:rPr>
        <w:t>Syrian crisis</w:t>
      </w:r>
      <w:r>
        <w:rPr>
          <w:rFonts w:asciiTheme="majorBidi" w:hAnsiTheme="majorBidi" w:cstheme="majorBidi"/>
          <w:sz w:val="24"/>
          <w:szCs w:val="24"/>
          <w:lang w:val="en-US"/>
        </w:rPr>
        <w:t xml:space="preserve"> with</w:t>
      </w:r>
      <w:r w:rsidRPr="00F745EE">
        <w:rPr>
          <w:rFonts w:asciiTheme="majorBidi" w:hAnsiTheme="majorBidi" w:cstheme="majorBidi"/>
          <w:sz w:val="24"/>
          <w:szCs w:val="24"/>
          <w:lang w:val="en-US"/>
        </w:rPr>
        <w:t xml:space="preserve"> less than 1%</w:t>
      </w:r>
      <w:r w:rsidR="00380B96">
        <w:rPr>
          <w:rFonts w:asciiTheme="majorBidi" w:hAnsiTheme="majorBidi" w:cstheme="majorBidi"/>
          <w:sz w:val="24"/>
          <w:szCs w:val="24"/>
          <w:lang w:val="en-US"/>
        </w:rPr>
        <w:t>;</w:t>
      </w:r>
      <w:r>
        <w:rPr>
          <w:rFonts w:asciiTheme="majorBidi" w:hAnsiTheme="majorBidi" w:cstheme="majorBidi"/>
          <w:sz w:val="24"/>
          <w:szCs w:val="24"/>
          <w:lang w:val="en-US"/>
        </w:rPr>
        <w:t xml:space="preserve"> t</w:t>
      </w:r>
      <w:r w:rsidRPr="001A51C4">
        <w:rPr>
          <w:rFonts w:asciiTheme="majorBidi" w:hAnsiTheme="majorBidi" w:cstheme="majorBidi"/>
          <w:sz w:val="24"/>
          <w:szCs w:val="24"/>
          <w:lang w:val="en-US"/>
        </w:rPr>
        <w:t xml:space="preserve">his is due to the relative security stability that occurred </w:t>
      </w:r>
      <w:r w:rsidR="00EA04F1">
        <w:rPr>
          <w:rFonts w:asciiTheme="majorBidi" w:hAnsiTheme="majorBidi" w:cstheme="majorBidi"/>
          <w:sz w:val="24"/>
          <w:szCs w:val="24"/>
          <w:lang w:val="en-US"/>
        </w:rPr>
        <w:t xml:space="preserve">in </w:t>
      </w:r>
      <w:r w:rsidR="00F11E62">
        <w:rPr>
          <w:rFonts w:asciiTheme="majorBidi" w:hAnsiTheme="majorBidi" w:cstheme="majorBidi"/>
          <w:sz w:val="24"/>
          <w:szCs w:val="24"/>
          <w:lang w:val="en-US"/>
        </w:rPr>
        <w:t>that</w:t>
      </w:r>
      <w:r w:rsidRPr="001A51C4">
        <w:rPr>
          <w:rFonts w:asciiTheme="majorBidi" w:hAnsiTheme="majorBidi" w:cstheme="majorBidi"/>
          <w:sz w:val="24"/>
          <w:szCs w:val="24"/>
          <w:lang w:val="en-US"/>
        </w:rPr>
        <w:t xml:space="preserve"> year</w:t>
      </w:r>
      <w:r>
        <w:rPr>
          <w:rFonts w:asciiTheme="majorBidi" w:hAnsiTheme="majorBidi" w:cstheme="majorBidi"/>
          <w:sz w:val="24"/>
          <w:szCs w:val="24"/>
          <w:lang w:val="en-US"/>
        </w:rPr>
        <w:t xml:space="preserve">. </w:t>
      </w:r>
      <w:r w:rsidR="008C7AD8" w:rsidRPr="008C7AD8">
        <w:rPr>
          <w:rFonts w:asciiTheme="majorBidi" w:hAnsiTheme="majorBidi" w:cstheme="majorBidi"/>
          <w:sz w:val="24"/>
          <w:szCs w:val="24"/>
          <w:lang w:val="en-US"/>
        </w:rPr>
        <w:t>However, it is expected that the inflation rate rose dramatically in 2019 due to the Syrian pound value collapse</w:t>
      </w:r>
      <w:r w:rsidRPr="001A51C4">
        <w:rPr>
          <w:rFonts w:asciiTheme="majorBidi" w:hAnsiTheme="majorBidi" w:cstheme="majorBidi"/>
          <w:sz w:val="24"/>
          <w:szCs w:val="24"/>
          <w:lang w:val="en-US"/>
        </w:rPr>
        <w:t>.</w:t>
      </w:r>
    </w:p>
    <w:p w14:paraId="10CA27AB" w14:textId="38971001" w:rsidR="00C56FD7" w:rsidRPr="0035250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E83C39">
        <w:rPr>
          <w:rFonts w:asciiTheme="majorBidi" w:hAnsiTheme="majorBidi" w:cstheme="majorBidi"/>
          <w:b/>
          <w:bCs/>
          <w:sz w:val="24"/>
          <w:szCs w:val="24"/>
          <w:lang w:val="en-US"/>
        </w:rPr>
        <w:t xml:space="preserve">Exchange </w:t>
      </w:r>
      <w:r w:rsidR="00102EB0">
        <w:rPr>
          <w:rFonts w:asciiTheme="majorBidi" w:hAnsiTheme="majorBidi" w:cstheme="majorBidi"/>
          <w:b/>
          <w:bCs/>
          <w:sz w:val="24"/>
          <w:szCs w:val="24"/>
          <w:lang w:val="en-US"/>
        </w:rPr>
        <w:t>r</w:t>
      </w:r>
      <w:r w:rsidRPr="00E83C39">
        <w:rPr>
          <w:rFonts w:asciiTheme="majorBidi" w:hAnsiTheme="majorBidi" w:cstheme="majorBidi"/>
          <w:b/>
          <w:bCs/>
          <w:sz w:val="24"/>
          <w:szCs w:val="24"/>
          <w:lang w:val="en-US"/>
        </w:rPr>
        <w:t>ate</w:t>
      </w:r>
      <w:r w:rsidR="000329B7">
        <w:rPr>
          <w:rFonts w:asciiTheme="majorBidi" w:hAnsiTheme="majorBidi" w:cstheme="majorBidi"/>
          <w:b/>
          <w:bCs/>
          <w:sz w:val="24"/>
          <w:szCs w:val="24"/>
          <w:lang w:val="en-US"/>
        </w:rPr>
        <w:t xml:space="preserve">. </w:t>
      </w:r>
      <w:r w:rsidRPr="00DF2C04">
        <w:rPr>
          <w:rFonts w:asciiTheme="majorBidi" w:hAnsiTheme="majorBidi" w:cstheme="majorBidi"/>
          <w:sz w:val="24"/>
          <w:szCs w:val="24"/>
          <w:lang w:val="en-US"/>
        </w:rPr>
        <w:t>The exchange rate of the Syrian pound was relatively stable</w:t>
      </w:r>
      <w:r w:rsidR="00C534E4">
        <w:rPr>
          <w:rFonts w:asciiTheme="majorBidi" w:hAnsiTheme="majorBidi" w:cstheme="majorBidi"/>
          <w:sz w:val="24"/>
          <w:szCs w:val="24"/>
          <w:lang w:val="en-US"/>
        </w:rPr>
        <w:t xml:space="preserve"> before</w:t>
      </w:r>
      <w:r w:rsidR="00C534E4" w:rsidRPr="00DF2C04">
        <w:rPr>
          <w:rFonts w:asciiTheme="majorBidi" w:hAnsiTheme="majorBidi" w:cstheme="majorBidi"/>
          <w:sz w:val="24"/>
          <w:szCs w:val="24"/>
          <w:lang w:val="en-US"/>
        </w:rPr>
        <w:t xml:space="preserve"> the crisis</w:t>
      </w:r>
      <w:r w:rsidRPr="00DF2C04">
        <w:rPr>
          <w:rFonts w:asciiTheme="majorBidi" w:hAnsiTheme="majorBidi" w:cstheme="majorBidi"/>
          <w:sz w:val="24"/>
          <w:szCs w:val="24"/>
          <w:lang w:val="en-US"/>
        </w:rPr>
        <w:t xml:space="preserve"> and ranged between (4</w:t>
      </w:r>
      <w:r>
        <w:rPr>
          <w:rFonts w:asciiTheme="majorBidi" w:hAnsiTheme="majorBidi" w:cstheme="majorBidi"/>
          <w:sz w:val="24"/>
          <w:szCs w:val="24"/>
          <w:lang w:val="en-US"/>
        </w:rPr>
        <w:t>7</w:t>
      </w:r>
      <w:r w:rsidRPr="00DF2C04">
        <w:rPr>
          <w:rFonts w:asciiTheme="majorBidi" w:hAnsiTheme="majorBidi" w:cstheme="majorBidi"/>
          <w:sz w:val="24"/>
          <w:szCs w:val="24"/>
          <w:lang w:val="en-US"/>
        </w:rPr>
        <w:t xml:space="preserve">-50) against the </w:t>
      </w:r>
      <w:r w:rsidR="00C534E4" w:rsidRPr="004E5F19">
        <w:rPr>
          <w:rFonts w:asciiTheme="majorBidi" w:hAnsiTheme="majorBidi" w:cstheme="majorBidi"/>
          <w:sz w:val="24"/>
          <w:szCs w:val="24"/>
          <w:lang w:val="en-US"/>
        </w:rPr>
        <w:t>U.S. dollar</w:t>
      </w:r>
      <w:r w:rsidRPr="00DF2C0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DF2C04">
        <w:rPr>
          <w:rFonts w:asciiTheme="majorBidi" w:hAnsiTheme="majorBidi" w:cstheme="majorBidi"/>
          <w:sz w:val="24"/>
          <w:szCs w:val="24"/>
          <w:lang w:val="en-US"/>
        </w:rPr>
        <w:t>However, during the crisis, the exchange rate of the Syrian pound was subjected to sharp declines</w:t>
      </w:r>
      <w:r>
        <w:rPr>
          <w:rFonts w:asciiTheme="majorBidi" w:hAnsiTheme="majorBidi" w:cstheme="majorBidi"/>
          <w:sz w:val="24"/>
          <w:szCs w:val="24"/>
          <w:lang w:val="en-US"/>
        </w:rPr>
        <w:t xml:space="preserve">. </w:t>
      </w:r>
      <w:r w:rsidRPr="00B01EBB">
        <w:rPr>
          <w:rFonts w:asciiTheme="majorBidi" w:hAnsiTheme="majorBidi" w:cstheme="majorBidi"/>
          <w:sz w:val="24"/>
          <w:szCs w:val="24"/>
          <w:lang w:val="en-US"/>
        </w:rPr>
        <w:t>By January 201</w:t>
      </w:r>
      <w:r>
        <w:rPr>
          <w:rFonts w:asciiTheme="majorBidi" w:hAnsiTheme="majorBidi" w:cstheme="majorBidi"/>
          <w:sz w:val="24"/>
          <w:szCs w:val="24"/>
          <w:lang w:val="en-US"/>
        </w:rPr>
        <w:t>7</w:t>
      </w:r>
      <w:r w:rsidRPr="00B01EBB">
        <w:rPr>
          <w:rFonts w:asciiTheme="majorBidi" w:hAnsiTheme="majorBidi" w:cstheme="majorBidi"/>
          <w:sz w:val="24"/>
          <w:szCs w:val="24"/>
          <w:lang w:val="en-US"/>
        </w:rPr>
        <w:t xml:space="preserve">, the </w:t>
      </w:r>
      <w:r w:rsidRPr="00DF2C04">
        <w:rPr>
          <w:rFonts w:asciiTheme="majorBidi" w:hAnsiTheme="majorBidi" w:cstheme="majorBidi"/>
          <w:sz w:val="24"/>
          <w:szCs w:val="24"/>
          <w:lang w:val="en-US"/>
        </w:rPr>
        <w:t xml:space="preserve">Syrian pound </w:t>
      </w:r>
      <w:r>
        <w:rPr>
          <w:rFonts w:asciiTheme="majorBidi" w:hAnsiTheme="majorBidi" w:cstheme="majorBidi"/>
          <w:sz w:val="24"/>
          <w:szCs w:val="24"/>
          <w:lang w:val="en-US"/>
        </w:rPr>
        <w:t xml:space="preserve">had </w:t>
      </w:r>
      <w:r w:rsidRPr="00B01EBB">
        <w:rPr>
          <w:rFonts w:asciiTheme="majorBidi" w:hAnsiTheme="majorBidi" w:cstheme="majorBidi"/>
          <w:sz w:val="24"/>
          <w:szCs w:val="24"/>
          <w:lang w:val="en-US"/>
        </w:rPr>
        <w:t>reach</w:t>
      </w:r>
      <w:r>
        <w:rPr>
          <w:rFonts w:asciiTheme="majorBidi" w:hAnsiTheme="majorBidi" w:cstheme="majorBidi"/>
          <w:sz w:val="24"/>
          <w:szCs w:val="24"/>
          <w:lang w:val="en-US"/>
        </w:rPr>
        <w:t>ed</w:t>
      </w:r>
      <w:r w:rsidRPr="00B01EBB">
        <w:rPr>
          <w:rFonts w:asciiTheme="majorBidi" w:hAnsiTheme="majorBidi" w:cstheme="majorBidi"/>
          <w:sz w:val="24"/>
          <w:szCs w:val="24"/>
          <w:lang w:val="en-US"/>
        </w:rPr>
        <w:t xml:space="preserve"> </w:t>
      </w:r>
      <w:r w:rsidR="00E70BE9">
        <w:rPr>
          <w:rFonts w:asciiTheme="majorBidi" w:hAnsiTheme="majorBidi" w:cstheme="majorBidi"/>
          <w:sz w:val="24"/>
          <w:szCs w:val="24"/>
          <w:lang w:val="en-US"/>
        </w:rPr>
        <w:t xml:space="preserve">SP </w:t>
      </w:r>
      <w:r>
        <w:rPr>
          <w:rFonts w:asciiTheme="majorBidi" w:hAnsiTheme="majorBidi" w:cstheme="majorBidi"/>
          <w:sz w:val="24"/>
          <w:szCs w:val="24"/>
          <w:lang w:val="en-US"/>
        </w:rPr>
        <w:t>510</w:t>
      </w:r>
      <w:r w:rsidRPr="00B01EBB">
        <w:rPr>
          <w:rFonts w:asciiTheme="majorBidi" w:hAnsiTheme="majorBidi" w:cstheme="majorBidi"/>
          <w:sz w:val="24"/>
          <w:szCs w:val="24"/>
          <w:lang w:val="en-US"/>
        </w:rPr>
        <w:t xml:space="preserve"> </w:t>
      </w:r>
      <w:r>
        <w:rPr>
          <w:rFonts w:asciiTheme="majorBidi" w:hAnsiTheme="majorBidi" w:cstheme="majorBidi"/>
          <w:sz w:val="24"/>
          <w:szCs w:val="24"/>
          <w:lang w:val="en-US"/>
        </w:rPr>
        <w:t>per</w:t>
      </w:r>
      <w:r w:rsidRPr="00B01EBB">
        <w:rPr>
          <w:rFonts w:asciiTheme="majorBidi" w:hAnsiTheme="majorBidi" w:cstheme="majorBidi"/>
          <w:sz w:val="24"/>
          <w:szCs w:val="24"/>
          <w:lang w:val="en-US"/>
        </w:rPr>
        <w:t xml:space="preserve"> dollar on the</w:t>
      </w:r>
      <w:r>
        <w:rPr>
          <w:rFonts w:asciiTheme="majorBidi" w:hAnsiTheme="majorBidi" w:cstheme="majorBidi"/>
          <w:sz w:val="24"/>
          <w:szCs w:val="24"/>
          <w:lang w:val="en-US"/>
        </w:rPr>
        <w:t xml:space="preserve"> </w:t>
      </w:r>
      <w:r w:rsidRPr="00B01EBB">
        <w:rPr>
          <w:rFonts w:asciiTheme="majorBidi" w:hAnsiTheme="majorBidi" w:cstheme="majorBidi"/>
          <w:sz w:val="24"/>
          <w:szCs w:val="24"/>
          <w:lang w:val="en-US"/>
        </w:rPr>
        <w:t xml:space="preserve">black market, while its official rate was </w:t>
      </w:r>
      <w:r w:rsidR="00E70BE9">
        <w:rPr>
          <w:rFonts w:asciiTheme="majorBidi" w:hAnsiTheme="majorBidi" w:cstheme="majorBidi"/>
          <w:sz w:val="24"/>
          <w:szCs w:val="24"/>
          <w:lang w:val="en-US"/>
        </w:rPr>
        <w:t xml:space="preserve">SP </w:t>
      </w:r>
      <w:r>
        <w:rPr>
          <w:rFonts w:asciiTheme="majorBidi" w:hAnsiTheme="majorBidi" w:cstheme="majorBidi"/>
          <w:sz w:val="24"/>
          <w:szCs w:val="24"/>
          <w:lang w:val="en-US"/>
        </w:rPr>
        <w:t>499</w:t>
      </w:r>
      <w:r w:rsidRPr="00B01EBB">
        <w:rPr>
          <w:rFonts w:asciiTheme="majorBidi" w:hAnsiTheme="majorBidi" w:cstheme="majorBidi"/>
          <w:sz w:val="24"/>
          <w:szCs w:val="24"/>
          <w:lang w:val="en-US"/>
        </w:rPr>
        <w:t xml:space="preserve"> </w:t>
      </w:r>
      <w:r w:rsidRPr="00710A0B">
        <w:rPr>
          <w:rFonts w:asciiTheme="majorBidi" w:hAnsiTheme="majorBidi" w:cstheme="majorBidi"/>
          <w:sz w:val="24"/>
          <w:szCs w:val="24"/>
          <w:lang w:val="en-US"/>
        </w:rPr>
        <w:t>(</w:t>
      </w:r>
      <w:r w:rsidRPr="00710A0B">
        <w:rPr>
          <w:rFonts w:asciiTheme="majorBidi" w:hAnsiTheme="majorBidi" w:cstheme="majorBidi"/>
          <w:i/>
          <w:iCs/>
          <w:sz w:val="24"/>
          <w:szCs w:val="24"/>
          <w:lang w:val="en-US"/>
        </w:rPr>
        <w:t xml:space="preserve">Fig. </w:t>
      </w:r>
      <w:r w:rsidR="00E551A2">
        <w:rPr>
          <w:rFonts w:asciiTheme="majorBidi" w:hAnsiTheme="majorBidi" w:cstheme="majorBidi"/>
          <w:i/>
          <w:iCs/>
          <w:sz w:val="24"/>
          <w:szCs w:val="24"/>
          <w:lang w:val="en-US"/>
        </w:rPr>
        <w:t>3.3</w:t>
      </w:r>
      <w:r w:rsidRPr="00710A0B">
        <w:rPr>
          <w:rFonts w:asciiTheme="majorBidi" w:hAnsiTheme="majorBidi" w:cstheme="majorBidi"/>
          <w:sz w:val="24"/>
          <w:szCs w:val="24"/>
          <w:lang w:val="en-US"/>
        </w:rPr>
        <w:t>). Then there</w:t>
      </w:r>
      <w:r w:rsidRPr="009B7B7E">
        <w:rPr>
          <w:rFonts w:asciiTheme="majorBidi" w:hAnsiTheme="majorBidi" w:cstheme="majorBidi"/>
          <w:sz w:val="24"/>
          <w:szCs w:val="24"/>
          <w:lang w:val="en-US"/>
        </w:rPr>
        <w:t xml:space="preserve"> was</w:t>
      </w:r>
      <w:r w:rsidR="00482535">
        <w:rPr>
          <w:rFonts w:asciiTheme="majorBidi" w:hAnsiTheme="majorBidi" w:cstheme="majorBidi"/>
          <w:sz w:val="24"/>
          <w:szCs w:val="24"/>
          <w:lang w:val="en-US"/>
        </w:rPr>
        <w:t xml:space="preserve"> </w:t>
      </w:r>
      <w:r w:rsidRPr="009B7B7E">
        <w:rPr>
          <w:rFonts w:asciiTheme="majorBidi" w:hAnsiTheme="majorBidi" w:cstheme="majorBidi"/>
          <w:sz w:val="24"/>
          <w:szCs w:val="24"/>
          <w:lang w:val="en-US"/>
        </w:rPr>
        <w:t>relative exchange rate</w:t>
      </w:r>
      <w:r w:rsidR="00380B96" w:rsidRPr="00380B96">
        <w:rPr>
          <w:rFonts w:asciiTheme="majorBidi" w:hAnsiTheme="majorBidi" w:cstheme="majorBidi"/>
          <w:sz w:val="24"/>
          <w:szCs w:val="24"/>
          <w:lang w:val="en-US"/>
        </w:rPr>
        <w:t xml:space="preserve"> </w:t>
      </w:r>
      <w:r w:rsidR="00380B96" w:rsidRPr="009B7B7E">
        <w:rPr>
          <w:rFonts w:asciiTheme="majorBidi" w:hAnsiTheme="majorBidi" w:cstheme="majorBidi"/>
          <w:sz w:val="24"/>
          <w:szCs w:val="24"/>
          <w:lang w:val="en-US"/>
        </w:rPr>
        <w:t>stability</w:t>
      </w:r>
      <w:r w:rsidR="00B50B08">
        <w:rPr>
          <w:rFonts w:asciiTheme="majorBidi" w:hAnsiTheme="majorBidi" w:cstheme="majorBidi"/>
          <w:sz w:val="24"/>
          <w:szCs w:val="24"/>
          <w:lang w:val="en-US"/>
        </w:rPr>
        <w:t xml:space="preserve"> </w:t>
      </w:r>
      <w:r w:rsidRPr="009B7B7E">
        <w:rPr>
          <w:rFonts w:asciiTheme="majorBidi" w:hAnsiTheme="majorBidi" w:cstheme="majorBidi"/>
          <w:sz w:val="24"/>
          <w:szCs w:val="24"/>
          <w:lang w:val="en-US"/>
        </w:rPr>
        <w:t>lasted about two years</w:t>
      </w:r>
      <w:r>
        <w:rPr>
          <w:rFonts w:asciiTheme="majorBidi" w:hAnsiTheme="majorBidi" w:cstheme="majorBidi"/>
          <w:sz w:val="24"/>
          <w:szCs w:val="24"/>
          <w:lang w:val="en-US"/>
        </w:rPr>
        <w:t xml:space="preserve">, </w:t>
      </w:r>
      <w:r w:rsidRPr="009B7B7E">
        <w:rPr>
          <w:rFonts w:asciiTheme="majorBidi" w:hAnsiTheme="majorBidi" w:cstheme="majorBidi"/>
          <w:sz w:val="24"/>
          <w:szCs w:val="24"/>
          <w:lang w:val="en-US"/>
        </w:rPr>
        <w:t xml:space="preserve">for </w:t>
      </w:r>
      <w:r w:rsidR="00C201C3">
        <w:rPr>
          <w:rFonts w:asciiTheme="majorBidi" w:hAnsiTheme="majorBidi" w:cstheme="majorBidi"/>
          <w:sz w:val="24"/>
          <w:szCs w:val="24"/>
          <w:lang w:val="en-US"/>
        </w:rPr>
        <w:t>many</w:t>
      </w:r>
      <w:r w:rsidRPr="009B7B7E">
        <w:rPr>
          <w:rFonts w:asciiTheme="majorBidi" w:hAnsiTheme="majorBidi" w:cstheme="majorBidi"/>
          <w:sz w:val="24"/>
          <w:szCs w:val="24"/>
          <w:lang w:val="en-US"/>
        </w:rPr>
        <w:t xml:space="preserve"> reasons,</w:t>
      </w:r>
      <w:r w:rsidR="00811DAF">
        <w:rPr>
          <w:rStyle w:val="FootnoteReference"/>
          <w:rFonts w:asciiTheme="majorBidi" w:hAnsiTheme="majorBidi" w:cstheme="majorBidi"/>
          <w:sz w:val="24"/>
          <w:szCs w:val="24"/>
          <w:lang w:val="en-US"/>
        </w:rPr>
        <w:footnoteReference w:id="78"/>
      </w:r>
      <w:r w:rsidRPr="009B7B7E">
        <w:rPr>
          <w:rFonts w:asciiTheme="majorBidi" w:hAnsiTheme="majorBidi" w:cstheme="majorBidi"/>
          <w:sz w:val="24"/>
          <w:szCs w:val="24"/>
          <w:lang w:val="en-US"/>
        </w:rPr>
        <w:t xml:space="preserve"> including</w:t>
      </w:r>
      <w:r w:rsidR="00C201C3">
        <w:rPr>
          <w:rFonts w:asciiTheme="majorBidi" w:hAnsiTheme="majorBidi" w:cstheme="majorBidi"/>
          <w:sz w:val="24"/>
          <w:szCs w:val="24"/>
          <w:lang w:val="en-US"/>
        </w:rPr>
        <w:t xml:space="preserve"> s</w:t>
      </w:r>
      <w:r w:rsidRPr="009B7B7E">
        <w:rPr>
          <w:rFonts w:asciiTheme="majorBidi" w:hAnsiTheme="majorBidi" w:cstheme="majorBidi"/>
          <w:sz w:val="24"/>
          <w:szCs w:val="24"/>
          <w:lang w:val="en-US"/>
        </w:rPr>
        <w:t>ome improvement in the business environment of some Syrian companies in some sectors</w:t>
      </w:r>
      <w:r>
        <w:rPr>
          <w:rFonts w:asciiTheme="majorBidi" w:hAnsiTheme="majorBidi" w:cstheme="majorBidi"/>
          <w:sz w:val="24"/>
          <w:szCs w:val="24"/>
          <w:lang w:val="en-US"/>
        </w:rPr>
        <w:t xml:space="preserve"> in 2017, m</w:t>
      </w:r>
      <w:r w:rsidRPr="009B7B7E">
        <w:rPr>
          <w:rFonts w:asciiTheme="majorBidi" w:hAnsiTheme="majorBidi" w:cstheme="majorBidi"/>
          <w:sz w:val="24"/>
          <w:szCs w:val="24"/>
          <w:lang w:val="en-US"/>
        </w:rPr>
        <w:t>ilitary victories by the Syrian regime forces (in Aleppo, Damascus countryside and Daraa)</w:t>
      </w:r>
      <w:r w:rsidR="00C534E4">
        <w:rPr>
          <w:rFonts w:asciiTheme="majorBidi" w:hAnsiTheme="majorBidi" w:cstheme="majorBidi"/>
          <w:sz w:val="24"/>
          <w:szCs w:val="24"/>
          <w:lang w:val="en-US"/>
        </w:rPr>
        <w:t>,</w:t>
      </w:r>
      <w:r>
        <w:rPr>
          <w:rFonts w:asciiTheme="majorBidi" w:hAnsiTheme="majorBidi" w:cstheme="majorBidi"/>
          <w:sz w:val="24"/>
          <w:szCs w:val="24"/>
          <w:lang w:val="en-US"/>
        </w:rPr>
        <w:t xml:space="preserve"> and </w:t>
      </w:r>
      <w:r w:rsidRPr="00352507">
        <w:rPr>
          <w:rFonts w:asciiTheme="majorBidi" w:hAnsiTheme="majorBidi" w:cstheme="majorBidi"/>
          <w:sz w:val="24"/>
          <w:szCs w:val="24"/>
          <w:lang w:val="en-US"/>
        </w:rPr>
        <w:t>Iran's credit line to Syria</w:t>
      </w:r>
      <w:r>
        <w:rPr>
          <w:rFonts w:asciiTheme="majorBidi" w:hAnsiTheme="majorBidi" w:cstheme="majorBidi"/>
          <w:sz w:val="24"/>
          <w:szCs w:val="24"/>
          <w:lang w:val="en-US"/>
        </w:rPr>
        <w:t>.</w:t>
      </w:r>
    </w:p>
    <w:p w14:paraId="1CDF440E" w14:textId="44127E4C" w:rsidR="000329B7" w:rsidRDefault="008A52D4"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8A52D4">
        <w:rPr>
          <w:rFonts w:asciiTheme="majorBidi" w:hAnsiTheme="majorBidi" w:cstheme="majorBidi"/>
          <w:sz w:val="24"/>
          <w:szCs w:val="24"/>
          <w:lang w:val="en-US"/>
        </w:rPr>
        <w:t xml:space="preserve">In 2019, the depreciation of the Syrian pound on the black market accelerated while the official rate remained stable, </w:t>
      </w:r>
      <w:r w:rsidR="008546C2" w:rsidRPr="008546C2">
        <w:rPr>
          <w:rFonts w:asciiTheme="majorBidi" w:hAnsiTheme="majorBidi" w:cstheme="majorBidi"/>
          <w:sz w:val="24"/>
          <w:szCs w:val="24"/>
          <w:lang w:val="en-US"/>
        </w:rPr>
        <w:t xml:space="preserve">widening </w:t>
      </w:r>
      <w:r w:rsidRPr="008A52D4">
        <w:rPr>
          <w:rFonts w:asciiTheme="majorBidi" w:hAnsiTheme="majorBidi" w:cstheme="majorBidi"/>
          <w:sz w:val="24"/>
          <w:szCs w:val="24"/>
          <w:lang w:val="en-US"/>
        </w:rPr>
        <w:t>the gap.</w:t>
      </w:r>
      <w:r w:rsidR="00C56FD7">
        <w:rPr>
          <w:rFonts w:asciiTheme="majorBidi" w:hAnsiTheme="majorBidi" w:cstheme="majorBidi"/>
          <w:sz w:val="24"/>
          <w:szCs w:val="24"/>
          <w:lang w:val="en-US"/>
        </w:rPr>
        <w:t xml:space="preserve"> </w:t>
      </w:r>
      <w:r>
        <w:rPr>
          <w:rFonts w:asciiTheme="majorBidi" w:hAnsiTheme="majorBidi" w:cstheme="majorBidi"/>
          <w:sz w:val="24"/>
          <w:szCs w:val="24"/>
          <w:lang w:val="en-US"/>
        </w:rPr>
        <w:t>It is</w:t>
      </w:r>
      <w:r w:rsidR="00C56FD7" w:rsidRPr="00E173F6">
        <w:rPr>
          <w:rFonts w:asciiTheme="majorBidi" w:hAnsiTheme="majorBidi" w:cstheme="majorBidi"/>
          <w:sz w:val="24"/>
          <w:szCs w:val="24"/>
          <w:lang w:val="en-US"/>
        </w:rPr>
        <w:t xml:space="preserve"> a direct reflection of the Lebanese economic crisis and the collapse of the Lebanese economy, as Syrian merchants were buying a large part of the dollar from the Lebanese market due to the tightening of economic sanctions on Syria</w:t>
      </w:r>
      <w:r w:rsidR="00C56FD7">
        <w:rPr>
          <w:rFonts w:asciiTheme="majorBidi" w:hAnsiTheme="majorBidi" w:cstheme="majorBidi"/>
          <w:sz w:val="24"/>
          <w:szCs w:val="24"/>
          <w:lang w:val="en-US"/>
        </w:rPr>
        <w:t>. The exchange rate</w:t>
      </w:r>
      <w:r w:rsidR="00C56FD7" w:rsidRPr="00DF2C04">
        <w:rPr>
          <w:rFonts w:asciiTheme="majorBidi" w:hAnsiTheme="majorBidi" w:cstheme="majorBidi"/>
          <w:sz w:val="24"/>
          <w:szCs w:val="24"/>
          <w:lang w:val="en-US"/>
        </w:rPr>
        <w:t xml:space="preserve"> </w:t>
      </w:r>
      <w:r w:rsidR="00C56FD7" w:rsidRPr="00BA77AC">
        <w:rPr>
          <w:rFonts w:asciiTheme="majorBidi" w:hAnsiTheme="majorBidi" w:cstheme="majorBidi"/>
          <w:sz w:val="24"/>
          <w:szCs w:val="24"/>
          <w:lang w:val="en-US"/>
        </w:rPr>
        <w:t xml:space="preserve">reached </w:t>
      </w:r>
      <w:r w:rsidR="00C56FD7">
        <w:rPr>
          <w:rFonts w:asciiTheme="majorBidi" w:hAnsiTheme="majorBidi" w:cstheme="majorBidi"/>
          <w:sz w:val="24"/>
          <w:szCs w:val="24"/>
          <w:lang w:val="en-US"/>
        </w:rPr>
        <w:t xml:space="preserve">a </w:t>
      </w:r>
      <w:r w:rsidR="00C56FD7" w:rsidRPr="00BA77AC">
        <w:rPr>
          <w:rFonts w:asciiTheme="majorBidi" w:hAnsiTheme="majorBidi" w:cstheme="majorBidi"/>
          <w:sz w:val="24"/>
          <w:szCs w:val="24"/>
          <w:lang w:val="en-US"/>
        </w:rPr>
        <w:t>new record</w:t>
      </w:r>
      <w:r w:rsidR="00C56FD7">
        <w:rPr>
          <w:rFonts w:asciiTheme="majorBidi" w:hAnsiTheme="majorBidi" w:cstheme="majorBidi"/>
          <w:sz w:val="24"/>
          <w:szCs w:val="24"/>
          <w:lang w:val="en-US"/>
        </w:rPr>
        <w:t xml:space="preserve"> of 911</w:t>
      </w:r>
      <w:r w:rsidR="00C56FD7" w:rsidRPr="00DF2C04">
        <w:rPr>
          <w:rFonts w:asciiTheme="majorBidi" w:hAnsiTheme="majorBidi" w:cstheme="majorBidi"/>
          <w:sz w:val="24"/>
          <w:szCs w:val="24"/>
          <w:lang w:val="en-US"/>
        </w:rPr>
        <w:t xml:space="preserve"> </w:t>
      </w:r>
      <w:r w:rsidR="00C56FD7">
        <w:rPr>
          <w:rFonts w:asciiTheme="majorBidi" w:hAnsiTheme="majorBidi" w:cstheme="majorBidi"/>
          <w:sz w:val="24"/>
          <w:szCs w:val="24"/>
          <w:lang w:val="en-US"/>
        </w:rPr>
        <w:t>per</w:t>
      </w:r>
      <w:r w:rsidR="00C56FD7" w:rsidRPr="00DF2C04">
        <w:rPr>
          <w:rFonts w:asciiTheme="majorBidi" w:hAnsiTheme="majorBidi" w:cstheme="majorBidi"/>
          <w:sz w:val="24"/>
          <w:szCs w:val="24"/>
          <w:lang w:val="en-US"/>
        </w:rPr>
        <w:t xml:space="preserve"> dollar</w:t>
      </w:r>
      <w:r w:rsidR="00C56FD7">
        <w:rPr>
          <w:rFonts w:asciiTheme="majorBidi" w:hAnsiTheme="majorBidi" w:cstheme="majorBidi"/>
          <w:sz w:val="24"/>
          <w:szCs w:val="24"/>
          <w:lang w:val="en-US"/>
        </w:rPr>
        <w:t xml:space="preserve"> at the end of 2019, which means </w:t>
      </w:r>
      <w:r w:rsidR="001F0C76">
        <w:rPr>
          <w:rFonts w:asciiTheme="majorBidi" w:hAnsiTheme="majorBidi" w:cstheme="majorBidi"/>
          <w:sz w:val="24"/>
          <w:szCs w:val="24"/>
          <w:lang w:val="en-US"/>
        </w:rPr>
        <w:t>that</w:t>
      </w:r>
      <w:r w:rsidR="00C56FD7">
        <w:rPr>
          <w:rFonts w:asciiTheme="majorBidi" w:hAnsiTheme="majorBidi" w:cstheme="majorBidi"/>
          <w:sz w:val="24"/>
          <w:szCs w:val="24"/>
          <w:lang w:val="en-US"/>
        </w:rPr>
        <w:t xml:space="preserve"> </w:t>
      </w:r>
      <w:r w:rsidR="001F0C76">
        <w:rPr>
          <w:rFonts w:asciiTheme="majorBidi" w:hAnsiTheme="majorBidi" w:cstheme="majorBidi"/>
          <w:sz w:val="24"/>
          <w:szCs w:val="24"/>
          <w:lang w:val="en-US"/>
        </w:rPr>
        <w:t xml:space="preserve">the </w:t>
      </w:r>
      <w:r w:rsidR="00C56FD7">
        <w:rPr>
          <w:rFonts w:asciiTheme="majorBidi" w:hAnsiTheme="majorBidi" w:cstheme="majorBidi"/>
          <w:sz w:val="24"/>
          <w:szCs w:val="24"/>
          <w:lang w:val="en-US"/>
        </w:rPr>
        <w:t>Syrian pound lost</w:t>
      </w:r>
      <w:r w:rsidR="00C56FD7" w:rsidRPr="00782322">
        <w:rPr>
          <w:rFonts w:asciiTheme="majorBidi" w:hAnsiTheme="majorBidi" w:cstheme="majorBidi"/>
          <w:sz w:val="24"/>
          <w:szCs w:val="24"/>
          <w:lang w:val="en-US"/>
        </w:rPr>
        <w:t xml:space="preserve"> about 9</w:t>
      </w:r>
      <w:r w:rsidR="00C56FD7">
        <w:rPr>
          <w:rFonts w:asciiTheme="majorBidi" w:hAnsiTheme="majorBidi" w:cstheme="majorBidi"/>
          <w:sz w:val="24"/>
          <w:szCs w:val="24"/>
          <w:lang w:val="en-US"/>
        </w:rPr>
        <w:t>5</w:t>
      </w:r>
      <w:r w:rsidR="00C56FD7" w:rsidRPr="00782322">
        <w:rPr>
          <w:rFonts w:asciiTheme="majorBidi" w:hAnsiTheme="majorBidi" w:cstheme="majorBidi"/>
          <w:sz w:val="24"/>
          <w:szCs w:val="24"/>
          <w:lang w:val="en-US"/>
        </w:rPr>
        <w:t>% of its value</w:t>
      </w:r>
      <w:r w:rsidR="00C56FD7">
        <w:rPr>
          <w:rFonts w:asciiTheme="majorBidi" w:hAnsiTheme="majorBidi" w:cstheme="majorBidi"/>
          <w:sz w:val="24"/>
          <w:szCs w:val="24"/>
          <w:lang w:val="en-US"/>
        </w:rPr>
        <w:t xml:space="preserve"> </w:t>
      </w:r>
      <w:r w:rsidR="00C56FD7" w:rsidRPr="004E5F19">
        <w:rPr>
          <w:rFonts w:asciiTheme="majorBidi" w:hAnsiTheme="majorBidi" w:cstheme="majorBidi"/>
          <w:sz w:val="24"/>
          <w:szCs w:val="24"/>
          <w:lang w:val="en-US"/>
        </w:rPr>
        <w:t>against the U.S. dollar</w:t>
      </w:r>
      <w:r w:rsidR="00C56FD7" w:rsidRPr="00782322">
        <w:rPr>
          <w:rFonts w:asciiTheme="majorBidi" w:hAnsiTheme="majorBidi" w:cstheme="majorBidi"/>
          <w:sz w:val="24"/>
          <w:szCs w:val="24"/>
          <w:lang w:val="en-US"/>
        </w:rPr>
        <w:t xml:space="preserve"> since </w:t>
      </w:r>
      <w:r w:rsidR="00C56FD7" w:rsidRPr="004E5F19">
        <w:rPr>
          <w:rFonts w:asciiTheme="majorBidi" w:hAnsiTheme="majorBidi" w:cstheme="majorBidi"/>
          <w:sz w:val="24"/>
          <w:szCs w:val="24"/>
          <w:lang w:val="en-US"/>
        </w:rPr>
        <w:t>March 2011</w:t>
      </w:r>
      <w:r w:rsidR="00C56FD7">
        <w:rPr>
          <w:rFonts w:asciiTheme="majorBidi" w:hAnsiTheme="majorBidi" w:cstheme="majorBidi"/>
          <w:sz w:val="24"/>
          <w:szCs w:val="24"/>
          <w:lang w:val="en-US"/>
        </w:rPr>
        <w:t>.</w:t>
      </w:r>
      <w:r w:rsidR="000329B7">
        <w:rPr>
          <w:rFonts w:asciiTheme="majorBidi" w:hAnsiTheme="majorBidi" w:cstheme="majorBidi"/>
          <w:sz w:val="24"/>
          <w:szCs w:val="24"/>
          <w:lang w:val="en-US"/>
        </w:rPr>
        <w:t xml:space="preserve"> </w:t>
      </w:r>
      <w:r w:rsidR="000329B7" w:rsidRPr="00782322">
        <w:rPr>
          <w:rFonts w:asciiTheme="majorBidi" w:hAnsiTheme="majorBidi" w:cstheme="majorBidi"/>
          <w:sz w:val="24"/>
          <w:szCs w:val="24"/>
          <w:lang w:val="en-US"/>
        </w:rPr>
        <w:t xml:space="preserve">This decline came as a result of a set of factors: economic (deficit in the balance of payments, deterioration of foreign reserves, </w:t>
      </w:r>
      <w:r w:rsidR="000329B7">
        <w:rPr>
          <w:rFonts w:asciiTheme="majorBidi" w:hAnsiTheme="majorBidi" w:cstheme="majorBidi"/>
          <w:sz w:val="24"/>
          <w:szCs w:val="24"/>
          <w:lang w:val="en-US"/>
        </w:rPr>
        <w:t xml:space="preserve">the </w:t>
      </w:r>
      <w:r w:rsidR="000329B7" w:rsidRPr="00782322">
        <w:rPr>
          <w:rFonts w:asciiTheme="majorBidi" w:hAnsiTheme="majorBidi" w:cstheme="majorBidi"/>
          <w:sz w:val="24"/>
          <w:szCs w:val="24"/>
          <w:lang w:val="en-US"/>
        </w:rPr>
        <w:t>decline in domestic production</w:t>
      </w:r>
      <w:r w:rsidR="000329B7">
        <w:rPr>
          <w:rFonts w:asciiTheme="majorBidi" w:hAnsiTheme="majorBidi" w:cstheme="majorBidi"/>
          <w:sz w:val="24"/>
          <w:szCs w:val="24"/>
          <w:lang w:val="en-US"/>
        </w:rPr>
        <w:t>, etc.</w:t>
      </w:r>
      <w:r w:rsidR="000329B7" w:rsidRPr="00782322">
        <w:rPr>
          <w:rFonts w:asciiTheme="majorBidi" w:hAnsiTheme="majorBidi" w:cstheme="majorBidi"/>
          <w:sz w:val="24"/>
          <w:szCs w:val="24"/>
          <w:lang w:val="en-US"/>
        </w:rPr>
        <w:t>), and non-economic (security and military threats to the country</w:t>
      </w:r>
      <w:r w:rsidR="000329B7">
        <w:rPr>
          <w:rFonts w:asciiTheme="majorBidi" w:hAnsiTheme="majorBidi" w:cstheme="majorBidi"/>
          <w:sz w:val="24"/>
          <w:szCs w:val="24"/>
          <w:lang w:val="en-US"/>
        </w:rPr>
        <w:t>,</w:t>
      </w:r>
      <w:r w:rsidR="000329B7">
        <w:rPr>
          <w:rStyle w:val="FootnoteReference"/>
          <w:rFonts w:asciiTheme="majorBidi" w:hAnsiTheme="majorBidi" w:cstheme="majorBidi"/>
          <w:sz w:val="24"/>
          <w:szCs w:val="24"/>
          <w:lang w:val="en-US"/>
        </w:rPr>
        <w:footnoteReference w:id="79"/>
      </w:r>
      <w:r w:rsidR="000329B7">
        <w:rPr>
          <w:rFonts w:asciiTheme="majorBidi" w:hAnsiTheme="majorBidi" w:cstheme="majorBidi"/>
          <w:sz w:val="24"/>
          <w:szCs w:val="24"/>
          <w:lang w:val="en-US"/>
        </w:rPr>
        <w:t xml:space="preserve"> a</w:t>
      </w:r>
      <w:r w:rsidR="000329B7" w:rsidRPr="000B7DDD">
        <w:rPr>
          <w:rFonts w:asciiTheme="majorBidi" w:hAnsiTheme="majorBidi" w:cstheme="majorBidi"/>
          <w:sz w:val="24"/>
          <w:szCs w:val="24"/>
          <w:lang w:val="en-US"/>
        </w:rPr>
        <w:t>nd economic sanctions imposed on Syria</w:t>
      </w:r>
      <w:r w:rsidR="000329B7" w:rsidRPr="00782322">
        <w:rPr>
          <w:rFonts w:asciiTheme="majorBidi" w:hAnsiTheme="majorBidi" w:cstheme="majorBidi"/>
          <w:sz w:val="24"/>
          <w:szCs w:val="24"/>
          <w:lang w:val="en-US"/>
        </w:rPr>
        <w:t>).</w:t>
      </w:r>
    </w:p>
    <w:p w14:paraId="3038B5FF" w14:textId="4C197EB9" w:rsidR="00C56FD7" w:rsidRDefault="00074BC4"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710A0B">
        <w:rPr>
          <w:rFonts w:asciiTheme="majorBidi" w:hAnsiTheme="majorBidi" w:cstheme="majorBidi"/>
          <w:i/>
          <w:iCs/>
          <w:sz w:val="24"/>
          <w:szCs w:val="24"/>
          <w:lang w:val="en-US"/>
        </w:rPr>
        <w:t xml:space="preserve">Fig. </w:t>
      </w:r>
      <w:r w:rsidR="000329B7">
        <w:rPr>
          <w:rFonts w:asciiTheme="majorBidi" w:hAnsiTheme="majorBidi" w:cstheme="majorBidi"/>
          <w:i/>
          <w:iCs/>
          <w:sz w:val="24"/>
          <w:szCs w:val="24"/>
          <w:lang w:val="en-US"/>
        </w:rPr>
        <w:t>3.3</w:t>
      </w:r>
      <w:r w:rsidR="00C56FD7" w:rsidRPr="00710A0B">
        <w:rPr>
          <w:rFonts w:asciiTheme="majorBidi" w:hAnsiTheme="majorBidi" w:cstheme="majorBidi"/>
          <w:sz w:val="24"/>
          <w:szCs w:val="24"/>
          <w:lang w:val="en-US"/>
        </w:rPr>
        <w:t xml:space="preserve"> </w:t>
      </w:r>
      <w:r w:rsidR="00B06C40">
        <w:rPr>
          <w:rFonts w:asciiTheme="majorBidi" w:hAnsiTheme="majorBidi" w:cstheme="majorBidi"/>
          <w:sz w:val="24"/>
          <w:szCs w:val="24"/>
          <w:lang w:val="en-US"/>
        </w:rPr>
        <w:t>sho</w:t>
      </w:r>
      <w:r w:rsidR="00B06C40" w:rsidRPr="00B06C40">
        <w:rPr>
          <w:rFonts w:asciiTheme="majorBidi" w:hAnsiTheme="majorBidi" w:cstheme="majorBidi"/>
          <w:sz w:val="24"/>
          <w:szCs w:val="24"/>
          <w:lang w:val="en-US"/>
        </w:rPr>
        <w:t>ws the divergence between the official Syrian pound exchange rate issued by the Central Bank of Syria and the informal (black</w:t>
      </w:r>
      <w:r w:rsidR="00B06C40">
        <w:rPr>
          <w:rFonts w:asciiTheme="majorBidi" w:hAnsiTheme="majorBidi" w:cstheme="majorBidi"/>
          <w:sz w:val="24"/>
          <w:szCs w:val="24"/>
          <w:lang w:val="en-US"/>
        </w:rPr>
        <w:t xml:space="preserve"> market</w:t>
      </w:r>
      <w:r w:rsidR="00B06C40" w:rsidRPr="00B06C40">
        <w:rPr>
          <w:rFonts w:asciiTheme="majorBidi" w:hAnsiTheme="majorBidi" w:cstheme="majorBidi"/>
          <w:sz w:val="24"/>
          <w:szCs w:val="24"/>
          <w:lang w:val="en-US"/>
        </w:rPr>
        <w:t>) exchange rate</w:t>
      </w:r>
      <w:r w:rsidR="00C56FD7" w:rsidRPr="00DF2C04">
        <w:rPr>
          <w:rFonts w:asciiTheme="majorBidi" w:hAnsiTheme="majorBidi" w:cstheme="majorBidi"/>
          <w:sz w:val="24"/>
          <w:szCs w:val="24"/>
          <w:lang w:val="en-US"/>
        </w:rPr>
        <w:t>.</w:t>
      </w:r>
    </w:p>
    <w:p w14:paraId="372F5CAA" w14:textId="5EF7DB1F" w:rsidR="000329B7" w:rsidRDefault="00B06C40"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B06C40">
        <w:rPr>
          <w:rFonts w:asciiTheme="majorBidi" w:hAnsiTheme="majorBidi" w:cstheme="majorBidi"/>
          <w:sz w:val="24"/>
          <w:szCs w:val="24"/>
          <w:lang w:val="en-US"/>
        </w:rPr>
        <w:t>Central Bank of Syria adopted an intervention policy by injecting the U.S. dollar into the market to preserve the Syrian pound value</w:t>
      </w:r>
      <w:r w:rsidR="000329B7">
        <w:rPr>
          <w:rFonts w:asciiTheme="majorBidi" w:hAnsiTheme="majorBidi" w:cstheme="majorBidi"/>
          <w:sz w:val="24"/>
          <w:szCs w:val="24"/>
          <w:lang w:val="en-US"/>
        </w:rPr>
        <w:t>.</w:t>
      </w:r>
      <w:r w:rsidR="000329B7" w:rsidRPr="00961E29">
        <w:rPr>
          <w:rFonts w:asciiTheme="majorBidi" w:hAnsiTheme="majorBidi" w:cstheme="majorBidi"/>
          <w:sz w:val="24"/>
          <w:szCs w:val="24"/>
          <w:lang w:val="en-US"/>
        </w:rPr>
        <w:t xml:space="preserve"> </w:t>
      </w:r>
      <w:r w:rsidR="000329B7" w:rsidRPr="004E5F19">
        <w:rPr>
          <w:rFonts w:asciiTheme="majorBidi" w:hAnsiTheme="majorBidi" w:cstheme="majorBidi"/>
          <w:sz w:val="24"/>
          <w:szCs w:val="24"/>
          <w:lang w:val="en-US"/>
        </w:rPr>
        <w:t>Over the past year</w:t>
      </w:r>
      <w:r w:rsidR="000329B7">
        <w:rPr>
          <w:rFonts w:asciiTheme="majorBidi" w:hAnsiTheme="majorBidi" w:cstheme="majorBidi"/>
          <w:sz w:val="24"/>
          <w:szCs w:val="24"/>
          <w:lang w:val="en-US"/>
        </w:rPr>
        <w:t>s</w:t>
      </w:r>
      <w:r w:rsidR="000329B7" w:rsidRPr="004E5F19">
        <w:rPr>
          <w:rFonts w:asciiTheme="majorBidi" w:hAnsiTheme="majorBidi" w:cstheme="majorBidi"/>
          <w:sz w:val="24"/>
          <w:szCs w:val="24"/>
          <w:lang w:val="en-US"/>
        </w:rPr>
        <w:t xml:space="preserve">, the central bank has taken </w:t>
      </w:r>
      <w:r w:rsidR="000329B7" w:rsidRPr="00C201C3">
        <w:rPr>
          <w:rFonts w:asciiTheme="majorBidi" w:hAnsiTheme="majorBidi" w:cstheme="majorBidi"/>
          <w:sz w:val="24"/>
          <w:szCs w:val="24"/>
          <w:lang w:val="en-US"/>
        </w:rPr>
        <w:t xml:space="preserve">several </w:t>
      </w:r>
      <w:r w:rsidR="000329B7" w:rsidRPr="004E5F19">
        <w:rPr>
          <w:rFonts w:asciiTheme="majorBidi" w:hAnsiTheme="majorBidi" w:cstheme="majorBidi"/>
          <w:sz w:val="24"/>
          <w:szCs w:val="24"/>
          <w:lang w:val="en-US"/>
        </w:rPr>
        <w:t>steps to ease pressure on the exchange rate and stop the decline in the international reserves. Firstly,</w:t>
      </w:r>
      <w:r w:rsidR="000329B7" w:rsidRPr="00C534E4">
        <w:rPr>
          <w:rFonts w:asciiTheme="majorBidi" w:hAnsiTheme="majorBidi" w:cstheme="majorBidi"/>
          <w:sz w:val="24"/>
          <w:szCs w:val="24"/>
          <w:lang w:val="en-US"/>
        </w:rPr>
        <w:t xml:space="preserve"> </w:t>
      </w:r>
      <w:r w:rsidR="000329B7" w:rsidRPr="004E5F19">
        <w:rPr>
          <w:rFonts w:asciiTheme="majorBidi" w:hAnsiTheme="majorBidi" w:cstheme="majorBidi"/>
          <w:sz w:val="24"/>
          <w:szCs w:val="24"/>
          <w:lang w:val="en-US"/>
        </w:rPr>
        <w:t>in August 2013</w:t>
      </w:r>
      <w:r w:rsidR="000329B7">
        <w:rPr>
          <w:rFonts w:asciiTheme="majorBidi" w:hAnsiTheme="majorBidi" w:cstheme="majorBidi"/>
          <w:sz w:val="24"/>
          <w:szCs w:val="24"/>
          <w:lang w:val="en-US"/>
        </w:rPr>
        <w:t>,</w:t>
      </w:r>
      <w:r w:rsidR="000329B7" w:rsidRPr="004E5F19">
        <w:rPr>
          <w:rFonts w:asciiTheme="majorBidi" w:hAnsiTheme="majorBidi" w:cstheme="majorBidi"/>
          <w:sz w:val="24"/>
          <w:szCs w:val="24"/>
          <w:lang w:val="en-US"/>
        </w:rPr>
        <w:t xml:space="preserve"> the use of foreign currency in business operations was banned</w:t>
      </w:r>
      <w:r w:rsidR="003F593A">
        <w:rPr>
          <w:rFonts w:asciiTheme="majorBidi" w:hAnsiTheme="majorBidi" w:cstheme="majorBidi"/>
          <w:sz w:val="24"/>
          <w:szCs w:val="24"/>
          <w:lang w:val="en-US"/>
        </w:rPr>
        <w:t>;</w:t>
      </w:r>
      <w:r w:rsidR="000329B7">
        <w:rPr>
          <w:rFonts w:asciiTheme="majorBidi" w:hAnsiTheme="majorBidi" w:cstheme="majorBidi"/>
          <w:sz w:val="24"/>
          <w:szCs w:val="24"/>
          <w:lang w:val="en-US"/>
        </w:rPr>
        <w:t xml:space="preserve"> </w:t>
      </w:r>
      <w:r w:rsidR="000329B7" w:rsidRPr="004E5F19">
        <w:rPr>
          <w:rFonts w:asciiTheme="majorBidi" w:hAnsiTheme="majorBidi" w:cstheme="majorBidi"/>
          <w:sz w:val="24"/>
          <w:szCs w:val="24"/>
          <w:lang w:val="en-US"/>
        </w:rPr>
        <w:t xml:space="preserve">in 2014, </w:t>
      </w:r>
      <w:r w:rsidR="003F593A">
        <w:rPr>
          <w:rFonts w:asciiTheme="majorBidi" w:hAnsiTheme="majorBidi" w:cstheme="majorBidi"/>
          <w:sz w:val="24"/>
          <w:szCs w:val="24"/>
          <w:lang w:val="en-US"/>
        </w:rPr>
        <w:t>exporters were</w:t>
      </w:r>
      <w:r w:rsidR="000329B7" w:rsidRPr="004E5F19">
        <w:rPr>
          <w:rFonts w:asciiTheme="majorBidi" w:hAnsiTheme="majorBidi" w:cstheme="majorBidi"/>
          <w:sz w:val="24"/>
          <w:szCs w:val="24"/>
          <w:lang w:val="en-US"/>
        </w:rPr>
        <w:t xml:space="preserve"> forced to surrender 50 per</w:t>
      </w:r>
      <w:r w:rsidR="00985C2D">
        <w:rPr>
          <w:rFonts w:asciiTheme="majorBidi" w:hAnsiTheme="majorBidi" w:cstheme="majorBidi"/>
          <w:sz w:val="24"/>
          <w:szCs w:val="24"/>
          <w:lang w:val="en-US"/>
        </w:rPr>
        <w:t xml:space="preserve"> </w:t>
      </w:r>
      <w:r w:rsidR="000329B7" w:rsidRPr="004E5F19">
        <w:rPr>
          <w:rFonts w:asciiTheme="majorBidi" w:hAnsiTheme="majorBidi" w:cstheme="majorBidi"/>
          <w:sz w:val="24"/>
          <w:szCs w:val="24"/>
          <w:lang w:val="en-US"/>
        </w:rPr>
        <w:t xml:space="preserve">cent of their foreign exchange earnings, then in April 2015, </w:t>
      </w:r>
      <w:r w:rsidR="000329B7">
        <w:rPr>
          <w:rFonts w:asciiTheme="majorBidi" w:hAnsiTheme="majorBidi" w:cstheme="majorBidi"/>
          <w:sz w:val="24"/>
          <w:szCs w:val="24"/>
          <w:lang w:val="en-US"/>
        </w:rPr>
        <w:t>this</w:t>
      </w:r>
      <w:r w:rsidR="000329B7" w:rsidRPr="004E5F19">
        <w:rPr>
          <w:rFonts w:asciiTheme="majorBidi" w:hAnsiTheme="majorBidi" w:cstheme="majorBidi"/>
          <w:sz w:val="24"/>
          <w:szCs w:val="24"/>
          <w:lang w:val="en-US"/>
        </w:rPr>
        <w:t xml:space="preserve"> rate increased to 100 per</w:t>
      </w:r>
      <w:r w:rsidR="00985C2D">
        <w:rPr>
          <w:rFonts w:asciiTheme="majorBidi" w:hAnsiTheme="majorBidi" w:cstheme="majorBidi"/>
          <w:sz w:val="24"/>
          <w:szCs w:val="24"/>
          <w:lang w:val="en-US"/>
        </w:rPr>
        <w:t xml:space="preserve"> </w:t>
      </w:r>
      <w:r w:rsidR="000329B7" w:rsidRPr="004E5F19">
        <w:rPr>
          <w:rFonts w:asciiTheme="majorBidi" w:hAnsiTheme="majorBidi" w:cstheme="majorBidi"/>
          <w:sz w:val="24"/>
          <w:szCs w:val="24"/>
          <w:lang w:val="en-US"/>
        </w:rPr>
        <w:t>cent</w:t>
      </w:r>
      <w:r w:rsidR="000329B7">
        <w:rPr>
          <w:rFonts w:asciiTheme="majorBidi" w:hAnsiTheme="majorBidi" w:cstheme="majorBidi"/>
          <w:sz w:val="24"/>
          <w:szCs w:val="24"/>
          <w:lang w:val="en-US"/>
        </w:rPr>
        <w:t xml:space="preserve"> </w:t>
      </w:r>
      <w:r w:rsidR="000329B7" w:rsidRPr="004E5F19">
        <w:rPr>
          <w:rFonts w:asciiTheme="majorBidi" w:hAnsiTheme="majorBidi" w:cstheme="majorBidi"/>
          <w:sz w:val="24"/>
          <w:szCs w:val="24"/>
          <w:lang w:val="en-US"/>
        </w:rPr>
        <w:t>of their foreign exchange earnings.</w:t>
      </w:r>
      <w:r w:rsidR="000329B7">
        <w:rPr>
          <w:rStyle w:val="FootnoteReference"/>
          <w:rFonts w:asciiTheme="majorBidi" w:hAnsiTheme="majorBidi" w:cstheme="majorBidi"/>
          <w:sz w:val="24"/>
          <w:szCs w:val="24"/>
          <w:lang w:val="en-US"/>
        </w:rPr>
        <w:footnoteReference w:id="80"/>
      </w:r>
      <w:r w:rsidR="000329B7">
        <w:rPr>
          <w:rFonts w:asciiTheme="majorBidi" w:hAnsiTheme="majorBidi" w:cstheme="majorBidi"/>
          <w:sz w:val="24"/>
          <w:szCs w:val="24"/>
          <w:lang w:val="en-US"/>
        </w:rPr>
        <w:t xml:space="preserve"> However, since </w:t>
      </w:r>
      <w:r w:rsidR="000329B7" w:rsidRPr="00D63318">
        <w:rPr>
          <w:rFonts w:asciiTheme="majorBidi" w:hAnsiTheme="majorBidi" w:cstheme="majorBidi"/>
          <w:sz w:val="24"/>
          <w:szCs w:val="24"/>
          <w:lang w:val="en-US"/>
        </w:rPr>
        <w:t xml:space="preserve">July </w:t>
      </w:r>
      <w:r w:rsidR="000329B7">
        <w:rPr>
          <w:rFonts w:asciiTheme="majorBidi" w:hAnsiTheme="majorBidi" w:cstheme="majorBidi"/>
          <w:sz w:val="24"/>
          <w:szCs w:val="24"/>
          <w:lang w:val="en-US"/>
        </w:rPr>
        <w:t>2016</w:t>
      </w:r>
      <w:r w:rsidR="000B31B1">
        <w:rPr>
          <w:rFonts w:asciiTheme="majorBidi" w:hAnsiTheme="majorBidi" w:cstheme="majorBidi"/>
          <w:sz w:val="24"/>
          <w:szCs w:val="24"/>
          <w:lang w:val="en-US"/>
        </w:rPr>
        <w:t>,</w:t>
      </w:r>
      <w:r w:rsidR="000329B7">
        <w:rPr>
          <w:rFonts w:asciiTheme="majorBidi" w:hAnsiTheme="majorBidi" w:cstheme="majorBidi"/>
          <w:sz w:val="24"/>
          <w:szCs w:val="24"/>
          <w:lang w:val="en-US"/>
        </w:rPr>
        <w:t xml:space="preserve"> t</w:t>
      </w:r>
      <w:r w:rsidR="000329B7" w:rsidRPr="00D63318">
        <w:rPr>
          <w:rFonts w:asciiTheme="majorBidi" w:hAnsiTheme="majorBidi" w:cstheme="majorBidi"/>
          <w:sz w:val="24"/>
          <w:szCs w:val="24"/>
          <w:lang w:val="en-US"/>
        </w:rPr>
        <w:t xml:space="preserve">he central bank pursued </w:t>
      </w:r>
      <w:r w:rsidR="000329B7">
        <w:rPr>
          <w:rFonts w:asciiTheme="majorBidi" w:hAnsiTheme="majorBidi" w:cstheme="majorBidi"/>
          <w:sz w:val="24"/>
          <w:szCs w:val="24"/>
          <w:lang w:val="en-US"/>
        </w:rPr>
        <w:lastRenderedPageBreak/>
        <w:t xml:space="preserve">a </w:t>
      </w:r>
      <w:r w:rsidR="000329B7" w:rsidRPr="00D63318">
        <w:rPr>
          <w:rFonts w:asciiTheme="majorBidi" w:hAnsiTheme="majorBidi" w:cstheme="majorBidi"/>
          <w:sz w:val="24"/>
          <w:szCs w:val="24"/>
          <w:lang w:val="en-US"/>
        </w:rPr>
        <w:t xml:space="preserve">policy of no longer intervening directly in the market to protect the value of </w:t>
      </w:r>
      <w:r w:rsidR="003F593A">
        <w:rPr>
          <w:rFonts w:asciiTheme="majorBidi" w:hAnsiTheme="majorBidi" w:cstheme="majorBidi"/>
          <w:sz w:val="24"/>
          <w:szCs w:val="24"/>
          <w:lang w:val="en-US"/>
        </w:rPr>
        <w:t xml:space="preserve">the </w:t>
      </w:r>
      <w:r w:rsidR="000329B7">
        <w:rPr>
          <w:rFonts w:asciiTheme="majorBidi" w:hAnsiTheme="majorBidi" w:cstheme="majorBidi"/>
          <w:sz w:val="24"/>
          <w:szCs w:val="24"/>
          <w:lang w:val="en-US"/>
        </w:rPr>
        <w:t>Syrian pound</w:t>
      </w:r>
      <w:r w:rsidR="000B31B1">
        <w:rPr>
          <w:rFonts w:asciiTheme="majorBidi" w:hAnsiTheme="majorBidi" w:cstheme="majorBidi"/>
          <w:sz w:val="24"/>
          <w:szCs w:val="24"/>
          <w:lang w:val="en-US"/>
        </w:rPr>
        <w:t>.</w:t>
      </w:r>
      <w:r w:rsidR="000329B7">
        <w:rPr>
          <w:rFonts w:asciiTheme="majorBidi" w:hAnsiTheme="majorBidi" w:cstheme="majorBidi"/>
          <w:sz w:val="24"/>
          <w:szCs w:val="24"/>
          <w:lang w:val="en-US"/>
        </w:rPr>
        <w:t xml:space="preserve"> </w:t>
      </w:r>
      <w:r w:rsidR="000B31B1">
        <w:rPr>
          <w:rFonts w:asciiTheme="majorBidi" w:hAnsiTheme="majorBidi" w:cstheme="majorBidi"/>
          <w:sz w:val="24"/>
          <w:szCs w:val="24"/>
          <w:lang w:val="en-US"/>
        </w:rPr>
        <w:t>T</w:t>
      </w:r>
      <w:r w:rsidR="000329B7" w:rsidRPr="00D63318">
        <w:rPr>
          <w:rFonts w:asciiTheme="majorBidi" w:hAnsiTheme="majorBidi" w:cstheme="majorBidi"/>
          <w:sz w:val="24"/>
          <w:szCs w:val="24"/>
          <w:lang w:val="en-US"/>
        </w:rPr>
        <w:t xml:space="preserve">he main reason was to </w:t>
      </w:r>
      <w:r w:rsidR="000329B7">
        <w:rPr>
          <w:rFonts w:asciiTheme="majorBidi" w:hAnsiTheme="majorBidi" w:cstheme="majorBidi"/>
          <w:sz w:val="24"/>
          <w:szCs w:val="24"/>
          <w:lang w:val="en-US"/>
        </w:rPr>
        <w:t xml:space="preserve">preserve the </w:t>
      </w:r>
      <w:r w:rsidR="000329B7" w:rsidRPr="00D63318">
        <w:rPr>
          <w:rFonts w:asciiTheme="majorBidi" w:hAnsiTheme="majorBidi" w:cstheme="majorBidi"/>
          <w:sz w:val="24"/>
          <w:szCs w:val="24"/>
          <w:lang w:val="en-US"/>
        </w:rPr>
        <w:t>remaining national foreign exchange reserves and stop speculation on the pound</w:t>
      </w:r>
      <w:r w:rsidR="002E467D">
        <w:rPr>
          <w:rFonts w:asciiTheme="majorBidi" w:hAnsiTheme="majorBidi" w:cstheme="majorBidi"/>
          <w:sz w:val="24"/>
          <w:szCs w:val="24"/>
          <w:lang w:val="en-US"/>
        </w:rPr>
        <w:t>,</w:t>
      </w:r>
      <w:r w:rsidR="000329B7">
        <w:rPr>
          <w:rStyle w:val="FootnoteReference"/>
          <w:rFonts w:asciiTheme="majorBidi" w:hAnsiTheme="majorBidi" w:cstheme="majorBidi"/>
          <w:sz w:val="24"/>
          <w:szCs w:val="24"/>
          <w:lang w:val="en-US"/>
        </w:rPr>
        <w:footnoteReference w:id="81"/>
      </w:r>
      <w:r w:rsidR="000329B7">
        <w:rPr>
          <w:rFonts w:asciiTheme="majorBidi" w:hAnsiTheme="majorBidi" w:cstheme="majorBidi"/>
          <w:sz w:val="24"/>
          <w:szCs w:val="24"/>
          <w:lang w:val="en-US"/>
        </w:rPr>
        <w:t xml:space="preserve"> which has </w:t>
      </w:r>
      <w:r w:rsidR="000329B7" w:rsidRPr="00C201C3">
        <w:rPr>
          <w:rFonts w:asciiTheme="majorBidi" w:hAnsiTheme="majorBidi" w:cstheme="majorBidi"/>
          <w:sz w:val="24"/>
          <w:szCs w:val="24"/>
          <w:lang w:val="en-US"/>
        </w:rPr>
        <w:t xml:space="preserve">declined </w:t>
      </w:r>
      <w:r w:rsidR="000329B7" w:rsidRPr="00B96905">
        <w:rPr>
          <w:rFonts w:asciiTheme="majorBidi" w:hAnsiTheme="majorBidi" w:cstheme="majorBidi"/>
          <w:sz w:val="24"/>
          <w:szCs w:val="24"/>
          <w:lang w:val="en-US"/>
        </w:rPr>
        <w:t>from $18 bn to $0.7 bn by the end of 2015.</w:t>
      </w:r>
      <w:r w:rsidR="000329B7">
        <w:rPr>
          <w:rStyle w:val="FootnoteReference"/>
          <w:rFonts w:asciiTheme="majorBidi" w:hAnsiTheme="majorBidi" w:cstheme="majorBidi"/>
          <w:sz w:val="24"/>
          <w:szCs w:val="24"/>
          <w:lang w:val="en-US"/>
        </w:rPr>
        <w:footnoteReference w:id="82"/>
      </w:r>
      <w:r w:rsidR="000329B7" w:rsidRPr="006130AD">
        <w:rPr>
          <w:rFonts w:asciiTheme="majorBidi" w:hAnsiTheme="majorBidi" w:cstheme="majorBidi"/>
          <w:sz w:val="24"/>
          <w:szCs w:val="24"/>
          <w:highlight w:val="yellow"/>
          <w:lang w:val="en-US"/>
        </w:rPr>
        <w:t xml:space="preserve"> </w:t>
      </w:r>
    </w:p>
    <w:p w14:paraId="39ECC483" w14:textId="4B3B9D98" w:rsidR="00C534E4" w:rsidRDefault="00C534E4" w:rsidP="000329B7">
      <w:pPr>
        <w:autoSpaceDE w:val="0"/>
        <w:adjustRightInd w:val="0"/>
        <w:spacing w:line="360" w:lineRule="auto"/>
        <w:rPr>
          <w:rFonts w:asciiTheme="majorBidi" w:hAnsiTheme="majorBidi" w:cstheme="majorBidi"/>
          <w:sz w:val="24"/>
          <w:szCs w:val="24"/>
          <w:lang w:val="en-US"/>
        </w:rPr>
      </w:pPr>
      <w:r>
        <w:rPr>
          <w:noProof/>
        </w:rPr>
        <w:drawing>
          <wp:inline distT="0" distB="0" distL="0" distR="0" wp14:anchorId="4919BF69" wp14:editId="3D5C27CF">
            <wp:extent cx="6057900" cy="2766060"/>
            <wp:effectExtent l="0" t="0" r="0" b="15240"/>
            <wp:docPr id="11" name="Chart 11">
              <a:extLst xmlns:a="http://schemas.openxmlformats.org/drawingml/2006/main">
                <a:ext uri="{FF2B5EF4-FFF2-40B4-BE49-F238E27FC236}">
                  <a16:creationId xmlns:a16="http://schemas.microsoft.com/office/drawing/2014/main" id="{AAC0E384-632A-4DF9-B8D5-9BA0ED104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8A3004" w14:textId="3F310FF1" w:rsidR="00C534E4" w:rsidRPr="00710A0B" w:rsidRDefault="00C534E4" w:rsidP="00C534E4">
      <w:pPr>
        <w:autoSpaceDE w:val="0"/>
        <w:adjustRightInd w:val="0"/>
        <w:spacing w:after="0" w:line="360" w:lineRule="auto"/>
        <w:jc w:val="both"/>
        <w:rPr>
          <w:rFonts w:asciiTheme="majorBidi" w:hAnsiTheme="majorBidi" w:cstheme="majorBidi"/>
          <w:sz w:val="24"/>
          <w:szCs w:val="24"/>
          <w:lang w:val="en-US"/>
        </w:rPr>
      </w:pPr>
      <w:r w:rsidRPr="00332025">
        <w:rPr>
          <w:rFonts w:asciiTheme="majorBidi" w:hAnsiTheme="majorBidi" w:cstheme="majorBidi"/>
          <w:i/>
          <w:iCs/>
          <w:sz w:val="24"/>
          <w:szCs w:val="24"/>
          <w:lang w:val="en-US"/>
        </w:rPr>
        <w:t xml:space="preserve">Fig. </w:t>
      </w:r>
      <w:r w:rsidR="000329B7">
        <w:rPr>
          <w:rFonts w:asciiTheme="majorBidi" w:hAnsiTheme="majorBidi" w:cstheme="majorBidi"/>
          <w:i/>
          <w:iCs/>
          <w:sz w:val="24"/>
          <w:szCs w:val="24"/>
          <w:lang w:val="en-US"/>
        </w:rPr>
        <w:t>3.3</w:t>
      </w:r>
      <w:r>
        <w:rPr>
          <w:rFonts w:asciiTheme="majorBidi" w:hAnsiTheme="majorBidi" w:cstheme="majorBidi"/>
          <w:sz w:val="24"/>
          <w:szCs w:val="24"/>
          <w:lang w:val="en-US"/>
        </w:rPr>
        <w:t>.</w:t>
      </w:r>
      <w:r w:rsidRPr="00710A0B">
        <w:rPr>
          <w:rFonts w:asciiTheme="majorBidi" w:hAnsiTheme="majorBidi" w:cstheme="majorBidi"/>
          <w:sz w:val="24"/>
          <w:szCs w:val="24"/>
          <w:lang w:val="en-US"/>
        </w:rPr>
        <w:t xml:space="preserve"> The development of the exchange rate of the Syrian </w:t>
      </w:r>
      <w:r w:rsidR="00060957">
        <w:rPr>
          <w:rFonts w:asciiTheme="majorBidi" w:hAnsiTheme="majorBidi" w:cstheme="majorBidi"/>
          <w:sz w:val="24"/>
          <w:szCs w:val="24"/>
          <w:lang w:val="en-US"/>
        </w:rPr>
        <w:t>p</w:t>
      </w:r>
      <w:r w:rsidRPr="00710A0B">
        <w:rPr>
          <w:rFonts w:asciiTheme="majorBidi" w:hAnsiTheme="majorBidi" w:cstheme="majorBidi"/>
          <w:sz w:val="24"/>
          <w:szCs w:val="24"/>
          <w:lang w:val="en-US"/>
        </w:rPr>
        <w:t>ound in the formal and informal (black) markets</w:t>
      </w:r>
    </w:p>
    <w:p w14:paraId="6D60E4CA" w14:textId="659E2254" w:rsidR="00C534E4" w:rsidRPr="005B6607" w:rsidRDefault="00C534E4" w:rsidP="00C534E4">
      <w:pPr>
        <w:autoSpaceDE w:val="0"/>
        <w:adjustRightInd w:val="0"/>
        <w:spacing w:line="360" w:lineRule="auto"/>
        <w:jc w:val="both"/>
        <w:rPr>
          <w:rStyle w:val="Hyperlink"/>
          <w:lang w:val="en-US"/>
        </w:rPr>
      </w:pPr>
      <w:r w:rsidRPr="002746BC">
        <w:rPr>
          <w:rFonts w:ascii="Times New Roman" w:hAnsi="Times New Roman" w:cs="Times New Roman"/>
          <w:i/>
          <w:iCs/>
          <w:lang w:val="en-US"/>
        </w:rPr>
        <w:t xml:space="preserve">Source: </w:t>
      </w:r>
      <w:r w:rsidR="003F7D25" w:rsidRPr="009738BC">
        <w:rPr>
          <w:rFonts w:ascii="Times New Roman" w:hAnsi="Times New Roman" w:cs="Times New Roman"/>
          <w:lang w:val="en-US"/>
        </w:rPr>
        <w:t xml:space="preserve">compiled by </w:t>
      </w:r>
      <w:r w:rsidR="003F7D25">
        <w:rPr>
          <w:rFonts w:ascii="Times New Roman" w:hAnsi="Times New Roman" w:cs="Times New Roman"/>
          <w:lang w:val="en-US"/>
        </w:rPr>
        <w:t xml:space="preserve">the </w:t>
      </w:r>
      <w:r w:rsidR="003F7D25" w:rsidRPr="009738BC">
        <w:rPr>
          <w:rFonts w:ascii="Times New Roman" w:hAnsi="Times New Roman" w:cs="Times New Roman"/>
          <w:lang w:val="en-US"/>
        </w:rPr>
        <w:t>author based on</w:t>
      </w:r>
      <w:r w:rsidR="003F7D25" w:rsidRPr="00345605">
        <w:rPr>
          <w:rFonts w:ascii="Times New Roman" w:hAnsi="Times New Roman" w:cs="Times New Roman"/>
          <w:lang w:val="en-US"/>
        </w:rPr>
        <w:t xml:space="preserve"> </w:t>
      </w:r>
      <w:r w:rsidRPr="003F7D25">
        <w:rPr>
          <w:rFonts w:ascii="Times New Roman" w:hAnsi="Times New Roman" w:cs="Times New Roman"/>
          <w:lang w:val="en-US"/>
        </w:rPr>
        <w:t>Central Bank of Syria.</w:t>
      </w:r>
      <w:r w:rsidRPr="002746BC">
        <w:rPr>
          <w:rStyle w:val="FootnoteReference"/>
          <w:rFonts w:asciiTheme="majorBidi" w:hAnsiTheme="majorBidi" w:cstheme="majorBidi"/>
          <w:sz w:val="24"/>
          <w:szCs w:val="24"/>
          <w:lang w:val="en-US"/>
        </w:rPr>
        <w:footnoteReference w:id="83"/>
      </w:r>
    </w:p>
    <w:p w14:paraId="5DCE7E26" w14:textId="2CFB53FA" w:rsidR="00C56FD7" w:rsidRPr="004E5F19"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At</w:t>
      </w:r>
      <w:r w:rsidRPr="003E22AF">
        <w:rPr>
          <w:rFonts w:asciiTheme="majorBidi" w:hAnsiTheme="majorBidi" w:cstheme="majorBidi"/>
          <w:sz w:val="24"/>
          <w:szCs w:val="24"/>
          <w:lang w:val="en-US"/>
        </w:rPr>
        <w:t xml:space="preserve"> the beginning of 2020, Legislative Decree No.3 of 2020 was issued, which tightens the penalty for non-Syrian pounds as a means of payment in Syria</w:t>
      </w:r>
      <w:r>
        <w:rPr>
          <w:rFonts w:asciiTheme="majorBidi" w:hAnsiTheme="majorBidi" w:cstheme="majorBidi"/>
          <w:sz w:val="24"/>
          <w:szCs w:val="24"/>
          <w:lang w:val="en-US"/>
        </w:rPr>
        <w:t xml:space="preserve">, to become </w:t>
      </w:r>
      <w:r w:rsidR="000B31B1">
        <w:rPr>
          <w:rFonts w:asciiTheme="majorBidi" w:hAnsiTheme="majorBidi" w:cstheme="majorBidi"/>
          <w:sz w:val="24"/>
          <w:szCs w:val="24"/>
          <w:lang w:val="en-US"/>
        </w:rPr>
        <w:t>seven</w:t>
      </w:r>
      <w:r w:rsidRPr="00EA4C72">
        <w:rPr>
          <w:rFonts w:asciiTheme="majorBidi" w:hAnsiTheme="majorBidi" w:cstheme="majorBidi"/>
          <w:sz w:val="24"/>
          <w:szCs w:val="24"/>
          <w:lang w:val="en-US"/>
        </w:rPr>
        <w:t xml:space="preserve"> years imprisonment</w:t>
      </w:r>
      <w:r>
        <w:rPr>
          <w:rFonts w:asciiTheme="majorBidi" w:hAnsiTheme="majorBidi" w:cstheme="majorBidi"/>
          <w:sz w:val="24"/>
          <w:szCs w:val="24"/>
          <w:lang w:val="en-US"/>
        </w:rPr>
        <w:t xml:space="preserve"> </w:t>
      </w:r>
      <w:r w:rsidRPr="00EA4C72">
        <w:rPr>
          <w:rFonts w:asciiTheme="majorBidi" w:hAnsiTheme="majorBidi" w:cstheme="majorBidi"/>
          <w:sz w:val="24"/>
          <w:szCs w:val="24"/>
          <w:lang w:val="en-US"/>
        </w:rPr>
        <w:t xml:space="preserve">with hard </w:t>
      </w:r>
      <w:r w:rsidR="000B31B1" w:rsidRPr="00EA4C72">
        <w:rPr>
          <w:rFonts w:asciiTheme="majorBidi" w:hAnsiTheme="majorBidi" w:cstheme="majorBidi"/>
          <w:sz w:val="24"/>
          <w:szCs w:val="24"/>
          <w:lang w:val="en-US"/>
        </w:rPr>
        <w:t>labo</w:t>
      </w:r>
      <w:r w:rsidR="000B31B1">
        <w:rPr>
          <w:rFonts w:asciiTheme="majorBidi" w:hAnsiTheme="majorBidi" w:cstheme="majorBidi"/>
          <w:sz w:val="24"/>
          <w:szCs w:val="24"/>
          <w:lang w:val="en-US"/>
        </w:rPr>
        <w:t>r</w:t>
      </w:r>
      <w:r>
        <w:rPr>
          <w:rFonts w:asciiTheme="majorBidi" w:hAnsiTheme="majorBidi" w:cstheme="majorBidi"/>
          <w:sz w:val="24"/>
          <w:szCs w:val="24"/>
          <w:lang w:val="en-US"/>
        </w:rPr>
        <w:t xml:space="preserve"> a</w:t>
      </w:r>
      <w:r w:rsidRPr="00EA4C72">
        <w:rPr>
          <w:rFonts w:asciiTheme="majorBidi" w:hAnsiTheme="majorBidi" w:cstheme="majorBidi"/>
          <w:sz w:val="24"/>
          <w:szCs w:val="24"/>
          <w:lang w:val="en-US"/>
        </w:rPr>
        <w:t>nd a financial fine equal to twice the value of the amount used.</w:t>
      </w:r>
      <w:r>
        <w:rPr>
          <w:rStyle w:val="FootnoteReference"/>
          <w:rFonts w:asciiTheme="majorBidi" w:hAnsiTheme="majorBidi" w:cstheme="majorBidi"/>
          <w:sz w:val="24"/>
          <w:szCs w:val="24"/>
          <w:lang w:val="en-US"/>
        </w:rPr>
        <w:footnoteReference w:id="84"/>
      </w:r>
    </w:p>
    <w:p w14:paraId="020A3D8F" w14:textId="2D7F0A19" w:rsidR="00C56FD7" w:rsidRDefault="00C56FD7" w:rsidP="00634054">
      <w:pPr>
        <w:suppressAutoHyphens/>
        <w:autoSpaceDE w:val="0"/>
        <w:adjustRightInd w:val="0"/>
        <w:spacing w:before="240" w:line="360" w:lineRule="auto"/>
        <w:ind w:firstLine="567"/>
        <w:jc w:val="both"/>
        <w:rPr>
          <w:rFonts w:asciiTheme="majorBidi" w:hAnsiTheme="majorBidi" w:cstheme="majorBidi"/>
          <w:sz w:val="24"/>
          <w:szCs w:val="24"/>
          <w:lang w:val="en-US"/>
        </w:rPr>
      </w:pPr>
      <w:r w:rsidRPr="003C2E46">
        <w:rPr>
          <w:rFonts w:asciiTheme="majorBidi" w:hAnsiTheme="majorBidi" w:cstheme="majorBidi"/>
          <w:b/>
          <w:bCs/>
          <w:sz w:val="24"/>
          <w:szCs w:val="24"/>
          <w:lang w:val="en-US"/>
        </w:rPr>
        <w:t xml:space="preserve">Government </w:t>
      </w:r>
      <w:r w:rsidR="00102EB0">
        <w:rPr>
          <w:rFonts w:asciiTheme="majorBidi" w:hAnsiTheme="majorBidi" w:cstheme="majorBidi"/>
          <w:b/>
          <w:bCs/>
          <w:sz w:val="24"/>
          <w:szCs w:val="24"/>
          <w:lang w:val="en-US"/>
        </w:rPr>
        <w:t>b</w:t>
      </w:r>
      <w:r w:rsidRPr="003C2E46">
        <w:rPr>
          <w:rFonts w:asciiTheme="majorBidi" w:hAnsiTheme="majorBidi" w:cstheme="majorBidi"/>
          <w:b/>
          <w:bCs/>
          <w:sz w:val="24"/>
          <w:szCs w:val="24"/>
          <w:lang w:val="en-US"/>
        </w:rPr>
        <w:t>udget</w:t>
      </w:r>
      <w:r w:rsidR="000329B7">
        <w:rPr>
          <w:rFonts w:asciiTheme="majorBidi" w:hAnsiTheme="majorBidi" w:cstheme="majorBidi"/>
          <w:b/>
          <w:bCs/>
          <w:sz w:val="24"/>
          <w:szCs w:val="24"/>
          <w:lang w:val="en-US"/>
        </w:rPr>
        <w:t xml:space="preserve">. </w:t>
      </w:r>
      <w:r w:rsidRPr="0038624C">
        <w:rPr>
          <w:rFonts w:asciiTheme="majorBidi" w:hAnsiTheme="majorBidi" w:cstheme="majorBidi"/>
          <w:sz w:val="24"/>
          <w:szCs w:val="24"/>
          <w:lang w:val="en-US"/>
        </w:rPr>
        <w:t xml:space="preserve">The </w:t>
      </w:r>
      <w:r>
        <w:rPr>
          <w:rFonts w:asciiTheme="majorBidi" w:hAnsiTheme="majorBidi" w:cstheme="majorBidi"/>
          <w:sz w:val="24"/>
          <w:szCs w:val="24"/>
          <w:lang w:val="en-US"/>
        </w:rPr>
        <w:t>government</w:t>
      </w:r>
      <w:r w:rsidRPr="0038624C">
        <w:rPr>
          <w:rFonts w:asciiTheme="majorBidi" w:hAnsiTheme="majorBidi" w:cstheme="majorBidi"/>
          <w:sz w:val="24"/>
          <w:szCs w:val="24"/>
          <w:lang w:val="en-US"/>
        </w:rPr>
        <w:t xml:space="preserve"> budget was also affected by the crisis in Syria, a significant decline occurred in the </w:t>
      </w:r>
      <w:r>
        <w:rPr>
          <w:rFonts w:asciiTheme="majorBidi" w:hAnsiTheme="majorBidi" w:cstheme="majorBidi"/>
          <w:sz w:val="24"/>
          <w:szCs w:val="24"/>
          <w:lang w:val="en-US"/>
        </w:rPr>
        <w:t>government</w:t>
      </w:r>
      <w:r w:rsidRPr="0038624C">
        <w:rPr>
          <w:rFonts w:asciiTheme="majorBidi" w:hAnsiTheme="majorBidi" w:cstheme="majorBidi"/>
          <w:sz w:val="24"/>
          <w:szCs w:val="24"/>
          <w:lang w:val="en-US"/>
        </w:rPr>
        <w:t xml:space="preserve"> revenues (oil and non-oil), as the government deficit increased, </w:t>
      </w:r>
      <w:r w:rsidRPr="005B6607">
        <w:rPr>
          <w:rFonts w:asciiTheme="majorBidi" w:hAnsiTheme="majorBidi" w:cstheme="majorBidi"/>
          <w:i/>
          <w:iCs/>
          <w:sz w:val="24"/>
          <w:szCs w:val="24"/>
          <w:lang w:val="en-US"/>
        </w:rPr>
        <w:t xml:space="preserve">Fig. </w:t>
      </w:r>
      <w:r w:rsidR="000329B7">
        <w:rPr>
          <w:rFonts w:asciiTheme="majorBidi" w:hAnsiTheme="majorBidi" w:cstheme="majorBidi"/>
          <w:i/>
          <w:iCs/>
          <w:sz w:val="24"/>
          <w:szCs w:val="24"/>
          <w:lang w:val="en-US"/>
        </w:rPr>
        <w:t>3.4</w:t>
      </w:r>
      <w:r w:rsidRPr="0038624C">
        <w:rPr>
          <w:rFonts w:asciiTheme="majorBidi" w:hAnsiTheme="majorBidi" w:cstheme="majorBidi"/>
          <w:sz w:val="24"/>
          <w:szCs w:val="24"/>
          <w:lang w:val="en-US"/>
        </w:rPr>
        <w:t xml:space="preserve"> </w:t>
      </w:r>
      <w:r w:rsidRPr="00CC148C">
        <w:rPr>
          <w:rFonts w:asciiTheme="majorBidi" w:hAnsiTheme="majorBidi" w:cstheme="majorBidi"/>
          <w:sz w:val="24"/>
          <w:szCs w:val="24"/>
          <w:lang w:val="en-US"/>
        </w:rPr>
        <w:t>represent</w:t>
      </w:r>
      <w:r>
        <w:rPr>
          <w:rFonts w:asciiTheme="majorBidi" w:hAnsiTheme="majorBidi" w:cstheme="majorBidi"/>
          <w:sz w:val="24"/>
          <w:szCs w:val="24"/>
          <w:lang w:val="en-US"/>
        </w:rPr>
        <w:t xml:space="preserve">s </w:t>
      </w:r>
      <w:r w:rsidRPr="0038624C">
        <w:rPr>
          <w:rFonts w:asciiTheme="majorBidi" w:hAnsiTheme="majorBidi" w:cstheme="majorBidi"/>
          <w:sz w:val="24"/>
          <w:szCs w:val="24"/>
          <w:lang w:val="en-US"/>
        </w:rPr>
        <w:t xml:space="preserve">the evolution of </w:t>
      </w:r>
      <w:r>
        <w:rPr>
          <w:rFonts w:asciiTheme="majorBidi" w:hAnsiTheme="majorBidi" w:cstheme="majorBidi"/>
          <w:sz w:val="24"/>
          <w:szCs w:val="24"/>
          <w:lang w:val="en-US"/>
        </w:rPr>
        <w:t>government</w:t>
      </w:r>
      <w:r w:rsidRPr="0038624C">
        <w:rPr>
          <w:rFonts w:asciiTheme="majorBidi" w:hAnsiTheme="majorBidi" w:cstheme="majorBidi"/>
          <w:sz w:val="24"/>
          <w:szCs w:val="24"/>
          <w:lang w:val="en-US"/>
        </w:rPr>
        <w:t xml:space="preserve"> budget, government revenues</w:t>
      </w:r>
      <w:r w:rsidR="00C201C3">
        <w:rPr>
          <w:rFonts w:asciiTheme="majorBidi" w:hAnsiTheme="majorBidi" w:cstheme="majorBidi"/>
          <w:sz w:val="24"/>
          <w:szCs w:val="24"/>
          <w:lang w:val="en-US"/>
        </w:rPr>
        <w:t>,</w:t>
      </w:r>
      <w:r w:rsidRPr="0038624C">
        <w:rPr>
          <w:rFonts w:asciiTheme="majorBidi" w:hAnsiTheme="majorBidi" w:cstheme="majorBidi"/>
          <w:sz w:val="24"/>
          <w:szCs w:val="24"/>
          <w:lang w:val="en-US"/>
        </w:rPr>
        <w:t xml:space="preserve"> and deficits.</w:t>
      </w:r>
    </w:p>
    <w:p w14:paraId="6210C3B1" w14:textId="370FEF24" w:rsidR="000329B7" w:rsidRDefault="00455C03"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T</w:t>
      </w:r>
      <w:r w:rsidRPr="005B6607">
        <w:rPr>
          <w:rFonts w:asciiTheme="majorBidi" w:hAnsiTheme="majorBidi" w:cstheme="majorBidi"/>
          <w:sz w:val="24"/>
          <w:szCs w:val="24"/>
          <w:lang w:val="en-US"/>
        </w:rPr>
        <w:t>he</w:t>
      </w:r>
      <w:r w:rsidRPr="0035646B">
        <w:rPr>
          <w:rFonts w:asciiTheme="majorBidi" w:hAnsiTheme="majorBidi" w:cstheme="majorBidi"/>
          <w:sz w:val="24"/>
          <w:szCs w:val="24"/>
          <w:lang w:val="en-US"/>
        </w:rPr>
        <w:t xml:space="preserve"> increase in the </w:t>
      </w:r>
      <w:r>
        <w:rPr>
          <w:rFonts w:asciiTheme="majorBidi" w:hAnsiTheme="majorBidi" w:cstheme="majorBidi"/>
          <w:sz w:val="24"/>
          <w:szCs w:val="24"/>
          <w:lang w:val="en-US"/>
        </w:rPr>
        <w:t>national</w:t>
      </w:r>
      <w:r w:rsidRPr="0035646B">
        <w:rPr>
          <w:rFonts w:asciiTheme="majorBidi" w:hAnsiTheme="majorBidi" w:cstheme="majorBidi"/>
          <w:sz w:val="24"/>
          <w:szCs w:val="24"/>
          <w:lang w:val="en-US"/>
        </w:rPr>
        <w:t xml:space="preserve"> budget </w:t>
      </w:r>
      <w:r w:rsidR="000329B7" w:rsidRPr="0035646B">
        <w:rPr>
          <w:rFonts w:asciiTheme="majorBidi" w:hAnsiTheme="majorBidi" w:cstheme="majorBidi"/>
          <w:sz w:val="24"/>
          <w:szCs w:val="24"/>
          <w:lang w:val="en-US"/>
        </w:rPr>
        <w:t xml:space="preserve">is noticed </w:t>
      </w:r>
      <w:r w:rsidR="000329B7">
        <w:rPr>
          <w:rFonts w:asciiTheme="majorBidi" w:hAnsiTheme="majorBidi" w:cstheme="majorBidi"/>
          <w:sz w:val="24"/>
          <w:szCs w:val="24"/>
          <w:lang w:val="en-US"/>
        </w:rPr>
        <w:t>in</w:t>
      </w:r>
      <w:r w:rsidR="000329B7" w:rsidRPr="005B6607">
        <w:rPr>
          <w:rFonts w:asciiTheme="majorBidi" w:hAnsiTheme="majorBidi" w:cstheme="majorBidi"/>
          <w:sz w:val="24"/>
          <w:szCs w:val="24"/>
          <w:lang w:val="en-US"/>
        </w:rPr>
        <w:t xml:space="preserve"> </w:t>
      </w:r>
      <w:r w:rsidR="000329B7" w:rsidRPr="005B6607">
        <w:rPr>
          <w:rFonts w:asciiTheme="majorBidi" w:hAnsiTheme="majorBidi" w:cstheme="majorBidi"/>
          <w:i/>
          <w:iCs/>
          <w:sz w:val="24"/>
          <w:szCs w:val="24"/>
          <w:lang w:val="en-US"/>
        </w:rPr>
        <w:t xml:space="preserve">Fig. </w:t>
      </w:r>
      <w:r w:rsidR="000329B7">
        <w:rPr>
          <w:rFonts w:asciiTheme="majorBidi" w:hAnsiTheme="majorBidi" w:cstheme="majorBidi"/>
          <w:i/>
          <w:iCs/>
          <w:sz w:val="24"/>
          <w:szCs w:val="24"/>
          <w:lang w:val="en-US"/>
        </w:rPr>
        <w:t>3.4</w:t>
      </w:r>
      <w:r w:rsidR="000329B7" w:rsidRPr="0035646B">
        <w:rPr>
          <w:rFonts w:asciiTheme="majorBidi" w:hAnsiTheme="majorBidi" w:cstheme="majorBidi"/>
          <w:sz w:val="24"/>
          <w:szCs w:val="24"/>
          <w:lang w:val="en-US"/>
        </w:rPr>
        <w:t xml:space="preserve">, which amounted to </w:t>
      </w:r>
      <w:r w:rsidR="000329B7">
        <w:rPr>
          <w:rFonts w:asciiTheme="majorBidi" w:hAnsiTheme="majorBidi" w:cstheme="majorBidi"/>
          <w:sz w:val="24"/>
          <w:szCs w:val="24"/>
          <w:lang w:val="en-US"/>
        </w:rPr>
        <w:t>SP</w:t>
      </w:r>
      <w:r w:rsidR="000329B7" w:rsidRPr="0035646B">
        <w:rPr>
          <w:rFonts w:asciiTheme="majorBidi" w:hAnsiTheme="majorBidi" w:cstheme="majorBidi"/>
          <w:sz w:val="24"/>
          <w:szCs w:val="24"/>
          <w:lang w:val="en-US"/>
        </w:rPr>
        <w:t xml:space="preserve"> 3882 </w:t>
      </w:r>
      <w:r w:rsidR="000329B7">
        <w:rPr>
          <w:rFonts w:asciiTheme="majorBidi" w:hAnsiTheme="majorBidi" w:cstheme="majorBidi"/>
          <w:sz w:val="24"/>
          <w:szCs w:val="24"/>
          <w:lang w:val="en-US"/>
        </w:rPr>
        <w:t xml:space="preserve">bn </w:t>
      </w:r>
      <w:r w:rsidR="000329B7" w:rsidRPr="0035646B">
        <w:rPr>
          <w:rFonts w:asciiTheme="majorBidi" w:hAnsiTheme="majorBidi" w:cstheme="majorBidi"/>
          <w:sz w:val="24"/>
          <w:szCs w:val="24"/>
          <w:lang w:val="en-US"/>
        </w:rPr>
        <w:t xml:space="preserve">in 2019 </w:t>
      </w:r>
      <w:r w:rsidR="000329B7">
        <w:rPr>
          <w:rFonts w:asciiTheme="majorBidi" w:hAnsiTheme="majorBidi" w:cstheme="majorBidi"/>
          <w:sz w:val="24"/>
          <w:szCs w:val="24"/>
          <w:lang w:val="en-US"/>
        </w:rPr>
        <w:t>compared to</w:t>
      </w:r>
      <w:r w:rsidR="000329B7" w:rsidRPr="0035646B">
        <w:rPr>
          <w:rFonts w:asciiTheme="majorBidi" w:hAnsiTheme="majorBidi" w:cstheme="majorBidi"/>
          <w:sz w:val="24"/>
          <w:szCs w:val="24"/>
          <w:lang w:val="en-US"/>
        </w:rPr>
        <w:t xml:space="preserve"> </w:t>
      </w:r>
      <w:r w:rsidR="000329B7">
        <w:rPr>
          <w:rFonts w:asciiTheme="majorBidi" w:hAnsiTheme="majorBidi" w:cstheme="majorBidi"/>
          <w:sz w:val="24"/>
          <w:szCs w:val="24"/>
          <w:lang w:val="en-US"/>
        </w:rPr>
        <w:t>SP</w:t>
      </w:r>
      <w:r w:rsidR="000329B7" w:rsidRPr="0035646B">
        <w:rPr>
          <w:rFonts w:asciiTheme="majorBidi" w:hAnsiTheme="majorBidi" w:cstheme="majorBidi"/>
          <w:sz w:val="24"/>
          <w:szCs w:val="24"/>
          <w:lang w:val="en-US"/>
        </w:rPr>
        <w:t xml:space="preserve"> 835 </w:t>
      </w:r>
      <w:r w:rsidR="000329B7">
        <w:rPr>
          <w:rFonts w:asciiTheme="majorBidi" w:hAnsiTheme="majorBidi" w:cstheme="majorBidi"/>
          <w:sz w:val="24"/>
          <w:szCs w:val="24"/>
          <w:lang w:val="en-US"/>
        </w:rPr>
        <w:t>bn</w:t>
      </w:r>
      <w:r w:rsidR="000329B7" w:rsidRPr="0035646B">
        <w:rPr>
          <w:rFonts w:asciiTheme="majorBidi" w:hAnsiTheme="majorBidi" w:cstheme="majorBidi"/>
          <w:sz w:val="24"/>
          <w:szCs w:val="24"/>
          <w:lang w:val="en-US"/>
        </w:rPr>
        <w:t xml:space="preserve"> in 2011. However, in market values, the </w:t>
      </w:r>
      <w:r w:rsidR="000329B7">
        <w:rPr>
          <w:rFonts w:asciiTheme="majorBidi" w:hAnsiTheme="majorBidi" w:cstheme="majorBidi"/>
          <w:sz w:val="24"/>
          <w:szCs w:val="24"/>
          <w:lang w:val="en-US" w:bidi="ar-SY"/>
        </w:rPr>
        <w:t xml:space="preserve">national </w:t>
      </w:r>
      <w:r w:rsidR="000329B7" w:rsidRPr="0035646B">
        <w:rPr>
          <w:rFonts w:asciiTheme="majorBidi" w:hAnsiTheme="majorBidi" w:cstheme="majorBidi"/>
          <w:sz w:val="24"/>
          <w:szCs w:val="24"/>
          <w:lang w:val="en-US"/>
        </w:rPr>
        <w:t xml:space="preserve">budget </w:t>
      </w:r>
      <w:r w:rsidR="000329B7">
        <w:rPr>
          <w:rFonts w:asciiTheme="majorBidi" w:hAnsiTheme="majorBidi" w:cstheme="majorBidi"/>
          <w:sz w:val="24"/>
          <w:szCs w:val="24"/>
          <w:lang w:val="en-US"/>
        </w:rPr>
        <w:t xml:space="preserve">of 2019 </w:t>
      </w:r>
      <w:r w:rsidR="000329B7" w:rsidRPr="0035646B">
        <w:rPr>
          <w:rFonts w:asciiTheme="majorBidi" w:hAnsiTheme="majorBidi" w:cstheme="majorBidi"/>
          <w:sz w:val="24"/>
          <w:szCs w:val="24"/>
          <w:lang w:val="en-US"/>
        </w:rPr>
        <w:t>was estimated at $</w:t>
      </w:r>
      <w:r w:rsidR="000329B7">
        <w:rPr>
          <w:rFonts w:asciiTheme="majorBidi" w:hAnsiTheme="majorBidi" w:cstheme="majorBidi"/>
          <w:sz w:val="24"/>
          <w:szCs w:val="24"/>
          <w:lang w:val="en-US"/>
        </w:rPr>
        <w:t>7.8</w:t>
      </w:r>
      <w:r w:rsidR="000329B7" w:rsidRPr="0035646B">
        <w:rPr>
          <w:rFonts w:asciiTheme="majorBidi" w:hAnsiTheme="majorBidi" w:cstheme="majorBidi"/>
          <w:sz w:val="24"/>
          <w:szCs w:val="24"/>
          <w:lang w:val="en-US"/>
        </w:rPr>
        <w:t xml:space="preserve"> </w:t>
      </w:r>
      <w:r w:rsidR="000329B7">
        <w:rPr>
          <w:rFonts w:asciiTheme="majorBidi" w:hAnsiTheme="majorBidi" w:cstheme="majorBidi"/>
          <w:sz w:val="24"/>
          <w:szCs w:val="24"/>
          <w:lang w:val="en-US"/>
        </w:rPr>
        <w:t>bn</w:t>
      </w:r>
      <w:r w:rsidR="000329B7" w:rsidRPr="0035646B">
        <w:rPr>
          <w:rFonts w:asciiTheme="majorBidi" w:hAnsiTheme="majorBidi" w:cstheme="majorBidi"/>
          <w:sz w:val="24"/>
          <w:szCs w:val="24"/>
          <w:lang w:val="en-US"/>
        </w:rPr>
        <w:t xml:space="preserve"> according to the exchange rate </w:t>
      </w:r>
      <w:r w:rsidR="000329B7">
        <w:rPr>
          <w:rFonts w:asciiTheme="majorBidi" w:hAnsiTheme="majorBidi" w:cstheme="majorBidi"/>
          <w:sz w:val="24"/>
          <w:szCs w:val="24"/>
          <w:lang w:val="en-US"/>
        </w:rPr>
        <w:t>in</w:t>
      </w:r>
      <w:r w:rsidR="000329B7" w:rsidRPr="0035646B">
        <w:rPr>
          <w:rFonts w:asciiTheme="majorBidi" w:hAnsiTheme="majorBidi" w:cstheme="majorBidi"/>
          <w:sz w:val="24"/>
          <w:szCs w:val="24"/>
          <w:lang w:val="en-US"/>
        </w:rPr>
        <w:t xml:space="preserve"> 2019, which is about </w:t>
      </w:r>
      <w:r w:rsidR="000329B7">
        <w:rPr>
          <w:rFonts w:asciiTheme="majorBidi" w:hAnsiTheme="majorBidi" w:cstheme="majorBidi"/>
          <w:sz w:val="24"/>
          <w:szCs w:val="24"/>
          <w:lang w:val="en-US"/>
        </w:rPr>
        <w:t>44% of</w:t>
      </w:r>
      <w:r w:rsidR="000329B7" w:rsidRPr="0035646B">
        <w:rPr>
          <w:rFonts w:asciiTheme="majorBidi" w:hAnsiTheme="majorBidi" w:cstheme="majorBidi"/>
          <w:sz w:val="24"/>
          <w:szCs w:val="24"/>
          <w:lang w:val="en-US"/>
        </w:rPr>
        <w:t xml:space="preserve"> the 2011 budget </w:t>
      </w:r>
      <w:r w:rsidR="000329B7">
        <w:rPr>
          <w:rFonts w:asciiTheme="majorBidi" w:hAnsiTheme="majorBidi" w:cstheme="majorBidi"/>
          <w:sz w:val="24"/>
          <w:szCs w:val="24"/>
          <w:lang w:val="en-US"/>
        </w:rPr>
        <w:t>($17.75 bn)</w:t>
      </w:r>
      <w:r w:rsidR="000329B7" w:rsidRPr="0035646B">
        <w:rPr>
          <w:rFonts w:asciiTheme="majorBidi" w:hAnsiTheme="majorBidi" w:cstheme="majorBidi"/>
          <w:sz w:val="24"/>
          <w:szCs w:val="24"/>
          <w:lang w:val="en-US"/>
        </w:rPr>
        <w:t>.</w:t>
      </w:r>
      <w:r w:rsidR="000329B7">
        <w:rPr>
          <w:rFonts w:asciiTheme="majorBidi" w:hAnsiTheme="majorBidi" w:cstheme="majorBidi"/>
          <w:sz w:val="24"/>
          <w:szCs w:val="24"/>
          <w:lang w:val="en-US"/>
        </w:rPr>
        <w:t xml:space="preserve"> </w:t>
      </w:r>
      <w:r w:rsidR="000329B7" w:rsidRPr="006B7F00">
        <w:rPr>
          <w:rFonts w:asciiTheme="majorBidi" w:hAnsiTheme="majorBidi" w:cstheme="majorBidi"/>
          <w:sz w:val="24"/>
          <w:szCs w:val="24"/>
          <w:lang w:val="en-US"/>
        </w:rPr>
        <w:t xml:space="preserve">It is also </w:t>
      </w:r>
      <w:r w:rsidR="005059EE" w:rsidRPr="005059EE">
        <w:rPr>
          <w:rFonts w:asciiTheme="majorBidi" w:hAnsiTheme="majorBidi" w:cstheme="majorBidi"/>
          <w:sz w:val="24"/>
          <w:szCs w:val="24"/>
          <w:lang w:val="en-US"/>
        </w:rPr>
        <w:t xml:space="preserve">evident </w:t>
      </w:r>
      <w:r w:rsidR="000329B7" w:rsidRPr="006B7F00">
        <w:rPr>
          <w:rFonts w:asciiTheme="majorBidi" w:hAnsiTheme="majorBidi" w:cstheme="majorBidi"/>
          <w:sz w:val="24"/>
          <w:szCs w:val="24"/>
          <w:lang w:val="en-US"/>
        </w:rPr>
        <w:t>that the budget deficit to the total budget ratio has increased during the 2012-2016 period</w:t>
      </w:r>
      <w:r w:rsidR="000329B7">
        <w:rPr>
          <w:rFonts w:asciiTheme="majorBidi" w:hAnsiTheme="majorBidi" w:cstheme="majorBidi"/>
          <w:sz w:val="24"/>
          <w:szCs w:val="24"/>
          <w:lang w:val="en-US"/>
        </w:rPr>
        <w:t>,</w:t>
      </w:r>
      <w:r w:rsidR="000329B7" w:rsidRPr="006B7F00">
        <w:rPr>
          <w:rFonts w:asciiTheme="majorBidi" w:hAnsiTheme="majorBidi" w:cstheme="majorBidi"/>
          <w:sz w:val="24"/>
          <w:szCs w:val="24"/>
          <w:lang w:val="en-US"/>
        </w:rPr>
        <w:t xml:space="preserve"> to reach its highest level in 2013</w:t>
      </w:r>
      <w:r w:rsidR="000329B7">
        <w:rPr>
          <w:rFonts w:asciiTheme="majorBidi" w:hAnsiTheme="majorBidi" w:cstheme="majorBidi"/>
          <w:sz w:val="24"/>
          <w:szCs w:val="24"/>
          <w:lang w:val="en-US"/>
        </w:rPr>
        <w:t xml:space="preserve"> with 54.2%. </w:t>
      </w:r>
      <w:r w:rsidR="00A16922">
        <w:rPr>
          <w:rFonts w:asciiTheme="majorBidi" w:hAnsiTheme="majorBidi" w:cstheme="majorBidi"/>
          <w:sz w:val="24"/>
          <w:szCs w:val="24"/>
          <w:lang w:val="en-US"/>
        </w:rPr>
        <w:t>It</w:t>
      </w:r>
      <w:r w:rsidR="000329B7" w:rsidRPr="007B2A9B">
        <w:rPr>
          <w:rFonts w:asciiTheme="majorBidi" w:hAnsiTheme="majorBidi" w:cstheme="majorBidi"/>
          <w:sz w:val="24"/>
          <w:szCs w:val="24"/>
          <w:lang w:val="en-US"/>
        </w:rPr>
        <w:t xml:space="preserve"> is in contrast to the situation before the crisis, where the deficit ratios were limited</w:t>
      </w:r>
      <w:r w:rsidR="00A16922">
        <w:rPr>
          <w:rFonts w:asciiTheme="majorBidi" w:hAnsiTheme="majorBidi" w:cstheme="majorBidi"/>
          <w:sz w:val="24"/>
          <w:szCs w:val="24"/>
          <w:lang w:val="en-US"/>
        </w:rPr>
        <w:t xml:space="preserve">, </w:t>
      </w:r>
      <w:r w:rsidR="000329B7">
        <w:rPr>
          <w:rFonts w:asciiTheme="majorBidi" w:hAnsiTheme="majorBidi" w:cstheme="majorBidi"/>
          <w:sz w:val="24"/>
          <w:szCs w:val="24"/>
          <w:lang w:val="en-US"/>
        </w:rPr>
        <w:t>with an average of 24% between 2004-2011. B</w:t>
      </w:r>
      <w:r w:rsidR="000329B7" w:rsidRPr="007B2A9B">
        <w:rPr>
          <w:rFonts w:asciiTheme="majorBidi" w:hAnsiTheme="majorBidi" w:cstheme="majorBidi"/>
          <w:sz w:val="24"/>
          <w:szCs w:val="24"/>
          <w:lang w:val="en-US"/>
        </w:rPr>
        <w:t xml:space="preserve">ut since </w:t>
      </w:r>
      <w:r w:rsidR="000329B7" w:rsidRPr="007B2A9B">
        <w:rPr>
          <w:rFonts w:asciiTheme="majorBidi" w:hAnsiTheme="majorBidi" w:cstheme="majorBidi"/>
          <w:sz w:val="24"/>
          <w:szCs w:val="24"/>
          <w:lang w:val="en-US"/>
        </w:rPr>
        <w:lastRenderedPageBreak/>
        <w:t>2016</w:t>
      </w:r>
      <w:r w:rsidR="00A16922">
        <w:rPr>
          <w:rFonts w:asciiTheme="majorBidi" w:hAnsiTheme="majorBidi" w:cstheme="majorBidi"/>
          <w:sz w:val="24"/>
          <w:szCs w:val="24"/>
          <w:lang w:val="en-US"/>
        </w:rPr>
        <w:t>,</w:t>
      </w:r>
      <w:r w:rsidR="000329B7" w:rsidRPr="007B2A9B">
        <w:rPr>
          <w:rFonts w:asciiTheme="majorBidi" w:hAnsiTheme="majorBidi" w:cstheme="majorBidi"/>
          <w:sz w:val="24"/>
          <w:szCs w:val="24"/>
          <w:lang w:val="en-US"/>
        </w:rPr>
        <w:t xml:space="preserve"> an improvement in the deficit rate has been observed, associated with</w:t>
      </w:r>
      <w:r w:rsidR="000329B7">
        <w:rPr>
          <w:rFonts w:asciiTheme="majorBidi" w:hAnsiTheme="majorBidi" w:cstheme="majorBidi"/>
          <w:sz w:val="24"/>
          <w:szCs w:val="24"/>
          <w:lang w:val="en-US"/>
        </w:rPr>
        <w:t xml:space="preserve"> the</w:t>
      </w:r>
      <w:r w:rsidR="000329B7" w:rsidRPr="007B2A9B">
        <w:rPr>
          <w:rFonts w:asciiTheme="majorBidi" w:hAnsiTheme="majorBidi" w:cstheme="majorBidi"/>
          <w:sz w:val="24"/>
          <w:szCs w:val="24"/>
          <w:lang w:val="en-US"/>
        </w:rPr>
        <w:t xml:space="preserve"> improvement in the situation on the ground.</w:t>
      </w:r>
    </w:p>
    <w:p w14:paraId="0277414C" w14:textId="77777777" w:rsidR="005B6607" w:rsidRDefault="00C56FD7" w:rsidP="000329B7">
      <w:pPr>
        <w:keepNext/>
        <w:autoSpaceDE w:val="0"/>
        <w:adjustRightInd w:val="0"/>
        <w:spacing w:line="360" w:lineRule="auto"/>
      </w:pPr>
      <w:r>
        <w:rPr>
          <w:noProof/>
        </w:rPr>
        <w:drawing>
          <wp:inline distT="0" distB="0" distL="0" distR="0" wp14:anchorId="7AAE40C3" wp14:editId="26C416F9">
            <wp:extent cx="6065520" cy="2987040"/>
            <wp:effectExtent l="0" t="0" r="11430" b="3810"/>
            <wp:docPr id="12" name="Chart 12">
              <a:extLst xmlns:a="http://schemas.openxmlformats.org/drawingml/2006/main">
                <a:ext uri="{FF2B5EF4-FFF2-40B4-BE49-F238E27FC236}">
                  <a16:creationId xmlns:a16="http://schemas.microsoft.com/office/drawing/2014/main" id="{0E20A7D6-D724-457C-B00A-28C3EF4C1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B24FCC" w14:textId="045C21CA" w:rsidR="00C56FD7" w:rsidRPr="005B6607" w:rsidRDefault="005B6607" w:rsidP="005B6607">
      <w:pPr>
        <w:autoSpaceDE w:val="0"/>
        <w:adjustRightInd w:val="0"/>
        <w:spacing w:after="0" w:line="360" w:lineRule="auto"/>
        <w:jc w:val="both"/>
        <w:rPr>
          <w:rFonts w:asciiTheme="majorBidi" w:hAnsiTheme="majorBidi" w:cstheme="majorBidi"/>
          <w:sz w:val="24"/>
          <w:szCs w:val="24"/>
          <w:lang w:val="en-US"/>
        </w:rPr>
      </w:pPr>
      <w:r w:rsidRPr="005B6607">
        <w:rPr>
          <w:rFonts w:asciiTheme="majorBidi" w:hAnsiTheme="majorBidi" w:cstheme="majorBidi"/>
          <w:i/>
          <w:iCs/>
          <w:sz w:val="24"/>
          <w:szCs w:val="24"/>
          <w:lang w:val="en-US"/>
        </w:rPr>
        <w:t xml:space="preserve">Fig. </w:t>
      </w:r>
      <w:r w:rsidR="000329B7">
        <w:rPr>
          <w:rFonts w:asciiTheme="majorBidi" w:hAnsiTheme="majorBidi" w:cstheme="majorBidi"/>
          <w:i/>
          <w:iCs/>
          <w:sz w:val="24"/>
          <w:szCs w:val="24"/>
          <w:lang w:val="en-US"/>
        </w:rPr>
        <w:t>3.4</w:t>
      </w:r>
      <w:r>
        <w:rPr>
          <w:rFonts w:asciiTheme="majorBidi" w:hAnsiTheme="majorBidi" w:cstheme="majorBidi"/>
          <w:i/>
          <w:iCs/>
          <w:sz w:val="24"/>
          <w:szCs w:val="24"/>
          <w:lang w:val="en-US"/>
        </w:rPr>
        <w:t>.</w:t>
      </w:r>
      <w:r w:rsidRPr="005B6607">
        <w:rPr>
          <w:rFonts w:asciiTheme="majorBidi" w:hAnsiTheme="majorBidi" w:cstheme="majorBidi"/>
          <w:sz w:val="24"/>
          <w:szCs w:val="24"/>
          <w:lang w:val="en-US"/>
        </w:rPr>
        <w:t xml:space="preserve"> Changes in the Government </w:t>
      </w:r>
      <w:r>
        <w:rPr>
          <w:rFonts w:asciiTheme="majorBidi" w:hAnsiTheme="majorBidi" w:cstheme="majorBidi"/>
          <w:sz w:val="24"/>
          <w:szCs w:val="24"/>
          <w:lang w:val="en-US"/>
        </w:rPr>
        <w:t>B</w:t>
      </w:r>
      <w:r w:rsidRPr="005B6607">
        <w:rPr>
          <w:rFonts w:asciiTheme="majorBidi" w:hAnsiTheme="majorBidi" w:cstheme="majorBidi"/>
          <w:sz w:val="24"/>
          <w:szCs w:val="24"/>
          <w:lang w:val="en-US"/>
        </w:rPr>
        <w:t>udget during the period (2010-2019) (SP bn)</w:t>
      </w:r>
    </w:p>
    <w:p w14:paraId="764EDAED" w14:textId="4404940E" w:rsidR="00CA6987" w:rsidRPr="002746BC" w:rsidRDefault="00074BC4" w:rsidP="002746BC">
      <w:pPr>
        <w:autoSpaceDE w:val="0"/>
        <w:adjustRightInd w:val="0"/>
        <w:spacing w:line="360" w:lineRule="auto"/>
        <w:jc w:val="both"/>
        <w:rPr>
          <w:rFonts w:asciiTheme="majorBidi" w:hAnsiTheme="majorBidi" w:cstheme="majorBidi"/>
          <w:sz w:val="24"/>
          <w:szCs w:val="24"/>
          <w:lang w:val="en-US"/>
        </w:rPr>
      </w:pPr>
      <w:r w:rsidRPr="002746BC">
        <w:rPr>
          <w:rFonts w:ascii="Times New Roman" w:hAnsi="Times New Roman" w:cs="Times New Roman"/>
          <w:i/>
          <w:iCs/>
          <w:lang w:val="en-US"/>
        </w:rPr>
        <w:t xml:space="preserve">Source: </w:t>
      </w:r>
      <w:r w:rsidRPr="002746BC">
        <w:rPr>
          <w:rFonts w:ascii="Times New Roman" w:hAnsi="Times New Roman" w:cs="Times New Roman"/>
          <w:lang w:val="en-US"/>
        </w:rPr>
        <w:t>author's calculation</w:t>
      </w:r>
      <w:r w:rsidR="00402F9E">
        <w:rPr>
          <w:rFonts w:ascii="Times New Roman" w:hAnsi="Times New Roman" w:cs="Times New Roman"/>
          <w:lang w:val="en-US"/>
        </w:rPr>
        <w:t xml:space="preserve"> </w:t>
      </w:r>
      <w:r w:rsidRPr="002746BC">
        <w:rPr>
          <w:rFonts w:ascii="Times New Roman" w:hAnsi="Times New Roman" w:cs="Times New Roman"/>
          <w:lang w:val="en-US"/>
        </w:rPr>
        <w:t xml:space="preserve">according to </w:t>
      </w:r>
      <w:r w:rsidR="00380B96">
        <w:rPr>
          <w:rFonts w:ascii="Times New Roman" w:hAnsi="Times New Roman" w:cs="Times New Roman"/>
          <w:lang w:val="en-US"/>
        </w:rPr>
        <w:t xml:space="preserve">the </w:t>
      </w:r>
      <w:r w:rsidR="00CA6987" w:rsidRPr="002746BC">
        <w:rPr>
          <w:rFonts w:ascii="Times New Roman" w:hAnsi="Times New Roman" w:cs="Times New Roman"/>
          <w:lang w:val="en-US"/>
        </w:rPr>
        <w:t>Central Bank of Syria</w:t>
      </w:r>
      <w:r w:rsidR="002746BC" w:rsidRPr="002746BC">
        <w:rPr>
          <w:rFonts w:asciiTheme="majorBidi" w:hAnsiTheme="majorBidi" w:cstheme="majorBidi"/>
          <w:sz w:val="24"/>
          <w:szCs w:val="24"/>
          <w:lang w:val="en-US"/>
        </w:rPr>
        <w:t>.</w:t>
      </w:r>
    </w:p>
    <w:p w14:paraId="5541A4D0" w14:textId="165AAB30"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I</w:t>
      </w:r>
      <w:r w:rsidRPr="00DB6E0E">
        <w:rPr>
          <w:rFonts w:asciiTheme="majorBidi" w:hAnsiTheme="majorBidi" w:cstheme="majorBidi"/>
          <w:sz w:val="24"/>
          <w:szCs w:val="24"/>
          <w:lang w:val="en-US"/>
        </w:rPr>
        <w:t>t is important to highlight that</w:t>
      </w:r>
      <w:r>
        <w:rPr>
          <w:rFonts w:asciiTheme="majorBidi" w:hAnsiTheme="majorBidi" w:cstheme="majorBidi"/>
          <w:sz w:val="24"/>
          <w:szCs w:val="24"/>
          <w:lang w:val="en-US"/>
        </w:rPr>
        <w:t xml:space="preserve"> </w:t>
      </w:r>
      <w:r w:rsidRPr="00DB6E0E">
        <w:rPr>
          <w:rFonts w:asciiTheme="majorBidi" w:hAnsiTheme="majorBidi" w:cstheme="majorBidi"/>
          <w:sz w:val="24"/>
          <w:szCs w:val="24"/>
          <w:lang w:val="en-US"/>
        </w:rPr>
        <w:t xml:space="preserve">this deteriorating situation in the </w:t>
      </w:r>
      <w:r>
        <w:rPr>
          <w:rFonts w:asciiTheme="majorBidi" w:hAnsiTheme="majorBidi" w:cstheme="majorBidi"/>
          <w:sz w:val="24"/>
          <w:szCs w:val="24"/>
          <w:lang w:val="en-US"/>
        </w:rPr>
        <w:t>government</w:t>
      </w:r>
      <w:r w:rsidRPr="00DB6E0E">
        <w:rPr>
          <w:rFonts w:asciiTheme="majorBidi" w:hAnsiTheme="majorBidi" w:cstheme="majorBidi"/>
          <w:sz w:val="24"/>
          <w:szCs w:val="24"/>
          <w:lang w:val="en-US"/>
        </w:rPr>
        <w:t xml:space="preserve"> public finances occurred as a result of increased expenditures in light of the decline in </w:t>
      </w:r>
      <w:r>
        <w:rPr>
          <w:rFonts w:asciiTheme="majorBidi" w:hAnsiTheme="majorBidi" w:cstheme="majorBidi"/>
          <w:sz w:val="24"/>
          <w:szCs w:val="24"/>
          <w:lang w:val="en-US"/>
        </w:rPr>
        <w:t>public</w:t>
      </w:r>
      <w:r w:rsidRPr="00DB6E0E">
        <w:rPr>
          <w:rFonts w:asciiTheme="majorBidi" w:hAnsiTheme="majorBidi" w:cstheme="majorBidi"/>
          <w:sz w:val="24"/>
          <w:szCs w:val="24"/>
          <w:lang w:val="en-US"/>
        </w:rPr>
        <w:t xml:space="preserve"> revenues and a rise in the government support bill during the crisis years</w:t>
      </w:r>
      <w:r>
        <w:rPr>
          <w:rFonts w:asciiTheme="majorBidi" w:hAnsiTheme="majorBidi" w:cstheme="majorBidi"/>
          <w:sz w:val="24"/>
          <w:szCs w:val="24"/>
          <w:lang w:val="en-US"/>
        </w:rPr>
        <w:t>, and t</w:t>
      </w:r>
      <w:r w:rsidRPr="00DB6E0E">
        <w:rPr>
          <w:rFonts w:asciiTheme="majorBidi" w:hAnsiTheme="majorBidi" w:cstheme="majorBidi"/>
          <w:sz w:val="24"/>
          <w:szCs w:val="24"/>
          <w:lang w:val="en-US"/>
        </w:rPr>
        <w:t>he difficulty of securing the resources needed</w:t>
      </w:r>
      <w:r>
        <w:rPr>
          <w:rFonts w:asciiTheme="majorBidi" w:hAnsiTheme="majorBidi" w:cstheme="majorBidi"/>
          <w:sz w:val="24"/>
          <w:szCs w:val="24"/>
          <w:lang w:val="en-US"/>
        </w:rPr>
        <w:t xml:space="preserve"> in the country. </w:t>
      </w:r>
      <w:r w:rsidRPr="00C314D9">
        <w:rPr>
          <w:rFonts w:asciiTheme="majorBidi" w:hAnsiTheme="majorBidi" w:cstheme="majorBidi"/>
          <w:sz w:val="24"/>
          <w:szCs w:val="24"/>
          <w:lang w:val="en-US"/>
        </w:rPr>
        <w:t xml:space="preserve">What led to doubling the size of the debt </w:t>
      </w:r>
      <w:r>
        <w:rPr>
          <w:rFonts w:asciiTheme="majorBidi" w:hAnsiTheme="majorBidi" w:cstheme="majorBidi"/>
          <w:sz w:val="24"/>
          <w:szCs w:val="24"/>
          <w:lang w:val="en-US"/>
        </w:rPr>
        <w:t>of</w:t>
      </w:r>
      <w:r w:rsidRPr="00C314D9">
        <w:rPr>
          <w:rFonts w:asciiTheme="majorBidi" w:hAnsiTheme="majorBidi" w:cstheme="majorBidi"/>
          <w:sz w:val="24"/>
          <w:szCs w:val="24"/>
          <w:lang w:val="en-US"/>
        </w:rPr>
        <w:t xml:space="preserve"> the Ministry of Finance and public sector institutions towards the monetary authority, and the financing of part of this deficit through a new </w:t>
      </w:r>
      <w:r w:rsidR="00684208">
        <w:rPr>
          <w:rFonts w:asciiTheme="majorBidi" w:hAnsiTheme="majorBidi" w:cstheme="majorBidi"/>
          <w:sz w:val="24"/>
          <w:szCs w:val="24"/>
          <w:lang w:val="en-US"/>
        </w:rPr>
        <w:t>money</w:t>
      </w:r>
      <w:r w:rsidRPr="00C314D9">
        <w:rPr>
          <w:rFonts w:asciiTheme="majorBidi" w:hAnsiTheme="majorBidi" w:cstheme="majorBidi"/>
          <w:sz w:val="24"/>
          <w:szCs w:val="24"/>
          <w:lang w:val="en-US"/>
        </w:rPr>
        <w:t xml:space="preserve"> issuance contributed to deepening this problem.</w:t>
      </w:r>
      <w:r>
        <w:rPr>
          <w:rStyle w:val="FootnoteReference"/>
          <w:rFonts w:asciiTheme="majorBidi" w:hAnsiTheme="majorBidi" w:cstheme="majorBidi"/>
          <w:sz w:val="24"/>
          <w:szCs w:val="24"/>
          <w:lang w:val="en-US"/>
        </w:rPr>
        <w:footnoteReference w:id="85"/>
      </w:r>
    </w:p>
    <w:p w14:paraId="4476019A" w14:textId="70BD80C8" w:rsidR="00C56FD7" w:rsidRPr="005C0440" w:rsidRDefault="00C56FD7" w:rsidP="00634054">
      <w:pPr>
        <w:suppressAutoHyphens/>
        <w:autoSpaceDE w:val="0"/>
        <w:adjustRightInd w:val="0"/>
        <w:spacing w:before="240" w:line="360" w:lineRule="auto"/>
        <w:jc w:val="both"/>
        <w:rPr>
          <w:rFonts w:asciiTheme="majorBidi" w:hAnsiTheme="majorBidi" w:cstheme="majorBidi"/>
          <w:sz w:val="28"/>
          <w:szCs w:val="28"/>
          <w:lang w:bidi="ar-SY"/>
        </w:rPr>
      </w:pPr>
      <w:r w:rsidRPr="005C0440">
        <w:rPr>
          <w:rFonts w:asciiTheme="majorBidi" w:hAnsiTheme="majorBidi" w:cstheme="majorBidi"/>
          <w:sz w:val="28"/>
          <w:szCs w:val="28"/>
        </w:rPr>
        <w:t>3.2 Possible sources of funding for reconstruction in Syria</w:t>
      </w:r>
    </w:p>
    <w:p w14:paraId="7E283979" w14:textId="0D3CA8A4" w:rsidR="00C56FD7" w:rsidRDefault="00883F14" w:rsidP="00634054">
      <w:pPr>
        <w:suppressAutoHyphens/>
        <w:autoSpaceDE w:val="0"/>
        <w:adjustRightInd w:val="0"/>
        <w:spacing w:before="240" w:line="360" w:lineRule="auto"/>
        <w:ind w:firstLine="567"/>
        <w:jc w:val="both"/>
        <w:rPr>
          <w:rFonts w:asciiTheme="majorBidi" w:hAnsiTheme="majorBidi" w:cstheme="majorBidi"/>
          <w:sz w:val="24"/>
          <w:szCs w:val="24"/>
          <w:lang w:val="en-US"/>
        </w:rPr>
      </w:pPr>
      <w:r w:rsidRPr="00883F14">
        <w:rPr>
          <w:rFonts w:asciiTheme="majorBidi" w:hAnsiTheme="majorBidi" w:cstheme="majorBidi"/>
          <w:sz w:val="24"/>
          <w:szCs w:val="24"/>
          <w:lang w:val="en-US"/>
        </w:rPr>
        <w:t>The availability of funding is the cornerstone to start reconstruction and development of the Syrian economy; thus, the question of how to finance the reconstruction stage, and the available resources for the country to launch it arises.</w:t>
      </w:r>
    </w:p>
    <w:p w14:paraId="6831D090" w14:textId="56D84D3D"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72329C">
        <w:rPr>
          <w:rFonts w:asciiTheme="majorBidi" w:hAnsiTheme="majorBidi" w:cstheme="majorBidi"/>
          <w:sz w:val="24"/>
          <w:szCs w:val="24"/>
          <w:lang w:val="en-US"/>
        </w:rPr>
        <w:t>Considering that some areas are still under the control of the anti-regime forces</w:t>
      </w:r>
      <w:r>
        <w:rPr>
          <w:rFonts w:asciiTheme="majorBidi" w:hAnsiTheme="majorBidi" w:cstheme="majorBidi"/>
          <w:sz w:val="24"/>
          <w:szCs w:val="24"/>
          <w:lang w:val="en-US"/>
        </w:rPr>
        <w:t>, i</w:t>
      </w:r>
      <w:r w:rsidRPr="0072329C">
        <w:rPr>
          <w:rFonts w:asciiTheme="majorBidi" w:hAnsiTheme="majorBidi" w:cstheme="majorBidi"/>
          <w:sz w:val="24"/>
          <w:szCs w:val="24"/>
          <w:lang w:val="en-US"/>
        </w:rPr>
        <w:t xml:space="preserve">t is </w:t>
      </w:r>
      <w:r w:rsidR="00A16922" w:rsidRPr="00A16922">
        <w:rPr>
          <w:rFonts w:asciiTheme="majorBidi" w:hAnsiTheme="majorBidi" w:cstheme="majorBidi"/>
          <w:sz w:val="24"/>
          <w:szCs w:val="24"/>
          <w:lang w:val="en-US"/>
        </w:rPr>
        <w:t>not easy</w:t>
      </w:r>
      <w:r w:rsidR="00A16922">
        <w:rPr>
          <w:rFonts w:asciiTheme="majorBidi" w:hAnsiTheme="majorBidi" w:cstheme="majorBidi"/>
          <w:sz w:val="24"/>
          <w:szCs w:val="24"/>
          <w:lang w:val="en-US"/>
        </w:rPr>
        <w:t xml:space="preserve"> </w:t>
      </w:r>
      <w:r w:rsidRPr="0072329C">
        <w:rPr>
          <w:rFonts w:asciiTheme="majorBidi" w:hAnsiTheme="majorBidi" w:cstheme="majorBidi"/>
          <w:sz w:val="24"/>
          <w:szCs w:val="24"/>
          <w:lang w:val="en-US"/>
        </w:rPr>
        <w:t>to provide an accurate estimate of the cost of reconstruction</w:t>
      </w:r>
      <w:r>
        <w:rPr>
          <w:rFonts w:asciiTheme="majorBidi" w:hAnsiTheme="majorBidi" w:cstheme="majorBidi"/>
          <w:sz w:val="24"/>
          <w:szCs w:val="24"/>
          <w:lang w:val="en-US"/>
        </w:rPr>
        <w:t xml:space="preserve">. </w:t>
      </w:r>
      <w:r w:rsidRPr="00E219BC">
        <w:rPr>
          <w:rFonts w:asciiTheme="majorBidi" w:hAnsiTheme="majorBidi" w:cstheme="majorBidi"/>
          <w:sz w:val="24"/>
          <w:szCs w:val="24"/>
          <w:lang w:val="en-US"/>
        </w:rPr>
        <w:t xml:space="preserve">President Bashar al-Assad </w:t>
      </w:r>
      <w:r w:rsidR="00811829" w:rsidRPr="00811829">
        <w:rPr>
          <w:rFonts w:asciiTheme="majorBidi" w:hAnsiTheme="majorBidi" w:cstheme="majorBidi"/>
          <w:sz w:val="24"/>
          <w:szCs w:val="24"/>
          <w:lang w:val="en-US"/>
        </w:rPr>
        <w:t xml:space="preserve">stated </w:t>
      </w:r>
      <w:r w:rsidRPr="00E219BC">
        <w:rPr>
          <w:rFonts w:asciiTheme="majorBidi" w:hAnsiTheme="majorBidi" w:cstheme="majorBidi"/>
          <w:sz w:val="24"/>
          <w:szCs w:val="24"/>
          <w:lang w:val="en-US"/>
        </w:rPr>
        <w:t>that the cost of the reconstruction range from $</w:t>
      </w:r>
      <w:r>
        <w:rPr>
          <w:rFonts w:asciiTheme="majorBidi" w:hAnsiTheme="majorBidi" w:cstheme="majorBidi"/>
          <w:sz w:val="24"/>
          <w:szCs w:val="24"/>
          <w:lang w:val="en-US"/>
        </w:rPr>
        <w:t>200</w:t>
      </w:r>
      <w:r w:rsidRPr="00E219BC">
        <w:rPr>
          <w:rFonts w:asciiTheme="majorBidi" w:hAnsiTheme="majorBidi" w:cstheme="majorBidi"/>
          <w:sz w:val="24"/>
          <w:szCs w:val="24"/>
          <w:lang w:val="en-US"/>
        </w:rPr>
        <w:t xml:space="preserve"> </w:t>
      </w:r>
      <w:r>
        <w:rPr>
          <w:rFonts w:asciiTheme="majorBidi" w:hAnsiTheme="majorBidi" w:cstheme="majorBidi"/>
          <w:sz w:val="24"/>
          <w:szCs w:val="24"/>
          <w:lang w:val="en-US"/>
        </w:rPr>
        <w:t>bn up</w:t>
      </w:r>
      <w:r w:rsidRPr="00E219BC">
        <w:rPr>
          <w:rFonts w:asciiTheme="majorBidi" w:hAnsiTheme="majorBidi" w:cstheme="majorBidi"/>
          <w:sz w:val="24"/>
          <w:szCs w:val="24"/>
          <w:lang w:val="en-US"/>
        </w:rPr>
        <w:t xml:space="preserve"> to $400 </w:t>
      </w:r>
      <w:r>
        <w:rPr>
          <w:rFonts w:asciiTheme="majorBidi" w:hAnsiTheme="majorBidi" w:cstheme="majorBidi"/>
          <w:sz w:val="24"/>
          <w:szCs w:val="24"/>
          <w:lang w:val="en-US"/>
        </w:rPr>
        <w:t xml:space="preserve">bn, while the </w:t>
      </w:r>
      <w:r w:rsidRPr="000B4B06">
        <w:rPr>
          <w:rFonts w:asciiTheme="majorBidi" w:hAnsiTheme="majorBidi" w:cstheme="majorBidi"/>
          <w:sz w:val="24"/>
          <w:szCs w:val="24"/>
          <w:lang w:val="en-US"/>
        </w:rPr>
        <w:t xml:space="preserve">ESCWA estimates the size </w:t>
      </w:r>
      <w:r w:rsidRPr="000B4B06">
        <w:rPr>
          <w:rFonts w:asciiTheme="majorBidi" w:hAnsiTheme="majorBidi" w:cstheme="majorBidi"/>
          <w:sz w:val="24"/>
          <w:szCs w:val="24"/>
          <w:lang w:val="en-US"/>
        </w:rPr>
        <w:lastRenderedPageBreak/>
        <w:t>of destruction in physical capital and its sectoral distribution at more than $388 bn.</w:t>
      </w:r>
      <w:r>
        <w:rPr>
          <w:rStyle w:val="FootnoteReference"/>
        </w:rPr>
        <w:footnoteReference w:id="86"/>
      </w:r>
      <w:r>
        <w:rPr>
          <w:rFonts w:asciiTheme="majorBidi" w:hAnsiTheme="majorBidi" w:cstheme="majorBidi"/>
          <w:sz w:val="24"/>
          <w:szCs w:val="24"/>
          <w:lang w:val="en-US"/>
        </w:rPr>
        <w:t xml:space="preserve"> </w:t>
      </w:r>
      <w:r w:rsidRPr="000B4B06">
        <w:rPr>
          <w:rFonts w:asciiTheme="majorBidi" w:hAnsiTheme="majorBidi" w:cstheme="majorBidi"/>
          <w:sz w:val="24"/>
          <w:szCs w:val="24"/>
          <w:lang w:val="en-US"/>
        </w:rPr>
        <w:t>It is clear that the cost estimate</w:t>
      </w:r>
      <w:r>
        <w:rPr>
          <w:rFonts w:asciiTheme="majorBidi" w:hAnsiTheme="majorBidi" w:cstheme="majorBidi"/>
          <w:sz w:val="24"/>
          <w:szCs w:val="24"/>
          <w:lang w:val="en-US"/>
        </w:rPr>
        <w:t>s</w:t>
      </w:r>
      <w:r w:rsidRPr="000B4B06">
        <w:rPr>
          <w:rFonts w:asciiTheme="majorBidi" w:hAnsiTheme="majorBidi" w:cstheme="majorBidi"/>
          <w:sz w:val="24"/>
          <w:szCs w:val="24"/>
          <w:lang w:val="en-US"/>
        </w:rPr>
        <w:t xml:space="preserve"> </w:t>
      </w:r>
      <w:r>
        <w:rPr>
          <w:rFonts w:asciiTheme="majorBidi" w:hAnsiTheme="majorBidi" w:cstheme="majorBidi"/>
          <w:sz w:val="24"/>
          <w:szCs w:val="24"/>
          <w:lang w:val="en-US"/>
        </w:rPr>
        <w:t>are</w:t>
      </w:r>
      <w:r w:rsidRPr="000B4B06">
        <w:rPr>
          <w:rFonts w:asciiTheme="majorBidi" w:hAnsiTheme="majorBidi" w:cstheme="majorBidi"/>
          <w:sz w:val="24"/>
          <w:szCs w:val="24"/>
          <w:lang w:val="en-US"/>
        </w:rPr>
        <w:t xml:space="preserve"> very high, </w:t>
      </w:r>
      <w:r>
        <w:rPr>
          <w:rFonts w:asciiTheme="majorBidi" w:hAnsiTheme="majorBidi" w:cstheme="majorBidi"/>
          <w:sz w:val="24"/>
          <w:szCs w:val="24"/>
          <w:lang w:val="en-US"/>
        </w:rPr>
        <w:t>and</w:t>
      </w:r>
      <w:r w:rsidRPr="000B4B06">
        <w:rPr>
          <w:rFonts w:asciiTheme="majorBidi" w:hAnsiTheme="majorBidi" w:cstheme="majorBidi"/>
          <w:sz w:val="24"/>
          <w:szCs w:val="24"/>
          <w:lang w:val="en-US"/>
        </w:rPr>
        <w:t xml:space="preserve"> a third world country like Syria </w:t>
      </w:r>
      <w:r w:rsidR="005903AE">
        <w:rPr>
          <w:rFonts w:asciiTheme="majorBidi" w:hAnsiTheme="majorBidi" w:cstheme="majorBidi"/>
          <w:sz w:val="24"/>
          <w:szCs w:val="24"/>
          <w:lang w:val="en-US"/>
        </w:rPr>
        <w:t>cannot</w:t>
      </w:r>
      <w:r w:rsidRPr="000B4B06">
        <w:rPr>
          <w:rFonts w:asciiTheme="majorBidi" w:hAnsiTheme="majorBidi" w:cstheme="majorBidi"/>
          <w:sz w:val="24"/>
          <w:szCs w:val="24"/>
          <w:lang w:val="en-US"/>
        </w:rPr>
        <w:t xml:space="preserve"> afford this cost</w:t>
      </w:r>
      <w:r>
        <w:rPr>
          <w:rFonts w:asciiTheme="majorBidi" w:hAnsiTheme="majorBidi" w:cstheme="majorBidi"/>
          <w:sz w:val="24"/>
          <w:szCs w:val="24"/>
          <w:lang w:val="en-US"/>
        </w:rPr>
        <w:t xml:space="preserve"> by itself</w:t>
      </w:r>
      <w:r w:rsidRPr="00F40D8C">
        <w:rPr>
          <w:rFonts w:asciiTheme="majorBidi" w:hAnsiTheme="majorBidi" w:cstheme="majorBidi"/>
          <w:sz w:val="24"/>
          <w:szCs w:val="24"/>
          <w:lang w:val="en-US"/>
        </w:rPr>
        <w:t>.</w:t>
      </w:r>
    </w:p>
    <w:p w14:paraId="5A1B1D05" w14:textId="73B0779A" w:rsidR="00C56FD7" w:rsidRDefault="00B63113"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B63113">
        <w:rPr>
          <w:rFonts w:asciiTheme="majorBidi" w:hAnsiTheme="majorBidi" w:cstheme="majorBidi"/>
          <w:sz w:val="24"/>
          <w:szCs w:val="24"/>
          <w:lang w:val="en-US"/>
        </w:rPr>
        <w:t>Many funding sources could</w:t>
      </w:r>
      <w:r>
        <w:rPr>
          <w:rFonts w:asciiTheme="majorBidi" w:hAnsiTheme="majorBidi" w:cstheme="majorBidi"/>
          <w:sz w:val="24"/>
          <w:szCs w:val="24"/>
          <w:lang w:val="en-US"/>
        </w:rPr>
        <w:t xml:space="preserve"> </w:t>
      </w:r>
      <w:r w:rsidR="00C56FD7" w:rsidRPr="00FD0357">
        <w:rPr>
          <w:rFonts w:asciiTheme="majorBidi" w:hAnsiTheme="majorBidi" w:cstheme="majorBidi"/>
          <w:sz w:val="24"/>
          <w:szCs w:val="24"/>
          <w:lang w:val="en-US"/>
        </w:rPr>
        <w:t>be an option for the reconstruction of what was destroyed by the war in Syria.</w:t>
      </w:r>
      <w:r w:rsidR="00C56FD7">
        <w:rPr>
          <w:rFonts w:asciiTheme="majorBidi" w:hAnsiTheme="majorBidi" w:cstheme="majorBidi"/>
          <w:sz w:val="24"/>
          <w:szCs w:val="24"/>
          <w:lang w:val="en-US"/>
        </w:rPr>
        <w:t xml:space="preserve"> </w:t>
      </w:r>
      <w:r w:rsidR="00C56FD7" w:rsidRPr="00AE5CE3">
        <w:rPr>
          <w:rFonts w:asciiTheme="majorBidi" w:hAnsiTheme="majorBidi" w:cstheme="majorBidi"/>
          <w:sz w:val="24"/>
          <w:szCs w:val="24"/>
          <w:lang w:val="en-US"/>
        </w:rPr>
        <w:t xml:space="preserve">These sources can be divided into two main </w:t>
      </w:r>
      <w:r w:rsidR="00811829">
        <w:rPr>
          <w:rFonts w:asciiTheme="majorBidi" w:hAnsiTheme="majorBidi" w:cstheme="majorBidi"/>
          <w:sz w:val="24"/>
          <w:szCs w:val="24"/>
          <w:lang w:val="en-US"/>
        </w:rPr>
        <w:t>categories</w:t>
      </w:r>
      <w:r w:rsidR="00C56FD7" w:rsidRPr="00AE5CE3">
        <w:rPr>
          <w:rFonts w:asciiTheme="majorBidi" w:hAnsiTheme="majorBidi" w:cstheme="majorBidi"/>
          <w:sz w:val="24"/>
          <w:szCs w:val="24"/>
          <w:lang w:val="en-US"/>
        </w:rPr>
        <w:t xml:space="preserve">: </w:t>
      </w:r>
      <w:r w:rsidR="00811829">
        <w:rPr>
          <w:rFonts w:asciiTheme="majorBidi" w:hAnsiTheme="majorBidi" w:cstheme="majorBidi"/>
          <w:sz w:val="24"/>
          <w:szCs w:val="24"/>
          <w:lang w:val="en-US"/>
        </w:rPr>
        <w:t>First</w:t>
      </w:r>
      <w:r w:rsidR="00C56FD7" w:rsidRPr="005903AE">
        <w:rPr>
          <w:rFonts w:asciiTheme="majorBidi" w:hAnsiTheme="majorBidi" w:cstheme="majorBidi"/>
          <w:sz w:val="24"/>
          <w:szCs w:val="24"/>
          <w:lang w:val="en-US"/>
        </w:rPr>
        <w:t xml:space="preserve">, the internal sources, which include </w:t>
      </w:r>
      <w:r w:rsidR="009462C7">
        <w:rPr>
          <w:rFonts w:asciiTheme="majorBidi" w:hAnsiTheme="majorBidi" w:cstheme="majorBidi"/>
          <w:sz w:val="24"/>
          <w:szCs w:val="24"/>
          <w:lang w:val="en-US"/>
        </w:rPr>
        <w:t>public</w:t>
      </w:r>
      <w:r w:rsidR="00C56FD7" w:rsidRPr="005903AE">
        <w:rPr>
          <w:rFonts w:asciiTheme="majorBidi" w:hAnsiTheme="majorBidi" w:cstheme="majorBidi"/>
          <w:sz w:val="24"/>
          <w:szCs w:val="24"/>
          <w:lang w:val="en-US"/>
        </w:rPr>
        <w:t xml:space="preserve"> resources</w:t>
      </w:r>
      <w:r w:rsidR="00C56FD7" w:rsidRPr="005903AE">
        <w:rPr>
          <w:rFonts w:asciiTheme="majorBidi" w:hAnsiTheme="majorBidi" w:cstheme="majorBidi" w:hint="cs"/>
          <w:sz w:val="24"/>
          <w:szCs w:val="24"/>
          <w:rtl/>
          <w:lang w:val="en-US"/>
        </w:rPr>
        <w:t xml:space="preserve"> </w:t>
      </w:r>
      <w:r w:rsidR="00C56FD7" w:rsidRPr="005903AE">
        <w:rPr>
          <w:rFonts w:asciiTheme="majorBidi" w:hAnsiTheme="majorBidi" w:cstheme="majorBidi"/>
          <w:sz w:val="24"/>
          <w:szCs w:val="24"/>
          <w:lang w:val="en-US"/>
        </w:rPr>
        <w:t xml:space="preserve">and </w:t>
      </w:r>
      <w:r w:rsidR="00CA6987" w:rsidRPr="005903AE">
        <w:rPr>
          <w:rFonts w:asciiTheme="majorBidi" w:hAnsiTheme="majorBidi" w:cstheme="majorBidi"/>
          <w:sz w:val="24"/>
          <w:szCs w:val="24"/>
          <w:lang w:val="en-US"/>
        </w:rPr>
        <w:t>domestic</w:t>
      </w:r>
      <w:r w:rsidR="00C56FD7" w:rsidRPr="005903AE">
        <w:rPr>
          <w:rFonts w:asciiTheme="majorBidi" w:hAnsiTheme="majorBidi" w:cstheme="majorBidi"/>
          <w:sz w:val="24"/>
          <w:szCs w:val="24"/>
          <w:lang w:val="en-US"/>
        </w:rPr>
        <w:t xml:space="preserve"> borrowing. Second, the external sources, including </w:t>
      </w:r>
      <w:r w:rsidR="00CA6987" w:rsidRPr="005903AE">
        <w:rPr>
          <w:rFonts w:asciiTheme="majorBidi" w:hAnsiTheme="majorBidi" w:cstheme="majorBidi"/>
          <w:sz w:val="24"/>
          <w:szCs w:val="24"/>
          <w:lang w:val="en-US"/>
        </w:rPr>
        <w:t xml:space="preserve">Syrian capital abroad, </w:t>
      </w:r>
      <w:r w:rsidR="00C56FD7" w:rsidRPr="005903AE">
        <w:rPr>
          <w:rFonts w:asciiTheme="majorBidi" w:hAnsiTheme="majorBidi" w:cstheme="majorBidi"/>
          <w:sz w:val="24"/>
          <w:szCs w:val="24"/>
          <w:lang w:val="en-US"/>
        </w:rPr>
        <w:t xml:space="preserve">foreign borrowing, </w:t>
      </w:r>
      <w:r w:rsidR="00CA6987" w:rsidRPr="005903AE">
        <w:rPr>
          <w:rFonts w:asciiTheme="majorBidi" w:hAnsiTheme="majorBidi" w:cstheme="majorBidi"/>
          <w:sz w:val="24"/>
          <w:szCs w:val="24"/>
          <w:lang w:val="en-US"/>
        </w:rPr>
        <w:t>expatriates</w:t>
      </w:r>
      <w:r w:rsidR="00E20029" w:rsidRPr="00E20029">
        <w:rPr>
          <w:rFonts w:ascii="Times New Roman" w:hAnsi="Times New Roman" w:cs="Times New Roman"/>
          <w:sz w:val="24"/>
          <w:szCs w:val="24"/>
        </w:rPr>
        <w:t>'</w:t>
      </w:r>
      <w:r w:rsidR="00CA6987" w:rsidRPr="005903AE">
        <w:rPr>
          <w:rFonts w:asciiTheme="majorBidi" w:hAnsiTheme="majorBidi" w:cstheme="majorBidi"/>
          <w:sz w:val="24"/>
          <w:szCs w:val="24"/>
          <w:lang w:val="en-US"/>
        </w:rPr>
        <w:t xml:space="preserve"> </w:t>
      </w:r>
      <w:r w:rsidR="005903AE" w:rsidRPr="005903AE">
        <w:rPr>
          <w:rFonts w:asciiTheme="majorBidi" w:hAnsiTheme="majorBidi" w:cstheme="majorBidi"/>
          <w:sz w:val="24"/>
          <w:szCs w:val="24"/>
          <w:lang w:val="en-US"/>
        </w:rPr>
        <w:t>transfers, and</w:t>
      </w:r>
      <w:r w:rsidR="00CA6987" w:rsidRPr="005903AE">
        <w:rPr>
          <w:rFonts w:asciiTheme="majorBidi" w:hAnsiTheme="majorBidi" w:cstheme="majorBidi"/>
          <w:sz w:val="24"/>
          <w:szCs w:val="24"/>
          <w:lang w:val="en-US"/>
        </w:rPr>
        <w:t xml:space="preserve"> foreign investments. </w:t>
      </w:r>
      <w:r w:rsidR="00B97AA7" w:rsidRPr="00B97AA7">
        <w:rPr>
          <w:rFonts w:asciiTheme="majorBidi" w:hAnsiTheme="majorBidi" w:cstheme="majorBidi"/>
          <w:sz w:val="24"/>
          <w:szCs w:val="24"/>
          <w:lang w:val="en-US"/>
        </w:rPr>
        <w:t>Determining the financing sources is very important and, in particular, the mechanism by which this financing will be carried out</w:t>
      </w:r>
      <w:r w:rsidR="00C56FD7" w:rsidRPr="00AD6594">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w:t>
      </w:r>
      <w:r w:rsidR="00C56FD7" w:rsidRPr="00AD6594">
        <w:rPr>
          <w:rFonts w:asciiTheme="majorBidi" w:hAnsiTheme="majorBidi" w:cstheme="majorBidi"/>
          <w:sz w:val="24"/>
          <w:szCs w:val="24"/>
          <w:lang w:val="en-US"/>
        </w:rPr>
        <w:t xml:space="preserve">Each source will be detailed separately to indicate the relative contribution of this source </w:t>
      </w:r>
      <w:r w:rsidR="00811829">
        <w:rPr>
          <w:rFonts w:asciiTheme="majorBidi" w:hAnsiTheme="majorBidi" w:cstheme="majorBidi"/>
          <w:sz w:val="24"/>
          <w:szCs w:val="24"/>
          <w:lang w:val="en-US"/>
        </w:rPr>
        <w:t>in</w:t>
      </w:r>
      <w:r w:rsidR="00C56FD7" w:rsidRPr="00AD6594">
        <w:rPr>
          <w:rFonts w:asciiTheme="majorBidi" w:hAnsiTheme="majorBidi" w:cstheme="majorBidi"/>
          <w:sz w:val="24"/>
          <w:szCs w:val="24"/>
          <w:lang w:val="en-US"/>
        </w:rPr>
        <w:t xml:space="preserve"> the total funding required.</w:t>
      </w:r>
    </w:p>
    <w:p w14:paraId="5D353A8E" w14:textId="77777777" w:rsidR="00C56FD7" w:rsidRDefault="00C56FD7" w:rsidP="00634054">
      <w:pPr>
        <w:pStyle w:val="ListParagraph"/>
        <w:numPr>
          <w:ilvl w:val="0"/>
          <w:numId w:val="24"/>
        </w:numPr>
        <w:suppressAutoHyphens/>
        <w:autoSpaceDE w:val="0"/>
        <w:adjustRightInd w:val="0"/>
        <w:spacing w:line="360" w:lineRule="auto"/>
        <w:ind w:left="567" w:hanging="357"/>
        <w:contextualSpacing/>
        <w:jc w:val="both"/>
        <w:textAlignment w:val="auto"/>
        <w:rPr>
          <w:rFonts w:asciiTheme="majorBidi" w:hAnsiTheme="majorBidi" w:cstheme="majorBidi"/>
          <w:b/>
          <w:bCs/>
          <w:sz w:val="24"/>
          <w:szCs w:val="24"/>
          <w:lang w:val="en-US"/>
        </w:rPr>
      </w:pPr>
      <w:r w:rsidRPr="001101F4">
        <w:rPr>
          <w:rFonts w:asciiTheme="majorBidi" w:hAnsiTheme="majorBidi" w:cstheme="majorBidi"/>
          <w:b/>
          <w:bCs/>
          <w:sz w:val="24"/>
          <w:szCs w:val="24"/>
          <w:lang w:val="en-US"/>
        </w:rPr>
        <w:t>Internal sources</w:t>
      </w:r>
    </w:p>
    <w:p w14:paraId="5E144F72" w14:textId="7078C916"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070046">
        <w:rPr>
          <w:rFonts w:asciiTheme="majorBidi" w:hAnsiTheme="majorBidi" w:cstheme="majorBidi"/>
          <w:sz w:val="24"/>
          <w:szCs w:val="24"/>
          <w:lang w:val="en-US"/>
        </w:rPr>
        <w:t>The main problem that most developing countries suffer from</w:t>
      </w:r>
      <w:r w:rsidR="00765E26">
        <w:rPr>
          <w:rFonts w:asciiTheme="majorBidi" w:hAnsiTheme="majorBidi" w:cstheme="majorBidi"/>
          <w:sz w:val="24"/>
          <w:szCs w:val="24"/>
          <w:lang w:val="en-US"/>
        </w:rPr>
        <w:t xml:space="preserve"> </w:t>
      </w:r>
      <w:r w:rsidRPr="00070046">
        <w:rPr>
          <w:rFonts w:asciiTheme="majorBidi" w:hAnsiTheme="majorBidi" w:cstheme="majorBidi"/>
          <w:sz w:val="24"/>
          <w:szCs w:val="24"/>
          <w:lang w:val="en-US"/>
        </w:rPr>
        <w:t xml:space="preserve">is the contradiction between the great need for resources and the scarcity and limitations of these sources. </w:t>
      </w:r>
      <w:r w:rsidR="000544ED">
        <w:rPr>
          <w:rFonts w:asciiTheme="majorBidi" w:hAnsiTheme="majorBidi" w:cstheme="majorBidi"/>
          <w:sz w:val="24"/>
          <w:szCs w:val="24"/>
          <w:lang w:val="en-US"/>
        </w:rPr>
        <w:t>Securing</w:t>
      </w:r>
      <w:r w:rsidRPr="00070046">
        <w:rPr>
          <w:rFonts w:asciiTheme="majorBidi" w:hAnsiTheme="majorBidi" w:cstheme="majorBidi"/>
          <w:sz w:val="24"/>
          <w:szCs w:val="24"/>
          <w:lang w:val="en-US"/>
        </w:rPr>
        <w:t xml:space="preserve"> these sources in the post-war reconstruction phase is the greatest future challenge</w:t>
      </w:r>
      <w:r w:rsidR="00B63113">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070046">
        <w:rPr>
          <w:rFonts w:asciiTheme="majorBidi" w:hAnsiTheme="majorBidi" w:cstheme="majorBidi"/>
          <w:sz w:val="24"/>
          <w:szCs w:val="24"/>
          <w:lang w:val="en-US"/>
        </w:rPr>
        <w:t>in light of the contraction of GDP and the destruction</w:t>
      </w:r>
      <w:r>
        <w:rPr>
          <w:rFonts w:asciiTheme="majorBidi" w:hAnsiTheme="majorBidi" w:cstheme="majorBidi"/>
          <w:sz w:val="24"/>
          <w:szCs w:val="24"/>
          <w:lang w:val="en-US"/>
        </w:rPr>
        <w:t xml:space="preserve"> </w:t>
      </w:r>
      <w:r w:rsidR="000544ED">
        <w:rPr>
          <w:rFonts w:asciiTheme="majorBidi" w:hAnsiTheme="majorBidi" w:cstheme="majorBidi"/>
          <w:sz w:val="24"/>
          <w:szCs w:val="24"/>
          <w:lang w:val="en-US"/>
        </w:rPr>
        <w:t>of</w:t>
      </w:r>
      <w:r>
        <w:rPr>
          <w:rFonts w:asciiTheme="majorBidi" w:hAnsiTheme="majorBidi" w:cstheme="majorBidi"/>
          <w:sz w:val="24"/>
          <w:szCs w:val="24"/>
          <w:lang w:val="en-US"/>
        </w:rPr>
        <w:t xml:space="preserve"> </w:t>
      </w:r>
      <w:r w:rsidR="00811829">
        <w:rPr>
          <w:rFonts w:asciiTheme="majorBidi" w:hAnsiTheme="majorBidi" w:cstheme="majorBidi"/>
          <w:sz w:val="24"/>
          <w:szCs w:val="24"/>
          <w:lang w:val="en-US"/>
        </w:rPr>
        <w:t>the</w:t>
      </w:r>
      <w:r>
        <w:rPr>
          <w:rFonts w:asciiTheme="majorBidi" w:hAnsiTheme="majorBidi" w:cstheme="majorBidi"/>
          <w:sz w:val="24"/>
          <w:szCs w:val="24"/>
          <w:lang w:val="en-US"/>
        </w:rPr>
        <w:t xml:space="preserve"> infrastructures</w:t>
      </w:r>
      <w:r w:rsidRPr="00070046">
        <w:rPr>
          <w:rFonts w:asciiTheme="majorBidi" w:hAnsiTheme="majorBidi" w:cstheme="majorBidi"/>
          <w:sz w:val="24"/>
          <w:szCs w:val="24"/>
          <w:lang w:val="en-US"/>
        </w:rPr>
        <w:t>. Syria has lost a large part of its capabilities</w:t>
      </w:r>
      <w:r w:rsidR="00811829">
        <w:rPr>
          <w:rFonts w:asciiTheme="majorBidi" w:hAnsiTheme="majorBidi" w:cstheme="majorBidi"/>
          <w:sz w:val="24"/>
          <w:szCs w:val="24"/>
          <w:lang w:val="en-US"/>
        </w:rPr>
        <w:t>,</w:t>
      </w:r>
      <w:r>
        <w:rPr>
          <w:rFonts w:asciiTheme="majorBidi" w:hAnsiTheme="majorBidi" w:cstheme="majorBidi"/>
          <w:sz w:val="24"/>
          <w:szCs w:val="24"/>
          <w:lang w:val="en-US"/>
        </w:rPr>
        <w:t xml:space="preserve"> and </w:t>
      </w:r>
      <w:r w:rsidR="00811829">
        <w:rPr>
          <w:rFonts w:asciiTheme="majorBidi" w:hAnsiTheme="majorBidi" w:cstheme="majorBidi"/>
          <w:sz w:val="24"/>
          <w:szCs w:val="24"/>
          <w:lang w:val="en-US"/>
        </w:rPr>
        <w:t>the</w:t>
      </w:r>
      <w:r>
        <w:rPr>
          <w:rFonts w:asciiTheme="majorBidi" w:hAnsiTheme="majorBidi" w:cstheme="majorBidi"/>
          <w:sz w:val="24"/>
          <w:szCs w:val="24"/>
          <w:lang w:val="en-US"/>
        </w:rPr>
        <w:t xml:space="preserve"> ability</w:t>
      </w:r>
      <w:r w:rsidRPr="00070046">
        <w:rPr>
          <w:rFonts w:asciiTheme="majorBidi" w:hAnsiTheme="majorBidi" w:cstheme="majorBidi"/>
          <w:sz w:val="24"/>
          <w:szCs w:val="24"/>
          <w:lang w:val="en-US"/>
        </w:rPr>
        <w:t xml:space="preserve"> </w:t>
      </w:r>
      <w:r>
        <w:rPr>
          <w:rFonts w:asciiTheme="majorBidi" w:hAnsiTheme="majorBidi" w:cstheme="majorBidi"/>
          <w:sz w:val="24"/>
          <w:szCs w:val="24"/>
          <w:lang w:val="en-US"/>
        </w:rPr>
        <w:t>to</w:t>
      </w:r>
      <w:r w:rsidRPr="00070046">
        <w:rPr>
          <w:rFonts w:asciiTheme="majorBidi" w:hAnsiTheme="majorBidi" w:cstheme="majorBidi"/>
          <w:sz w:val="24"/>
          <w:szCs w:val="24"/>
          <w:lang w:val="en-US"/>
        </w:rPr>
        <w:t xml:space="preserve"> self-financing </w:t>
      </w:r>
      <w:r>
        <w:rPr>
          <w:rFonts w:asciiTheme="majorBidi" w:hAnsiTheme="majorBidi" w:cstheme="majorBidi"/>
          <w:sz w:val="24"/>
          <w:szCs w:val="24"/>
          <w:lang w:val="en-US"/>
        </w:rPr>
        <w:t>the</w:t>
      </w:r>
      <w:r w:rsidRPr="00070046">
        <w:rPr>
          <w:rFonts w:asciiTheme="majorBidi" w:hAnsiTheme="majorBidi" w:cstheme="majorBidi"/>
          <w:sz w:val="24"/>
          <w:szCs w:val="24"/>
          <w:lang w:val="en-US"/>
        </w:rPr>
        <w:t xml:space="preserve"> reconstruction </w:t>
      </w:r>
      <w:r>
        <w:rPr>
          <w:rFonts w:asciiTheme="majorBidi" w:hAnsiTheme="majorBidi" w:cstheme="majorBidi"/>
          <w:sz w:val="24"/>
          <w:szCs w:val="24"/>
          <w:lang w:val="en-US"/>
        </w:rPr>
        <w:t xml:space="preserve">phase </w:t>
      </w:r>
      <w:r w:rsidRPr="00070046">
        <w:rPr>
          <w:rFonts w:asciiTheme="majorBidi" w:hAnsiTheme="majorBidi" w:cstheme="majorBidi"/>
          <w:sz w:val="24"/>
          <w:szCs w:val="24"/>
          <w:lang w:val="en-US"/>
        </w:rPr>
        <w:t xml:space="preserve">has become limited due to the </w:t>
      </w:r>
      <w:r w:rsidR="006A3EF9" w:rsidRPr="006A3EF9">
        <w:rPr>
          <w:rFonts w:asciiTheme="majorBidi" w:hAnsiTheme="majorBidi" w:cstheme="majorBidi"/>
          <w:sz w:val="24"/>
          <w:szCs w:val="24"/>
          <w:lang w:val="en-US"/>
        </w:rPr>
        <w:t xml:space="preserve">enormous </w:t>
      </w:r>
      <w:r w:rsidRPr="00070046">
        <w:rPr>
          <w:rFonts w:asciiTheme="majorBidi" w:hAnsiTheme="majorBidi" w:cstheme="majorBidi"/>
          <w:sz w:val="24"/>
          <w:szCs w:val="24"/>
          <w:lang w:val="en-US"/>
        </w:rPr>
        <w:t>reconstruction needs.</w:t>
      </w:r>
    </w:p>
    <w:p w14:paraId="4C38BDE7" w14:textId="5C11EC5A" w:rsidR="00C56FD7" w:rsidRPr="00070046" w:rsidRDefault="00CF43A8"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CF43A8">
        <w:rPr>
          <w:rFonts w:asciiTheme="majorBidi" w:hAnsiTheme="majorBidi" w:cstheme="majorBidi"/>
          <w:sz w:val="24"/>
          <w:szCs w:val="24"/>
          <w:lang w:val="en-US"/>
        </w:rPr>
        <w:t>It can be said that it is more appropriate if the funding of reconstruction depends on national sources. External financing may make the national economy vulnerable to adverse conditions,</w:t>
      </w:r>
      <w:r w:rsidR="00A92A35">
        <w:rPr>
          <w:rFonts w:asciiTheme="majorBidi" w:hAnsiTheme="majorBidi" w:cstheme="majorBidi"/>
          <w:sz w:val="24"/>
          <w:szCs w:val="24"/>
          <w:lang w:val="en-US"/>
        </w:rPr>
        <w:t xml:space="preserve"> </w:t>
      </w:r>
      <w:r w:rsidR="00A92A35" w:rsidRPr="00A92A35">
        <w:rPr>
          <w:rFonts w:asciiTheme="majorBidi" w:hAnsiTheme="majorBidi" w:cstheme="majorBidi"/>
          <w:sz w:val="24"/>
          <w:szCs w:val="24"/>
          <w:lang w:val="en-US"/>
        </w:rPr>
        <w:t xml:space="preserve">causing </w:t>
      </w:r>
      <w:r w:rsidRPr="00CF43A8">
        <w:rPr>
          <w:rFonts w:asciiTheme="majorBidi" w:hAnsiTheme="majorBidi" w:cstheme="majorBidi"/>
          <w:sz w:val="24"/>
          <w:szCs w:val="24"/>
          <w:lang w:val="en-US"/>
        </w:rPr>
        <w:t>heavy burdens at the repayment stage</w:t>
      </w:r>
      <w:r w:rsidR="00C56FD7" w:rsidRPr="00BB7F3D">
        <w:rPr>
          <w:rFonts w:asciiTheme="majorBidi" w:hAnsiTheme="majorBidi" w:cstheme="majorBidi"/>
          <w:sz w:val="24"/>
          <w:szCs w:val="24"/>
          <w:lang w:val="en-US"/>
        </w:rPr>
        <w:t>.</w:t>
      </w:r>
    </w:p>
    <w:p w14:paraId="37DA1991" w14:textId="77777777" w:rsidR="00C56FD7" w:rsidRDefault="00C56FD7" w:rsidP="00634054">
      <w:pPr>
        <w:pStyle w:val="ListParagraph"/>
        <w:numPr>
          <w:ilvl w:val="0"/>
          <w:numId w:val="25"/>
        </w:numPr>
        <w:suppressAutoHyphens/>
        <w:autoSpaceDE w:val="0"/>
        <w:adjustRightInd w:val="0"/>
        <w:spacing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t>Own resources</w:t>
      </w:r>
    </w:p>
    <w:p w14:paraId="45139090" w14:textId="4CE75CF9" w:rsidR="00C56FD7" w:rsidRDefault="00CF43A8"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CF43A8">
        <w:rPr>
          <w:rFonts w:asciiTheme="majorBidi" w:hAnsiTheme="majorBidi" w:cstheme="majorBidi"/>
          <w:sz w:val="24"/>
          <w:szCs w:val="24"/>
          <w:lang w:val="en-US"/>
        </w:rPr>
        <w:t>These include state public revenues, part of which is allocated to investment spending; nevertheless, the severe contraction of all economic sectors has adversely affected the state's public revenue</w:t>
      </w:r>
      <w:r w:rsidR="00C56FD7" w:rsidRPr="001101F4">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w:t>
      </w:r>
      <w:r w:rsidRPr="00CF43A8">
        <w:rPr>
          <w:rFonts w:asciiTheme="majorBidi" w:hAnsiTheme="majorBidi" w:cstheme="majorBidi"/>
          <w:sz w:val="24"/>
          <w:szCs w:val="24"/>
          <w:lang w:val="en-US"/>
        </w:rPr>
        <w:t>As a result, the tax collection level has decreased significantly, and the government has become dependent on indirect taxes and fees</w:t>
      </w:r>
      <w:r w:rsidR="00C56FD7">
        <w:rPr>
          <w:rFonts w:asciiTheme="majorBidi" w:hAnsiTheme="majorBidi" w:cstheme="majorBidi"/>
          <w:sz w:val="24"/>
          <w:szCs w:val="24"/>
          <w:lang w:val="en-US"/>
        </w:rPr>
        <w:t>.</w:t>
      </w:r>
    </w:p>
    <w:p w14:paraId="3C721648" w14:textId="68086142" w:rsidR="00BB043B"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BA2E73">
        <w:rPr>
          <w:rFonts w:asciiTheme="majorBidi" w:hAnsiTheme="majorBidi" w:cstheme="majorBidi"/>
          <w:sz w:val="24"/>
          <w:szCs w:val="24"/>
          <w:lang w:val="en-US"/>
        </w:rPr>
        <w:t xml:space="preserve">Oil revenues have declined significantly, from an average of 29% of </w:t>
      </w:r>
      <w:r w:rsidR="0058259E">
        <w:rPr>
          <w:rFonts w:asciiTheme="majorBidi" w:hAnsiTheme="majorBidi" w:cstheme="majorBidi"/>
          <w:sz w:val="24"/>
          <w:szCs w:val="24"/>
          <w:lang w:val="en-US"/>
        </w:rPr>
        <w:t xml:space="preserve">overall </w:t>
      </w:r>
      <w:r w:rsidRPr="00BA2E73">
        <w:rPr>
          <w:rFonts w:asciiTheme="majorBidi" w:hAnsiTheme="majorBidi" w:cstheme="majorBidi"/>
          <w:sz w:val="24"/>
          <w:szCs w:val="24"/>
          <w:lang w:val="en-US"/>
        </w:rPr>
        <w:t>public revenues between 2004</w:t>
      </w:r>
      <w:r w:rsidR="00811829">
        <w:rPr>
          <w:rFonts w:asciiTheme="majorBidi" w:hAnsiTheme="majorBidi" w:cstheme="majorBidi"/>
          <w:sz w:val="24"/>
          <w:szCs w:val="24"/>
          <w:lang w:val="en-US"/>
        </w:rPr>
        <w:t>-</w:t>
      </w:r>
      <w:r w:rsidRPr="00BA2E73">
        <w:rPr>
          <w:rFonts w:asciiTheme="majorBidi" w:hAnsiTheme="majorBidi" w:cstheme="majorBidi"/>
          <w:sz w:val="24"/>
          <w:szCs w:val="24"/>
          <w:lang w:val="en-US"/>
        </w:rPr>
        <w:t>2010</w:t>
      </w:r>
      <w:r>
        <w:rPr>
          <w:rFonts w:asciiTheme="majorBidi" w:hAnsiTheme="majorBidi" w:cstheme="majorBidi"/>
          <w:sz w:val="24"/>
          <w:szCs w:val="24"/>
          <w:lang w:val="en-US"/>
        </w:rPr>
        <w:t>, a</w:t>
      </w:r>
      <w:r w:rsidRPr="00BA2E73">
        <w:rPr>
          <w:rFonts w:asciiTheme="majorBidi" w:hAnsiTheme="majorBidi" w:cstheme="majorBidi"/>
          <w:sz w:val="24"/>
          <w:szCs w:val="24"/>
          <w:lang w:val="en-US"/>
        </w:rPr>
        <w:t>s all foreign companies operating in the oil sector suspended their activities in Syria in response to the sanctions on Syria since mid-2011</w:t>
      </w:r>
      <w:r>
        <w:rPr>
          <w:rFonts w:asciiTheme="majorBidi" w:hAnsiTheme="majorBidi" w:cstheme="majorBidi"/>
          <w:sz w:val="24"/>
          <w:szCs w:val="24"/>
          <w:lang w:val="en-US"/>
        </w:rPr>
        <w:t xml:space="preserve">. </w:t>
      </w:r>
      <w:r w:rsidRPr="00BA2E73">
        <w:rPr>
          <w:rFonts w:asciiTheme="majorBidi" w:hAnsiTheme="majorBidi" w:cstheme="majorBidi"/>
          <w:sz w:val="24"/>
          <w:szCs w:val="24"/>
          <w:lang w:val="en-US"/>
        </w:rPr>
        <w:t>Oil production declined from 387 thousand barrels/day in 2010</w:t>
      </w:r>
      <w:r>
        <w:rPr>
          <w:rFonts w:asciiTheme="majorBidi" w:hAnsiTheme="majorBidi" w:cstheme="majorBidi"/>
          <w:sz w:val="24"/>
          <w:szCs w:val="24"/>
          <w:lang w:val="en-US"/>
        </w:rPr>
        <w:t xml:space="preserve"> t</w:t>
      </w:r>
      <w:r w:rsidRPr="00BA2E73">
        <w:rPr>
          <w:rFonts w:asciiTheme="majorBidi" w:hAnsiTheme="majorBidi" w:cstheme="majorBidi"/>
          <w:sz w:val="24"/>
          <w:szCs w:val="24"/>
          <w:lang w:val="en-US"/>
        </w:rPr>
        <w:t>o 170 thousand barrels/day in 2012</w:t>
      </w:r>
      <w:r>
        <w:rPr>
          <w:rFonts w:asciiTheme="majorBidi" w:hAnsiTheme="majorBidi" w:cstheme="majorBidi"/>
          <w:sz w:val="24"/>
          <w:szCs w:val="24"/>
          <w:lang w:val="en-US"/>
        </w:rPr>
        <w:t>, and as</w:t>
      </w:r>
      <w:r w:rsidRPr="00BA2E73">
        <w:rPr>
          <w:rFonts w:asciiTheme="majorBidi" w:hAnsiTheme="majorBidi" w:cstheme="majorBidi"/>
          <w:sz w:val="24"/>
          <w:szCs w:val="24"/>
          <w:lang w:val="en-US"/>
        </w:rPr>
        <w:t xml:space="preserve"> the battles </w:t>
      </w:r>
      <w:r w:rsidRPr="002746BC">
        <w:rPr>
          <w:rFonts w:asciiTheme="majorBidi" w:hAnsiTheme="majorBidi" w:cstheme="majorBidi"/>
          <w:sz w:val="24"/>
          <w:szCs w:val="24"/>
          <w:lang w:val="en-US"/>
        </w:rPr>
        <w:t>intensified</w:t>
      </w:r>
      <w:r w:rsidRPr="00BA2E73">
        <w:rPr>
          <w:rFonts w:asciiTheme="majorBidi" w:hAnsiTheme="majorBidi" w:cstheme="majorBidi"/>
          <w:sz w:val="24"/>
          <w:szCs w:val="24"/>
          <w:lang w:val="en-US"/>
        </w:rPr>
        <w:t xml:space="preserve"> in late 2012, 90% of oil wells were out of </w:t>
      </w:r>
      <w:r>
        <w:rPr>
          <w:rFonts w:asciiTheme="majorBidi" w:hAnsiTheme="majorBidi" w:cstheme="majorBidi"/>
          <w:sz w:val="24"/>
          <w:szCs w:val="24"/>
          <w:lang w:val="en-US"/>
        </w:rPr>
        <w:t xml:space="preserve">the </w:t>
      </w:r>
      <w:r w:rsidRPr="00BA2E73">
        <w:rPr>
          <w:rFonts w:asciiTheme="majorBidi" w:hAnsiTheme="majorBidi" w:cstheme="majorBidi"/>
          <w:sz w:val="24"/>
          <w:szCs w:val="24"/>
          <w:lang w:val="en-US"/>
        </w:rPr>
        <w:t>government control</w:t>
      </w:r>
      <w:r w:rsidR="006A3EF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6A3EF9">
        <w:rPr>
          <w:rFonts w:asciiTheme="majorBidi" w:hAnsiTheme="majorBidi" w:cstheme="majorBidi"/>
          <w:sz w:val="24"/>
          <w:szCs w:val="24"/>
          <w:lang w:val="en-US"/>
        </w:rPr>
        <w:t>C</w:t>
      </w:r>
      <w:r w:rsidRPr="004E232E">
        <w:rPr>
          <w:rFonts w:asciiTheme="majorBidi" w:hAnsiTheme="majorBidi" w:cstheme="majorBidi"/>
          <w:sz w:val="24"/>
          <w:szCs w:val="24"/>
          <w:lang w:val="en-US"/>
        </w:rPr>
        <w:t xml:space="preserve">onsequently, the average oil production </w:t>
      </w:r>
      <w:r w:rsidRPr="004E232E">
        <w:rPr>
          <w:rFonts w:asciiTheme="majorBidi" w:hAnsiTheme="majorBidi" w:cstheme="majorBidi"/>
          <w:sz w:val="24"/>
          <w:szCs w:val="24"/>
          <w:lang w:val="en-US"/>
        </w:rPr>
        <w:lastRenderedPageBreak/>
        <w:t>from 2013 to 2017 was about 15 thousand barrels</w:t>
      </w:r>
      <w:r>
        <w:rPr>
          <w:rFonts w:asciiTheme="majorBidi" w:hAnsiTheme="majorBidi" w:cstheme="majorBidi"/>
          <w:sz w:val="24"/>
          <w:szCs w:val="24"/>
          <w:lang w:val="en-US"/>
        </w:rPr>
        <w:t>/day.</w:t>
      </w:r>
      <w:r>
        <w:rPr>
          <w:rStyle w:val="FootnoteReference"/>
          <w:rFonts w:asciiTheme="majorBidi" w:hAnsiTheme="majorBidi" w:cstheme="majorBidi"/>
          <w:sz w:val="24"/>
          <w:szCs w:val="24"/>
          <w:lang w:val="en-US"/>
        </w:rPr>
        <w:footnoteReference w:id="87"/>
      </w:r>
      <w:r>
        <w:rPr>
          <w:rFonts w:asciiTheme="majorBidi" w:hAnsiTheme="majorBidi" w:cstheme="majorBidi"/>
          <w:sz w:val="24"/>
          <w:szCs w:val="24"/>
          <w:lang w:val="en-US"/>
        </w:rPr>
        <w:t xml:space="preserve"> </w:t>
      </w:r>
      <w:r w:rsidR="00BB043B" w:rsidRPr="00E0131D">
        <w:rPr>
          <w:rFonts w:asciiTheme="majorBidi" w:hAnsiTheme="majorBidi" w:cstheme="majorBidi"/>
          <w:sz w:val="24"/>
          <w:szCs w:val="24"/>
          <w:lang w:val="en-US"/>
        </w:rPr>
        <w:t xml:space="preserve">The Syrian oil exports amounted to </w:t>
      </w:r>
      <w:r w:rsidR="00BB043B">
        <w:rPr>
          <w:rFonts w:asciiTheme="majorBidi" w:hAnsiTheme="majorBidi" w:cstheme="majorBidi"/>
          <w:sz w:val="24"/>
          <w:szCs w:val="24"/>
          <w:lang w:val="en-US"/>
        </w:rPr>
        <w:t>$</w:t>
      </w:r>
      <w:r w:rsidR="00BB043B" w:rsidRPr="00E0131D">
        <w:rPr>
          <w:rFonts w:asciiTheme="majorBidi" w:hAnsiTheme="majorBidi" w:cstheme="majorBidi"/>
          <w:sz w:val="24"/>
          <w:szCs w:val="24"/>
          <w:lang w:val="en-US"/>
        </w:rPr>
        <w:t xml:space="preserve">4.25 </w:t>
      </w:r>
      <w:r w:rsidR="00BB043B">
        <w:rPr>
          <w:rFonts w:asciiTheme="majorBidi" w:hAnsiTheme="majorBidi" w:cstheme="majorBidi"/>
          <w:sz w:val="24"/>
          <w:szCs w:val="24"/>
          <w:lang w:val="en-US"/>
        </w:rPr>
        <w:t>bn</w:t>
      </w:r>
      <w:r w:rsidR="00BB043B" w:rsidRPr="00E0131D">
        <w:rPr>
          <w:rFonts w:asciiTheme="majorBidi" w:hAnsiTheme="majorBidi" w:cstheme="majorBidi"/>
          <w:sz w:val="24"/>
          <w:szCs w:val="24"/>
          <w:lang w:val="en-US"/>
        </w:rPr>
        <w:t xml:space="preserve"> in 2010, declined to about </w:t>
      </w:r>
      <w:r w:rsidR="00BB043B">
        <w:rPr>
          <w:rFonts w:asciiTheme="majorBidi" w:hAnsiTheme="majorBidi" w:cstheme="majorBidi"/>
          <w:sz w:val="24"/>
          <w:szCs w:val="24"/>
          <w:lang w:val="en-US"/>
        </w:rPr>
        <w:t>$</w:t>
      </w:r>
      <w:r w:rsidR="00BB043B" w:rsidRPr="00E0131D">
        <w:rPr>
          <w:rFonts w:asciiTheme="majorBidi" w:hAnsiTheme="majorBidi" w:cstheme="majorBidi"/>
          <w:sz w:val="24"/>
          <w:szCs w:val="24"/>
          <w:lang w:val="en-US"/>
        </w:rPr>
        <w:t xml:space="preserve">3 </w:t>
      </w:r>
      <w:r w:rsidR="00BB043B">
        <w:rPr>
          <w:rFonts w:asciiTheme="majorBidi" w:hAnsiTheme="majorBidi" w:cstheme="majorBidi"/>
          <w:sz w:val="24"/>
          <w:szCs w:val="24"/>
          <w:lang w:val="en-US"/>
        </w:rPr>
        <w:t>bn</w:t>
      </w:r>
      <w:r w:rsidR="00BB043B" w:rsidRPr="00E0131D">
        <w:rPr>
          <w:rFonts w:asciiTheme="majorBidi" w:hAnsiTheme="majorBidi" w:cstheme="majorBidi"/>
          <w:sz w:val="24"/>
          <w:szCs w:val="24"/>
          <w:lang w:val="en-US"/>
        </w:rPr>
        <w:t xml:space="preserve"> in 2011</w:t>
      </w:r>
      <w:r w:rsidR="00BD4CF5">
        <w:rPr>
          <w:rFonts w:asciiTheme="majorBidi" w:hAnsiTheme="majorBidi" w:cstheme="majorBidi"/>
          <w:sz w:val="24"/>
          <w:szCs w:val="24"/>
          <w:lang w:val="en-US"/>
        </w:rPr>
        <w:t>,</w:t>
      </w:r>
      <w:r w:rsidR="00BB043B" w:rsidRPr="00E0131D">
        <w:rPr>
          <w:rFonts w:asciiTheme="majorBidi" w:hAnsiTheme="majorBidi" w:cstheme="majorBidi"/>
          <w:sz w:val="24"/>
          <w:szCs w:val="24"/>
          <w:lang w:val="en-US"/>
        </w:rPr>
        <w:t xml:space="preserve"> and </w:t>
      </w:r>
      <w:r w:rsidR="00BB043B">
        <w:rPr>
          <w:rFonts w:asciiTheme="majorBidi" w:hAnsiTheme="majorBidi" w:cstheme="majorBidi"/>
          <w:sz w:val="24"/>
          <w:szCs w:val="24"/>
          <w:lang w:val="en-US"/>
        </w:rPr>
        <w:t>$</w:t>
      </w:r>
      <w:r w:rsidR="00BB043B" w:rsidRPr="00E0131D">
        <w:rPr>
          <w:rFonts w:asciiTheme="majorBidi" w:hAnsiTheme="majorBidi" w:cstheme="majorBidi"/>
          <w:sz w:val="24"/>
          <w:szCs w:val="24"/>
          <w:lang w:val="en-US"/>
        </w:rPr>
        <w:t xml:space="preserve">0.25 </w:t>
      </w:r>
      <w:r w:rsidR="00BB043B">
        <w:rPr>
          <w:rFonts w:asciiTheme="majorBidi" w:hAnsiTheme="majorBidi" w:cstheme="majorBidi"/>
          <w:sz w:val="24"/>
          <w:szCs w:val="24"/>
          <w:lang w:val="en-US"/>
        </w:rPr>
        <w:t>bn</w:t>
      </w:r>
      <w:r w:rsidR="00BB043B" w:rsidRPr="00E0131D">
        <w:rPr>
          <w:rFonts w:asciiTheme="majorBidi" w:hAnsiTheme="majorBidi" w:cstheme="majorBidi"/>
          <w:sz w:val="24"/>
          <w:szCs w:val="24"/>
          <w:lang w:val="en-US"/>
        </w:rPr>
        <w:t xml:space="preserve"> in 2012, </w:t>
      </w:r>
      <w:r w:rsidR="00BB043B">
        <w:rPr>
          <w:rFonts w:asciiTheme="majorBidi" w:hAnsiTheme="majorBidi" w:cstheme="majorBidi"/>
          <w:sz w:val="24"/>
          <w:szCs w:val="24"/>
          <w:lang w:val="en-US"/>
        </w:rPr>
        <w:t xml:space="preserve">and </w:t>
      </w:r>
      <w:r w:rsidR="00BB043B" w:rsidRPr="00E0131D">
        <w:rPr>
          <w:rFonts w:asciiTheme="majorBidi" w:hAnsiTheme="majorBidi" w:cstheme="majorBidi"/>
          <w:sz w:val="24"/>
          <w:szCs w:val="24"/>
          <w:lang w:val="en-US"/>
        </w:rPr>
        <w:t>since 2013</w:t>
      </w:r>
      <w:r w:rsidR="00BB043B">
        <w:rPr>
          <w:rFonts w:asciiTheme="majorBidi" w:hAnsiTheme="majorBidi" w:cstheme="majorBidi"/>
          <w:sz w:val="24"/>
          <w:szCs w:val="24"/>
          <w:lang w:val="en-US"/>
        </w:rPr>
        <w:t xml:space="preserve"> </w:t>
      </w:r>
      <w:r w:rsidR="00BB043B" w:rsidRPr="00E0131D">
        <w:rPr>
          <w:rFonts w:asciiTheme="majorBidi" w:hAnsiTheme="majorBidi" w:cstheme="majorBidi"/>
          <w:sz w:val="24"/>
          <w:szCs w:val="24"/>
          <w:lang w:val="en-US"/>
        </w:rPr>
        <w:t>Syria turned into an oil</w:t>
      </w:r>
      <w:r w:rsidR="00BB043B">
        <w:rPr>
          <w:rFonts w:asciiTheme="majorBidi" w:hAnsiTheme="majorBidi" w:cstheme="majorBidi"/>
          <w:sz w:val="24"/>
          <w:szCs w:val="24"/>
          <w:lang w:val="en-US"/>
        </w:rPr>
        <w:t>-</w:t>
      </w:r>
      <w:r w:rsidR="00BB043B" w:rsidRPr="00E0131D">
        <w:rPr>
          <w:rFonts w:asciiTheme="majorBidi" w:hAnsiTheme="majorBidi" w:cstheme="majorBidi"/>
          <w:sz w:val="24"/>
          <w:szCs w:val="24"/>
          <w:lang w:val="en-US"/>
        </w:rPr>
        <w:t xml:space="preserve">importing country, </w:t>
      </w:r>
      <w:r w:rsidR="00BB043B">
        <w:rPr>
          <w:rFonts w:asciiTheme="majorBidi" w:hAnsiTheme="majorBidi" w:cstheme="majorBidi"/>
          <w:sz w:val="24"/>
          <w:szCs w:val="24"/>
          <w:lang w:val="en-US"/>
        </w:rPr>
        <w:t>with an average</w:t>
      </w:r>
      <w:r w:rsidR="00BB043B" w:rsidRPr="00E0131D">
        <w:rPr>
          <w:rFonts w:asciiTheme="majorBidi" w:hAnsiTheme="majorBidi" w:cstheme="majorBidi"/>
          <w:sz w:val="24"/>
          <w:szCs w:val="24"/>
          <w:lang w:val="en-US"/>
        </w:rPr>
        <w:t xml:space="preserve"> oil import </w:t>
      </w:r>
      <w:r w:rsidR="00BB043B">
        <w:rPr>
          <w:rFonts w:asciiTheme="majorBidi" w:hAnsiTheme="majorBidi" w:cstheme="majorBidi"/>
          <w:sz w:val="24"/>
          <w:szCs w:val="24"/>
          <w:lang w:val="en-US"/>
        </w:rPr>
        <w:t>$</w:t>
      </w:r>
      <w:r w:rsidR="00BB043B" w:rsidRPr="00E0131D">
        <w:rPr>
          <w:rFonts w:asciiTheme="majorBidi" w:hAnsiTheme="majorBidi" w:cstheme="majorBidi"/>
          <w:sz w:val="24"/>
          <w:szCs w:val="24"/>
          <w:lang w:val="en-US"/>
        </w:rPr>
        <w:t xml:space="preserve">1.5 </w:t>
      </w:r>
      <w:r w:rsidR="00BB043B">
        <w:rPr>
          <w:rFonts w:asciiTheme="majorBidi" w:hAnsiTheme="majorBidi" w:cstheme="majorBidi"/>
          <w:sz w:val="24"/>
          <w:szCs w:val="24"/>
          <w:lang w:val="en-US"/>
        </w:rPr>
        <w:t>bn</w:t>
      </w:r>
      <w:r w:rsidR="00BB043B" w:rsidRPr="00E0131D">
        <w:rPr>
          <w:rFonts w:asciiTheme="majorBidi" w:hAnsiTheme="majorBidi" w:cstheme="majorBidi"/>
          <w:sz w:val="24"/>
          <w:szCs w:val="24"/>
          <w:lang w:val="en-US"/>
        </w:rPr>
        <w:t xml:space="preserve"> between 2013-2017.</w:t>
      </w:r>
      <w:r w:rsidR="00BB043B">
        <w:rPr>
          <w:rStyle w:val="FootnoteReference"/>
          <w:rFonts w:asciiTheme="majorBidi" w:hAnsiTheme="majorBidi" w:cstheme="majorBidi"/>
          <w:sz w:val="24"/>
          <w:szCs w:val="24"/>
          <w:lang w:val="en-US"/>
        </w:rPr>
        <w:footnoteReference w:id="88"/>
      </w:r>
      <w:r>
        <w:rPr>
          <w:rFonts w:asciiTheme="majorBidi" w:hAnsiTheme="majorBidi" w:cstheme="majorBidi"/>
          <w:sz w:val="24"/>
          <w:szCs w:val="24"/>
          <w:lang w:val="en-US"/>
        </w:rPr>
        <w:t xml:space="preserve"> </w:t>
      </w:r>
    </w:p>
    <w:p w14:paraId="324F5BED" w14:textId="568FB885"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E0131D">
        <w:rPr>
          <w:rFonts w:asciiTheme="majorBidi" w:hAnsiTheme="majorBidi" w:cstheme="majorBidi"/>
          <w:sz w:val="24"/>
          <w:szCs w:val="24"/>
          <w:lang w:val="en-US"/>
        </w:rPr>
        <w:t>It is difficult to ascertain the return of oil resources to finance the state</w:t>
      </w:r>
      <w:r w:rsidR="00E20029" w:rsidRPr="00E20029">
        <w:rPr>
          <w:rFonts w:ascii="Times New Roman" w:hAnsi="Times New Roman" w:cs="Times New Roman"/>
          <w:sz w:val="24"/>
          <w:szCs w:val="24"/>
        </w:rPr>
        <w:t>'</w:t>
      </w:r>
      <w:r w:rsidRPr="00E0131D">
        <w:rPr>
          <w:rFonts w:asciiTheme="majorBidi" w:hAnsiTheme="majorBidi" w:cstheme="majorBidi"/>
          <w:sz w:val="24"/>
          <w:szCs w:val="24"/>
          <w:lang w:val="en-US"/>
        </w:rPr>
        <w:t xml:space="preserve">s general budget in the proportions </w:t>
      </w:r>
      <w:r>
        <w:rPr>
          <w:rFonts w:asciiTheme="majorBidi" w:hAnsiTheme="majorBidi" w:cstheme="majorBidi"/>
          <w:sz w:val="24"/>
          <w:szCs w:val="24"/>
          <w:lang w:val="en-US"/>
        </w:rPr>
        <w:t xml:space="preserve">that were </w:t>
      </w:r>
      <w:r w:rsidRPr="00E0131D">
        <w:rPr>
          <w:rFonts w:asciiTheme="majorBidi" w:hAnsiTheme="majorBidi" w:cstheme="majorBidi"/>
          <w:sz w:val="24"/>
          <w:szCs w:val="24"/>
          <w:lang w:val="en-US"/>
        </w:rPr>
        <w:t>provided before the crisis</w:t>
      </w:r>
      <w:r>
        <w:rPr>
          <w:rFonts w:asciiTheme="majorBidi" w:hAnsiTheme="majorBidi" w:cstheme="majorBidi"/>
          <w:sz w:val="24"/>
          <w:szCs w:val="24"/>
          <w:lang w:val="en-US"/>
        </w:rPr>
        <w:t>,</w:t>
      </w:r>
      <w:r w:rsidRPr="00E0131D">
        <w:rPr>
          <w:rFonts w:asciiTheme="majorBidi" w:hAnsiTheme="majorBidi" w:cstheme="majorBidi"/>
          <w:sz w:val="24"/>
          <w:szCs w:val="24"/>
          <w:lang w:val="en-US"/>
        </w:rPr>
        <w:t xml:space="preserve"> as the oil sector is not expected to recover </w:t>
      </w:r>
      <w:r w:rsidR="00521294">
        <w:rPr>
          <w:rFonts w:asciiTheme="majorBidi" w:hAnsiTheme="majorBidi" w:cstheme="majorBidi"/>
          <w:sz w:val="24"/>
          <w:szCs w:val="24"/>
          <w:lang w:val="en-US"/>
        </w:rPr>
        <w:t>i</w:t>
      </w:r>
      <w:r w:rsidR="00521294" w:rsidRPr="00521294">
        <w:rPr>
          <w:rFonts w:asciiTheme="majorBidi" w:hAnsiTheme="majorBidi" w:cstheme="majorBidi"/>
          <w:sz w:val="24"/>
          <w:szCs w:val="24"/>
          <w:lang w:val="en-US"/>
        </w:rPr>
        <w:t>n a short time,</w:t>
      </w:r>
      <w:r w:rsidR="00521294">
        <w:rPr>
          <w:rFonts w:asciiTheme="majorBidi" w:hAnsiTheme="majorBidi" w:cstheme="majorBidi"/>
          <w:sz w:val="24"/>
          <w:szCs w:val="24"/>
          <w:lang w:val="en-US"/>
        </w:rPr>
        <w:t xml:space="preserve"> </w:t>
      </w:r>
      <w:r w:rsidRPr="00E0131D">
        <w:rPr>
          <w:rFonts w:asciiTheme="majorBidi" w:hAnsiTheme="majorBidi" w:cstheme="majorBidi"/>
          <w:sz w:val="24"/>
          <w:szCs w:val="24"/>
          <w:lang w:val="en-US"/>
        </w:rPr>
        <w:t xml:space="preserve">because it needs restoration </w:t>
      </w:r>
      <w:r>
        <w:rPr>
          <w:rFonts w:asciiTheme="majorBidi" w:hAnsiTheme="majorBidi" w:cstheme="majorBidi"/>
          <w:sz w:val="24"/>
          <w:szCs w:val="24"/>
          <w:lang w:val="en-US"/>
        </w:rPr>
        <w:t>and</w:t>
      </w:r>
      <w:r w:rsidRPr="00E0131D">
        <w:rPr>
          <w:rFonts w:asciiTheme="majorBidi" w:hAnsiTheme="majorBidi" w:cstheme="majorBidi"/>
          <w:sz w:val="24"/>
          <w:szCs w:val="24"/>
          <w:lang w:val="en-US"/>
        </w:rPr>
        <w:t xml:space="preserve"> huge costs,</w:t>
      </w:r>
      <w:r>
        <w:rPr>
          <w:rFonts w:asciiTheme="majorBidi" w:hAnsiTheme="majorBidi" w:cstheme="majorBidi"/>
          <w:sz w:val="24"/>
          <w:szCs w:val="24"/>
          <w:lang w:val="en-US"/>
        </w:rPr>
        <w:t xml:space="preserve"> e</w:t>
      </w:r>
      <w:r w:rsidRPr="00E0131D">
        <w:rPr>
          <w:rFonts w:asciiTheme="majorBidi" w:hAnsiTheme="majorBidi" w:cstheme="majorBidi"/>
          <w:sz w:val="24"/>
          <w:szCs w:val="24"/>
          <w:lang w:val="en-US"/>
        </w:rPr>
        <w:t>specially in the areas controlled by ISIS, due to the sabotage of</w:t>
      </w:r>
      <w:r>
        <w:rPr>
          <w:rFonts w:asciiTheme="majorBidi" w:hAnsiTheme="majorBidi" w:cstheme="majorBidi"/>
          <w:sz w:val="24"/>
          <w:szCs w:val="24"/>
          <w:lang w:val="en-US"/>
        </w:rPr>
        <w:t xml:space="preserve"> </w:t>
      </w:r>
      <w:r w:rsidRPr="00E0131D">
        <w:rPr>
          <w:rFonts w:asciiTheme="majorBidi" w:hAnsiTheme="majorBidi" w:cstheme="majorBidi"/>
          <w:sz w:val="24"/>
          <w:szCs w:val="24"/>
          <w:lang w:val="en-US"/>
        </w:rPr>
        <w:t xml:space="preserve">this sector in those areas. Also, the return of oil activity is subject to </w:t>
      </w:r>
      <w:r w:rsidR="000833C4">
        <w:rPr>
          <w:rFonts w:asciiTheme="majorBidi" w:hAnsiTheme="majorBidi" w:cstheme="majorBidi"/>
          <w:sz w:val="24"/>
          <w:szCs w:val="24"/>
          <w:lang w:val="en-US"/>
        </w:rPr>
        <w:t xml:space="preserve">the </w:t>
      </w:r>
      <w:r w:rsidRPr="00E0131D">
        <w:rPr>
          <w:rFonts w:asciiTheme="majorBidi" w:hAnsiTheme="majorBidi" w:cstheme="majorBidi"/>
          <w:sz w:val="24"/>
          <w:szCs w:val="24"/>
          <w:lang w:val="en-US"/>
        </w:rPr>
        <w:t>lifting of</w:t>
      </w:r>
      <w:r w:rsidR="007D252A">
        <w:rPr>
          <w:rFonts w:asciiTheme="majorBidi" w:hAnsiTheme="majorBidi" w:cstheme="majorBidi"/>
          <w:sz w:val="24"/>
          <w:szCs w:val="24"/>
          <w:lang w:val="en-US"/>
        </w:rPr>
        <w:t xml:space="preserve"> the</w:t>
      </w:r>
      <w:r w:rsidRPr="00E0131D">
        <w:rPr>
          <w:rFonts w:asciiTheme="majorBidi" w:hAnsiTheme="majorBidi" w:cstheme="majorBidi"/>
          <w:sz w:val="24"/>
          <w:szCs w:val="24"/>
          <w:lang w:val="en-US"/>
        </w:rPr>
        <w:t xml:space="preserve"> sanctions on Syria.</w:t>
      </w:r>
    </w:p>
    <w:p w14:paraId="298657A9" w14:textId="20CB8FEB"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946DC0">
        <w:rPr>
          <w:rFonts w:asciiTheme="majorBidi" w:hAnsiTheme="majorBidi" w:cstheme="majorBidi"/>
          <w:sz w:val="24"/>
          <w:szCs w:val="24"/>
          <w:lang w:val="en-US"/>
        </w:rPr>
        <w:t xml:space="preserve">As a whole, </w:t>
      </w:r>
      <w:r w:rsidRPr="00B12A18">
        <w:rPr>
          <w:rFonts w:asciiTheme="majorBidi" w:hAnsiTheme="majorBidi" w:cstheme="majorBidi"/>
          <w:sz w:val="24"/>
          <w:szCs w:val="24"/>
          <w:lang w:val="en-US"/>
        </w:rPr>
        <w:t>Total public revenue</w:t>
      </w:r>
      <w:r w:rsidRPr="00946DC0">
        <w:rPr>
          <w:rFonts w:asciiTheme="majorBidi" w:hAnsiTheme="majorBidi" w:cstheme="majorBidi"/>
          <w:sz w:val="24"/>
          <w:szCs w:val="24"/>
          <w:lang w:val="en-US"/>
        </w:rPr>
        <w:t xml:space="preserve"> volume has increased, from SP</w:t>
      </w:r>
      <w:r w:rsidR="00E70BE9">
        <w:rPr>
          <w:rFonts w:asciiTheme="majorBidi" w:hAnsiTheme="majorBidi" w:cstheme="majorBidi"/>
          <w:sz w:val="24"/>
          <w:szCs w:val="24"/>
          <w:lang w:val="en-US"/>
        </w:rPr>
        <w:t xml:space="preserve"> </w:t>
      </w:r>
      <w:r w:rsidRPr="00946DC0">
        <w:rPr>
          <w:rFonts w:asciiTheme="majorBidi" w:hAnsiTheme="majorBidi" w:cstheme="majorBidi"/>
          <w:sz w:val="24"/>
          <w:szCs w:val="24"/>
          <w:lang w:val="en-US"/>
        </w:rPr>
        <w:t>454 bn in 2010 to SP</w:t>
      </w:r>
      <w:r w:rsidR="00E70BE9">
        <w:rPr>
          <w:rFonts w:asciiTheme="majorBidi" w:hAnsiTheme="majorBidi" w:cstheme="majorBidi"/>
          <w:sz w:val="24"/>
          <w:szCs w:val="24"/>
          <w:lang w:val="en-US"/>
        </w:rPr>
        <w:t xml:space="preserve"> </w:t>
      </w:r>
      <w:r w:rsidRPr="00946DC0">
        <w:rPr>
          <w:rFonts w:asciiTheme="majorBidi" w:hAnsiTheme="majorBidi" w:cstheme="majorBidi"/>
          <w:sz w:val="24"/>
          <w:szCs w:val="24"/>
          <w:lang w:val="en-US"/>
        </w:rPr>
        <w:t xml:space="preserve">1881 bn in 2019 (an increase of 314%). </w:t>
      </w:r>
      <w:r w:rsidR="00CF43A8" w:rsidRPr="00CF43A8">
        <w:rPr>
          <w:rFonts w:asciiTheme="majorBidi" w:hAnsiTheme="majorBidi" w:cstheme="majorBidi"/>
          <w:sz w:val="24"/>
          <w:szCs w:val="24"/>
          <w:lang w:val="en-US"/>
        </w:rPr>
        <w:t>However, in light of inflation and the decline in the Syrian pound's purchasing power</w:t>
      </w:r>
      <w:r w:rsidRPr="00946DC0">
        <w:rPr>
          <w:rFonts w:asciiTheme="majorBidi" w:hAnsiTheme="majorBidi" w:cstheme="majorBidi"/>
          <w:sz w:val="24"/>
          <w:szCs w:val="24"/>
          <w:lang w:val="en-US"/>
        </w:rPr>
        <w:t>, and therefore the ability of these funds is shrinking every year</w:t>
      </w:r>
      <w:r>
        <w:rPr>
          <w:rFonts w:asciiTheme="majorBidi" w:hAnsiTheme="majorBidi" w:cstheme="majorBidi"/>
          <w:sz w:val="24"/>
          <w:szCs w:val="24"/>
          <w:lang w:val="en-US"/>
        </w:rPr>
        <w:t>, i</w:t>
      </w:r>
      <w:r w:rsidRPr="00946DC0">
        <w:rPr>
          <w:rFonts w:asciiTheme="majorBidi" w:hAnsiTheme="majorBidi" w:cstheme="majorBidi"/>
          <w:sz w:val="24"/>
          <w:szCs w:val="24"/>
          <w:lang w:val="en-US"/>
        </w:rPr>
        <w:t xml:space="preserve">t </w:t>
      </w:r>
      <w:r w:rsidR="007D252A">
        <w:rPr>
          <w:rFonts w:asciiTheme="majorBidi" w:hAnsiTheme="majorBidi" w:cstheme="majorBidi"/>
          <w:sz w:val="24"/>
          <w:szCs w:val="24"/>
          <w:lang w:val="en-US"/>
        </w:rPr>
        <w:t>dropped</w:t>
      </w:r>
      <w:r w:rsidRPr="00946DC0">
        <w:rPr>
          <w:rFonts w:asciiTheme="majorBidi" w:hAnsiTheme="majorBidi" w:cstheme="majorBidi"/>
          <w:sz w:val="24"/>
          <w:szCs w:val="24"/>
          <w:lang w:val="en-US"/>
        </w:rPr>
        <w:t xml:space="preserve"> from about $8 </w:t>
      </w:r>
      <w:r>
        <w:rPr>
          <w:rFonts w:asciiTheme="majorBidi" w:hAnsiTheme="majorBidi" w:cstheme="majorBidi"/>
          <w:sz w:val="24"/>
          <w:szCs w:val="24"/>
          <w:lang w:val="en-US"/>
        </w:rPr>
        <w:t>bn</w:t>
      </w:r>
      <w:r w:rsidRPr="00946DC0">
        <w:rPr>
          <w:rFonts w:asciiTheme="majorBidi" w:hAnsiTheme="majorBidi" w:cstheme="majorBidi"/>
          <w:sz w:val="24"/>
          <w:szCs w:val="24"/>
          <w:lang w:val="en-US"/>
        </w:rPr>
        <w:t xml:space="preserve"> in 2010 to $3.78 </w:t>
      </w:r>
      <w:r w:rsidR="00584667">
        <w:rPr>
          <w:rFonts w:asciiTheme="majorBidi" w:hAnsiTheme="majorBidi" w:cstheme="majorBidi"/>
          <w:sz w:val="24"/>
          <w:szCs w:val="24"/>
          <w:lang w:val="en-US"/>
        </w:rPr>
        <w:t>bn</w:t>
      </w:r>
      <w:r w:rsidRPr="00946DC0">
        <w:rPr>
          <w:rFonts w:asciiTheme="majorBidi" w:hAnsiTheme="majorBidi" w:cstheme="majorBidi"/>
          <w:sz w:val="24"/>
          <w:szCs w:val="24"/>
          <w:lang w:val="en-US"/>
        </w:rPr>
        <w:t xml:space="preserve"> in </w:t>
      </w:r>
      <w:r>
        <w:rPr>
          <w:rFonts w:asciiTheme="majorBidi" w:hAnsiTheme="majorBidi" w:cstheme="majorBidi"/>
          <w:sz w:val="24"/>
          <w:szCs w:val="24"/>
          <w:lang w:val="en-US"/>
        </w:rPr>
        <w:t>2019</w:t>
      </w:r>
      <w:r w:rsidRPr="00946DC0">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5903AE" w:rsidRPr="005903AE">
        <w:rPr>
          <w:rFonts w:asciiTheme="majorBidi" w:hAnsiTheme="majorBidi" w:cstheme="majorBidi"/>
          <w:sz w:val="24"/>
          <w:szCs w:val="24"/>
          <w:lang w:val="en-US"/>
        </w:rPr>
        <w:t>Besides</w:t>
      </w:r>
      <w:r w:rsidRPr="00ED03B1">
        <w:rPr>
          <w:rFonts w:asciiTheme="majorBidi" w:hAnsiTheme="majorBidi" w:cstheme="majorBidi"/>
          <w:sz w:val="24"/>
          <w:szCs w:val="24"/>
          <w:lang w:val="en-US"/>
        </w:rPr>
        <w:t>, the allocated portion of investment spending</w:t>
      </w:r>
      <w:r>
        <w:rPr>
          <w:rFonts w:asciiTheme="majorBidi" w:hAnsiTheme="majorBidi" w:cstheme="majorBidi"/>
          <w:sz w:val="24"/>
          <w:szCs w:val="24"/>
          <w:lang w:val="en-US"/>
        </w:rPr>
        <w:t xml:space="preserve"> has</w:t>
      </w:r>
      <w:r w:rsidRPr="00ED03B1">
        <w:rPr>
          <w:rFonts w:asciiTheme="majorBidi" w:hAnsiTheme="majorBidi" w:cstheme="majorBidi"/>
          <w:sz w:val="24"/>
          <w:szCs w:val="24"/>
          <w:lang w:val="en-US"/>
        </w:rPr>
        <w:t xml:space="preserve"> decreased from 43% of the total budget in 2010 to 28% in 2019</w:t>
      </w:r>
      <w:r w:rsidRPr="00ED03B1">
        <w:t xml:space="preserve"> </w:t>
      </w:r>
      <w:r>
        <w:t>(</w:t>
      </w:r>
      <w:r w:rsidRPr="00ED03B1">
        <w:rPr>
          <w:rFonts w:asciiTheme="majorBidi" w:hAnsiTheme="majorBidi" w:cstheme="majorBidi"/>
          <w:sz w:val="24"/>
          <w:szCs w:val="24"/>
          <w:lang w:val="en-US"/>
        </w:rPr>
        <w:t xml:space="preserve">reached </w:t>
      </w:r>
      <w:r>
        <w:rPr>
          <w:rFonts w:asciiTheme="majorBidi" w:hAnsiTheme="majorBidi" w:cstheme="majorBidi"/>
          <w:sz w:val="24"/>
          <w:szCs w:val="24"/>
          <w:lang w:val="en-US"/>
        </w:rPr>
        <w:t>its</w:t>
      </w:r>
      <w:r w:rsidRPr="00ED03B1">
        <w:rPr>
          <w:rFonts w:asciiTheme="majorBidi" w:hAnsiTheme="majorBidi" w:cstheme="majorBidi"/>
          <w:sz w:val="24"/>
          <w:szCs w:val="24"/>
          <w:lang w:val="en-US"/>
        </w:rPr>
        <w:t xml:space="preserve"> lowest level in 2013</w:t>
      </w:r>
      <w:r>
        <w:rPr>
          <w:rFonts w:asciiTheme="majorBidi" w:hAnsiTheme="majorBidi" w:cstheme="majorBidi"/>
          <w:sz w:val="24"/>
          <w:szCs w:val="24"/>
          <w:lang w:val="en-US"/>
        </w:rPr>
        <w:t xml:space="preserve"> with</w:t>
      </w:r>
      <w:r w:rsidRPr="00ED03B1">
        <w:rPr>
          <w:rFonts w:asciiTheme="majorBidi" w:hAnsiTheme="majorBidi" w:cstheme="majorBidi"/>
          <w:sz w:val="24"/>
          <w:szCs w:val="24"/>
          <w:lang w:val="en-US"/>
        </w:rPr>
        <w:t xml:space="preserve"> 20%</w:t>
      </w:r>
      <w:r>
        <w:rPr>
          <w:rFonts w:asciiTheme="majorBidi" w:hAnsiTheme="majorBidi" w:cstheme="majorBidi"/>
          <w:sz w:val="24"/>
          <w:szCs w:val="24"/>
          <w:lang w:val="en-US"/>
        </w:rPr>
        <w:t>)</w:t>
      </w:r>
      <w:r w:rsidRPr="00ED03B1">
        <w:rPr>
          <w:rFonts w:asciiTheme="majorBidi" w:hAnsiTheme="majorBidi" w:cstheme="majorBidi"/>
          <w:sz w:val="24"/>
          <w:szCs w:val="24"/>
          <w:lang w:val="en-US"/>
        </w:rPr>
        <w:t>.</w:t>
      </w:r>
    </w:p>
    <w:p w14:paraId="21DDA997" w14:textId="5BEAD509"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Also</w:t>
      </w:r>
      <w:r w:rsidR="000833C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B12A18">
        <w:rPr>
          <w:rFonts w:asciiTheme="majorBidi" w:hAnsiTheme="majorBidi" w:cstheme="majorBidi"/>
          <w:sz w:val="24"/>
          <w:szCs w:val="24"/>
          <w:lang w:val="en-US"/>
        </w:rPr>
        <w:t>as previously mentioned,</w:t>
      </w:r>
      <w:r>
        <w:rPr>
          <w:rFonts w:asciiTheme="majorBidi" w:hAnsiTheme="majorBidi" w:cstheme="majorBidi"/>
          <w:sz w:val="24"/>
          <w:szCs w:val="24"/>
          <w:lang w:val="en-US"/>
        </w:rPr>
        <w:t xml:space="preserve"> </w:t>
      </w:r>
      <w:r w:rsidRPr="000543F9">
        <w:rPr>
          <w:rFonts w:asciiTheme="majorBidi" w:hAnsiTheme="majorBidi" w:cstheme="majorBidi"/>
          <w:sz w:val="24"/>
          <w:szCs w:val="24"/>
          <w:lang w:val="en-US"/>
        </w:rPr>
        <w:t xml:space="preserve">the general budget decreased from $16.2 </w:t>
      </w:r>
      <w:r>
        <w:rPr>
          <w:rFonts w:asciiTheme="majorBidi" w:hAnsiTheme="majorBidi" w:cstheme="majorBidi"/>
          <w:sz w:val="24"/>
          <w:szCs w:val="24"/>
          <w:lang w:val="en-US"/>
        </w:rPr>
        <w:t>bn</w:t>
      </w:r>
      <w:r w:rsidRPr="000543F9">
        <w:rPr>
          <w:rFonts w:asciiTheme="majorBidi" w:hAnsiTheme="majorBidi" w:cstheme="majorBidi"/>
          <w:sz w:val="24"/>
          <w:szCs w:val="24"/>
          <w:lang w:val="en-US"/>
        </w:rPr>
        <w:t xml:space="preserve"> to $7.8 </w:t>
      </w:r>
      <w:r>
        <w:rPr>
          <w:rFonts w:asciiTheme="majorBidi" w:hAnsiTheme="majorBidi" w:cstheme="majorBidi"/>
          <w:sz w:val="24"/>
          <w:szCs w:val="24"/>
          <w:lang w:val="en-US"/>
        </w:rPr>
        <w:t>bn in 2019</w:t>
      </w:r>
      <w:r w:rsidR="000833C4">
        <w:rPr>
          <w:rFonts w:asciiTheme="majorBidi" w:hAnsiTheme="majorBidi" w:cstheme="majorBidi"/>
          <w:sz w:val="24"/>
          <w:szCs w:val="24"/>
          <w:lang w:val="en-US"/>
        </w:rPr>
        <w:t xml:space="preserve"> w</w:t>
      </w:r>
      <w:r w:rsidRPr="000543F9">
        <w:rPr>
          <w:rFonts w:asciiTheme="majorBidi" w:hAnsiTheme="majorBidi" w:cstheme="majorBidi"/>
          <w:sz w:val="24"/>
          <w:szCs w:val="24"/>
          <w:lang w:val="en-US"/>
        </w:rPr>
        <w:t>hile the lowest estimate of direct</w:t>
      </w:r>
      <w:r>
        <w:rPr>
          <w:rFonts w:asciiTheme="majorBidi" w:hAnsiTheme="majorBidi" w:cstheme="majorBidi"/>
          <w:sz w:val="24"/>
          <w:szCs w:val="24"/>
          <w:lang w:val="en-US"/>
        </w:rPr>
        <w:t xml:space="preserve"> and indirect</w:t>
      </w:r>
      <w:r w:rsidRPr="000543F9">
        <w:rPr>
          <w:rFonts w:asciiTheme="majorBidi" w:hAnsiTheme="majorBidi" w:cstheme="majorBidi"/>
          <w:sz w:val="24"/>
          <w:szCs w:val="24"/>
          <w:lang w:val="en-US"/>
        </w:rPr>
        <w:t xml:space="preserve"> war losses is at least $</w:t>
      </w:r>
      <w:r>
        <w:rPr>
          <w:rFonts w:asciiTheme="majorBidi" w:hAnsiTheme="majorBidi" w:cstheme="majorBidi"/>
          <w:sz w:val="24"/>
          <w:szCs w:val="24"/>
          <w:lang w:val="en-US"/>
        </w:rPr>
        <w:t>200</w:t>
      </w:r>
      <w:r w:rsidRPr="000543F9">
        <w:rPr>
          <w:rFonts w:asciiTheme="majorBidi" w:hAnsiTheme="majorBidi" w:cstheme="majorBidi"/>
          <w:sz w:val="24"/>
          <w:szCs w:val="24"/>
          <w:lang w:val="en-US"/>
        </w:rPr>
        <w:t xml:space="preserve"> </w:t>
      </w:r>
      <w:r>
        <w:rPr>
          <w:rFonts w:asciiTheme="majorBidi" w:hAnsiTheme="majorBidi" w:cstheme="majorBidi"/>
          <w:sz w:val="24"/>
          <w:szCs w:val="24"/>
          <w:lang w:val="en-US"/>
        </w:rPr>
        <w:t>bn</w:t>
      </w:r>
      <w:r w:rsidRPr="000543F9">
        <w:rPr>
          <w:rFonts w:asciiTheme="majorBidi" w:hAnsiTheme="majorBidi" w:cstheme="majorBidi"/>
          <w:sz w:val="24"/>
          <w:szCs w:val="24"/>
          <w:lang w:val="en-US"/>
        </w:rPr>
        <w:t xml:space="preserve">, </w:t>
      </w:r>
      <w:r w:rsidR="007D252A">
        <w:rPr>
          <w:rFonts w:asciiTheme="majorBidi" w:hAnsiTheme="majorBidi" w:cstheme="majorBidi"/>
          <w:sz w:val="24"/>
          <w:szCs w:val="24"/>
          <w:lang w:val="en-US"/>
        </w:rPr>
        <w:t>which</w:t>
      </w:r>
      <w:r w:rsidRPr="000543F9">
        <w:rPr>
          <w:rFonts w:asciiTheme="majorBidi" w:hAnsiTheme="majorBidi" w:cstheme="majorBidi"/>
          <w:sz w:val="24"/>
          <w:szCs w:val="24"/>
          <w:lang w:val="en-US"/>
        </w:rPr>
        <w:t xml:space="preserve"> is equivalent to </w:t>
      </w:r>
      <w:r w:rsidR="009462C7">
        <w:rPr>
          <w:rFonts w:asciiTheme="majorBidi" w:hAnsiTheme="majorBidi" w:cstheme="majorBidi"/>
          <w:sz w:val="24"/>
          <w:szCs w:val="24"/>
          <w:lang w:val="en-US"/>
        </w:rPr>
        <w:t xml:space="preserve">the </w:t>
      </w:r>
      <w:r w:rsidRPr="000543F9">
        <w:rPr>
          <w:rFonts w:asciiTheme="majorBidi" w:hAnsiTheme="majorBidi" w:cstheme="majorBidi"/>
          <w:sz w:val="24"/>
          <w:szCs w:val="24"/>
          <w:lang w:val="en-US"/>
        </w:rPr>
        <w:t>Syrian budget for 25 years.</w:t>
      </w:r>
    </w:p>
    <w:p w14:paraId="4FBFCC5D" w14:textId="77777777"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ED03B1">
        <w:rPr>
          <w:rFonts w:asciiTheme="majorBidi" w:hAnsiTheme="majorBidi" w:cstheme="majorBidi"/>
          <w:sz w:val="24"/>
          <w:szCs w:val="24"/>
          <w:lang w:val="en-US"/>
        </w:rPr>
        <w:t>Thus, the decline in public revenues and the proportion of investment spending</w:t>
      </w:r>
      <w:r w:rsidRPr="005D2918">
        <w:rPr>
          <w:rFonts w:asciiTheme="majorBidi" w:hAnsiTheme="majorBidi" w:cstheme="majorBidi"/>
          <w:sz w:val="24"/>
          <w:szCs w:val="24"/>
          <w:lang w:val="en-US"/>
        </w:rPr>
        <w:t xml:space="preserve"> is reflected negatively on the government's ability to influence economic activity and active contribution in financing reconstruction.</w:t>
      </w:r>
    </w:p>
    <w:p w14:paraId="0C0FE2B5" w14:textId="77D6CA55" w:rsidR="00C56FD7" w:rsidRDefault="00CA6987" w:rsidP="00634054">
      <w:pPr>
        <w:pStyle w:val="ListParagraph"/>
        <w:numPr>
          <w:ilvl w:val="0"/>
          <w:numId w:val="25"/>
        </w:numPr>
        <w:suppressAutoHyphens/>
        <w:autoSpaceDE w:val="0"/>
        <w:adjustRightInd w:val="0"/>
        <w:spacing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t>Domestic</w:t>
      </w:r>
      <w:r w:rsidR="00C56FD7">
        <w:rPr>
          <w:rFonts w:asciiTheme="majorBidi" w:hAnsiTheme="majorBidi" w:cstheme="majorBidi"/>
          <w:b/>
          <w:bCs/>
          <w:sz w:val="24"/>
          <w:szCs w:val="24"/>
          <w:lang w:val="en-US"/>
        </w:rPr>
        <w:t xml:space="preserve"> borrowing</w:t>
      </w:r>
    </w:p>
    <w:p w14:paraId="5878E1D7" w14:textId="3D3108F9"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F84EDD">
        <w:rPr>
          <w:rFonts w:asciiTheme="majorBidi" w:hAnsiTheme="majorBidi" w:cstheme="majorBidi"/>
          <w:sz w:val="24"/>
          <w:szCs w:val="24"/>
          <w:lang w:val="en-US"/>
        </w:rPr>
        <w:t>The Syrian government can rely on domestic borrowing by offering treasury bills and bonds for public subscription</w:t>
      </w:r>
      <w:r w:rsidR="00CF43A8">
        <w:rPr>
          <w:rFonts w:asciiTheme="majorBidi" w:hAnsiTheme="majorBidi" w:cstheme="majorBidi"/>
          <w:sz w:val="24"/>
          <w:szCs w:val="24"/>
          <w:lang w:val="en-US"/>
        </w:rPr>
        <w:t>. T</w:t>
      </w:r>
      <w:r w:rsidRPr="00DC3C7B">
        <w:rPr>
          <w:rFonts w:asciiTheme="majorBidi" w:hAnsiTheme="majorBidi" w:cstheme="majorBidi"/>
          <w:sz w:val="24"/>
          <w:szCs w:val="24"/>
          <w:lang w:val="en-US"/>
        </w:rPr>
        <w:t xml:space="preserve">hese </w:t>
      </w:r>
      <w:r>
        <w:rPr>
          <w:rFonts w:asciiTheme="majorBidi" w:hAnsiTheme="majorBidi" w:cstheme="majorBidi"/>
          <w:sz w:val="24"/>
          <w:szCs w:val="24"/>
          <w:lang w:val="en-US"/>
        </w:rPr>
        <w:t>securities</w:t>
      </w:r>
      <w:r w:rsidRPr="00DC3C7B">
        <w:rPr>
          <w:rFonts w:asciiTheme="majorBidi" w:hAnsiTheme="majorBidi" w:cstheme="majorBidi"/>
          <w:sz w:val="24"/>
          <w:szCs w:val="24"/>
          <w:lang w:val="en-US"/>
        </w:rPr>
        <w:t xml:space="preserve"> </w:t>
      </w:r>
      <w:r w:rsidR="00604FF2">
        <w:rPr>
          <w:rFonts w:asciiTheme="majorBidi" w:hAnsiTheme="majorBidi" w:cstheme="majorBidi"/>
          <w:sz w:val="24"/>
          <w:szCs w:val="24"/>
          <w:lang w:val="en-US"/>
        </w:rPr>
        <w:t>can be</w:t>
      </w:r>
      <w:r w:rsidRPr="00DC3C7B">
        <w:rPr>
          <w:rFonts w:asciiTheme="majorBidi" w:hAnsiTheme="majorBidi" w:cstheme="majorBidi"/>
          <w:sz w:val="24"/>
          <w:szCs w:val="24"/>
          <w:lang w:val="en-US"/>
        </w:rPr>
        <w:t xml:space="preserve"> </w:t>
      </w:r>
      <w:r w:rsidRPr="005903AE">
        <w:rPr>
          <w:rFonts w:asciiTheme="majorBidi" w:hAnsiTheme="majorBidi" w:cstheme="majorBidi"/>
          <w:sz w:val="24"/>
          <w:szCs w:val="24"/>
          <w:lang w:val="en-US"/>
        </w:rPr>
        <w:t>bought through the savings of individuals and banks</w:t>
      </w:r>
      <w:r w:rsidR="00E20029" w:rsidRPr="00E20029">
        <w:rPr>
          <w:rFonts w:ascii="Times New Roman" w:hAnsi="Times New Roman" w:cs="Times New Roman"/>
          <w:sz w:val="24"/>
          <w:szCs w:val="24"/>
        </w:rPr>
        <w:t>'</w:t>
      </w:r>
      <w:r w:rsidRPr="005903AE">
        <w:rPr>
          <w:rFonts w:asciiTheme="majorBidi" w:hAnsiTheme="majorBidi" w:cstheme="majorBidi"/>
          <w:sz w:val="24"/>
          <w:szCs w:val="24"/>
          <w:lang w:val="en-US"/>
        </w:rPr>
        <w:t xml:space="preserve"> idle funds.</w:t>
      </w:r>
    </w:p>
    <w:p w14:paraId="2B8F775D" w14:textId="5423E4C1" w:rsidR="0027782A" w:rsidRDefault="00604FF2"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604FF2">
        <w:rPr>
          <w:rFonts w:asciiTheme="majorBidi" w:hAnsiTheme="majorBidi" w:cstheme="majorBidi"/>
          <w:sz w:val="24"/>
          <w:szCs w:val="24"/>
          <w:lang w:val="en-US"/>
        </w:rPr>
        <w:t xml:space="preserve">Family savings are an essential part of domestic saving. Many Syrian families, because of economic, social, and cultural factors, save part of their income in the form of gold or buy </w:t>
      </w:r>
      <w:r w:rsidR="00C56FD7" w:rsidRPr="00A417EE">
        <w:rPr>
          <w:rFonts w:asciiTheme="majorBidi" w:hAnsiTheme="majorBidi" w:cstheme="majorBidi"/>
          <w:sz w:val="24"/>
          <w:szCs w:val="24"/>
          <w:lang w:val="en-US"/>
        </w:rPr>
        <w:t>foreign currencies (</w:t>
      </w:r>
      <w:r w:rsidR="00C56FD7">
        <w:rPr>
          <w:rFonts w:asciiTheme="majorBidi" w:hAnsiTheme="majorBidi" w:cstheme="majorBidi"/>
          <w:sz w:val="24"/>
          <w:szCs w:val="24"/>
          <w:lang w:val="en-US"/>
        </w:rPr>
        <w:t>U</w:t>
      </w:r>
      <w:r w:rsidR="007D252A">
        <w:rPr>
          <w:rFonts w:asciiTheme="majorBidi" w:hAnsiTheme="majorBidi" w:cstheme="majorBidi"/>
          <w:sz w:val="24"/>
          <w:szCs w:val="24"/>
          <w:lang w:val="en-US"/>
        </w:rPr>
        <w:t>.</w:t>
      </w:r>
      <w:r w:rsidR="00C56FD7">
        <w:rPr>
          <w:rFonts w:asciiTheme="majorBidi" w:hAnsiTheme="majorBidi" w:cstheme="majorBidi"/>
          <w:sz w:val="24"/>
          <w:szCs w:val="24"/>
          <w:lang w:val="en-US"/>
        </w:rPr>
        <w:t>S</w:t>
      </w:r>
      <w:r w:rsidR="007D252A">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w:t>
      </w:r>
      <w:r w:rsidR="00C56FD7" w:rsidRPr="00A417EE">
        <w:rPr>
          <w:rFonts w:asciiTheme="majorBidi" w:hAnsiTheme="majorBidi" w:cstheme="majorBidi"/>
          <w:sz w:val="24"/>
          <w:szCs w:val="24"/>
          <w:lang w:val="en-US"/>
        </w:rPr>
        <w:t>dollars).</w:t>
      </w:r>
      <w:r w:rsidR="00C56FD7">
        <w:rPr>
          <w:rFonts w:asciiTheme="majorBidi" w:hAnsiTheme="majorBidi" w:cstheme="majorBidi"/>
          <w:sz w:val="24"/>
          <w:szCs w:val="24"/>
          <w:lang w:val="en-US"/>
        </w:rPr>
        <w:t xml:space="preserve"> T</w:t>
      </w:r>
      <w:r w:rsidR="00C56FD7" w:rsidRPr="00A417EE">
        <w:rPr>
          <w:rFonts w:asciiTheme="majorBidi" w:hAnsiTheme="majorBidi" w:cstheme="majorBidi"/>
          <w:sz w:val="24"/>
          <w:szCs w:val="24"/>
          <w:lang w:val="en-US"/>
        </w:rPr>
        <w:t>hese savings, which were collected over many years, have been partially eroded during the crisis</w:t>
      </w:r>
      <w:r w:rsidR="00C56FD7">
        <w:rPr>
          <w:rFonts w:asciiTheme="majorBidi" w:hAnsiTheme="majorBidi" w:cstheme="majorBidi"/>
          <w:sz w:val="24"/>
          <w:szCs w:val="24"/>
          <w:lang w:val="en-US"/>
        </w:rPr>
        <w:t xml:space="preserve"> years</w:t>
      </w:r>
      <w:r w:rsidR="00C56FD7" w:rsidRPr="00A417EE">
        <w:rPr>
          <w:rFonts w:asciiTheme="majorBidi" w:hAnsiTheme="majorBidi" w:cstheme="majorBidi"/>
          <w:sz w:val="24"/>
          <w:szCs w:val="24"/>
          <w:lang w:val="en-US"/>
        </w:rPr>
        <w:t xml:space="preserve"> to cover the high living expenses.</w:t>
      </w:r>
      <w:r w:rsidR="00C56FD7">
        <w:rPr>
          <w:rFonts w:asciiTheme="majorBidi" w:hAnsiTheme="majorBidi" w:cstheme="majorBidi"/>
          <w:sz w:val="24"/>
          <w:szCs w:val="24"/>
          <w:lang w:val="en-US"/>
        </w:rPr>
        <w:t xml:space="preserve"> </w:t>
      </w:r>
    </w:p>
    <w:p w14:paraId="307CD5C4" w14:textId="29ABCB32" w:rsidR="00C56FD7" w:rsidRDefault="0027782A"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w:t>
      </w:r>
      <w:r w:rsidR="00C56FD7" w:rsidRPr="00A417EE">
        <w:rPr>
          <w:rFonts w:asciiTheme="majorBidi" w:hAnsiTheme="majorBidi" w:cstheme="majorBidi"/>
          <w:sz w:val="24"/>
          <w:szCs w:val="24"/>
          <w:lang w:val="en-US"/>
        </w:rPr>
        <w:t xml:space="preserve">he amount of savings </w:t>
      </w:r>
      <w:r>
        <w:rPr>
          <w:rFonts w:asciiTheme="majorBidi" w:hAnsiTheme="majorBidi" w:cstheme="majorBidi"/>
          <w:sz w:val="24"/>
          <w:szCs w:val="24"/>
          <w:lang w:val="en-US"/>
        </w:rPr>
        <w:t xml:space="preserve">has </w:t>
      </w:r>
      <w:r w:rsidR="00C56FD7" w:rsidRPr="00A417EE">
        <w:rPr>
          <w:rFonts w:asciiTheme="majorBidi" w:hAnsiTheme="majorBidi" w:cstheme="majorBidi"/>
          <w:sz w:val="24"/>
          <w:szCs w:val="24"/>
          <w:lang w:val="en-US"/>
        </w:rPr>
        <w:t xml:space="preserve">decreased from $9.56 </w:t>
      </w:r>
      <w:r w:rsidR="00C56FD7">
        <w:rPr>
          <w:rFonts w:asciiTheme="majorBidi" w:hAnsiTheme="majorBidi" w:cstheme="majorBidi"/>
          <w:sz w:val="24"/>
          <w:szCs w:val="24"/>
          <w:lang w:val="en-US"/>
        </w:rPr>
        <w:t>bn</w:t>
      </w:r>
      <w:r w:rsidR="00C56FD7" w:rsidRPr="00A417EE">
        <w:rPr>
          <w:rFonts w:asciiTheme="majorBidi" w:hAnsiTheme="majorBidi" w:cstheme="majorBidi"/>
          <w:sz w:val="24"/>
          <w:szCs w:val="24"/>
          <w:lang w:val="en-US"/>
        </w:rPr>
        <w:t xml:space="preserve"> to $2.57 </w:t>
      </w:r>
      <w:r w:rsidR="00C56FD7">
        <w:rPr>
          <w:rFonts w:asciiTheme="majorBidi" w:hAnsiTheme="majorBidi" w:cstheme="majorBidi"/>
          <w:sz w:val="24"/>
          <w:szCs w:val="24"/>
          <w:lang w:val="en-US"/>
        </w:rPr>
        <w:t>bn</w:t>
      </w:r>
      <w:r w:rsidR="00C56FD7" w:rsidRPr="00A417EE">
        <w:rPr>
          <w:rFonts w:asciiTheme="majorBidi" w:hAnsiTheme="majorBidi" w:cstheme="majorBidi"/>
          <w:sz w:val="24"/>
          <w:szCs w:val="24"/>
          <w:lang w:val="en-US"/>
        </w:rPr>
        <w:t xml:space="preserve"> in 2011</w:t>
      </w:r>
      <w:r w:rsidR="00C56FD7">
        <w:rPr>
          <w:rFonts w:asciiTheme="majorBidi" w:hAnsiTheme="majorBidi" w:cstheme="majorBidi"/>
          <w:sz w:val="24"/>
          <w:szCs w:val="24"/>
          <w:lang w:val="en-US"/>
        </w:rPr>
        <w:t xml:space="preserve"> </w:t>
      </w:r>
      <w:r>
        <w:rPr>
          <w:rFonts w:asciiTheme="majorBidi" w:hAnsiTheme="majorBidi" w:cstheme="majorBidi"/>
          <w:sz w:val="24"/>
          <w:szCs w:val="24"/>
          <w:lang w:val="en-US"/>
        </w:rPr>
        <w:t>to</w:t>
      </w:r>
      <w:r w:rsidR="00C56FD7" w:rsidRPr="00A417EE">
        <w:rPr>
          <w:rFonts w:asciiTheme="majorBidi" w:hAnsiTheme="majorBidi" w:cstheme="majorBidi"/>
          <w:sz w:val="24"/>
          <w:szCs w:val="24"/>
          <w:lang w:val="en-US"/>
        </w:rPr>
        <w:t xml:space="preserve"> turns into negative numbers</w:t>
      </w:r>
      <w:r w:rsidR="00C36818">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as </w:t>
      </w:r>
      <w:r w:rsidR="00C56FD7" w:rsidRPr="005B6607">
        <w:rPr>
          <w:rFonts w:asciiTheme="majorBidi" w:hAnsiTheme="majorBidi" w:cstheme="majorBidi"/>
          <w:sz w:val="24"/>
          <w:szCs w:val="24"/>
          <w:lang w:val="en-US"/>
        </w:rPr>
        <w:t xml:space="preserve">illustrated in </w:t>
      </w:r>
      <w:r w:rsidR="00C56FD7" w:rsidRPr="005B6607">
        <w:rPr>
          <w:rFonts w:asciiTheme="majorBidi" w:hAnsiTheme="majorBidi" w:cstheme="majorBidi"/>
          <w:i/>
          <w:iCs/>
          <w:sz w:val="24"/>
          <w:szCs w:val="24"/>
          <w:lang w:val="en-US"/>
        </w:rPr>
        <w:t xml:space="preserve">Fig. </w:t>
      </w:r>
      <w:r w:rsidR="005C0440">
        <w:rPr>
          <w:rFonts w:asciiTheme="majorBidi" w:hAnsiTheme="majorBidi" w:cstheme="majorBidi"/>
          <w:i/>
          <w:iCs/>
          <w:sz w:val="24"/>
          <w:szCs w:val="24"/>
          <w:lang w:val="en-US"/>
        </w:rPr>
        <w:t>3.5</w:t>
      </w:r>
      <w:r w:rsidR="00C56FD7" w:rsidRPr="005B6607">
        <w:rPr>
          <w:rFonts w:asciiTheme="majorBidi" w:hAnsiTheme="majorBidi" w:cstheme="majorBidi"/>
          <w:i/>
          <w:iCs/>
          <w:sz w:val="24"/>
          <w:szCs w:val="24"/>
          <w:lang w:val="en-US"/>
        </w:rPr>
        <w:t xml:space="preserve">. </w:t>
      </w:r>
      <w:r w:rsidR="00052B31" w:rsidRPr="00052B31">
        <w:rPr>
          <w:rFonts w:asciiTheme="majorBidi" w:hAnsiTheme="majorBidi" w:cstheme="majorBidi"/>
          <w:sz w:val="24"/>
          <w:szCs w:val="24"/>
          <w:lang w:val="en-US"/>
        </w:rPr>
        <w:t>Thus, their ability to contribute to reconstruction financing is reduced as a result of the use of a large portion of these savings during the crisis</w:t>
      </w:r>
      <w:r w:rsidR="00C56FD7" w:rsidRPr="00133E1D">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D</w:t>
      </w:r>
      <w:r w:rsidR="00C56FD7" w:rsidRPr="00133E1D">
        <w:rPr>
          <w:rFonts w:asciiTheme="majorBidi" w:hAnsiTheme="majorBidi" w:cstheme="majorBidi"/>
          <w:sz w:val="24"/>
          <w:szCs w:val="24"/>
          <w:lang w:val="en-US"/>
        </w:rPr>
        <w:t xml:space="preserve">espite </w:t>
      </w:r>
      <w:r w:rsidR="00C56FD7">
        <w:rPr>
          <w:rFonts w:asciiTheme="majorBidi" w:hAnsiTheme="majorBidi" w:cstheme="majorBidi"/>
          <w:sz w:val="24"/>
          <w:szCs w:val="24"/>
          <w:lang w:val="en-US"/>
        </w:rPr>
        <w:t>that</w:t>
      </w:r>
      <w:r w:rsidR="00C56FD7" w:rsidRPr="00133E1D">
        <w:rPr>
          <w:rFonts w:asciiTheme="majorBidi" w:hAnsiTheme="majorBidi" w:cstheme="majorBidi"/>
          <w:sz w:val="24"/>
          <w:szCs w:val="24"/>
          <w:lang w:val="en-US"/>
        </w:rPr>
        <w:t xml:space="preserve">, </w:t>
      </w:r>
      <w:r w:rsidR="005903AE" w:rsidRPr="005903AE">
        <w:rPr>
          <w:rFonts w:asciiTheme="majorBidi" w:hAnsiTheme="majorBidi" w:cstheme="majorBidi"/>
          <w:sz w:val="24"/>
          <w:szCs w:val="24"/>
          <w:lang w:val="en-US"/>
        </w:rPr>
        <w:t>some families still have</w:t>
      </w:r>
      <w:r w:rsidR="005903AE">
        <w:rPr>
          <w:rFonts w:asciiTheme="majorBidi" w:hAnsiTheme="majorBidi" w:cstheme="majorBidi"/>
          <w:sz w:val="24"/>
          <w:szCs w:val="24"/>
          <w:lang w:val="en-US"/>
        </w:rPr>
        <w:t xml:space="preserve"> </w:t>
      </w:r>
      <w:r w:rsidR="00C56FD7" w:rsidRPr="00133E1D">
        <w:rPr>
          <w:rFonts w:asciiTheme="majorBidi" w:hAnsiTheme="majorBidi" w:cstheme="majorBidi"/>
          <w:sz w:val="24"/>
          <w:szCs w:val="24"/>
          <w:lang w:val="en-US"/>
        </w:rPr>
        <w:t xml:space="preserve">savings and can </w:t>
      </w:r>
      <w:r w:rsidR="00C56FD7">
        <w:rPr>
          <w:rFonts w:asciiTheme="majorBidi" w:hAnsiTheme="majorBidi" w:cstheme="majorBidi"/>
          <w:sz w:val="24"/>
          <w:szCs w:val="24"/>
          <w:lang w:val="en-US"/>
        </w:rPr>
        <w:t>use</w:t>
      </w:r>
      <w:r w:rsidR="00C56FD7" w:rsidRPr="00133E1D">
        <w:rPr>
          <w:rFonts w:asciiTheme="majorBidi" w:hAnsiTheme="majorBidi" w:cstheme="majorBidi"/>
          <w:sz w:val="24"/>
          <w:szCs w:val="24"/>
          <w:lang w:val="en-US"/>
        </w:rPr>
        <w:t xml:space="preserve"> them in the future</w:t>
      </w:r>
      <w:r>
        <w:rPr>
          <w:rFonts w:asciiTheme="majorBidi" w:hAnsiTheme="majorBidi" w:cstheme="majorBidi"/>
          <w:sz w:val="24"/>
          <w:szCs w:val="24"/>
          <w:lang w:val="en-US"/>
        </w:rPr>
        <w:t>,</w:t>
      </w:r>
      <w:r w:rsidR="00C56FD7" w:rsidRPr="00133E1D">
        <w:rPr>
          <w:rFonts w:asciiTheme="majorBidi" w:hAnsiTheme="majorBidi" w:cstheme="majorBidi"/>
          <w:sz w:val="24"/>
          <w:szCs w:val="24"/>
          <w:lang w:val="en-US"/>
        </w:rPr>
        <w:t xml:space="preserve"> if government bonds and Islamic </w:t>
      </w:r>
      <w:r w:rsidR="005903AE">
        <w:rPr>
          <w:rFonts w:asciiTheme="majorBidi" w:hAnsiTheme="majorBidi" w:cstheme="majorBidi"/>
          <w:sz w:val="24"/>
          <w:szCs w:val="24"/>
          <w:lang w:val="en-US"/>
        </w:rPr>
        <w:t>S</w:t>
      </w:r>
      <w:r w:rsidR="00C56FD7">
        <w:rPr>
          <w:rFonts w:asciiTheme="majorBidi" w:hAnsiTheme="majorBidi" w:cstheme="majorBidi"/>
          <w:sz w:val="24"/>
          <w:szCs w:val="24"/>
          <w:lang w:val="en-US"/>
        </w:rPr>
        <w:t>ukuk</w:t>
      </w:r>
      <w:r w:rsidR="00C56FD7" w:rsidRPr="00133E1D">
        <w:rPr>
          <w:rFonts w:asciiTheme="majorBidi" w:hAnsiTheme="majorBidi" w:cstheme="majorBidi"/>
          <w:sz w:val="24"/>
          <w:szCs w:val="24"/>
          <w:lang w:val="en-US"/>
        </w:rPr>
        <w:t xml:space="preserve"> are offered to the public to finance attractive investments.</w:t>
      </w:r>
    </w:p>
    <w:p w14:paraId="0AB4A2C8" w14:textId="77777777" w:rsidR="005B6607" w:rsidRDefault="00C56FD7" w:rsidP="005C0440">
      <w:pPr>
        <w:keepNext/>
        <w:autoSpaceDE w:val="0"/>
        <w:adjustRightInd w:val="0"/>
        <w:spacing w:line="360" w:lineRule="auto"/>
        <w:jc w:val="both"/>
      </w:pPr>
      <w:r>
        <w:rPr>
          <w:noProof/>
        </w:rPr>
        <w:drawing>
          <wp:inline distT="0" distB="0" distL="0" distR="0" wp14:anchorId="754D53C7" wp14:editId="69AF62D7">
            <wp:extent cx="6096000" cy="3459480"/>
            <wp:effectExtent l="0" t="0" r="0" b="7620"/>
            <wp:docPr id="10" name="Chart 10">
              <a:extLst xmlns:a="http://schemas.openxmlformats.org/drawingml/2006/main">
                <a:ext uri="{FF2B5EF4-FFF2-40B4-BE49-F238E27FC236}">
                  <a16:creationId xmlns:a16="http://schemas.microsoft.com/office/drawing/2014/main" id="{4607F21D-D25A-4553-8386-ECD79674A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3156EE" w14:textId="606799D5" w:rsidR="00C56FD7" w:rsidRPr="00133E1D" w:rsidRDefault="005B6607" w:rsidP="005B6607">
      <w:pPr>
        <w:autoSpaceDE w:val="0"/>
        <w:adjustRightInd w:val="0"/>
        <w:spacing w:after="0" w:line="360" w:lineRule="auto"/>
        <w:jc w:val="both"/>
        <w:rPr>
          <w:rFonts w:asciiTheme="majorBidi" w:hAnsiTheme="majorBidi" w:cstheme="majorBidi"/>
          <w:sz w:val="24"/>
          <w:szCs w:val="24"/>
          <w:lang w:val="en-US"/>
        </w:rPr>
      </w:pPr>
      <w:r w:rsidRPr="00A25C55">
        <w:rPr>
          <w:rFonts w:asciiTheme="majorBidi" w:hAnsiTheme="majorBidi" w:cstheme="majorBidi"/>
          <w:i/>
          <w:iCs/>
          <w:sz w:val="24"/>
          <w:szCs w:val="24"/>
          <w:lang w:val="en-US"/>
        </w:rPr>
        <w:t xml:space="preserve">Fig. </w:t>
      </w:r>
      <w:r w:rsidR="005C0440">
        <w:rPr>
          <w:rFonts w:asciiTheme="majorBidi" w:hAnsiTheme="majorBidi" w:cstheme="majorBidi"/>
          <w:i/>
          <w:iCs/>
          <w:sz w:val="24"/>
          <w:szCs w:val="24"/>
          <w:lang w:val="en-US"/>
        </w:rPr>
        <w:t>3.5</w:t>
      </w:r>
      <w:r>
        <w:rPr>
          <w:rFonts w:asciiTheme="majorBidi" w:hAnsiTheme="majorBidi" w:cstheme="majorBidi"/>
          <w:sz w:val="24"/>
          <w:szCs w:val="24"/>
          <w:lang w:val="en-US"/>
        </w:rPr>
        <w:t>.</w:t>
      </w:r>
      <w:r w:rsidRPr="005B6607">
        <w:rPr>
          <w:rFonts w:asciiTheme="majorBidi" w:hAnsiTheme="majorBidi" w:cstheme="majorBidi"/>
          <w:sz w:val="24"/>
          <w:szCs w:val="24"/>
          <w:lang w:val="en-US"/>
        </w:rPr>
        <w:t xml:space="preserve"> Saving</w:t>
      </w:r>
      <w:r w:rsidR="00EB0563">
        <w:rPr>
          <w:rFonts w:asciiTheme="majorBidi" w:hAnsiTheme="majorBidi" w:cstheme="majorBidi"/>
          <w:sz w:val="24"/>
          <w:szCs w:val="24"/>
          <w:lang w:val="en-US"/>
        </w:rPr>
        <w:t>s</w:t>
      </w:r>
      <w:r w:rsidRPr="005B6607">
        <w:rPr>
          <w:rFonts w:asciiTheme="majorBidi" w:hAnsiTheme="majorBidi" w:cstheme="majorBidi"/>
          <w:sz w:val="24"/>
          <w:szCs w:val="24"/>
          <w:lang w:val="en-US"/>
        </w:rPr>
        <w:t xml:space="preserve"> from 2009 to 2017 (SP bn)</w:t>
      </w:r>
    </w:p>
    <w:p w14:paraId="5FE0D8C7" w14:textId="6AA698DC" w:rsidR="00C56FD7" w:rsidRPr="002746BC" w:rsidRDefault="00074BC4" w:rsidP="00C56FD7">
      <w:pPr>
        <w:autoSpaceDE w:val="0"/>
        <w:adjustRightInd w:val="0"/>
        <w:spacing w:line="360" w:lineRule="auto"/>
        <w:jc w:val="both"/>
        <w:rPr>
          <w:rFonts w:ascii="Times New Roman" w:hAnsi="Times New Roman" w:cs="Times New Roman"/>
          <w:lang w:val="en-US"/>
        </w:rPr>
      </w:pPr>
      <w:r w:rsidRPr="002746BC">
        <w:rPr>
          <w:rFonts w:ascii="Times New Roman" w:hAnsi="Times New Roman" w:cs="Times New Roman"/>
          <w:i/>
          <w:iCs/>
          <w:lang w:val="en-US"/>
        </w:rPr>
        <w:t>Source</w:t>
      </w:r>
      <w:r w:rsidRPr="002746BC">
        <w:rPr>
          <w:rFonts w:ascii="Times New Roman" w:hAnsi="Times New Roman" w:cs="Times New Roman"/>
          <w:lang w:val="en-US"/>
        </w:rPr>
        <w:t xml:space="preserve">: author's calculation according to </w:t>
      </w:r>
      <w:r w:rsidR="00C56FD7" w:rsidRPr="002746BC">
        <w:rPr>
          <w:rFonts w:ascii="Times New Roman" w:hAnsi="Times New Roman" w:cs="Times New Roman"/>
          <w:lang w:val="en-US"/>
        </w:rPr>
        <w:t>the Central Bureau of Statistics annual reports</w:t>
      </w:r>
      <w:r w:rsidR="002746BC">
        <w:rPr>
          <w:rFonts w:ascii="Times New Roman" w:hAnsi="Times New Roman" w:cs="Times New Roman"/>
          <w:lang w:val="en-US"/>
        </w:rPr>
        <w:t>.</w:t>
      </w:r>
    </w:p>
    <w:p w14:paraId="594714EC" w14:textId="77777777" w:rsidR="00C17011" w:rsidRDefault="00C17011"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85701E">
        <w:rPr>
          <w:rFonts w:asciiTheme="majorBidi" w:hAnsiTheme="majorBidi" w:cstheme="majorBidi"/>
          <w:sz w:val="24"/>
          <w:szCs w:val="24"/>
          <w:lang w:val="en-US"/>
        </w:rPr>
        <w:t>As for banks, the banking sector in Syria consists of 20 banks (6 governmental and 14 private</w:t>
      </w:r>
      <w:r>
        <w:rPr>
          <w:rFonts w:asciiTheme="majorBidi" w:hAnsiTheme="majorBidi" w:cstheme="majorBidi"/>
          <w:sz w:val="24"/>
          <w:szCs w:val="24"/>
          <w:lang w:val="en-US"/>
        </w:rPr>
        <w:t xml:space="preserve"> banks</w:t>
      </w:r>
      <w:r w:rsidRPr="0085701E">
        <w:rPr>
          <w:rFonts w:asciiTheme="majorBidi" w:hAnsiTheme="majorBidi" w:cstheme="majorBidi"/>
          <w:sz w:val="24"/>
          <w:szCs w:val="24"/>
          <w:lang w:val="en-US"/>
        </w:rPr>
        <w:t xml:space="preserve">, 3 of </w:t>
      </w:r>
      <w:r>
        <w:rPr>
          <w:rFonts w:asciiTheme="majorBidi" w:hAnsiTheme="majorBidi" w:cstheme="majorBidi"/>
          <w:sz w:val="24"/>
          <w:szCs w:val="24"/>
          <w:lang w:val="en-US"/>
        </w:rPr>
        <w:t>them</w:t>
      </w:r>
      <w:r w:rsidRPr="0085701E">
        <w:rPr>
          <w:rFonts w:asciiTheme="majorBidi" w:hAnsiTheme="majorBidi" w:cstheme="majorBidi"/>
          <w:sz w:val="24"/>
          <w:szCs w:val="24"/>
          <w:lang w:val="en-US"/>
        </w:rPr>
        <w:t xml:space="preserve"> are Islamic).</w:t>
      </w:r>
      <w:r w:rsidRPr="00B63FE1">
        <w:t xml:space="preserve"> </w:t>
      </w:r>
      <w:r w:rsidRPr="00B63FE1">
        <w:rPr>
          <w:rFonts w:asciiTheme="majorBidi" w:hAnsiTheme="majorBidi" w:cstheme="majorBidi"/>
          <w:sz w:val="24"/>
          <w:szCs w:val="24"/>
          <w:lang w:val="en-US"/>
        </w:rPr>
        <w:t xml:space="preserve">However, during the crisis period, Syrian public and private banks </w:t>
      </w:r>
      <w:r>
        <w:rPr>
          <w:rFonts w:asciiTheme="majorBidi" w:hAnsiTheme="majorBidi" w:cstheme="majorBidi"/>
          <w:sz w:val="24"/>
          <w:szCs w:val="24"/>
          <w:lang w:val="en-US"/>
        </w:rPr>
        <w:t>did</w:t>
      </w:r>
      <w:r w:rsidRPr="00B63FE1">
        <w:rPr>
          <w:rFonts w:asciiTheme="majorBidi" w:hAnsiTheme="majorBidi" w:cstheme="majorBidi"/>
          <w:sz w:val="24"/>
          <w:szCs w:val="24"/>
          <w:lang w:val="en-US"/>
        </w:rPr>
        <w:t xml:space="preserve"> not demonstrate</w:t>
      </w:r>
      <w:r>
        <w:rPr>
          <w:rFonts w:asciiTheme="majorBidi" w:hAnsiTheme="majorBidi" w:cstheme="majorBidi"/>
          <w:sz w:val="24"/>
          <w:szCs w:val="24"/>
          <w:lang w:val="en-US"/>
        </w:rPr>
        <w:t xml:space="preserve"> </w:t>
      </w:r>
      <w:r w:rsidRPr="00B63FE1">
        <w:rPr>
          <w:rFonts w:asciiTheme="majorBidi" w:hAnsiTheme="majorBidi" w:cstheme="majorBidi"/>
          <w:sz w:val="24"/>
          <w:szCs w:val="24"/>
          <w:lang w:val="en-US"/>
        </w:rPr>
        <w:t xml:space="preserve">that they </w:t>
      </w:r>
      <w:r>
        <w:rPr>
          <w:rFonts w:asciiTheme="majorBidi" w:hAnsiTheme="majorBidi" w:cstheme="majorBidi"/>
          <w:sz w:val="24"/>
          <w:szCs w:val="24"/>
          <w:lang w:val="en-US"/>
        </w:rPr>
        <w:t>can</w:t>
      </w:r>
      <w:r w:rsidRPr="00B63FE1">
        <w:rPr>
          <w:rFonts w:asciiTheme="majorBidi" w:hAnsiTheme="majorBidi" w:cstheme="majorBidi"/>
          <w:sz w:val="24"/>
          <w:szCs w:val="24"/>
          <w:lang w:val="en-US"/>
        </w:rPr>
        <w:t xml:space="preserve"> play the minimum role expected of them</w:t>
      </w:r>
      <w:r>
        <w:rPr>
          <w:rFonts w:asciiTheme="majorBidi" w:hAnsiTheme="majorBidi" w:cstheme="majorBidi"/>
          <w:sz w:val="24"/>
          <w:szCs w:val="24"/>
          <w:lang w:val="en-US"/>
        </w:rPr>
        <w:t>. It was difficult</w:t>
      </w:r>
      <w:r w:rsidRPr="00B63FE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for banks </w:t>
      </w:r>
      <w:r w:rsidRPr="00B63FE1">
        <w:rPr>
          <w:rFonts w:asciiTheme="majorBidi" w:hAnsiTheme="majorBidi" w:cstheme="majorBidi"/>
          <w:sz w:val="24"/>
          <w:szCs w:val="24"/>
          <w:lang w:val="en-US"/>
        </w:rPr>
        <w:t xml:space="preserve">under the current legislation, to play </w:t>
      </w:r>
      <w:r>
        <w:rPr>
          <w:rFonts w:asciiTheme="majorBidi" w:hAnsiTheme="majorBidi" w:cstheme="majorBidi"/>
          <w:sz w:val="24"/>
          <w:szCs w:val="24"/>
          <w:lang w:val="en-US"/>
        </w:rPr>
        <w:t>their</w:t>
      </w:r>
      <w:r w:rsidRPr="00B63FE1">
        <w:rPr>
          <w:rFonts w:asciiTheme="majorBidi" w:hAnsiTheme="majorBidi" w:cstheme="majorBidi"/>
          <w:sz w:val="24"/>
          <w:szCs w:val="24"/>
          <w:lang w:val="en-US"/>
        </w:rPr>
        <w:t xml:space="preserve"> role during the first years after the crisis.</w:t>
      </w:r>
      <w:r>
        <w:rPr>
          <w:rStyle w:val="FootnoteReference"/>
          <w:rFonts w:asciiTheme="majorBidi" w:hAnsiTheme="majorBidi" w:cstheme="majorBidi"/>
          <w:sz w:val="24"/>
          <w:szCs w:val="24"/>
          <w:lang w:val="en-US"/>
        </w:rPr>
        <w:footnoteReference w:id="89"/>
      </w:r>
    </w:p>
    <w:p w14:paraId="3FB70B88" w14:textId="331CC237"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001844">
        <w:rPr>
          <w:rFonts w:asciiTheme="majorBidi" w:hAnsiTheme="majorBidi" w:cstheme="majorBidi"/>
          <w:sz w:val="24"/>
          <w:szCs w:val="24"/>
          <w:lang w:val="en-US"/>
        </w:rPr>
        <w:t>Despite the existence of a law regulating the operation of investment banks, there are still no investment banks in Syria</w:t>
      </w:r>
      <w:r w:rsidR="0027782A">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27782A">
        <w:rPr>
          <w:rFonts w:asciiTheme="majorBidi" w:hAnsiTheme="majorBidi" w:cstheme="majorBidi"/>
          <w:sz w:val="24"/>
          <w:szCs w:val="24"/>
          <w:lang w:val="en-US"/>
        </w:rPr>
        <w:t>T</w:t>
      </w:r>
      <w:r w:rsidRPr="00001844">
        <w:rPr>
          <w:rFonts w:asciiTheme="majorBidi" w:hAnsiTheme="majorBidi" w:cstheme="majorBidi"/>
          <w:sz w:val="24"/>
          <w:szCs w:val="24"/>
          <w:lang w:val="en-US"/>
        </w:rPr>
        <w:t>he law specified</w:t>
      </w:r>
      <w:r w:rsidR="0027782A">
        <w:rPr>
          <w:rFonts w:asciiTheme="majorBidi" w:hAnsiTheme="majorBidi" w:cstheme="majorBidi"/>
          <w:sz w:val="24"/>
          <w:szCs w:val="24"/>
          <w:lang w:val="en-US"/>
        </w:rPr>
        <w:t xml:space="preserve"> </w:t>
      </w:r>
      <w:r w:rsidR="0027782A" w:rsidRPr="00001844">
        <w:rPr>
          <w:rFonts w:asciiTheme="majorBidi" w:hAnsiTheme="majorBidi" w:cstheme="majorBidi"/>
          <w:sz w:val="24"/>
          <w:szCs w:val="24"/>
          <w:lang w:val="en-US"/>
        </w:rPr>
        <w:t>15 investment activities</w:t>
      </w:r>
      <w:r w:rsidRPr="00001844">
        <w:rPr>
          <w:rFonts w:asciiTheme="majorBidi" w:hAnsiTheme="majorBidi" w:cstheme="majorBidi"/>
          <w:sz w:val="24"/>
          <w:szCs w:val="24"/>
          <w:lang w:val="en-US"/>
        </w:rPr>
        <w:t xml:space="preserve"> for these banks, including financing the investment activity and BOT projects, participation in the establishment of companies, investment funds </w:t>
      </w:r>
      <w:r w:rsidR="007E08F0">
        <w:rPr>
          <w:rFonts w:asciiTheme="majorBidi" w:hAnsiTheme="majorBidi" w:cstheme="majorBidi"/>
          <w:sz w:val="24"/>
          <w:szCs w:val="24"/>
          <w:lang w:val="en-US"/>
        </w:rPr>
        <w:t>with an</w:t>
      </w:r>
      <w:r w:rsidRPr="00001844">
        <w:rPr>
          <w:rFonts w:asciiTheme="majorBidi" w:hAnsiTheme="majorBidi" w:cstheme="majorBidi"/>
          <w:sz w:val="24"/>
          <w:szCs w:val="24"/>
          <w:lang w:val="en-US"/>
        </w:rPr>
        <w:t xml:space="preserve"> ownership </w:t>
      </w:r>
      <w:r>
        <w:rPr>
          <w:rFonts w:asciiTheme="majorBidi" w:hAnsiTheme="majorBidi" w:cstheme="majorBidi"/>
          <w:sz w:val="24"/>
          <w:szCs w:val="24"/>
          <w:lang w:val="en-US"/>
        </w:rPr>
        <w:t>up</w:t>
      </w:r>
      <w:r w:rsidRPr="00001844">
        <w:rPr>
          <w:rFonts w:asciiTheme="majorBidi" w:hAnsiTheme="majorBidi" w:cstheme="majorBidi"/>
          <w:sz w:val="24"/>
          <w:szCs w:val="24"/>
          <w:lang w:val="en-US"/>
        </w:rPr>
        <w:t xml:space="preserve"> to 15</w:t>
      </w:r>
      <w:r>
        <w:rPr>
          <w:rFonts w:asciiTheme="majorBidi" w:hAnsiTheme="majorBidi" w:cstheme="majorBidi"/>
          <w:sz w:val="24"/>
          <w:szCs w:val="24"/>
          <w:lang w:val="en-US"/>
        </w:rPr>
        <w:t xml:space="preserve">% </w:t>
      </w:r>
      <w:r w:rsidRPr="00001844">
        <w:rPr>
          <w:rFonts w:asciiTheme="majorBidi" w:hAnsiTheme="majorBidi" w:cstheme="majorBidi"/>
          <w:sz w:val="24"/>
          <w:szCs w:val="24"/>
          <w:lang w:val="en-US"/>
        </w:rPr>
        <w:t xml:space="preserve">of </w:t>
      </w:r>
      <w:r w:rsidR="0027782A">
        <w:rPr>
          <w:rFonts w:asciiTheme="majorBidi" w:hAnsiTheme="majorBidi" w:cstheme="majorBidi"/>
          <w:sz w:val="24"/>
          <w:szCs w:val="24"/>
          <w:lang w:val="en-US"/>
        </w:rPr>
        <w:t>the investment fund</w:t>
      </w:r>
      <w:r w:rsidRPr="00001844">
        <w:rPr>
          <w:rFonts w:asciiTheme="majorBidi" w:hAnsiTheme="majorBidi" w:cstheme="majorBidi"/>
          <w:sz w:val="24"/>
          <w:szCs w:val="24"/>
          <w:lang w:val="en-US"/>
        </w:rPr>
        <w:t xml:space="preserve"> capital.</w:t>
      </w:r>
      <w:r>
        <w:rPr>
          <w:rStyle w:val="FootnoteReference"/>
          <w:rFonts w:asciiTheme="majorBidi" w:hAnsiTheme="majorBidi" w:cstheme="majorBidi"/>
          <w:sz w:val="24"/>
          <w:szCs w:val="24"/>
          <w:lang w:val="en-US"/>
        </w:rPr>
        <w:footnoteReference w:id="90"/>
      </w:r>
    </w:p>
    <w:p w14:paraId="6C422BEE" w14:textId="0ACF372B" w:rsidR="00C56FD7" w:rsidRDefault="00C36818"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C36818">
        <w:rPr>
          <w:rFonts w:asciiTheme="majorBidi" w:hAnsiTheme="majorBidi" w:cstheme="majorBidi"/>
          <w:sz w:val="24"/>
          <w:szCs w:val="24"/>
          <w:lang w:val="en-US"/>
        </w:rPr>
        <w:t>However, banks' deposits have accumulated throughout the crisis years</w:t>
      </w:r>
      <w:r w:rsidR="00C56FD7" w:rsidRPr="00141FFA">
        <w:rPr>
          <w:rFonts w:asciiTheme="majorBidi" w:hAnsiTheme="majorBidi" w:cstheme="majorBidi"/>
          <w:sz w:val="24"/>
          <w:szCs w:val="24"/>
          <w:lang w:val="en-US"/>
        </w:rPr>
        <w:t xml:space="preserve">, reaching </w:t>
      </w:r>
      <w:r w:rsidR="00C56FD7">
        <w:rPr>
          <w:rFonts w:asciiTheme="majorBidi" w:hAnsiTheme="majorBidi" w:cstheme="majorBidi"/>
          <w:sz w:val="24"/>
          <w:szCs w:val="24"/>
          <w:lang w:val="en-US"/>
        </w:rPr>
        <w:t xml:space="preserve">SP </w:t>
      </w:r>
      <w:r w:rsidR="00C56FD7" w:rsidRPr="00141FFA">
        <w:rPr>
          <w:rFonts w:asciiTheme="majorBidi" w:hAnsiTheme="majorBidi" w:cstheme="majorBidi"/>
          <w:sz w:val="24"/>
          <w:szCs w:val="24"/>
          <w:lang w:val="en-US"/>
        </w:rPr>
        <w:t>3900</w:t>
      </w:r>
      <w:r w:rsidR="00C56FD7">
        <w:rPr>
          <w:rFonts w:asciiTheme="majorBidi" w:hAnsiTheme="majorBidi" w:cstheme="majorBidi"/>
          <w:sz w:val="24"/>
          <w:szCs w:val="24"/>
          <w:lang w:val="en-US"/>
        </w:rPr>
        <w:t xml:space="preserve"> bn by</w:t>
      </w:r>
      <w:r w:rsidR="00C56FD7" w:rsidRPr="00141FFA">
        <w:rPr>
          <w:rFonts w:asciiTheme="majorBidi" w:hAnsiTheme="majorBidi" w:cstheme="majorBidi"/>
          <w:sz w:val="24"/>
          <w:szCs w:val="24"/>
          <w:lang w:val="en-US"/>
        </w:rPr>
        <w:t xml:space="preserve"> the end of 2018</w:t>
      </w:r>
      <w:r w:rsidR="00C56FD7">
        <w:rPr>
          <w:rFonts w:asciiTheme="majorBidi" w:hAnsiTheme="majorBidi" w:cstheme="majorBidi"/>
          <w:sz w:val="24"/>
          <w:szCs w:val="24"/>
          <w:lang w:val="en-US"/>
        </w:rPr>
        <w:t xml:space="preserve"> ($7.83 bn a</w:t>
      </w:r>
      <w:r w:rsidR="00C56FD7" w:rsidRPr="00A83D28">
        <w:rPr>
          <w:rFonts w:asciiTheme="majorBidi" w:hAnsiTheme="majorBidi" w:cstheme="majorBidi"/>
          <w:sz w:val="24"/>
          <w:szCs w:val="24"/>
          <w:lang w:val="en-US"/>
        </w:rPr>
        <w:t>ccording to the exchange rate at the end of 2018</w:t>
      </w:r>
      <w:r w:rsidR="00C56FD7">
        <w:rPr>
          <w:rFonts w:asciiTheme="majorBidi" w:hAnsiTheme="majorBidi" w:cstheme="majorBidi"/>
          <w:sz w:val="24"/>
          <w:szCs w:val="24"/>
          <w:lang w:val="en-US"/>
        </w:rPr>
        <w:t>)</w:t>
      </w:r>
      <w:r w:rsidR="00C56FD7" w:rsidRPr="00141FFA">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w:t>
      </w:r>
      <w:r w:rsidR="00A612AB">
        <w:rPr>
          <w:rFonts w:asciiTheme="majorBidi" w:hAnsiTheme="majorBidi" w:cstheme="majorBidi"/>
          <w:sz w:val="24"/>
          <w:szCs w:val="24"/>
          <w:lang w:val="en-US"/>
        </w:rPr>
        <w:t>C</w:t>
      </w:r>
      <w:r w:rsidR="00C56FD7" w:rsidRPr="00A83D28">
        <w:rPr>
          <w:rFonts w:asciiTheme="majorBidi" w:hAnsiTheme="majorBidi" w:cstheme="majorBidi"/>
          <w:sz w:val="24"/>
          <w:szCs w:val="24"/>
          <w:lang w:val="en-US"/>
        </w:rPr>
        <w:t xml:space="preserve">ompared to 2010, </w:t>
      </w:r>
      <w:r w:rsidR="00C56FD7" w:rsidRPr="00A83D28">
        <w:rPr>
          <w:rFonts w:asciiTheme="majorBidi" w:hAnsiTheme="majorBidi" w:cstheme="majorBidi"/>
          <w:sz w:val="24"/>
          <w:szCs w:val="24"/>
          <w:lang w:val="en-US"/>
        </w:rPr>
        <w:lastRenderedPageBreak/>
        <w:t xml:space="preserve">the </w:t>
      </w:r>
      <w:r w:rsidR="005903AE" w:rsidRPr="005903AE">
        <w:rPr>
          <w:rFonts w:asciiTheme="majorBidi" w:hAnsiTheme="majorBidi" w:cstheme="majorBidi"/>
          <w:sz w:val="24"/>
          <w:szCs w:val="24"/>
          <w:lang w:val="en-US"/>
        </w:rPr>
        <w:t xml:space="preserve">volume </w:t>
      </w:r>
      <w:r w:rsidR="00C56FD7" w:rsidRPr="00A83D28">
        <w:rPr>
          <w:rFonts w:asciiTheme="majorBidi" w:hAnsiTheme="majorBidi" w:cstheme="majorBidi"/>
          <w:sz w:val="24"/>
          <w:szCs w:val="24"/>
          <w:lang w:val="en-US"/>
        </w:rPr>
        <w:t xml:space="preserve">of bank deposits decreased from </w:t>
      </w:r>
      <w:r w:rsidR="00584667">
        <w:rPr>
          <w:rFonts w:asciiTheme="majorBidi" w:hAnsiTheme="majorBidi" w:cstheme="majorBidi"/>
          <w:sz w:val="24"/>
          <w:szCs w:val="24"/>
          <w:lang w:val="en-US"/>
        </w:rPr>
        <w:t>$</w:t>
      </w:r>
      <w:r w:rsidR="00C56FD7" w:rsidRPr="00A83D28">
        <w:rPr>
          <w:rFonts w:asciiTheme="majorBidi" w:hAnsiTheme="majorBidi" w:cstheme="majorBidi"/>
          <w:sz w:val="24"/>
          <w:szCs w:val="24"/>
          <w:lang w:val="en-US"/>
        </w:rPr>
        <w:t xml:space="preserve">31.2 </w:t>
      </w:r>
      <w:r w:rsidR="00584667">
        <w:rPr>
          <w:rFonts w:asciiTheme="majorBidi" w:hAnsiTheme="majorBidi" w:cstheme="majorBidi"/>
          <w:sz w:val="24"/>
          <w:szCs w:val="24"/>
          <w:lang w:val="en-US"/>
        </w:rPr>
        <w:t>bn</w:t>
      </w:r>
      <w:r w:rsidR="00C56FD7" w:rsidRPr="00A83D28">
        <w:rPr>
          <w:rFonts w:asciiTheme="majorBidi" w:hAnsiTheme="majorBidi" w:cstheme="majorBidi"/>
          <w:sz w:val="24"/>
          <w:szCs w:val="24"/>
          <w:lang w:val="en-US"/>
        </w:rPr>
        <w:t xml:space="preserve"> (which is equivalent to </w:t>
      </w:r>
      <w:r w:rsidR="00C56FD7">
        <w:rPr>
          <w:rFonts w:asciiTheme="majorBidi" w:hAnsiTheme="majorBidi" w:cstheme="majorBidi"/>
          <w:sz w:val="24"/>
          <w:szCs w:val="24"/>
          <w:lang w:val="en-US"/>
        </w:rPr>
        <w:t>SP</w:t>
      </w:r>
      <w:r w:rsidR="00FF5642">
        <w:rPr>
          <w:rFonts w:asciiTheme="majorBidi" w:hAnsiTheme="majorBidi" w:cstheme="majorBidi"/>
          <w:sz w:val="24"/>
          <w:szCs w:val="24"/>
          <w:lang w:val="en-US"/>
        </w:rPr>
        <w:t xml:space="preserve"> </w:t>
      </w:r>
      <w:r w:rsidR="00C56FD7" w:rsidRPr="00A83D28">
        <w:rPr>
          <w:rFonts w:asciiTheme="majorBidi" w:hAnsiTheme="majorBidi" w:cstheme="majorBidi"/>
          <w:sz w:val="24"/>
          <w:szCs w:val="24"/>
          <w:lang w:val="en-US"/>
        </w:rPr>
        <w:t xml:space="preserve">1400 </w:t>
      </w:r>
      <w:r w:rsidR="00C56FD7">
        <w:rPr>
          <w:rFonts w:asciiTheme="majorBidi" w:hAnsiTheme="majorBidi" w:cstheme="majorBidi"/>
          <w:sz w:val="24"/>
          <w:szCs w:val="24"/>
          <w:lang w:val="en-US"/>
        </w:rPr>
        <w:t>bn</w:t>
      </w:r>
      <w:r w:rsidR="00C56FD7" w:rsidRPr="00A83D28">
        <w:rPr>
          <w:rFonts w:asciiTheme="majorBidi" w:hAnsiTheme="majorBidi" w:cstheme="majorBidi"/>
          <w:sz w:val="24"/>
          <w:szCs w:val="24"/>
          <w:lang w:val="en-US"/>
        </w:rPr>
        <w:t xml:space="preserve"> based on the exchange rate in 2010).</w:t>
      </w:r>
    </w:p>
    <w:p w14:paraId="61D2CF71" w14:textId="0121D90B" w:rsidR="0027782A" w:rsidRDefault="009A6100" w:rsidP="00634054">
      <w:pPr>
        <w:suppressAutoHyphens/>
        <w:autoSpaceDE w:val="0"/>
        <w:adjustRightInd w:val="0"/>
        <w:spacing w:after="0" w:line="360" w:lineRule="auto"/>
        <w:ind w:firstLine="567"/>
        <w:jc w:val="both"/>
        <w:rPr>
          <w:rFonts w:asciiTheme="majorBidi" w:hAnsiTheme="majorBidi" w:cstheme="majorBidi"/>
          <w:sz w:val="24"/>
          <w:szCs w:val="24"/>
          <w:lang w:val="en-US"/>
        </w:rPr>
      </w:pPr>
      <w:r w:rsidRPr="009A6100">
        <w:rPr>
          <w:rFonts w:asciiTheme="majorBidi" w:hAnsiTheme="majorBidi" w:cstheme="majorBidi"/>
          <w:sz w:val="24"/>
          <w:szCs w:val="24"/>
          <w:lang w:val="en-US"/>
        </w:rPr>
        <w:t>During the years of the crisis, banks were exposed to the problem of borrowers defaulting, prompting banks to reduce lending operations at the beginning of the crisis. Recently, it started to improve after the situation began to stabilize</w:t>
      </w:r>
      <w:r w:rsidR="00C56FD7" w:rsidRPr="000A4432">
        <w:rPr>
          <w:rFonts w:asciiTheme="majorBidi" w:hAnsiTheme="majorBidi" w:cstheme="majorBidi"/>
          <w:sz w:val="24"/>
          <w:szCs w:val="24"/>
          <w:lang w:val="en-US"/>
        </w:rPr>
        <w:t xml:space="preserve">. </w:t>
      </w:r>
    </w:p>
    <w:p w14:paraId="419C4D43" w14:textId="0011CBFD" w:rsidR="00C56FD7" w:rsidRDefault="00C56FD7" w:rsidP="00634054">
      <w:pPr>
        <w:suppressAutoHyphens/>
        <w:autoSpaceDE w:val="0"/>
        <w:adjustRightInd w:val="0"/>
        <w:spacing w:before="240" w:line="360" w:lineRule="auto"/>
        <w:ind w:firstLine="567"/>
        <w:jc w:val="both"/>
        <w:rPr>
          <w:rFonts w:asciiTheme="majorBidi" w:hAnsiTheme="majorBidi" w:cstheme="majorBidi"/>
          <w:sz w:val="24"/>
          <w:szCs w:val="24"/>
          <w:lang w:val="en-US"/>
        </w:rPr>
      </w:pPr>
      <w:r w:rsidRPr="000A4432">
        <w:rPr>
          <w:rFonts w:asciiTheme="majorBidi" w:hAnsiTheme="majorBidi" w:cstheme="majorBidi"/>
          <w:i/>
          <w:iCs/>
          <w:sz w:val="24"/>
          <w:szCs w:val="24"/>
          <w:lang w:val="en-US"/>
        </w:rPr>
        <w:t xml:space="preserve">Table </w:t>
      </w:r>
      <w:r w:rsidR="005C0440">
        <w:rPr>
          <w:rFonts w:asciiTheme="majorBidi" w:hAnsiTheme="majorBidi" w:cstheme="majorBidi"/>
          <w:i/>
          <w:iCs/>
          <w:sz w:val="24"/>
          <w:szCs w:val="24"/>
          <w:lang w:val="en-US"/>
        </w:rPr>
        <w:t>3.2</w:t>
      </w:r>
      <w:r w:rsidRPr="000A4432">
        <w:rPr>
          <w:rFonts w:asciiTheme="majorBidi" w:hAnsiTheme="majorBidi" w:cstheme="majorBidi"/>
          <w:sz w:val="24"/>
          <w:szCs w:val="24"/>
          <w:lang w:val="en-US"/>
        </w:rPr>
        <w:t xml:space="preserve"> indicates</w:t>
      </w:r>
      <w:r>
        <w:rPr>
          <w:rFonts w:asciiTheme="majorBidi" w:hAnsiTheme="majorBidi" w:cstheme="majorBidi"/>
          <w:sz w:val="24"/>
          <w:szCs w:val="24"/>
          <w:lang w:val="en-US"/>
        </w:rPr>
        <w:t xml:space="preserve"> that </w:t>
      </w:r>
      <w:r w:rsidRPr="00995B25">
        <w:rPr>
          <w:rFonts w:asciiTheme="majorBidi" w:hAnsiTheme="majorBidi" w:cstheme="majorBidi"/>
          <w:sz w:val="24"/>
          <w:szCs w:val="24"/>
          <w:lang w:val="en-US"/>
        </w:rPr>
        <w:t xml:space="preserve">the </w:t>
      </w:r>
      <w:r w:rsidR="00C36818" w:rsidRPr="00C36818">
        <w:rPr>
          <w:rFonts w:asciiTheme="majorBidi" w:hAnsiTheme="majorBidi" w:cstheme="majorBidi"/>
          <w:sz w:val="24"/>
          <w:szCs w:val="24"/>
          <w:lang w:val="en-US"/>
        </w:rPr>
        <w:t xml:space="preserve">size </w:t>
      </w:r>
      <w:r w:rsidRPr="00995B25">
        <w:rPr>
          <w:rFonts w:asciiTheme="majorBidi" w:hAnsiTheme="majorBidi" w:cstheme="majorBidi"/>
          <w:sz w:val="24"/>
          <w:szCs w:val="24"/>
          <w:lang w:val="en-US"/>
        </w:rPr>
        <w:t xml:space="preserve">of idle funds </w:t>
      </w:r>
      <w:r>
        <w:rPr>
          <w:rFonts w:asciiTheme="majorBidi" w:hAnsiTheme="majorBidi" w:cstheme="majorBidi"/>
          <w:sz w:val="24"/>
          <w:szCs w:val="24"/>
          <w:lang w:val="en-US"/>
        </w:rPr>
        <w:t>a</w:t>
      </w:r>
      <w:r w:rsidRPr="00995B25">
        <w:rPr>
          <w:rFonts w:asciiTheme="majorBidi" w:hAnsiTheme="majorBidi" w:cstheme="majorBidi"/>
          <w:sz w:val="24"/>
          <w:szCs w:val="24"/>
          <w:lang w:val="en-US"/>
        </w:rPr>
        <w:t>t the end of 2018</w:t>
      </w:r>
      <w:r>
        <w:rPr>
          <w:rFonts w:asciiTheme="majorBidi" w:hAnsiTheme="majorBidi" w:cstheme="majorBidi"/>
          <w:sz w:val="24"/>
          <w:szCs w:val="24"/>
          <w:lang w:val="en-US"/>
        </w:rPr>
        <w:t xml:space="preserve"> </w:t>
      </w:r>
      <w:r w:rsidRPr="00995B25">
        <w:rPr>
          <w:rFonts w:asciiTheme="majorBidi" w:hAnsiTheme="majorBidi" w:cstheme="majorBidi"/>
          <w:sz w:val="24"/>
          <w:szCs w:val="24"/>
          <w:lang w:val="en-US"/>
        </w:rPr>
        <w:t xml:space="preserve">amounted to </w:t>
      </w:r>
      <w:r>
        <w:rPr>
          <w:rFonts w:asciiTheme="majorBidi" w:hAnsiTheme="majorBidi" w:cstheme="majorBidi"/>
          <w:sz w:val="24"/>
          <w:szCs w:val="24"/>
          <w:lang w:val="en-US"/>
        </w:rPr>
        <w:t xml:space="preserve">SP </w:t>
      </w:r>
      <w:r w:rsidRPr="00995B25">
        <w:rPr>
          <w:rFonts w:asciiTheme="majorBidi" w:hAnsiTheme="majorBidi" w:cstheme="majorBidi"/>
          <w:sz w:val="24"/>
          <w:szCs w:val="24"/>
          <w:lang w:val="en-US"/>
        </w:rPr>
        <w:t xml:space="preserve">1724 </w:t>
      </w:r>
      <w:r>
        <w:rPr>
          <w:rFonts w:asciiTheme="majorBidi" w:hAnsiTheme="majorBidi" w:cstheme="majorBidi"/>
          <w:sz w:val="24"/>
          <w:szCs w:val="24"/>
          <w:lang w:val="en-US"/>
        </w:rPr>
        <w:t>bn ($3.48 bn)</w:t>
      </w:r>
      <w:r w:rsidRPr="00995B25">
        <w:rPr>
          <w:rFonts w:asciiTheme="majorBidi" w:hAnsiTheme="majorBidi" w:cstheme="majorBidi"/>
          <w:sz w:val="24"/>
          <w:szCs w:val="24"/>
          <w:lang w:val="en-US"/>
        </w:rPr>
        <w:t>,</w:t>
      </w:r>
      <w:r>
        <w:rPr>
          <w:rFonts w:asciiTheme="majorBidi" w:hAnsiTheme="majorBidi" w:cstheme="majorBidi"/>
          <w:sz w:val="24"/>
          <w:szCs w:val="24"/>
          <w:lang w:val="en-US"/>
        </w:rPr>
        <w:t xml:space="preserve"> i</w:t>
      </w:r>
      <w:r w:rsidRPr="00D72406">
        <w:rPr>
          <w:rFonts w:asciiTheme="majorBidi" w:hAnsiTheme="majorBidi" w:cstheme="majorBidi"/>
          <w:sz w:val="24"/>
          <w:szCs w:val="24"/>
          <w:lang w:val="en-US"/>
        </w:rPr>
        <w:t>t represents 44% of the</w:t>
      </w:r>
      <w:r>
        <w:rPr>
          <w:rFonts w:asciiTheme="majorBidi" w:hAnsiTheme="majorBidi" w:cstheme="majorBidi"/>
          <w:sz w:val="24"/>
          <w:szCs w:val="24"/>
          <w:lang w:val="en-US"/>
        </w:rPr>
        <w:t xml:space="preserve"> total</w:t>
      </w:r>
      <w:r w:rsidRPr="00D72406">
        <w:rPr>
          <w:rFonts w:asciiTheme="majorBidi" w:hAnsiTheme="majorBidi" w:cstheme="majorBidi"/>
          <w:sz w:val="24"/>
          <w:szCs w:val="24"/>
          <w:lang w:val="en-US"/>
        </w:rPr>
        <w:t xml:space="preserve"> deposit</w:t>
      </w:r>
      <w:r>
        <w:rPr>
          <w:rFonts w:asciiTheme="majorBidi" w:hAnsiTheme="majorBidi" w:cstheme="majorBidi"/>
          <w:sz w:val="24"/>
          <w:szCs w:val="24"/>
          <w:lang w:val="en-US"/>
        </w:rPr>
        <w:t>s</w:t>
      </w:r>
      <w:r w:rsidR="009462C7">
        <w:rPr>
          <w:rFonts w:asciiTheme="majorBidi" w:hAnsiTheme="majorBidi" w:cstheme="majorBidi"/>
          <w:sz w:val="24"/>
          <w:szCs w:val="24"/>
          <w:lang w:val="en-US"/>
        </w:rPr>
        <w:t>,</w:t>
      </w:r>
      <w:r w:rsidRPr="00995B25">
        <w:rPr>
          <w:rFonts w:asciiTheme="majorBidi" w:hAnsiTheme="majorBidi" w:cstheme="majorBidi"/>
          <w:sz w:val="24"/>
          <w:szCs w:val="24"/>
          <w:lang w:val="en-US"/>
        </w:rPr>
        <w:t xml:space="preserve"> which is not used for reasons related to the bank</w:t>
      </w:r>
      <w:r w:rsidR="00E20029" w:rsidRPr="00E20029">
        <w:rPr>
          <w:rFonts w:ascii="Times New Roman" w:hAnsi="Times New Roman" w:cs="Times New Roman"/>
          <w:sz w:val="24"/>
          <w:szCs w:val="24"/>
        </w:rPr>
        <w:t>'</w:t>
      </w:r>
      <w:r w:rsidRPr="00995B25">
        <w:rPr>
          <w:rFonts w:asciiTheme="majorBidi" w:hAnsiTheme="majorBidi" w:cstheme="majorBidi"/>
          <w:sz w:val="24"/>
          <w:szCs w:val="24"/>
          <w:lang w:val="en-US"/>
        </w:rPr>
        <w:t>s policy or the circumstances affecting it</w:t>
      </w:r>
      <w:r>
        <w:rPr>
          <w:rFonts w:asciiTheme="majorBidi" w:hAnsiTheme="majorBidi" w:cstheme="majorBidi"/>
          <w:sz w:val="24"/>
          <w:szCs w:val="24"/>
          <w:lang w:val="en-US"/>
        </w:rPr>
        <w:t>.</w:t>
      </w:r>
    </w:p>
    <w:p w14:paraId="52A908C2" w14:textId="130E115B" w:rsidR="0027782A" w:rsidRDefault="0027782A"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950074">
        <w:rPr>
          <w:rFonts w:asciiTheme="majorBidi" w:hAnsiTheme="majorBidi" w:cstheme="majorBidi"/>
          <w:sz w:val="24"/>
          <w:szCs w:val="24"/>
          <w:lang w:val="en-US"/>
        </w:rPr>
        <w:t xml:space="preserve">And </w:t>
      </w:r>
      <w:r w:rsidRPr="005903AE">
        <w:rPr>
          <w:rFonts w:asciiTheme="majorBidi" w:hAnsiTheme="majorBidi" w:cstheme="majorBidi"/>
          <w:sz w:val="24"/>
          <w:szCs w:val="24"/>
          <w:lang w:val="en-US"/>
        </w:rPr>
        <w:t>even though</w:t>
      </w:r>
      <w:r>
        <w:rPr>
          <w:rFonts w:asciiTheme="majorBidi" w:hAnsiTheme="majorBidi" w:cstheme="majorBidi"/>
          <w:sz w:val="24"/>
          <w:szCs w:val="24"/>
          <w:lang w:val="en-US"/>
        </w:rPr>
        <w:t xml:space="preserve"> </w:t>
      </w:r>
      <w:r w:rsidRPr="00950074">
        <w:rPr>
          <w:rFonts w:asciiTheme="majorBidi" w:hAnsiTheme="majorBidi" w:cstheme="majorBidi"/>
          <w:sz w:val="24"/>
          <w:szCs w:val="24"/>
          <w:lang w:val="en-US"/>
        </w:rPr>
        <w:t>the amount of idle</w:t>
      </w:r>
      <w:r>
        <w:rPr>
          <w:rFonts w:asciiTheme="majorBidi" w:hAnsiTheme="majorBidi" w:cstheme="majorBidi"/>
          <w:sz w:val="24"/>
          <w:szCs w:val="24"/>
          <w:lang w:val="en-US"/>
        </w:rPr>
        <w:t xml:space="preserve"> funds</w:t>
      </w:r>
      <w:r w:rsidRPr="00950074">
        <w:rPr>
          <w:rFonts w:asciiTheme="majorBidi" w:hAnsiTheme="majorBidi" w:cstheme="majorBidi"/>
          <w:sz w:val="24"/>
          <w:szCs w:val="24"/>
          <w:lang w:val="en-US"/>
        </w:rPr>
        <w:t xml:space="preserve"> </w:t>
      </w:r>
      <w:r>
        <w:rPr>
          <w:rFonts w:asciiTheme="majorBidi" w:hAnsiTheme="majorBidi" w:cstheme="majorBidi"/>
          <w:sz w:val="24"/>
          <w:szCs w:val="24"/>
          <w:lang w:val="en-US"/>
        </w:rPr>
        <w:t>in</w:t>
      </w:r>
      <w:r w:rsidRPr="00950074">
        <w:rPr>
          <w:rFonts w:asciiTheme="majorBidi" w:hAnsiTheme="majorBidi" w:cstheme="majorBidi"/>
          <w:sz w:val="24"/>
          <w:szCs w:val="24"/>
          <w:lang w:val="en-US"/>
        </w:rPr>
        <w:t xml:space="preserve"> the Syrian banking sector</w:t>
      </w:r>
      <w:r>
        <w:rPr>
          <w:rFonts w:asciiTheme="majorBidi" w:hAnsiTheme="majorBidi" w:cstheme="majorBidi"/>
          <w:sz w:val="24"/>
          <w:szCs w:val="24"/>
          <w:lang w:val="en-US"/>
        </w:rPr>
        <w:t xml:space="preserve"> </w:t>
      </w:r>
      <w:r w:rsidRPr="00950074">
        <w:rPr>
          <w:rFonts w:asciiTheme="majorBidi" w:hAnsiTheme="majorBidi" w:cstheme="majorBidi"/>
          <w:sz w:val="24"/>
          <w:szCs w:val="24"/>
          <w:lang w:val="en-US"/>
        </w:rPr>
        <w:t xml:space="preserve">is </w:t>
      </w:r>
      <w:r w:rsidR="00C36818">
        <w:rPr>
          <w:rFonts w:asciiTheme="majorBidi" w:hAnsiTheme="majorBidi" w:cstheme="majorBidi"/>
          <w:sz w:val="24"/>
          <w:szCs w:val="24"/>
          <w:lang w:val="en-US"/>
        </w:rPr>
        <w:t>tiny</w:t>
      </w:r>
      <w:r>
        <w:rPr>
          <w:rFonts w:asciiTheme="majorBidi" w:hAnsiTheme="majorBidi" w:cstheme="majorBidi"/>
          <w:sz w:val="24"/>
          <w:szCs w:val="24"/>
          <w:lang w:val="en-US"/>
        </w:rPr>
        <w:t xml:space="preserve"> </w:t>
      </w:r>
      <w:r w:rsidRPr="00950074">
        <w:rPr>
          <w:rFonts w:asciiTheme="majorBidi" w:hAnsiTheme="majorBidi" w:cstheme="majorBidi"/>
          <w:sz w:val="24"/>
          <w:szCs w:val="24"/>
          <w:lang w:val="en-US"/>
        </w:rPr>
        <w:t>compared to the size of the funding needed for reconstruction</w:t>
      </w:r>
      <w:r w:rsidR="00AE76C3">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AE76C3">
        <w:rPr>
          <w:rFonts w:asciiTheme="majorBidi" w:hAnsiTheme="majorBidi" w:cstheme="majorBidi"/>
          <w:sz w:val="24"/>
          <w:szCs w:val="24"/>
          <w:lang w:val="en-US"/>
        </w:rPr>
        <w:t>I</w:t>
      </w:r>
      <w:r w:rsidRPr="00950074">
        <w:rPr>
          <w:rFonts w:asciiTheme="majorBidi" w:hAnsiTheme="majorBidi" w:cstheme="majorBidi"/>
          <w:sz w:val="24"/>
          <w:szCs w:val="24"/>
          <w:lang w:val="en-US"/>
        </w:rPr>
        <w:t xml:space="preserve">t is possible to employ this </w:t>
      </w:r>
      <w:r>
        <w:rPr>
          <w:rFonts w:asciiTheme="majorBidi" w:hAnsiTheme="majorBidi" w:cstheme="majorBidi"/>
          <w:sz w:val="24"/>
          <w:szCs w:val="24"/>
          <w:lang w:val="en-US"/>
        </w:rPr>
        <w:t>part</w:t>
      </w:r>
      <w:r w:rsidRPr="00950074">
        <w:rPr>
          <w:rFonts w:asciiTheme="majorBidi" w:hAnsiTheme="majorBidi" w:cstheme="majorBidi"/>
          <w:sz w:val="24"/>
          <w:szCs w:val="24"/>
          <w:lang w:val="en-US"/>
        </w:rPr>
        <w:t xml:space="preserve"> of deposits in the reconstruction process by </w:t>
      </w:r>
      <w:r>
        <w:rPr>
          <w:rFonts w:asciiTheme="majorBidi" w:hAnsiTheme="majorBidi" w:cstheme="majorBidi"/>
          <w:sz w:val="24"/>
          <w:szCs w:val="24"/>
          <w:lang w:val="en-US"/>
        </w:rPr>
        <w:t>investing in</w:t>
      </w:r>
      <w:r w:rsidRPr="00950074">
        <w:rPr>
          <w:rFonts w:asciiTheme="majorBidi" w:hAnsiTheme="majorBidi" w:cstheme="majorBidi"/>
          <w:sz w:val="24"/>
          <w:szCs w:val="24"/>
          <w:lang w:val="en-US"/>
        </w:rPr>
        <w:t xml:space="preserve"> government bonds or Islamic </w:t>
      </w:r>
      <w:r>
        <w:rPr>
          <w:rFonts w:asciiTheme="majorBidi" w:hAnsiTheme="majorBidi" w:cstheme="majorBidi"/>
          <w:sz w:val="24"/>
          <w:szCs w:val="24"/>
          <w:lang w:val="en-US"/>
        </w:rPr>
        <w:t>Sukuk</w:t>
      </w:r>
      <w:r w:rsidRPr="00950074">
        <w:rPr>
          <w:rFonts w:asciiTheme="majorBidi" w:hAnsiTheme="majorBidi" w:cstheme="majorBidi"/>
          <w:sz w:val="24"/>
          <w:szCs w:val="24"/>
          <w:lang w:val="en-US"/>
        </w:rPr>
        <w:t xml:space="preserve"> or granting long-term loans</w:t>
      </w:r>
      <w:r>
        <w:rPr>
          <w:rFonts w:asciiTheme="majorBidi" w:hAnsiTheme="majorBidi" w:cstheme="majorBidi"/>
          <w:sz w:val="24"/>
          <w:szCs w:val="24"/>
          <w:lang w:val="en-US"/>
        </w:rPr>
        <w:t xml:space="preserve">. Also, it </w:t>
      </w:r>
      <w:r w:rsidRPr="00F611C5">
        <w:rPr>
          <w:rFonts w:asciiTheme="majorBidi" w:hAnsiTheme="majorBidi" w:cstheme="majorBidi"/>
          <w:sz w:val="24"/>
          <w:szCs w:val="24"/>
          <w:lang w:val="en-US"/>
        </w:rPr>
        <w:t xml:space="preserve">should not be ignored </w:t>
      </w:r>
      <w:r>
        <w:rPr>
          <w:rFonts w:asciiTheme="majorBidi" w:hAnsiTheme="majorBidi" w:cstheme="majorBidi"/>
          <w:sz w:val="24"/>
          <w:szCs w:val="24"/>
          <w:lang w:val="en-US"/>
        </w:rPr>
        <w:t>the Syrians</w:t>
      </w:r>
      <w:r w:rsidRPr="00F611C5">
        <w:rPr>
          <w:rFonts w:asciiTheme="majorBidi" w:hAnsiTheme="majorBidi" w:cstheme="majorBidi"/>
          <w:sz w:val="24"/>
          <w:szCs w:val="24"/>
          <w:lang w:val="en-US"/>
        </w:rPr>
        <w:t xml:space="preserve"> deposits in Lebanese banks</w:t>
      </w:r>
      <w:r>
        <w:rPr>
          <w:rFonts w:asciiTheme="majorBidi" w:hAnsiTheme="majorBidi" w:cstheme="majorBidi"/>
          <w:sz w:val="24"/>
          <w:szCs w:val="24"/>
          <w:lang w:val="en-US"/>
        </w:rPr>
        <w:t xml:space="preserve">, </w:t>
      </w:r>
      <w:r w:rsidRPr="00F611C5">
        <w:rPr>
          <w:rFonts w:asciiTheme="majorBidi" w:hAnsiTheme="majorBidi" w:cstheme="majorBidi"/>
          <w:sz w:val="24"/>
          <w:szCs w:val="24"/>
          <w:lang w:val="en-US"/>
        </w:rPr>
        <w:t xml:space="preserve">estimated at </w:t>
      </w:r>
      <w:r>
        <w:rPr>
          <w:rFonts w:asciiTheme="majorBidi" w:hAnsiTheme="majorBidi" w:cstheme="majorBidi"/>
          <w:sz w:val="24"/>
          <w:szCs w:val="24"/>
          <w:lang w:val="en-US"/>
        </w:rPr>
        <w:t>$45</w:t>
      </w:r>
      <w:r w:rsidRPr="00F611C5">
        <w:rPr>
          <w:rFonts w:asciiTheme="majorBidi" w:hAnsiTheme="majorBidi" w:cstheme="majorBidi"/>
          <w:sz w:val="24"/>
          <w:szCs w:val="24"/>
          <w:lang w:val="en-US"/>
        </w:rPr>
        <w:t xml:space="preserve"> </w:t>
      </w:r>
      <w:r>
        <w:rPr>
          <w:rFonts w:asciiTheme="majorBidi" w:hAnsiTheme="majorBidi" w:cstheme="majorBidi"/>
          <w:sz w:val="24"/>
          <w:szCs w:val="24"/>
          <w:lang w:val="en-US"/>
        </w:rPr>
        <w:t>bn</w:t>
      </w:r>
      <w:r w:rsidR="009A6100">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9A6100">
        <w:rPr>
          <w:rFonts w:asciiTheme="majorBidi" w:hAnsiTheme="majorBidi" w:cstheme="majorBidi"/>
          <w:sz w:val="24"/>
          <w:szCs w:val="24"/>
          <w:lang w:val="en-US"/>
        </w:rPr>
        <w:t>O</w:t>
      </w:r>
      <w:r w:rsidRPr="00DA1341">
        <w:rPr>
          <w:rFonts w:asciiTheme="majorBidi" w:hAnsiTheme="majorBidi" w:cstheme="majorBidi"/>
          <w:sz w:val="24"/>
          <w:szCs w:val="24"/>
          <w:lang w:val="en-US"/>
        </w:rPr>
        <w:t xml:space="preserve">nce the situation in Syria stabilizes, a </w:t>
      </w:r>
      <w:r w:rsidR="00880321" w:rsidRPr="00880321">
        <w:rPr>
          <w:rFonts w:asciiTheme="majorBidi" w:hAnsiTheme="majorBidi" w:cstheme="majorBidi"/>
          <w:sz w:val="24"/>
          <w:szCs w:val="24"/>
          <w:lang w:val="en-US"/>
        </w:rPr>
        <w:t>considerable portion</w:t>
      </w:r>
      <w:r w:rsidR="00880321">
        <w:rPr>
          <w:rFonts w:asciiTheme="majorBidi" w:hAnsiTheme="majorBidi" w:cstheme="majorBidi"/>
          <w:sz w:val="24"/>
          <w:szCs w:val="24"/>
          <w:lang w:val="en-US"/>
        </w:rPr>
        <w:t xml:space="preserve"> </w:t>
      </w:r>
      <w:r w:rsidRPr="00DA1341">
        <w:rPr>
          <w:rFonts w:asciiTheme="majorBidi" w:hAnsiTheme="majorBidi" w:cstheme="majorBidi"/>
          <w:sz w:val="24"/>
          <w:szCs w:val="24"/>
          <w:lang w:val="en-US"/>
        </w:rPr>
        <w:t xml:space="preserve">of </w:t>
      </w:r>
      <w:r w:rsidR="00880321">
        <w:rPr>
          <w:rFonts w:asciiTheme="majorBidi" w:hAnsiTheme="majorBidi" w:cstheme="majorBidi"/>
          <w:sz w:val="24"/>
          <w:szCs w:val="24"/>
          <w:lang w:val="en-US"/>
        </w:rPr>
        <w:t>these</w:t>
      </w:r>
      <w:r w:rsidRPr="00DA1341">
        <w:rPr>
          <w:rFonts w:asciiTheme="majorBidi" w:hAnsiTheme="majorBidi" w:cstheme="majorBidi"/>
          <w:sz w:val="24"/>
          <w:szCs w:val="24"/>
          <w:lang w:val="en-US"/>
        </w:rPr>
        <w:t xml:space="preserve"> </w:t>
      </w:r>
      <w:r w:rsidR="00880321" w:rsidRPr="00F611C5">
        <w:rPr>
          <w:rFonts w:asciiTheme="majorBidi" w:hAnsiTheme="majorBidi" w:cstheme="majorBidi"/>
          <w:sz w:val="24"/>
          <w:szCs w:val="24"/>
          <w:lang w:val="en-US"/>
        </w:rPr>
        <w:t xml:space="preserve">deposits </w:t>
      </w:r>
      <w:r w:rsidRPr="00DA1341">
        <w:rPr>
          <w:rFonts w:asciiTheme="majorBidi" w:hAnsiTheme="majorBidi" w:cstheme="majorBidi"/>
          <w:sz w:val="24"/>
          <w:szCs w:val="24"/>
          <w:lang w:val="en-US"/>
        </w:rPr>
        <w:t>will return to Syria</w:t>
      </w:r>
      <w:r>
        <w:rPr>
          <w:rFonts w:asciiTheme="majorBidi" w:hAnsiTheme="majorBidi" w:cstheme="majorBidi"/>
          <w:sz w:val="24"/>
          <w:szCs w:val="24"/>
          <w:lang w:val="en-US"/>
        </w:rPr>
        <w:t>.</w:t>
      </w:r>
    </w:p>
    <w:p w14:paraId="53F083F1" w14:textId="1D8F8B44" w:rsidR="000A4432" w:rsidRPr="005C0440" w:rsidRDefault="00C56FD7" w:rsidP="00422EA0">
      <w:pPr>
        <w:autoSpaceDE w:val="0"/>
        <w:adjustRightInd w:val="0"/>
        <w:spacing w:after="0" w:line="360" w:lineRule="auto"/>
        <w:jc w:val="right"/>
        <w:rPr>
          <w:rFonts w:asciiTheme="majorBidi" w:hAnsiTheme="majorBidi" w:cstheme="majorBidi"/>
          <w:i/>
          <w:iCs/>
          <w:sz w:val="24"/>
          <w:szCs w:val="24"/>
          <w:lang w:val="en-US"/>
        </w:rPr>
      </w:pPr>
      <w:r w:rsidRPr="005C0440">
        <w:rPr>
          <w:rFonts w:asciiTheme="majorBidi" w:hAnsiTheme="majorBidi" w:cstheme="majorBidi"/>
          <w:i/>
          <w:iCs/>
          <w:sz w:val="24"/>
          <w:szCs w:val="24"/>
          <w:lang w:val="en-US"/>
        </w:rPr>
        <w:t xml:space="preserve">Table </w:t>
      </w:r>
      <w:r w:rsidR="005C0440" w:rsidRPr="005C0440">
        <w:rPr>
          <w:rFonts w:asciiTheme="majorBidi" w:hAnsiTheme="majorBidi" w:cstheme="majorBidi"/>
          <w:i/>
          <w:iCs/>
          <w:sz w:val="24"/>
          <w:szCs w:val="24"/>
          <w:lang w:val="en-US"/>
        </w:rPr>
        <w:t>3.2</w:t>
      </w:r>
      <w:r w:rsidRPr="005C0440">
        <w:rPr>
          <w:rFonts w:asciiTheme="majorBidi" w:hAnsiTheme="majorBidi" w:cstheme="majorBidi"/>
          <w:i/>
          <w:iCs/>
          <w:sz w:val="24"/>
          <w:szCs w:val="24"/>
          <w:lang w:val="en-US"/>
        </w:rPr>
        <w:t xml:space="preserve"> </w:t>
      </w:r>
    </w:p>
    <w:p w14:paraId="244CCA4D" w14:textId="7A3A34F9" w:rsidR="00C56FD7" w:rsidRPr="00422EA0" w:rsidRDefault="00C56FD7" w:rsidP="005C0440">
      <w:pPr>
        <w:autoSpaceDE w:val="0"/>
        <w:adjustRightInd w:val="0"/>
        <w:spacing w:line="360" w:lineRule="auto"/>
        <w:jc w:val="center"/>
        <w:rPr>
          <w:rFonts w:asciiTheme="majorBidi" w:hAnsiTheme="majorBidi" w:cstheme="majorBidi"/>
          <w:sz w:val="24"/>
          <w:szCs w:val="24"/>
          <w:lang w:val="en-US"/>
        </w:rPr>
      </w:pPr>
      <w:r w:rsidRPr="00422EA0">
        <w:rPr>
          <w:rFonts w:asciiTheme="majorBidi" w:hAnsiTheme="majorBidi" w:cstheme="majorBidi"/>
          <w:sz w:val="24"/>
          <w:szCs w:val="24"/>
          <w:lang w:val="en-US"/>
        </w:rPr>
        <w:t>Idle funds in the</w:t>
      </w:r>
      <w:r w:rsidR="004406D8">
        <w:rPr>
          <w:rFonts w:asciiTheme="majorBidi" w:hAnsiTheme="majorBidi" w:cstheme="majorBidi"/>
          <w:sz w:val="24"/>
          <w:szCs w:val="24"/>
          <w:lang w:val="en-US"/>
        </w:rPr>
        <w:t xml:space="preserve"> Syrian</w:t>
      </w:r>
      <w:r w:rsidRPr="00422EA0">
        <w:rPr>
          <w:rFonts w:asciiTheme="majorBidi" w:hAnsiTheme="majorBidi" w:cstheme="majorBidi"/>
          <w:sz w:val="24"/>
          <w:szCs w:val="24"/>
          <w:lang w:val="en-US"/>
        </w:rPr>
        <w:t xml:space="preserve"> banking sector until the end of 2018 (SP bn)</w:t>
      </w:r>
    </w:p>
    <w:tbl>
      <w:tblPr>
        <w:tblStyle w:val="TableGrid"/>
        <w:tblW w:w="9675" w:type="dxa"/>
        <w:tblInd w:w="0" w:type="dxa"/>
        <w:tblLayout w:type="fixed"/>
        <w:tblLook w:val="04A0" w:firstRow="1" w:lastRow="0" w:firstColumn="1" w:lastColumn="0" w:noHBand="0" w:noVBand="1"/>
      </w:tblPr>
      <w:tblGrid>
        <w:gridCol w:w="1677"/>
        <w:gridCol w:w="1313"/>
        <w:gridCol w:w="1642"/>
        <w:gridCol w:w="1255"/>
        <w:gridCol w:w="1255"/>
        <w:gridCol w:w="1255"/>
        <w:gridCol w:w="1278"/>
      </w:tblGrid>
      <w:tr w:rsidR="00C56FD7" w14:paraId="188C794E" w14:textId="77777777" w:rsidTr="00AE76C3">
        <w:trPr>
          <w:trHeight w:val="771"/>
        </w:trPr>
        <w:tc>
          <w:tcPr>
            <w:tcW w:w="1677" w:type="dxa"/>
            <w:vAlign w:val="center"/>
          </w:tcPr>
          <w:p w14:paraId="30F99FF9"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p>
        </w:tc>
        <w:tc>
          <w:tcPr>
            <w:tcW w:w="1313" w:type="dxa"/>
            <w:vAlign w:val="center"/>
          </w:tcPr>
          <w:p w14:paraId="737AEF8B"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Deposits</w:t>
            </w:r>
          </w:p>
        </w:tc>
        <w:tc>
          <w:tcPr>
            <w:tcW w:w="1642" w:type="dxa"/>
            <w:vAlign w:val="center"/>
          </w:tcPr>
          <w:p w14:paraId="4E448A67" w14:textId="240B9BC2"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 xml:space="preserve">Reserve </w:t>
            </w:r>
            <w:r w:rsidR="00F960FD">
              <w:rPr>
                <w:rFonts w:asciiTheme="majorBidi" w:hAnsiTheme="majorBidi" w:cstheme="majorBidi"/>
                <w:sz w:val="20"/>
                <w:szCs w:val="20"/>
                <w:lang w:val="en-US"/>
              </w:rPr>
              <w:br/>
            </w:r>
            <w:r w:rsidRPr="00422EA0">
              <w:rPr>
                <w:rFonts w:asciiTheme="majorBidi" w:hAnsiTheme="majorBidi" w:cstheme="majorBidi"/>
                <w:sz w:val="20"/>
                <w:szCs w:val="20"/>
                <w:lang w:val="en-US"/>
              </w:rPr>
              <w:t>requirements</w:t>
            </w:r>
            <w:r w:rsidRPr="00422EA0">
              <w:rPr>
                <w:rStyle w:val="FootnoteReference"/>
                <w:rFonts w:asciiTheme="majorBidi" w:hAnsiTheme="majorBidi" w:cstheme="majorBidi"/>
                <w:sz w:val="20"/>
                <w:szCs w:val="20"/>
                <w:lang w:val="en-US"/>
              </w:rPr>
              <w:footnoteReference w:id="91"/>
            </w:r>
          </w:p>
        </w:tc>
        <w:tc>
          <w:tcPr>
            <w:tcW w:w="1255" w:type="dxa"/>
            <w:vAlign w:val="center"/>
          </w:tcPr>
          <w:p w14:paraId="367E6244"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Lendable funds</w:t>
            </w:r>
          </w:p>
        </w:tc>
        <w:tc>
          <w:tcPr>
            <w:tcW w:w="1255" w:type="dxa"/>
            <w:vAlign w:val="center"/>
          </w:tcPr>
          <w:p w14:paraId="298CA42B"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Credit &amp; loans</w:t>
            </w:r>
          </w:p>
        </w:tc>
        <w:tc>
          <w:tcPr>
            <w:tcW w:w="1255" w:type="dxa"/>
            <w:vAlign w:val="center"/>
          </w:tcPr>
          <w:p w14:paraId="1382DAD1" w14:textId="6C6316E6"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 xml:space="preserve">Financial </w:t>
            </w:r>
            <w:r w:rsidR="00F960FD">
              <w:rPr>
                <w:rFonts w:asciiTheme="majorBidi" w:hAnsiTheme="majorBidi" w:cstheme="majorBidi"/>
                <w:sz w:val="20"/>
                <w:szCs w:val="20"/>
                <w:lang w:val="en-US"/>
              </w:rPr>
              <w:br/>
            </w:r>
            <w:r w:rsidRPr="00422EA0">
              <w:rPr>
                <w:rFonts w:asciiTheme="majorBidi" w:hAnsiTheme="majorBidi" w:cstheme="majorBidi"/>
                <w:sz w:val="20"/>
                <w:szCs w:val="20"/>
                <w:lang w:val="en-US"/>
              </w:rPr>
              <w:t>assets</w:t>
            </w:r>
          </w:p>
        </w:tc>
        <w:tc>
          <w:tcPr>
            <w:tcW w:w="1278" w:type="dxa"/>
            <w:vAlign w:val="center"/>
          </w:tcPr>
          <w:p w14:paraId="1E114B8F"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Idle funds</w:t>
            </w:r>
          </w:p>
        </w:tc>
      </w:tr>
      <w:tr w:rsidR="00C56FD7" w14:paraId="210E65DB" w14:textId="77777777" w:rsidTr="00AE76C3">
        <w:trPr>
          <w:trHeight w:val="429"/>
        </w:trPr>
        <w:tc>
          <w:tcPr>
            <w:tcW w:w="1677" w:type="dxa"/>
            <w:vAlign w:val="center"/>
          </w:tcPr>
          <w:p w14:paraId="60165C55"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Public banks</w:t>
            </w:r>
          </w:p>
        </w:tc>
        <w:tc>
          <w:tcPr>
            <w:tcW w:w="1313" w:type="dxa"/>
            <w:vAlign w:val="center"/>
          </w:tcPr>
          <w:p w14:paraId="54E10F28"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2,460</w:t>
            </w:r>
          </w:p>
        </w:tc>
        <w:tc>
          <w:tcPr>
            <w:tcW w:w="1642" w:type="dxa"/>
            <w:vAlign w:val="center"/>
          </w:tcPr>
          <w:p w14:paraId="590F490C"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123</w:t>
            </w:r>
          </w:p>
        </w:tc>
        <w:tc>
          <w:tcPr>
            <w:tcW w:w="1255" w:type="dxa"/>
            <w:vAlign w:val="center"/>
          </w:tcPr>
          <w:p w14:paraId="3A723131"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2,337</w:t>
            </w:r>
          </w:p>
        </w:tc>
        <w:tc>
          <w:tcPr>
            <w:tcW w:w="1255" w:type="dxa"/>
            <w:vAlign w:val="center"/>
          </w:tcPr>
          <w:p w14:paraId="49D60ADA"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1,517</w:t>
            </w:r>
          </w:p>
        </w:tc>
        <w:tc>
          <w:tcPr>
            <w:tcW w:w="1255" w:type="dxa"/>
            <w:vAlign w:val="center"/>
          </w:tcPr>
          <w:p w14:paraId="336B362C"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0</w:t>
            </w:r>
          </w:p>
        </w:tc>
        <w:tc>
          <w:tcPr>
            <w:tcW w:w="1278" w:type="dxa"/>
            <w:vAlign w:val="center"/>
          </w:tcPr>
          <w:p w14:paraId="3309FBD2"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820</w:t>
            </w:r>
          </w:p>
        </w:tc>
      </w:tr>
      <w:tr w:rsidR="00C56FD7" w14:paraId="348013C5" w14:textId="77777777" w:rsidTr="00AE76C3">
        <w:trPr>
          <w:trHeight w:val="429"/>
        </w:trPr>
        <w:tc>
          <w:tcPr>
            <w:tcW w:w="1677" w:type="dxa"/>
            <w:vAlign w:val="center"/>
          </w:tcPr>
          <w:p w14:paraId="40664FBC"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Private banks</w:t>
            </w:r>
          </w:p>
        </w:tc>
        <w:tc>
          <w:tcPr>
            <w:tcW w:w="1313" w:type="dxa"/>
            <w:vAlign w:val="center"/>
          </w:tcPr>
          <w:p w14:paraId="300DBC95"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951.02</w:t>
            </w:r>
          </w:p>
        </w:tc>
        <w:tc>
          <w:tcPr>
            <w:tcW w:w="1642" w:type="dxa"/>
            <w:vAlign w:val="center"/>
          </w:tcPr>
          <w:p w14:paraId="1A087F71"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47.55</w:t>
            </w:r>
          </w:p>
        </w:tc>
        <w:tc>
          <w:tcPr>
            <w:tcW w:w="1255" w:type="dxa"/>
            <w:vAlign w:val="center"/>
          </w:tcPr>
          <w:p w14:paraId="530DC753"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903.47</w:t>
            </w:r>
          </w:p>
        </w:tc>
        <w:tc>
          <w:tcPr>
            <w:tcW w:w="1255" w:type="dxa"/>
            <w:vAlign w:val="center"/>
          </w:tcPr>
          <w:p w14:paraId="52A49A9C"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222.09</w:t>
            </w:r>
          </w:p>
        </w:tc>
        <w:tc>
          <w:tcPr>
            <w:tcW w:w="1255" w:type="dxa"/>
            <w:vAlign w:val="center"/>
          </w:tcPr>
          <w:p w14:paraId="0FCC3C40"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30.73</w:t>
            </w:r>
          </w:p>
        </w:tc>
        <w:tc>
          <w:tcPr>
            <w:tcW w:w="1278" w:type="dxa"/>
            <w:vAlign w:val="center"/>
          </w:tcPr>
          <w:p w14:paraId="2930141B"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650.66</w:t>
            </w:r>
          </w:p>
        </w:tc>
      </w:tr>
      <w:tr w:rsidR="00C56FD7" w14:paraId="608BC8CD" w14:textId="77777777" w:rsidTr="00AE76C3">
        <w:trPr>
          <w:trHeight w:val="429"/>
        </w:trPr>
        <w:tc>
          <w:tcPr>
            <w:tcW w:w="1677" w:type="dxa"/>
            <w:vAlign w:val="center"/>
          </w:tcPr>
          <w:p w14:paraId="30833CBE"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Islamic banks</w:t>
            </w:r>
          </w:p>
        </w:tc>
        <w:tc>
          <w:tcPr>
            <w:tcW w:w="1313" w:type="dxa"/>
            <w:vAlign w:val="center"/>
          </w:tcPr>
          <w:p w14:paraId="35BE0623"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488.60</w:t>
            </w:r>
          </w:p>
        </w:tc>
        <w:tc>
          <w:tcPr>
            <w:tcW w:w="1642" w:type="dxa"/>
            <w:vAlign w:val="center"/>
          </w:tcPr>
          <w:p w14:paraId="55FE40A2"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24.43</w:t>
            </w:r>
          </w:p>
        </w:tc>
        <w:tc>
          <w:tcPr>
            <w:tcW w:w="1255" w:type="dxa"/>
            <w:vAlign w:val="center"/>
          </w:tcPr>
          <w:p w14:paraId="1602717A"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464.17</w:t>
            </w:r>
          </w:p>
        </w:tc>
        <w:tc>
          <w:tcPr>
            <w:tcW w:w="1255" w:type="dxa"/>
            <w:vAlign w:val="center"/>
          </w:tcPr>
          <w:p w14:paraId="76C81B00"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207.30</w:t>
            </w:r>
          </w:p>
        </w:tc>
        <w:tc>
          <w:tcPr>
            <w:tcW w:w="1255" w:type="dxa"/>
            <w:vAlign w:val="center"/>
          </w:tcPr>
          <w:p w14:paraId="75C0CC5A"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3.10</w:t>
            </w:r>
          </w:p>
        </w:tc>
        <w:tc>
          <w:tcPr>
            <w:tcW w:w="1278" w:type="dxa"/>
            <w:vAlign w:val="center"/>
          </w:tcPr>
          <w:p w14:paraId="006C948E"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253.77</w:t>
            </w:r>
          </w:p>
        </w:tc>
      </w:tr>
      <w:tr w:rsidR="00C56FD7" w14:paraId="5A46F6D6" w14:textId="77777777" w:rsidTr="00AE76C3">
        <w:trPr>
          <w:trHeight w:val="429"/>
        </w:trPr>
        <w:tc>
          <w:tcPr>
            <w:tcW w:w="1677" w:type="dxa"/>
            <w:vAlign w:val="center"/>
          </w:tcPr>
          <w:p w14:paraId="6DA349AC"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Total</w:t>
            </w:r>
          </w:p>
        </w:tc>
        <w:tc>
          <w:tcPr>
            <w:tcW w:w="1313" w:type="dxa"/>
            <w:vAlign w:val="center"/>
          </w:tcPr>
          <w:p w14:paraId="2C4E31B0"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3,900</w:t>
            </w:r>
          </w:p>
        </w:tc>
        <w:tc>
          <w:tcPr>
            <w:tcW w:w="1642" w:type="dxa"/>
            <w:vAlign w:val="center"/>
          </w:tcPr>
          <w:p w14:paraId="4ED4FD7C"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195</w:t>
            </w:r>
          </w:p>
        </w:tc>
        <w:tc>
          <w:tcPr>
            <w:tcW w:w="1255" w:type="dxa"/>
            <w:vAlign w:val="center"/>
          </w:tcPr>
          <w:p w14:paraId="5C0D6200"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3,705</w:t>
            </w:r>
          </w:p>
        </w:tc>
        <w:tc>
          <w:tcPr>
            <w:tcW w:w="1255" w:type="dxa"/>
            <w:vAlign w:val="center"/>
          </w:tcPr>
          <w:p w14:paraId="08757FAE"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1,946</w:t>
            </w:r>
          </w:p>
        </w:tc>
        <w:tc>
          <w:tcPr>
            <w:tcW w:w="1255" w:type="dxa"/>
            <w:vAlign w:val="center"/>
          </w:tcPr>
          <w:p w14:paraId="1EAFFC59"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34</w:t>
            </w:r>
          </w:p>
        </w:tc>
        <w:tc>
          <w:tcPr>
            <w:tcW w:w="1278" w:type="dxa"/>
            <w:vAlign w:val="center"/>
          </w:tcPr>
          <w:p w14:paraId="60709668" w14:textId="77777777" w:rsidR="00C56FD7" w:rsidRPr="00422EA0" w:rsidRDefault="00C56FD7" w:rsidP="00C56FD7">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1,724</w:t>
            </w:r>
          </w:p>
        </w:tc>
      </w:tr>
    </w:tbl>
    <w:p w14:paraId="019EB4B0" w14:textId="7EA0BC90" w:rsidR="00074BC4" w:rsidRPr="00DE0F81" w:rsidRDefault="00074BC4" w:rsidP="005C0440">
      <w:pPr>
        <w:autoSpaceDE w:val="0"/>
        <w:adjustRightInd w:val="0"/>
        <w:spacing w:before="240" w:line="360" w:lineRule="auto"/>
        <w:jc w:val="both"/>
        <w:rPr>
          <w:rFonts w:asciiTheme="majorBidi" w:hAnsiTheme="majorBidi" w:cstheme="majorBidi"/>
          <w:sz w:val="24"/>
          <w:szCs w:val="24"/>
          <w:lang w:val="en-US"/>
        </w:rPr>
      </w:pPr>
      <w:r w:rsidRPr="002746BC">
        <w:rPr>
          <w:rFonts w:ascii="Times New Roman" w:hAnsi="Times New Roman" w:cs="Times New Roman"/>
          <w:i/>
          <w:iCs/>
          <w:lang w:val="en-US"/>
        </w:rPr>
        <w:t xml:space="preserve">Source: </w:t>
      </w:r>
      <w:r w:rsidR="00520E56" w:rsidRPr="00DE0F81">
        <w:rPr>
          <w:rFonts w:ascii="Times New Roman" w:hAnsi="Times New Roman" w:cs="Times New Roman"/>
          <w:lang w:val="en-US"/>
        </w:rPr>
        <w:t>author's calculation</w:t>
      </w:r>
      <w:r w:rsidR="00520E56">
        <w:rPr>
          <w:rFonts w:ascii="Times New Roman" w:hAnsi="Times New Roman" w:cs="Times New Roman"/>
          <w:lang w:val="en-US"/>
        </w:rPr>
        <w:t xml:space="preserve"> </w:t>
      </w:r>
      <w:r w:rsidR="00520E56" w:rsidRPr="00DE0F81">
        <w:rPr>
          <w:rFonts w:ascii="Times New Roman" w:hAnsi="Times New Roman" w:cs="Times New Roman"/>
          <w:lang w:val="en-US"/>
        </w:rPr>
        <w:t>according to</w:t>
      </w:r>
      <w:r w:rsidR="00520E56" w:rsidRPr="00520E56">
        <w:t xml:space="preserve"> </w:t>
      </w:r>
      <w:r w:rsidR="00520E56" w:rsidRPr="00520E56">
        <w:rPr>
          <w:rFonts w:ascii="Times New Roman" w:hAnsi="Times New Roman" w:cs="Times New Roman"/>
          <w:lang w:val="en-US"/>
        </w:rPr>
        <w:t>the Syrian Central Bank data</w:t>
      </w:r>
      <w:r w:rsidR="00520E56">
        <w:rPr>
          <w:rFonts w:ascii="Times New Roman" w:hAnsi="Times New Roman" w:cs="Times New Roman"/>
          <w:lang w:val="en-US"/>
        </w:rPr>
        <w:t>.</w:t>
      </w:r>
      <w:r w:rsidR="00A801BA" w:rsidRPr="00E11ACC">
        <w:rPr>
          <w:rFonts w:ascii="Times New Roman" w:hAnsi="Times New Roman" w:cs="Times New Roman"/>
          <w:lang w:val="en-US"/>
        </w:rPr>
        <w:t xml:space="preserve"> </w:t>
      </w:r>
      <w:r w:rsidR="00A801BA" w:rsidRPr="00A801BA">
        <w:rPr>
          <w:rFonts w:ascii="Times New Roman" w:hAnsi="Times New Roman" w:cs="Times New Roman"/>
          <w:lang w:val="en-US"/>
        </w:rPr>
        <w:t>(</w:t>
      </w:r>
      <w:r w:rsidR="00E11ACC" w:rsidRPr="00E11ACC">
        <w:rPr>
          <w:rFonts w:ascii="Times New Roman" w:hAnsi="Times New Roman" w:cs="Times New Roman"/>
          <w:lang w:val="en-US"/>
        </w:rPr>
        <w:t xml:space="preserve">for details </w:t>
      </w:r>
      <w:r w:rsidR="00A801BA" w:rsidRPr="00A801BA">
        <w:rPr>
          <w:rFonts w:ascii="Times New Roman" w:hAnsi="Times New Roman" w:cs="Times New Roman"/>
          <w:lang w:val="en-US"/>
        </w:rPr>
        <w:t xml:space="preserve">see appendix </w:t>
      </w:r>
      <w:r w:rsidR="00A801BA">
        <w:rPr>
          <w:rFonts w:ascii="Times New Roman" w:hAnsi="Times New Roman" w:cs="Times New Roman"/>
          <w:lang w:val="en-US"/>
        </w:rPr>
        <w:t>4</w:t>
      </w:r>
      <w:r w:rsidR="00A801BA" w:rsidRPr="00A801BA">
        <w:rPr>
          <w:rFonts w:ascii="Times New Roman" w:hAnsi="Times New Roman" w:cs="Times New Roman"/>
          <w:lang w:val="en-US"/>
        </w:rPr>
        <w:t>)</w:t>
      </w:r>
      <w:r w:rsidR="00A801BA">
        <w:rPr>
          <w:rFonts w:ascii="Times New Roman" w:hAnsi="Times New Roman" w:cs="Times New Roman"/>
          <w:lang w:val="en-US"/>
        </w:rPr>
        <w:t>.</w:t>
      </w:r>
    </w:p>
    <w:p w14:paraId="66EBA0A5" w14:textId="18F2EBA4"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B77C6F">
        <w:rPr>
          <w:rFonts w:asciiTheme="majorBidi" w:hAnsiTheme="majorBidi" w:cstheme="majorBidi"/>
          <w:sz w:val="24"/>
          <w:szCs w:val="24"/>
          <w:lang w:val="en-US"/>
        </w:rPr>
        <w:t>It is worth mentioning</w:t>
      </w:r>
      <w:r>
        <w:rPr>
          <w:rFonts w:asciiTheme="majorBidi" w:hAnsiTheme="majorBidi" w:cstheme="majorBidi"/>
          <w:sz w:val="24"/>
          <w:szCs w:val="24"/>
          <w:lang w:val="en-US"/>
        </w:rPr>
        <w:t xml:space="preserve"> </w:t>
      </w:r>
      <w:r w:rsidRPr="00B77C6F">
        <w:rPr>
          <w:rFonts w:asciiTheme="majorBidi" w:hAnsiTheme="majorBidi" w:cstheme="majorBidi"/>
          <w:sz w:val="24"/>
          <w:szCs w:val="24"/>
          <w:lang w:val="en-US"/>
        </w:rPr>
        <w:t>that the Ministry of Finance issued treasury bills and bonds in 2010 to finance the deficit, the size of the subscription by the banks</w:t>
      </w:r>
      <w:r>
        <w:rPr>
          <w:rFonts w:asciiTheme="majorBidi" w:hAnsiTheme="majorBidi" w:cstheme="majorBidi"/>
          <w:sz w:val="24"/>
          <w:szCs w:val="24"/>
          <w:lang w:val="en-US"/>
        </w:rPr>
        <w:t xml:space="preserve"> </w:t>
      </w:r>
      <w:r w:rsidRPr="00B77C6F">
        <w:rPr>
          <w:rFonts w:asciiTheme="majorBidi" w:hAnsiTheme="majorBidi" w:cstheme="majorBidi"/>
          <w:sz w:val="24"/>
          <w:szCs w:val="24"/>
          <w:lang w:val="en-US"/>
        </w:rPr>
        <w:t xml:space="preserve">amounted to about </w:t>
      </w:r>
      <w:r>
        <w:rPr>
          <w:rFonts w:asciiTheme="majorBidi" w:hAnsiTheme="majorBidi" w:cstheme="majorBidi"/>
          <w:sz w:val="24"/>
          <w:szCs w:val="24"/>
          <w:lang w:val="en-US"/>
        </w:rPr>
        <w:t xml:space="preserve">SP </w:t>
      </w:r>
      <w:r w:rsidRPr="00B77C6F">
        <w:rPr>
          <w:rFonts w:asciiTheme="majorBidi" w:hAnsiTheme="majorBidi" w:cstheme="majorBidi"/>
          <w:sz w:val="24"/>
          <w:szCs w:val="24"/>
          <w:lang w:val="en-US"/>
        </w:rPr>
        <w:t>7</w:t>
      </w:r>
      <w:r>
        <w:rPr>
          <w:rFonts w:asciiTheme="majorBidi" w:hAnsiTheme="majorBidi" w:cstheme="majorBidi"/>
          <w:sz w:val="24"/>
          <w:szCs w:val="24"/>
          <w:lang w:val="en-US"/>
        </w:rPr>
        <w:t>.3</w:t>
      </w:r>
      <w:r w:rsidRPr="00B77C6F">
        <w:rPr>
          <w:rFonts w:asciiTheme="majorBidi" w:hAnsiTheme="majorBidi" w:cstheme="majorBidi"/>
          <w:sz w:val="24"/>
          <w:szCs w:val="24"/>
          <w:lang w:val="en-US"/>
        </w:rPr>
        <w:t xml:space="preserve"> </w:t>
      </w:r>
      <w:r>
        <w:rPr>
          <w:rFonts w:asciiTheme="majorBidi" w:hAnsiTheme="majorBidi" w:cstheme="majorBidi"/>
          <w:sz w:val="24"/>
          <w:szCs w:val="24"/>
          <w:lang w:val="en-US"/>
        </w:rPr>
        <w:t>bn</w:t>
      </w:r>
      <w:r w:rsidRPr="00B77C6F">
        <w:rPr>
          <w:rFonts w:asciiTheme="majorBidi" w:hAnsiTheme="majorBidi" w:cstheme="majorBidi"/>
          <w:sz w:val="24"/>
          <w:szCs w:val="24"/>
          <w:lang w:val="en-US"/>
        </w:rPr>
        <w:t xml:space="preserve"> (equivalent to $154 million), and all of these securities were </w:t>
      </w:r>
      <w:r>
        <w:rPr>
          <w:rFonts w:asciiTheme="majorBidi" w:hAnsiTheme="majorBidi" w:cstheme="majorBidi"/>
          <w:sz w:val="24"/>
          <w:szCs w:val="24"/>
          <w:lang w:val="en-US"/>
        </w:rPr>
        <w:t xml:space="preserve">fully </w:t>
      </w:r>
      <w:r w:rsidRPr="00B77C6F">
        <w:rPr>
          <w:rFonts w:asciiTheme="majorBidi" w:hAnsiTheme="majorBidi" w:cstheme="majorBidi"/>
          <w:sz w:val="24"/>
          <w:szCs w:val="24"/>
          <w:lang w:val="en-US"/>
        </w:rPr>
        <w:t>due at the end of 2015.</w:t>
      </w:r>
      <w:r>
        <w:rPr>
          <w:rFonts w:asciiTheme="majorBidi" w:hAnsiTheme="majorBidi" w:cstheme="majorBidi"/>
          <w:sz w:val="24"/>
          <w:szCs w:val="24"/>
          <w:lang w:val="en-US"/>
        </w:rPr>
        <w:t xml:space="preserve"> </w:t>
      </w:r>
      <w:r w:rsidR="00C42BED" w:rsidRPr="00C42BED">
        <w:rPr>
          <w:rFonts w:asciiTheme="majorBidi" w:hAnsiTheme="majorBidi" w:cstheme="majorBidi"/>
          <w:sz w:val="24"/>
          <w:szCs w:val="24"/>
          <w:lang w:val="en-US"/>
        </w:rPr>
        <w:t>Nevertheless, the internal borrowing experience through the issuance of government bonds cannot be considered a successful experience, as it was limited to issuance without trading these bonds in the secondary market</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92"/>
      </w:r>
    </w:p>
    <w:p w14:paraId="787EC0F7" w14:textId="77777777" w:rsidR="00C56FD7" w:rsidRDefault="00C56FD7" w:rsidP="00634054">
      <w:pPr>
        <w:pStyle w:val="ListParagraph"/>
        <w:numPr>
          <w:ilvl w:val="0"/>
          <w:numId w:val="24"/>
        </w:numPr>
        <w:suppressAutoHyphens/>
        <w:autoSpaceDE w:val="0"/>
        <w:adjustRightInd w:val="0"/>
        <w:spacing w:before="240"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External</w:t>
      </w:r>
      <w:r w:rsidRPr="001101F4">
        <w:rPr>
          <w:rFonts w:asciiTheme="majorBidi" w:hAnsiTheme="majorBidi" w:cstheme="majorBidi"/>
          <w:b/>
          <w:bCs/>
          <w:sz w:val="24"/>
          <w:szCs w:val="24"/>
          <w:lang w:val="en-US"/>
        </w:rPr>
        <w:t xml:space="preserve"> sources</w:t>
      </w:r>
    </w:p>
    <w:p w14:paraId="31BDBA91" w14:textId="3365481A"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591579">
        <w:rPr>
          <w:rFonts w:asciiTheme="majorBidi" w:hAnsiTheme="majorBidi" w:cstheme="majorBidi"/>
          <w:sz w:val="24"/>
          <w:szCs w:val="24"/>
          <w:lang w:val="en-US"/>
        </w:rPr>
        <w:t xml:space="preserve">External sources of financing are needed, as domestic sources and savings are unable to provide sufficient </w:t>
      </w:r>
      <w:r w:rsidRPr="005903AE">
        <w:rPr>
          <w:rFonts w:asciiTheme="majorBidi" w:hAnsiTheme="majorBidi" w:cstheme="majorBidi"/>
          <w:sz w:val="24"/>
          <w:szCs w:val="24"/>
          <w:lang w:val="en-US"/>
        </w:rPr>
        <w:t>funding to pay the reconstruction bill. Foreign loans,</w:t>
      </w:r>
      <w:r w:rsidRPr="005903AE">
        <w:t xml:space="preserve"> </w:t>
      </w:r>
      <w:r w:rsidRPr="005903AE">
        <w:rPr>
          <w:rFonts w:asciiTheme="majorBidi" w:hAnsiTheme="majorBidi" w:cstheme="majorBidi"/>
          <w:sz w:val="24"/>
          <w:szCs w:val="24"/>
          <w:lang w:val="en-US"/>
        </w:rPr>
        <w:t>transfers from expatriates and workers abroad, foreign investments, international grants and subsidies, and the Syrian capital abroad are the most important sources of external financing.</w:t>
      </w:r>
    </w:p>
    <w:p w14:paraId="56AB29D0" w14:textId="77777777" w:rsidR="00C56FD7" w:rsidRDefault="00C56FD7" w:rsidP="00634054">
      <w:pPr>
        <w:pStyle w:val="ListParagraph"/>
        <w:numPr>
          <w:ilvl w:val="0"/>
          <w:numId w:val="26"/>
        </w:numPr>
        <w:suppressAutoHyphens/>
        <w:autoSpaceDE w:val="0"/>
        <w:adjustRightInd w:val="0"/>
        <w:spacing w:before="240"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t>T</w:t>
      </w:r>
      <w:r w:rsidRPr="00A14E07">
        <w:rPr>
          <w:rFonts w:asciiTheme="majorBidi" w:hAnsiTheme="majorBidi" w:cstheme="majorBidi"/>
          <w:b/>
          <w:bCs/>
          <w:sz w:val="24"/>
          <w:szCs w:val="24"/>
          <w:lang w:val="en-US"/>
        </w:rPr>
        <w:t>ransfers from expatriates and workers abroad</w:t>
      </w:r>
    </w:p>
    <w:p w14:paraId="7F6FE1EE" w14:textId="362E05DC" w:rsidR="00C56FD7" w:rsidRPr="00591579" w:rsidRDefault="00F266B9"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F266B9">
        <w:rPr>
          <w:rFonts w:asciiTheme="majorBidi" w:hAnsiTheme="majorBidi" w:cstheme="majorBidi"/>
          <w:sz w:val="24"/>
          <w:szCs w:val="24"/>
          <w:lang w:val="en-US"/>
        </w:rPr>
        <w:t xml:space="preserve">Remittances are an effective and contributing tool in improving development indicators and recipient countries' economies if the appropriate environment exists. </w:t>
      </w:r>
      <w:r w:rsidR="00C56FD7" w:rsidRPr="00A14E07">
        <w:rPr>
          <w:rFonts w:asciiTheme="majorBidi" w:hAnsiTheme="majorBidi" w:cstheme="majorBidi"/>
          <w:sz w:val="24"/>
          <w:szCs w:val="24"/>
          <w:lang w:val="en-US"/>
        </w:rPr>
        <w:t xml:space="preserve">The balance of </w:t>
      </w:r>
      <w:r w:rsidR="00C56FD7">
        <w:rPr>
          <w:rFonts w:asciiTheme="majorBidi" w:hAnsiTheme="majorBidi" w:cstheme="majorBidi"/>
          <w:sz w:val="24"/>
          <w:szCs w:val="24"/>
          <w:lang w:val="en-US"/>
        </w:rPr>
        <w:t>net</w:t>
      </w:r>
      <w:r w:rsidR="00C56FD7" w:rsidRPr="00A14E07">
        <w:rPr>
          <w:rFonts w:asciiTheme="majorBidi" w:hAnsiTheme="majorBidi" w:cstheme="majorBidi"/>
          <w:sz w:val="24"/>
          <w:szCs w:val="24"/>
          <w:lang w:val="en-US"/>
        </w:rPr>
        <w:t xml:space="preserve"> transfers</w:t>
      </w:r>
      <w:r w:rsidR="0077271F">
        <w:rPr>
          <w:rFonts w:asciiTheme="majorBidi" w:hAnsiTheme="majorBidi" w:cstheme="majorBidi"/>
          <w:sz w:val="24"/>
          <w:szCs w:val="24"/>
          <w:lang w:val="en-US"/>
        </w:rPr>
        <w:t xml:space="preserve"> in Syria</w:t>
      </w:r>
      <w:r w:rsidR="00C56FD7" w:rsidRPr="00A14E07">
        <w:rPr>
          <w:rFonts w:asciiTheme="majorBidi" w:hAnsiTheme="majorBidi" w:cstheme="majorBidi"/>
          <w:sz w:val="24"/>
          <w:szCs w:val="24"/>
          <w:lang w:val="en-US"/>
        </w:rPr>
        <w:t xml:space="preserve"> enjoyed a surplus throughout the period 2000-2017</w:t>
      </w:r>
      <w:r w:rsidR="00C36818">
        <w:rPr>
          <w:rFonts w:asciiTheme="majorBidi" w:hAnsiTheme="majorBidi" w:cstheme="majorBidi"/>
          <w:sz w:val="24"/>
          <w:szCs w:val="24"/>
          <w:lang w:val="en-US"/>
        </w:rPr>
        <w:t>;</w:t>
      </w:r>
      <w:r w:rsidR="00C56FD7">
        <w:rPr>
          <w:rFonts w:asciiTheme="majorBidi" w:hAnsiTheme="majorBidi" w:cstheme="majorBidi"/>
          <w:sz w:val="24"/>
          <w:szCs w:val="24"/>
          <w:lang w:val="en-US"/>
        </w:rPr>
        <w:t xml:space="preserve"> t</w:t>
      </w:r>
      <w:r w:rsidR="00C56FD7" w:rsidRPr="00DD5A88">
        <w:rPr>
          <w:rFonts w:asciiTheme="majorBidi" w:hAnsiTheme="majorBidi" w:cstheme="majorBidi"/>
          <w:sz w:val="24"/>
          <w:szCs w:val="24"/>
          <w:lang w:val="en-US"/>
        </w:rPr>
        <w:t xml:space="preserve">hese transfers have a </w:t>
      </w:r>
      <w:r w:rsidR="00C56FD7">
        <w:rPr>
          <w:rFonts w:asciiTheme="majorBidi" w:hAnsiTheme="majorBidi" w:cstheme="majorBidi"/>
          <w:sz w:val="24"/>
          <w:szCs w:val="24"/>
          <w:lang w:val="en-US"/>
        </w:rPr>
        <w:t>significant</w:t>
      </w:r>
      <w:r w:rsidR="00C56FD7" w:rsidRPr="00DD5A88">
        <w:rPr>
          <w:rFonts w:asciiTheme="majorBidi" w:hAnsiTheme="majorBidi" w:cstheme="majorBidi"/>
          <w:sz w:val="24"/>
          <w:szCs w:val="24"/>
          <w:lang w:val="en-US"/>
        </w:rPr>
        <w:t xml:space="preserve"> role in providing foreign exchange and reducing the deficit in the balance of payments</w:t>
      </w:r>
      <w:r w:rsidR="00C56FD7">
        <w:rPr>
          <w:rFonts w:asciiTheme="majorBidi" w:hAnsiTheme="majorBidi" w:cstheme="majorBidi"/>
          <w:sz w:val="24"/>
          <w:szCs w:val="24"/>
          <w:lang w:val="en-US"/>
        </w:rPr>
        <w:t xml:space="preserve">. </w:t>
      </w:r>
      <w:r w:rsidR="00C56FD7" w:rsidRPr="00DD5A88">
        <w:rPr>
          <w:rFonts w:asciiTheme="majorBidi" w:hAnsiTheme="majorBidi" w:cstheme="majorBidi"/>
          <w:sz w:val="24"/>
          <w:szCs w:val="24"/>
          <w:lang w:val="en-US"/>
        </w:rPr>
        <w:t>We note</w:t>
      </w:r>
      <w:r w:rsidR="00C56FD7">
        <w:rPr>
          <w:rFonts w:asciiTheme="majorBidi" w:hAnsiTheme="majorBidi" w:cstheme="majorBidi"/>
          <w:sz w:val="24"/>
          <w:szCs w:val="24"/>
          <w:lang w:val="en-US"/>
        </w:rPr>
        <w:t xml:space="preserve"> </w:t>
      </w:r>
      <w:r w:rsidR="00C56FD7" w:rsidRPr="00A25C55">
        <w:rPr>
          <w:rFonts w:asciiTheme="majorBidi" w:hAnsiTheme="majorBidi" w:cstheme="majorBidi"/>
          <w:sz w:val="24"/>
          <w:szCs w:val="24"/>
          <w:lang w:val="en-US"/>
        </w:rPr>
        <w:t xml:space="preserve">from </w:t>
      </w:r>
      <w:r w:rsidR="00C56FD7" w:rsidRPr="00A25C55">
        <w:rPr>
          <w:rFonts w:asciiTheme="majorBidi" w:hAnsiTheme="majorBidi" w:cstheme="majorBidi"/>
          <w:i/>
          <w:iCs/>
          <w:sz w:val="24"/>
          <w:szCs w:val="24"/>
          <w:lang w:val="en-US"/>
        </w:rPr>
        <w:t xml:space="preserve">Fig. </w:t>
      </w:r>
      <w:r w:rsidR="00575BFA">
        <w:rPr>
          <w:rFonts w:asciiTheme="majorBidi" w:hAnsiTheme="majorBidi" w:cstheme="majorBidi"/>
          <w:i/>
          <w:iCs/>
          <w:sz w:val="24"/>
          <w:szCs w:val="24"/>
          <w:lang w:val="en-US"/>
        </w:rPr>
        <w:t>3.6</w:t>
      </w:r>
      <w:r w:rsidR="00C56FD7" w:rsidRPr="00A25C55">
        <w:rPr>
          <w:rFonts w:asciiTheme="majorBidi" w:hAnsiTheme="majorBidi" w:cstheme="majorBidi"/>
          <w:sz w:val="24"/>
          <w:szCs w:val="24"/>
          <w:lang w:val="en-US"/>
        </w:rPr>
        <w:t xml:space="preserve"> t</w:t>
      </w:r>
      <w:r w:rsidR="00C56FD7" w:rsidRPr="00DD5A88">
        <w:rPr>
          <w:rFonts w:asciiTheme="majorBidi" w:hAnsiTheme="majorBidi" w:cstheme="majorBidi"/>
          <w:sz w:val="24"/>
          <w:szCs w:val="24"/>
          <w:lang w:val="en-US"/>
        </w:rPr>
        <w:t xml:space="preserve">he increase in the volume of </w:t>
      </w:r>
      <w:r w:rsidR="00C56FD7">
        <w:rPr>
          <w:rFonts w:asciiTheme="majorBidi" w:hAnsiTheme="majorBidi" w:cstheme="majorBidi"/>
          <w:sz w:val="24"/>
          <w:szCs w:val="24"/>
          <w:lang w:val="en-US"/>
        </w:rPr>
        <w:t xml:space="preserve">net </w:t>
      </w:r>
      <w:r w:rsidR="00C56FD7" w:rsidRPr="00DD5A88">
        <w:rPr>
          <w:rFonts w:asciiTheme="majorBidi" w:hAnsiTheme="majorBidi" w:cstheme="majorBidi"/>
          <w:sz w:val="24"/>
          <w:szCs w:val="24"/>
          <w:lang w:val="en-US"/>
        </w:rPr>
        <w:t xml:space="preserve">transfers due to the high number of Syrian expatriates </w:t>
      </w:r>
      <w:r w:rsidR="00C56FD7">
        <w:rPr>
          <w:rFonts w:asciiTheme="majorBidi" w:hAnsiTheme="majorBidi" w:cstheme="majorBidi"/>
          <w:sz w:val="24"/>
          <w:szCs w:val="24"/>
          <w:lang w:val="en-US"/>
        </w:rPr>
        <w:t>after</w:t>
      </w:r>
      <w:r w:rsidR="00C56FD7" w:rsidRPr="00DD5A88">
        <w:rPr>
          <w:rFonts w:asciiTheme="majorBidi" w:hAnsiTheme="majorBidi" w:cstheme="majorBidi"/>
          <w:sz w:val="24"/>
          <w:szCs w:val="24"/>
          <w:lang w:val="en-US"/>
        </w:rPr>
        <w:t xml:space="preserve"> the crisis</w:t>
      </w:r>
      <w:r w:rsidR="00C56FD7">
        <w:rPr>
          <w:rFonts w:asciiTheme="majorBidi" w:hAnsiTheme="majorBidi" w:cstheme="majorBidi"/>
          <w:sz w:val="24"/>
          <w:szCs w:val="24"/>
          <w:lang w:val="en-US"/>
        </w:rPr>
        <w:t>.</w:t>
      </w:r>
    </w:p>
    <w:p w14:paraId="4EC774F3" w14:textId="77777777" w:rsidR="00A25C55" w:rsidRDefault="00C56FD7" w:rsidP="00A578CA">
      <w:pPr>
        <w:keepNext/>
        <w:tabs>
          <w:tab w:val="left" w:pos="5067"/>
        </w:tabs>
        <w:bidi/>
        <w:jc w:val="right"/>
      </w:pPr>
      <w:r>
        <w:rPr>
          <w:noProof/>
        </w:rPr>
        <w:drawing>
          <wp:inline distT="0" distB="0" distL="0" distR="0" wp14:anchorId="713EF5CF" wp14:editId="378D6DD6">
            <wp:extent cx="6057900" cy="3230880"/>
            <wp:effectExtent l="0" t="0" r="0" b="7620"/>
            <wp:docPr id="13" name="Chart 13">
              <a:extLst xmlns:a="http://schemas.openxmlformats.org/drawingml/2006/main">
                <a:ext uri="{FF2B5EF4-FFF2-40B4-BE49-F238E27FC236}">
                  <a16:creationId xmlns:a16="http://schemas.microsoft.com/office/drawing/2014/main" id="{40D037FA-BB38-44B7-91F5-3BAF427AD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85E52D" w14:textId="2FF900C0" w:rsidR="00C56FD7" w:rsidRPr="00A25C55" w:rsidRDefault="00A25C55" w:rsidP="00A25C55">
      <w:pPr>
        <w:autoSpaceDE w:val="0"/>
        <w:adjustRightInd w:val="0"/>
        <w:spacing w:after="0" w:line="360" w:lineRule="auto"/>
        <w:jc w:val="both"/>
        <w:rPr>
          <w:rFonts w:asciiTheme="majorBidi" w:hAnsiTheme="majorBidi" w:cstheme="majorBidi"/>
          <w:sz w:val="24"/>
          <w:szCs w:val="24"/>
          <w:rtl/>
          <w:lang w:val="en-US"/>
        </w:rPr>
      </w:pPr>
      <w:r w:rsidRPr="00A25C55">
        <w:rPr>
          <w:rFonts w:asciiTheme="majorBidi" w:hAnsiTheme="majorBidi" w:cstheme="majorBidi"/>
          <w:i/>
          <w:iCs/>
          <w:sz w:val="24"/>
          <w:szCs w:val="24"/>
          <w:lang w:val="en-US"/>
        </w:rPr>
        <w:t xml:space="preserve">Fig. </w:t>
      </w:r>
      <w:r w:rsidR="00A578CA">
        <w:rPr>
          <w:rFonts w:asciiTheme="majorBidi" w:hAnsiTheme="majorBidi" w:cstheme="majorBidi"/>
          <w:i/>
          <w:iCs/>
          <w:sz w:val="24"/>
          <w:szCs w:val="24"/>
          <w:lang w:val="en-US"/>
        </w:rPr>
        <w:t>3.6</w:t>
      </w:r>
      <w:r>
        <w:rPr>
          <w:rFonts w:asciiTheme="majorBidi" w:hAnsiTheme="majorBidi" w:cstheme="majorBidi"/>
          <w:sz w:val="24"/>
          <w:szCs w:val="24"/>
          <w:lang w:val="en-US"/>
        </w:rPr>
        <w:t xml:space="preserve">. </w:t>
      </w:r>
      <w:r w:rsidRPr="00A25C55">
        <w:rPr>
          <w:rFonts w:asciiTheme="majorBidi" w:hAnsiTheme="majorBidi" w:cstheme="majorBidi"/>
          <w:sz w:val="24"/>
          <w:szCs w:val="24"/>
          <w:lang w:val="en-US"/>
        </w:rPr>
        <w:t>Net current transfers from 2010 to 2017 ($ bn)</w:t>
      </w:r>
    </w:p>
    <w:p w14:paraId="54B5C092" w14:textId="00D20535" w:rsidR="00C56FD7" w:rsidRPr="00DE0F81" w:rsidRDefault="00074BC4" w:rsidP="00C56FD7">
      <w:pPr>
        <w:autoSpaceDE w:val="0"/>
        <w:adjustRightInd w:val="0"/>
        <w:spacing w:line="360" w:lineRule="auto"/>
        <w:jc w:val="both"/>
        <w:rPr>
          <w:rFonts w:ascii="Times New Roman" w:hAnsi="Times New Roman" w:cs="Times New Roman"/>
          <w:lang w:val="en-US"/>
        </w:rPr>
      </w:pPr>
      <w:r w:rsidRPr="00DE0F81">
        <w:rPr>
          <w:rFonts w:ascii="Times New Roman" w:hAnsi="Times New Roman" w:cs="Times New Roman"/>
          <w:i/>
          <w:iCs/>
          <w:lang w:val="en-US"/>
        </w:rPr>
        <w:t xml:space="preserve">Source: </w:t>
      </w:r>
      <w:r w:rsidRPr="00DE0F81">
        <w:rPr>
          <w:rFonts w:ascii="Times New Roman" w:hAnsi="Times New Roman" w:cs="Times New Roman"/>
          <w:lang w:val="en-US"/>
        </w:rPr>
        <w:t>author's calculation according to</w:t>
      </w:r>
      <w:r w:rsidRPr="00DE0F81">
        <w:rPr>
          <w:rFonts w:asciiTheme="majorBidi" w:hAnsiTheme="majorBidi" w:cstheme="majorBidi"/>
          <w:sz w:val="24"/>
          <w:szCs w:val="24"/>
          <w:lang w:val="en-US"/>
        </w:rPr>
        <w:t xml:space="preserve"> </w:t>
      </w:r>
      <w:r w:rsidR="00C56FD7" w:rsidRPr="00DE0F81">
        <w:rPr>
          <w:rFonts w:ascii="Times New Roman" w:hAnsi="Times New Roman" w:cs="Times New Roman"/>
          <w:lang w:val="en-US"/>
        </w:rPr>
        <w:t>the Central Bureau of Statistics annual reports</w:t>
      </w:r>
      <w:r w:rsidR="00DE0F81" w:rsidRPr="00DE0F81">
        <w:rPr>
          <w:rFonts w:ascii="Times New Roman" w:hAnsi="Times New Roman" w:cs="Times New Roman"/>
          <w:lang w:val="en-US"/>
        </w:rPr>
        <w:t>.</w:t>
      </w:r>
    </w:p>
    <w:p w14:paraId="5BA98DFC" w14:textId="47BB8182"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FB458D">
        <w:rPr>
          <w:rFonts w:asciiTheme="majorBidi" w:hAnsiTheme="majorBidi" w:cstheme="majorBidi"/>
          <w:sz w:val="24"/>
          <w:szCs w:val="24"/>
          <w:lang w:val="en-US"/>
        </w:rPr>
        <w:t>However, it must be taken into consideration that transfers took a specific form during the crisis</w:t>
      </w:r>
      <w:r>
        <w:rPr>
          <w:rFonts w:asciiTheme="majorBidi" w:hAnsiTheme="majorBidi" w:cstheme="majorBidi"/>
          <w:sz w:val="24"/>
          <w:szCs w:val="24"/>
          <w:lang w:val="en-US"/>
        </w:rPr>
        <w:t xml:space="preserve">, </w:t>
      </w:r>
      <w:r w:rsidRPr="00FB458D">
        <w:rPr>
          <w:rFonts w:asciiTheme="majorBidi" w:hAnsiTheme="majorBidi" w:cstheme="majorBidi"/>
          <w:sz w:val="24"/>
          <w:szCs w:val="24"/>
          <w:lang w:val="en-US"/>
        </w:rPr>
        <w:t>supporting families</w:t>
      </w:r>
      <w:r w:rsidR="00E20029" w:rsidRPr="00E20029">
        <w:rPr>
          <w:rFonts w:ascii="Times New Roman" w:hAnsi="Times New Roman" w:cs="Times New Roman"/>
          <w:sz w:val="24"/>
          <w:szCs w:val="24"/>
        </w:rPr>
        <w:t>'</w:t>
      </w:r>
      <w:r>
        <w:rPr>
          <w:rFonts w:asciiTheme="majorBidi" w:hAnsiTheme="majorBidi" w:cstheme="majorBidi"/>
          <w:sz w:val="24"/>
          <w:szCs w:val="24"/>
          <w:lang w:val="en-US"/>
        </w:rPr>
        <w:t xml:space="preserve"> </w:t>
      </w:r>
      <w:r w:rsidRPr="00FB458D">
        <w:rPr>
          <w:rFonts w:asciiTheme="majorBidi" w:hAnsiTheme="majorBidi" w:cstheme="majorBidi"/>
          <w:sz w:val="24"/>
          <w:szCs w:val="24"/>
          <w:lang w:val="en-US"/>
        </w:rPr>
        <w:t>spending on living requirements</w:t>
      </w:r>
      <w:r w:rsidR="00D47DA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D47DAB">
        <w:rPr>
          <w:rFonts w:asciiTheme="majorBidi" w:hAnsiTheme="majorBidi" w:cstheme="majorBidi"/>
          <w:sz w:val="24"/>
          <w:szCs w:val="24"/>
          <w:lang w:val="en-US"/>
        </w:rPr>
        <w:t>I</w:t>
      </w:r>
      <w:r w:rsidRPr="00A4587E">
        <w:rPr>
          <w:rFonts w:asciiTheme="majorBidi" w:hAnsiTheme="majorBidi" w:cstheme="majorBidi"/>
          <w:sz w:val="24"/>
          <w:szCs w:val="24"/>
          <w:lang w:val="en-US"/>
        </w:rPr>
        <w:t>t is not possible to know whether they will be used for future investment purposes</w:t>
      </w:r>
      <w:r w:rsidR="0077271F">
        <w:rPr>
          <w:rFonts w:asciiTheme="majorBidi" w:hAnsiTheme="majorBidi" w:cstheme="majorBidi"/>
          <w:sz w:val="24"/>
          <w:szCs w:val="24"/>
          <w:lang w:val="en-US"/>
        </w:rPr>
        <w:t>,</w:t>
      </w:r>
      <w:r w:rsidRPr="00A4587E">
        <w:rPr>
          <w:rFonts w:asciiTheme="majorBidi" w:hAnsiTheme="majorBidi" w:cstheme="majorBidi"/>
          <w:sz w:val="24"/>
          <w:szCs w:val="24"/>
          <w:lang w:val="en-US"/>
        </w:rPr>
        <w:t xml:space="preserve"> and to what extent they can contribute </w:t>
      </w:r>
      <w:r w:rsidR="0077271F">
        <w:rPr>
          <w:rFonts w:asciiTheme="majorBidi" w:hAnsiTheme="majorBidi" w:cstheme="majorBidi"/>
          <w:sz w:val="24"/>
          <w:szCs w:val="24"/>
          <w:lang w:val="en-US"/>
        </w:rPr>
        <w:t>to</w:t>
      </w:r>
      <w:r w:rsidRPr="00A4587E">
        <w:rPr>
          <w:rFonts w:asciiTheme="majorBidi" w:hAnsiTheme="majorBidi" w:cstheme="majorBidi"/>
          <w:sz w:val="24"/>
          <w:szCs w:val="24"/>
          <w:lang w:val="en-US"/>
        </w:rPr>
        <w:t xml:space="preserve"> </w:t>
      </w:r>
      <w:r w:rsidR="0077271F" w:rsidRPr="0077271F">
        <w:rPr>
          <w:rFonts w:asciiTheme="majorBidi" w:hAnsiTheme="majorBidi" w:cstheme="majorBidi"/>
          <w:sz w:val="24"/>
          <w:szCs w:val="24"/>
          <w:lang w:val="en-US"/>
        </w:rPr>
        <w:t xml:space="preserve">raising </w:t>
      </w:r>
      <w:r w:rsidRPr="00A4587E">
        <w:rPr>
          <w:rFonts w:asciiTheme="majorBidi" w:hAnsiTheme="majorBidi" w:cstheme="majorBidi"/>
          <w:sz w:val="24"/>
          <w:szCs w:val="24"/>
          <w:lang w:val="en-US"/>
        </w:rPr>
        <w:t>the country</w:t>
      </w:r>
      <w:r w:rsidR="00E20029" w:rsidRPr="00E20029">
        <w:rPr>
          <w:rFonts w:ascii="Times New Roman" w:hAnsi="Times New Roman" w:cs="Times New Roman"/>
          <w:sz w:val="24"/>
          <w:szCs w:val="24"/>
        </w:rPr>
        <w:t>'</w:t>
      </w:r>
      <w:r w:rsidRPr="00A4587E">
        <w:rPr>
          <w:rFonts w:asciiTheme="majorBidi" w:hAnsiTheme="majorBidi" w:cstheme="majorBidi"/>
          <w:sz w:val="24"/>
          <w:szCs w:val="24"/>
          <w:lang w:val="en-US"/>
        </w:rPr>
        <w:t>s funding capacity.</w:t>
      </w:r>
    </w:p>
    <w:p w14:paraId="7F643F19" w14:textId="77777777" w:rsidR="00354DC4" w:rsidRDefault="00354DC4" w:rsidP="00634054">
      <w:pPr>
        <w:suppressAutoHyphens/>
        <w:autoSpaceDE w:val="0"/>
        <w:adjustRightInd w:val="0"/>
        <w:spacing w:line="360" w:lineRule="auto"/>
        <w:ind w:firstLine="567"/>
        <w:jc w:val="both"/>
        <w:rPr>
          <w:rFonts w:asciiTheme="majorBidi" w:hAnsiTheme="majorBidi" w:cstheme="majorBidi"/>
          <w:sz w:val="24"/>
          <w:szCs w:val="24"/>
          <w:lang w:val="en-US"/>
        </w:rPr>
      </w:pPr>
    </w:p>
    <w:p w14:paraId="12B8DA6F" w14:textId="77777777" w:rsidR="00C56FD7" w:rsidRDefault="00C56FD7" w:rsidP="00634054">
      <w:pPr>
        <w:pStyle w:val="ListParagraph"/>
        <w:numPr>
          <w:ilvl w:val="0"/>
          <w:numId w:val="26"/>
        </w:numPr>
        <w:suppressAutoHyphens/>
        <w:autoSpaceDE w:val="0"/>
        <w:adjustRightInd w:val="0"/>
        <w:spacing w:before="240"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Syrian capital</w:t>
      </w:r>
      <w:r w:rsidRPr="00A14E07">
        <w:rPr>
          <w:rFonts w:asciiTheme="majorBidi" w:hAnsiTheme="majorBidi" w:cstheme="majorBidi"/>
          <w:b/>
          <w:bCs/>
          <w:sz w:val="24"/>
          <w:szCs w:val="24"/>
          <w:lang w:val="en-US"/>
        </w:rPr>
        <w:t xml:space="preserve"> abroad</w:t>
      </w:r>
    </w:p>
    <w:p w14:paraId="58A09EA7" w14:textId="28965538"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9557BE">
        <w:rPr>
          <w:rFonts w:asciiTheme="majorBidi" w:hAnsiTheme="majorBidi" w:cstheme="majorBidi"/>
          <w:sz w:val="24"/>
          <w:szCs w:val="24"/>
          <w:lang w:val="en-US"/>
        </w:rPr>
        <w:t xml:space="preserve">Many elite </w:t>
      </w:r>
      <w:r w:rsidR="00354DC4">
        <w:rPr>
          <w:rFonts w:asciiTheme="majorBidi" w:hAnsiTheme="majorBidi" w:cstheme="majorBidi"/>
          <w:sz w:val="24"/>
          <w:szCs w:val="24"/>
          <w:lang w:val="en-US"/>
        </w:rPr>
        <w:t>investors</w:t>
      </w:r>
      <w:r w:rsidRPr="009557BE">
        <w:rPr>
          <w:rFonts w:asciiTheme="majorBidi" w:hAnsiTheme="majorBidi" w:cstheme="majorBidi"/>
          <w:sz w:val="24"/>
          <w:szCs w:val="24"/>
          <w:lang w:val="en-US"/>
        </w:rPr>
        <w:t xml:space="preserve"> decided to leave Syria and transfer most of their capital </w:t>
      </w:r>
      <w:r w:rsidR="007C0ED1" w:rsidRPr="007C0ED1">
        <w:rPr>
          <w:rFonts w:asciiTheme="majorBidi" w:hAnsiTheme="majorBidi" w:cstheme="majorBidi"/>
          <w:sz w:val="24"/>
          <w:szCs w:val="24"/>
          <w:lang w:val="en-US"/>
        </w:rPr>
        <w:t xml:space="preserve">outside </w:t>
      </w:r>
      <w:r w:rsidRPr="009557BE">
        <w:rPr>
          <w:rFonts w:asciiTheme="majorBidi" w:hAnsiTheme="majorBidi" w:cstheme="majorBidi"/>
          <w:sz w:val="24"/>
          <w:szCs w:val="24"/>
          <w:lang w:val="en-US"/>
        </w:rPr>
        <w:t>the country throughout the war</w:t>
      </w:r>
      <w:r w:rsidR="00C36818">
        <w:rPr>
          <w:rFonts w:asciiTheme="majorBidi" w:hAnsiTheme="majorBidi" w:cstheme="majorBidi"/>
          <w:sz w:val="24"/>
          <w:szCs w:val="24"/>
          <w:lang w:val="en-US"/>
        </w:rPr>
        <w:t>;</w:t>
      </w:r>
      <w:r w:rsidRPr="009557BE">
        <w:rPr>
          <w:rFonts w:asciiTheme="majorBidi" w:hAnsiTheme="majorBidi" w:cstheme="majorBidi"/>
          <w:sz w:val="24"/>
          <w:szCs w:val="24"/>
          <w:lang w:val="en-US"/>
        </w:rPr>
        <w:t xml:space="preserve"> the majority of this money was reinvested in neighboring countries.</w:t>
      </w:r>
      <w:r>
        <w:rPr>
          <w:rFonts w:asciiTheme="majorBidi" w:hAnsiTheme="majorBidi" w:cstheme="majorBidi"/>
          <w:sz w:val="24"/>
          <w:szCs w:val="24"/>
          <w:lang w:val="en-US"/>
        </w:rPr>
        <w:t xml:space="preserve"> </w:t>
      </w:r>
      <w:r w:rsidRPr="009557BE">
        <w:rPr>
          <w:rFonts w:asciiTheme="majorBidi" w:hAnsiTheme="majorBidi" w:cstheme="majorBidi"/>
          <w:sz w:val="24"/>
          <w:szCs w:val="24"/>
          <w:lang w:val="en-US"/>
        </w:rPr>
        <w:t xml:space="preserve">Some investors </w:t>
      </w:r>
      <w:r w:rsidR="00D47DAB" w:rsidRPr="00D47DAB">
        <w:rPr>
          <w:rFonts w:asciiTheme="majorBidi" w:hAnsiTheme="majorBidi" w:cstheme="majorBidi"/>
          <w:sz w:val="24"/>
          <w:szCs w:val="24"/>
          <w:lang w:val="en-US"/>
        </w:rPr>
        <w:t xml:space="preserve">relocated </w:t>
      </w:r>
      <w:r w:rsidRPr="009557BE">
        <w:rPr>
          <w:rFonts w:asciiTheme="majorBidi" w:hAnsiTheme="majorBidi" w:cstheme="majorBidi"/>
          <w:sz w:val="24"/>
          <w:szCs w:val="24"/>
          <w:lang w:val="en-US"/>
        </w:rPr>
        <w:t>their activities to Turkey, Jordan, Egypt</w:t>
      </w:r>
      <w:r w:rsidR="0047693E">
        <w:rPr>
          <w:rFonts w:asciiTheme="majorBidi" w:hAnsiTheme="majorBidi" w:cstheme="majorBidi"/>
          <w:sz w:val="24"/>
          <w:szCs w:val="24"/>
          <w:lang w:val="en-US"/>
        </w:rPr>
        <w:t xml:space="preserve">, </w:t>
      </w:r>
      <w:r w:rsidRPr="009557BE">
        <w:rPr>
          <w:rFonts w:asciiTheme="majorBidi" w:hAnsiTheme="majorBidi" w:cstheme="majorBidi"/>
          <w:sz w:val="24"/>
          <w:szCs w:val="24"/>
          <w:lang w:val="en-US"/>
        </w:rPr>
        <w:t xml:space="preserve">and the </w:t>
      </w:r>
      <w:r w:rsidR="007C0ED1" w:rsidRPr="007C0ED1">
        <w:rPr>
          <w:rFonts w:asciiTheme="majorBidi" w:hAnsiTheme="majorBidi" w:cstheme="majorBidi"/>
          <w:sz w:val="24"/>
          <w:szCs w:val="24"/>
          <w:lang w:val="en-US"/>
        </w:rPr>
        <w:t>United Arab Emirates</w:t>
      </w:r>
      <w:r w:rsidR="007C0ED1">
        <w:rPr>
          <w:rFonts w:asciiTheme="majorBidi" w:hAnsiTheme="majorBidi" w:cstheme="majorBidi"/>
          <w:sz w:val="24"/>
          <w:szCs w:val="24"/>
          <w:lang w:val="en-US"/>
        </w:rPr>
        <w:t xml:space="preserve"> </w:t>
      </w:r>
      <w:r w:rsidRPr="009557BE">
        <w:rPr>
          <w:rFonts w:asciiTheme="majorBidi" w:hAnsiTheme="majorBidi" w:cstheme="majorBidi"/>
          <w:sz w:val="24"/>
          <w:szCs w:val="24"/>
          <w:lang w:val="en-US"/>
        </w:rPr>
        <w:t>after the Syrian regime permitted them to move their equipment out</w:t>
      </w:r>
      <w:r>
        <w:rPr>
          <w:rFonts w:asciiTheme="majorBidi" w:hAnsiTheme="majorBidi" w:cstheme="majorBidi"/>
          <w:sz w:val="24"/>
          <w:szCs w:val="24"/>
          <w:lang w:val="en-US"/>
        </w:rPr>
        <w:t>,</w:t>
      </w:r>
      <w:r>
        <w:rPr>
          <w:rStyle w:val="FootnoteReference"/>
        </w:rPr>
        <w:footnoteReference w:id="93"/>
      </w:r>
      <w:r>
        <w:rPr>
          <w:rFonts w:asciiTheme="majorBidi" w:hAnsiTheme="majorBidi" w:cstheme="majorBidi"/>
          <w:sz w:val="24"/>
          <w:szCs w:val="24"/>
          <w:lang w:val="en-US"/>
        </w:rPr>
        <w:t xml:space="preserve"> this is </w:t>
      </w:r>
      <w:r w:rsidRPr="002237BF">
        <w:rPr>
          <w:rFonts w:asciiTheme="majorBidi" w:hAnsiTheme="majorBidi" w:cstheme="majorBidi"/>
          <w:sz w:val="24"/>
          <w:szCs w:val="24"/>
          <w:lang w:val="en-US"/>
        </w:rPr>
        <w:t xml:space="preserve">one of the worst economic </w:t>
      </w:r>
      <w:r w:rsidRPr="00B168D0">
        <w:rPr>
          <w:rFonts w:asciiTheme="majorBidi" w:hAnsiTheme="majorBidi" w:cstheme="majorBidi"/>
          <w:sz w:val="24"/>
          <w:szCs w:val="24"/>
          <w:lang w:val="en-US"/>
        </w:rPr>
        <w:t xml:space="preserve">consequences </w:t>
      </w:r>
      <w:r w:rsidRPr="002237BF">
        <w:rPr>
          <w:rFonts w:asciiTheme="majorBidi" w:hAnsiTheme="majorBidi" w:cstheme="majorBidi"/>
          <w:sz w:val="24"/>
          <w:szCs w:val="24"/>
          <w:lang w:val="en-US"/>
        </w:rPr>
        <w:t>of the crisis.</w:t>
      </w:r>
    </w:p>
    <w:p w14:paraId="24F34DB4" w14:textId="4370442E"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B168D0">
        <w:rPr>
          <w:rFonts w:asciiTheme="majorBidi" w:hAnsiTheme="majorBidi" w:cstheme="majorBidi"/>
          <w:sz w:val="24"/>
          <w:szCs w:val="24"/>
          <w:lang w:val="en-US"/>
        </w:rPr>
        <w:t>It is estimated that the Syrians</w:t>
      </w:r>
      <w:r w:rsidR="00E20029" w:rsidRPr="00E20029">
        <w:rPr>
          <w:rFonts w:ascii="Times New Roman" w:hAnsi="Times New Roman" w:cs="Times New Roman"/>
          <w:sz w:val="24"/>
          <w:szCs w:val="24"/>
        </w:rPr>
        <w:t>'</w:t>
      </w:r>
      <w:r w:rsidRPr="00B168D0">
        <w:rPr>
          <w:rFonts w:asciiTheme="majorBidi" w:hAnsiTheme="majorBidi" w:cstheme="majorBidi"/>
          <w:sz w:val="24"/>
          <w:szCs w:val="24"/>
          <w:lang w:val="en-US"/>
        </w:rPr>
        <w:t xml:space="preserve"> investment in Egypt is approximately $800 million in Egypt,</w:t>
      </w:r>
      <w:r>
        <w:rPr>
          <w:rStyle w:val="FootnoteReference"/>
          <w:rFonts w:asciiTheme="majorBidi" w:hAnsiTheme="majorBidi" w:cstheme="majorBidi"/>
          <w:sz w:val="24"/>
          <w:szCs w:val="24"/>
          <w:lang w:val="en-US"/>
        </w:rPr>
        <w:footnoteReference w:id="94"/>
      </w:r>
      <w:r w:rsidRPr="00B168D0">
        <w:rPr>
          <w:rFonts w:asciiTheme="majorBidi" w:hAnsiTheme="majorBidi" w:cstheme="majorBidi"/>
          <w:sz w:val="24"/>
          <w:szCs w:val="24"/>
          <w:lang w:val="en-US"/>
        </w:rPr>
        <w:t xml:space="preserve"> concentrated in clothes and </w:t>
      </w:r>
      <w:r>
        <w:rPr>
          <w:rFonts w:asciiTheme="majorBidi" w:hAnsiTheme="majorBidi" w:cstheme="majorBidi"/>
          <w:sz w:val="24"/>
          <w:szCs w:val="24"/>
          <w:lang w:val="en-US"/>
        </w:rPr>
        <w:t>restaurants</w:t>
      </w:r>
      <w:r w:rsidR="0077271F">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1874AC" w:rsidRPr="001874AC">
        <w:rPr>
          <w:rFonts w:asciiTheme="majorBidi" w:hAnsiTheme="majorBidi" w:cstheme="majorBidi"/>
          <w:sz w:val="24"/>
          <w:szCs w:val="24"/>
          <w:lang w:val="en-US"/>
        </w:rPr>
        <w:t>This number represents the minimum of Syrian investments in Egypt, given that many investors register their companies under Egyptian partners' names to avoid administrative complications and time-consuming procedures</w:t>
      </w:r>
      <w:r w:rsidRPr="003F3FCA">
        <w:rPr>
          <w:rFonts w:asciiTheme="majorBidi" w:hAnsiTheme="majorBidi" w:cstheme="majorBidi"/>
          <w:sz w:val="24"/>
          <w:szCs w:val="24"/>
          <w:lang w:val="en-US"/>
        </w:rPr>
        <w:t>.</w:t>
      </w:r>
      <w:r>
        <w:rPr>
          <w:rFonts w:asciiTheme="majorBidi" w:hAnsiTheme="majorBidi" w:cstheme="majorBidi"/>
          <w:sz w:val="24"/>
          <w:szCs w:val="24"/>
          <w:lang w:val="en-US"/>
        </w:rPr>
        <w:t xml:space="preserve"> In Turkey, </w:t>
      </w:r>
      <w:r w:rsidRPr="000A0BF5">
        <w:rPr>
          <w:rFonts w:asciiTheme="majorBidi" w:hAnsiTheme="majorBidi" w:cstheme="majorBidi"/>
          <w:sz w:val="24"/>
          <w:szCs w:val="24"/>
          <w:lang w:val="en-US"/>
        </w:rPr>
        <w:t xml:space="preserve">Syrian businesses constitute </w:t>
      </w:r>
      <w:r>
        <w:rPr>
          <w:rFonts w:asciiTheme="majorBidi" w:hAnsiTheme="majorBidi" w:cstheme="majorBidi"/>
          <w:sz w:val="24"/>
          <w:szCs w:val="24"/>
          <w:lang w:val="en-US"/>
        </w:rPr>
        <w:t>20%</w:t>
      </w:r>
      <w:r w:rsidRPr="000A0BF5">
        <w:rPr>
          <w:rFonts w:asciiTheme="majorBidi" w:hAnsiTheme="majorBidi" w:cstheme="majorBidi"/>
          <w:sz w:val="24"/>
          <w:szCs w:val="24"/>
          <w:lang w:val="en-US"/>
        </w:rPr>
        <w:t xml:space="preserve"> of all foreign-owned companies and hold nearly </w:t>
      </w:r>
      <w:r>
        <w:rPr>
          <w:rFonts w:asciiTheme="majorBidi" w:hAnsiTheme="majorBidi" w:cstheme="majorBidi"/>
          <w:sz w:val="24"/>
          <w:szCs w:val="24"/>
          <w:lang w:val="en-US"/>
        </w:rPr>
        <w:t>7%</w:t>
      </w:r>
      <w:r w:rsidRPr="000A0BF5">
        <w:rPr>
          <w:rFonts w:asciiTheme="majorBidi" w:hAnsiTheme="majorBidi" w:cstheme="majorBidi"/>
          <w:sz w:val="24"/>
          <w:szCs w:val="24"/>
          <w:lang w:val="en-US"/>
        </w:rPr>
        <w:t xml:space="preserve"> of all foreign capital, estimated at </w:t>
      </w:r>
      <w:r>
        <w:rPr>
          <w:rFonts w:asciiTheme="majorBidi" w:hAnsiTheme="majorBidi" w:cstheme="majorBidi"/>
          <w:sz w:val="24"/>
          <w:szCs w:val="24"/>
          <w:lang w:val="en-US"/>
        </w:rPr>
        <w:t>$500 million</w:t>
      </w:r>
      <w:r w:rsidRPr="000A0BF5">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95"/>
      </w:r>
    </w:p>
    <w:p w14:paraId="24F8AE7C" w14:textId="3A394086" w:rsidR="00C56FD7" w:rsidRPr="000A0BF5"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816A97">
        <w:rPr>
          <w:rFonts w:asciiTheme="majorBidi" w:hAnsiTheme="majorBidi" w:cstheme="majorBidi"/>
          <w:sz w:val="24"/>
          <w:szCs w:val="24"/>
          <w:lang w:val="en-US"/>
        </w:rPr>
        <w:t>In Jordan,</w:t>
      </w:r>
      <w:r w:rsidRPr="00A3010E">
        <w:t xml:space="preserve"> </w:t>
      </w:r>
      <w:r w:rsidRPr="00A3010E">
        <w:rPr>
          <w:rFonts w:asciiTheme="majorBidi" w:hAnsiTheme="majorBidi" w:cstheme="majorBidi"/>
          <w:sz w:val="24"/>
          <w:szCs w:val="24"/>
          <w:lang w:val="en-US"/>
        </w:rPr>
        <w:t xml:space="preserve">the estimated FDI that came from Syria was about $1 </w:t>
      </w:r>
      <w:r w:rsidR="00F842D0">
        <w:rPr>
          <w:rFonts w:asciiTheme="majorBidi" w:hAnsiTheme="majorBidi" w:cstheme="majorBidi"/>
          <w:sz w:val="24"/>
          <w:szCs w:val="24"/>
          <w:lang w:val="en-US"/>
        </w:rPr>
        <w:t>bn</w:t>
      </w:r>
      <w:r w:rsidR="007E5087">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96"/>
      </w:r>
      <w:r>
        <w:rPr>
          <w:rFonts w:asciiTheme="majorBidi" w:hAnsiTheme="majorBidi" w:cstheme="majorBidi"/>
          <w:sz w:val="24"/>
          <w:szCs w:val="24"/>
          <w:lang w:val="en-US"/>
        </w:rPr>
        <w:t xml:space="preserve"> </w:t>
      </w:r>
      <w:r w:rsidR="00DB4052" w:rsidRPr="00DB4052">
        <w:rPr>
          <w:rFonts w:asciiTheme="majorBidi" w:hAnsiTheme="majorBidi" w:cstheme="majorBidi"/>
          <w:sz w:val="24"/>
          <w:szCs w:val="24"/>
          <w:lang w:val="en-US"/>
        </w:rPr>
        <w:t>Simultaneously</w:t>
      </w:r>
      <w:r w:rsidR="007E5087" w:rsidRPr="007E5087">
        <w:rPr>
          <w:rFonts w:asciiTheme="majorBidi" w:hAnsiTheme="majorBidi" w:cstheme="majorBidi"/>
          <w:sz w:val="24"/>
          <w:szCs w:val="24"/>
          <w:lang w:val="en-US"/>
        </w:rPr>
        <w:t>,</w:t>
      </w:r>
      <w:r w:rsidR="007E508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 </w:t>
      </w:r>
      <w:r w:rsidR="00B97AA7">
        <w:rPr>
          <w:rFonts w:asciiTheme="majorBidi" w:hAnsiTheme="majorBidi" w:cstheme="majorBidi"/>
          <w:sz w:val="24"/>
          <w:szCs w:val="24"/>
          <w:lang w:val="en-US"/>
        </w:rPr>
        <w:t xml:space="preserve">the </w:t>
      </w:r>
      <w:r w:rsidR="001874AC" w:rsidRPr="007C0ED1">
        <w:rPr>
          <w:rFonts w:asciiTheme="majorBidi" w:hAnsiTheme="majorBidi" w:cstheme="majorBidi"/>
          <w:sz w:val="24"/>
          <w:szCs w:val="24"/>
          <w:lang w:val="en-US"/>
        </w:rPr>
        <w:t>United Arab Emirates</w:t>
      </w:r>
      <w:r w:rsidR="009462C7">
        <w:rPr>
          <w:rFonts w:asciiTheme="majorBidi" w:hAnsiTheme="majorBidi" w:cstheme="majorBidi"/>
          <w:sz w:val="24"/>
          <w:szCs w:val="24"/>
          <w:lang w:val="en-US"/>
        </w:rPr>
        <w:t>,</w:t>
      </w:r>
      <w:r w:rsidR="001874AC">
        <w:rPr>
          <w:rFonts w:asciiTheme="majorBidi" w:hAnsiTheme="majorBidi" w:cstheme="majorBidi"/>
          <w:sz w:val="24"/>
          <w:szCs w:val="24"/>
          <w:lang w:val="en-US"/>
        </w:rPr>
        <w:t xml:space="preserve"> </w:t>
      </w:r>
      <w:r w:rsidR="001874AC" w:rsidRPr="001874AC">
        <w:rPr>
          <w:rFonts w:asciiTheme="majorBidi" w:hAnsiTheme="majorBidi" w:cstheme="majorBidi"/>
          <w:sz w:val="24"/>
          <w:szCs w:val="24"/>
          <w:lang w:val="en-US"/>
        </w:rPr>
        <w:t xml:space="preserve">estimations </w:t>
      </w:r>
      <w:r w:rsidRPr="00A3010E">
        <w:rPr>
          <w:rFonts w:asciiTheme="majorBidi" w:hAnsiTheme="majorBidi" w:cstheme="majorBidi"/>
          <w:sz w:val="24"/>
          <w:szCs w:val="24"/>
          <w:lang w:val="en-US"/>
        </w:rPr>
        <w:t>indicate that the Syrian money</w:t>
      </w:r>
      <w:r w:rsidR="0077271F">
        <w:rPr>
          <w:rFonts w:asciiTheme="majorBidi" w:hAnsiTheme="majorBidi" w:cstheme="majorBidi"/>
          <w:sz w:val="24"/>
          <w:szCs w:val="24"/>
          <w:lang w:val="en-US"/>
        </w:rPr>
        <w:t xml:space="preserve"> attracted by</w:t>
      </w:r>
      <w:r w:rsidRPr="00A3010E">
        <w:rPr>
          <w:rFonts w:asciiTheme="majorBidi" w:hAnsiTheme="majorBidi" w:cstheme="majorBidi"/>
          <w:sz w:val="24"/>
          <w:szCs w:val="24"/>
          <w:lang w:val="en-US"/>
        </w:rPr>
        <w:t xml:space="preserve"> the Emirati market since 2011 amounts to </w:t>
      </w:r>
      <w:r>
        <w:rPr>
          <w:rFonts w:asciiTheme="majorBidi" w:hAnsiTheme="majorBidi" w:cstheme="majorBidi"/>
          <w:sz w:val="24"/>
          <w:szCs w:val="24"/>
          <w:lang w:val="en-US"/>
        </w:rPr>
        <w:t>$</w:t>
      </w:r>
      <w:r w:rsidRPr="00A3010E">
        <w:rPr>
          <w:rFonts w:asciiTheme="majorBidi" w:hAnsiTheme="majorBidi" w:cstheme="majorBidi"/>
          <w:sz w:val="24"/>
          <w:szCs w:val="24"/>
          <w:lang w:val="en-US"/>
        </w:rPr>
        <w:t xml:space="preserve">40 </w:t>
      </w:r>
      <w:r w:rsidR="00F842D0">
        <w:rPr>
          <w:rFonts w:asciiTheme="majorBidi" w:hAnsiTheme="majorBidi" w:cstheme="majorBidi"/>
          <w:sz w:val="24"/>
          <w:szCs w:val="24"/>
          <w:lang w:val="en-US"/>
        </w:rPr>
        <w:t>bn</w:t>
      </w:r>
      <w:r>
        <w:rPr>
          <w:rFonts w:asciiTheme="majorBidi" w:hAnsiTheme="majorBidi" w:cstheme="majorBidi"/>
          <w:sz w:val="24"/>
          <w:szCs w:val="24"/>
          <w:lang w:val="en-US"/>
        </w:rPr>
        <w:t>.</w:t>
      </w:r>
      <w:r w:rsidRPr="00A3010E">
        <w:rPr>
          <w:rFonts w:asciiTheme="majorBidi" w:hAnsiTheme="majorBidi" w:cstheme="majorBidi"/>
          <w:sz w:val="24"/>
          <w:szCs w:val="24"/>
          <w:vertAlign w:val="superscript"/>
          <w:rtl/>
          <w:lang w:val="en-US"/>
        </w:rPr>
        <w:footnoteReference w:id="97"/>
      </w:r>
    </w:p>
    <w:p w14:paraId="734A9872" w14:textId="2AEC4CAE"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rtl/>
          <w:lang w:val="en-US"/>
        </w:rPr>
      </w:pPr>
      <w:r w:rsidRPr="00185922">
        <w:rPr>
          <w:rFonts w:asciiTheme="majorBidi" w:hAnsiTheme="majorBidi" w:cstheme="majorBidi"/>
          <w:sz w:val="24"/>
          <w:szCs w:val="24"/>
          <w:lang w:val="en-US"/>
        </w:rPr>
        <w:t>However, the end of the crisis in Syria does not necessarily mean the return of the Syrian money left</w:t>
      </w:r>
      <w:r w:rsidR="00A401F5">
        <w:rPr>
          <w:rFonts w:asciiTheme="majorBidi" w:hAnsiTheme="majorBidi" w:cstheme="majorBidi"/>
          <w:sz w:val="24"/>
          <w:szCs w:val="24"/>
          <w:lang w:val="en-US"/>
        </w:rPr>
        <w:t>;</w:t>
      </w:r>
      <w:r w:rsidRPr="0018592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therefore, </w:t>
      </w:r>
      <w:r w:rsidRPr="00185922">
        <w:rPr>
          <w:rFonts w:asciiTheme="majorBidi" w:hAnsiTheme="majorBidi" w:cstheme="majorBidi"/>
          <w:sz w:val="24"/>
          <w:szCs w:val="24"/>
          <w:lang w:val="en-US"/>
        </w:rPr>
        <w:t>it is necessary to provide a legal and regulatory environment and improve the investment climate to attract the funds of the expatriate Syrians abroad</w:t>
      </w:r>
      <w:r>
        <w:rPr>
          <w:rFonts w:asciiTheme="majorBidi" w:hAnsiTheme="majorBidi" w:cstheme="majorBidi"/>
          <w:sz w:val="24"/>
          <w:szCs w:val="24"/>
          <w:lang w:val="en-US"/>
        </w:rPr>
        <w:t>.</w:t>
      </w:r>
    </w:p>
    <w:p w14:paraId="0FC73F9C" w14:textId="77777777" w:rsidR="00C56FD7" w:rsidRDefault="00C56FD7" w:rsidP="00634054">
      <w:pPr>
        <w:pStyle w:val="ListParagraph"/>
        <w:numPr>
          <w:ilvl w:val="0"/>
          <w:numId w:val="26"/>
        </w:numPr>
        <w:suppressAutoHyphens/>
        <w:autoSpaceDE w:val="0"/>
        <w:adjustRightInd w:val="0"/>
        <w:spacing w:before="240"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t>Foreign loans</w:t>
      </w:r>
    </w:p>
    <w:p w14:paraId="69DFF041" w14:textId="3B4D8EBF" w:rsidR="00C56FD7" w:rsidRDefault="00C56FD7"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464B6D">
        <w:rPr>
          <w:rFonts w:asciiTheme="majorBidi" w:hAnsiTheme="majorBidi" w:cstheme="majorBidi"/>
          <w:sz w:val="24"/>
          <w:szCs w:val="24"/>
          <w:lang w:val="en-US"/>
        </w:rPr>
        <w:t>Until the mid-1990s, economic policy in Syria tended to rely heavily on external debt to secure development requirements.</w:t>
      </w:r>
      <w:r>
        <w:rPr>
          <w:rFonts w:asciiTheme="majorBidi" w:hAnsiTheme="majorBidi" w:cstheme="majorBidi"/>
          <w:sz w:val="24"/>
          <w:szCs w:val="24"/>
          <w:lang w:val="en-US"/>
        </w:rPr>
        <w:t xml:space="preserve"> But since 2005</w:t>
      </w:r>
      <w:r w:rsidR="0077271F">
        <w:rPr>
          <w:rFonts w:asciiTheme="majorBidi" w:hAnsiTheme="majorBidi" w:cstheme="majorBidi"/>
          <w:sz w:val="24"/>
          <w:szCs w:val="24"/>
          <w:lang w:val="en-US"/>
        </w:rPr>
        <w:t xml:space="preserve">, </w:t>
      </w:r>
      <w:r w:rsidRPr="00464B6D">
        <w:rPr>
          <w:rFonts w:asciiTheme="majorBidi" w:hAnsiTheme="majorBidi" w:cstheme="majorBidi"/>
          <w:sz w:val="24"/>
          <w:szCs w:val="24"/>
          <w:lang w:val="en-US"/>
        </w:rPr>
        <w:t xml:space="preserve">the government worked to reschedule its debts belonging to the </w:t>
      </w:r>
      <w:r>
        <w:rPr>
          <w:rFonts w:asciiTheme="majorBidi" w:hAnsiTheme="majorBidi" w:cstheme="majorBidi"/>
          <w:sz w:val="24"/>
          <w:szCs w:val="24"/>
          <w:lang w:val="en-US"/>
        </w:rPr>
        <w:t xml:space="preserve">former </w:t>
      </w:r>
      <w:r w:rsidRPr="00464B6D">
        <w:rPr>
          <w:rFonts w:asciiTheme="majorBidi" w:hAnsiTheme="majorBidi" w:cstheme="majorBidi"/>
          <w:sz w:val="24"/>
          <w:szCs w:val="24"/>
          <w:lang w:val="en-US"/>
        </w:rPr>
        <w:t>Soviet Union</w:t>
      </w:r>
      <w:r>
        <w:rPr>
          <w:rFonts w:asciiTheme="majorBidi" w:hAnsiTheme="majorBidi" w:cstheme="majorBidi"/>
          <w:sz w:val="24"/>
          <w:szCs w:val="24"/>
          <w:lang w:val="en-US"/>
        </w:rPr>
        <w:t xml:space="preserve"> </w:t>
      </w:r>
      <w:r w:rsidRPr="00464B6D">
        <w:rPr>
          <w:rFonts w:asciiTheme="majorBidi" w:hAnsiTheme="majorBidi" w:cstheme="majorBidi"/>
          <w:sz w:val="24"/>
          <w:szCs w:val="24"/>
          <w:lang w:val="en-US"/>
        </w:rPr>
        <w:t>(</w:t>
      </w:r>
      <w:r>
        <w:rPr>
          <w:rFonts w:asciiTheme="majorBidi" w:hAnsiTheme="majorBidi" w:cstheme="majorBidi"/>
          <w:sz w:val="24"/>
          <w:szCs w:val="24"/>
          <w:lang w:val="en-US"/>
        </w:rPr>
        <w:t>Russia</w:t>
      </w:r>
      <w:r w:rsidRPr="00464B6D">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B52BB5">
        <w:rPr>
          <w:rFonts w:asciiTheme="majorBidi" w:hAnsiTheme="majorBidi" w:cstheme="majorBidi"/>
          <w:sz w:val="24"/>
          <w:szCs w:val="24"/>
          <w:lang w:val="en-US"/>
        </w:rPr>
        <w:t>which accounted for the bulk of the debt</w:t>
      </w:r>
      <w:r w:rsidR="00A401F5">
        <w:rPr>
          <w:rFonts w:asciiTheme="majorBidi" w:hAnsiTheme="majorBidi" w:cstheme="majorBidi"/>
          <w:sz w:val="24"/>
          <w:szCs w:val="24"/>
          <w:lang w:val="en-US"/>
        </w:rPr>
        <w:t>,</w:t>
      </w:r>
      <w:r w:rsidR="0047693E">
        <w:rPr>
          <w:rFonts w:asciiTheme="majorBidi" w:hAnsiTheme="majorBidi" w:cstheme="majorBidi"/>
          <w:sz w:val="24"/>
          <w:szCs w:val="24"/>
          <w:lang w:val="en-US"/>
        </w:rPr>
        <w:t xml:space="preserve"> </w:t>
      </w:r>
      <w:r>
        <w:rPr>
          <w:rFonts w:asciiTheme="majorBidi" w:hAnsiTheme="majorBidi" w:cstheme="majorBidi"/>
          <w:sz w:val="24"/>
          <w:szCs w:val="24"/>
          <w:lang w:val="en-US"/>
        </w:rPr>
        <w:t>and to rely on foreign loans only in specific cases that have</w:t>
      </w:r>
      <w:r w:rsidRPr="00B52BB5">
        <w:rPr>
          <w:rFonts w:asciiTheme="majorBidi" w:hAnsiTheme="majorBidi" w:cstheme="majorBidi"/>
          <w:sz w:val="24"/>
          <w:szCs w:val="24"/>
          <w:lang w:val="en-US"/>
        </w:rPr>
        <w:t xml:space="preserve"> a clear </w:t>
      </w:r>
      <w:r w:rsidR="00A06500" w:rsidRPr="00A06500">
        <w:rPr>
          <w:rFonts w:asciiTheme="majorBidi" w:hAnsiTheme="majorBidi" w:cstheme="majorBidi"/>
          <w:sz w:val="24"/>
          <w:szCs w:val="24"/>
          <w:lang w:val="en-US"/>
        </w:rPr>
        <w:t xml:space="preserve">advantage </w:t>
      </w:r>
      <w:r>
        <w:rPr>
          <w:rFonts w:asciiTheme="majorBidi" w:hAnsiTheme="majorBidi" w:cstheme="majorBidi"/>
          <w:sz w:val="24"/>
          <w:szCs w:val="24"/>
          <w:lang w:val="en-US"/>
        </w:rPr>
        <w:t>for</w:t>
      </w:r>
      <w:r w:rsidRPr="00B52BB5">
        <w:rPr>
          <w:rFonts w:asciiTheme="majorBidi" w:hAnsiTheme="majorBidi" w:cstheme="majorBidi"/>
          <w:sz w:val="24"/>
          <w:szCs w:val="24"/>
          <w:lang w:val="en-US"/>
        </w:rPr>
        <w:t xml:space="preserve"> Syria</w:t>
      </w:r>
      <w:r>
        <w:rPr>
          <w:rFonts w:asciiTheme="majorBidi" w:hAnsiTheme="majorBidi" w:cstheme="majorBidi"/>
          <w:sz w:val="24"/>
          <w:szCs w:val="24"/>
          <w:lang w:val="en-US"/>
        </w:rPr>
        <w:t>. The s</w:t>
      </w:r>
      <w:r w:rsidRPr="00B52BB5">
        <w:rPr>
          <w:rFonts w:asciiTheme="majorBidi" w:hAnsiTheme="majorBidi" w:cstheme="majorBidi"/>
          <w:sz w:val="24"/>
          <w:szCs w:val="24"/>
          <w:lang w:val="en-US"/>
        </w:rPr>
        <w:t>tatistical data indicate that the total foreign loans</w:t>
      </w:r>
      <w:r>
        <w:rPr>
          <w:rFonts w:asciiTheme="majorBidi" w:hAnsiTheme="majorBidi" w:cstheme="majorBidi"/>
          <w:sz w:val="24"/>
          <w:szCs w:val="24"/>
          <w:lang w:val="en-US"/>
        </w:rPr>
        <w:t xml:space="preserve"> </w:t>
      </w:r>
      <w:r w:rsidRPr="00B52BB5">
        <w:rPr>
          <w:rFonts w:asciiTheme="majorBidi" w:hAnsiTheme="majorBidi" w:cstheme="majorBidi"/>
          <w:sz w:val="24"/>
          <w:szCs w:val="24"/>
          <w:lang w:val="en-US"/>
        </w:rPr>
        <w:t xml:space="preserve">amounted to about </w:t>
      </w:r>
      <w:r>
        <w:rPr>
          <w:rFonts w:asciiTheme="majorBidi" w:hAnsiTheme="majorBidi" w:cstheme="majorBidi"/>
          <w:sz w:val="24"/>
          <w:szCs w:val="24"/>
          <w:lang w:val="en-US"/>
        </w:rPr>
        <w:t>$</w:t>
      </w:r>
      <w:r w:rsidR="00133FDB">
        <w:rPr>
          <w:rFonts w:asciiTheme="majorBidi" w:hAnsiTheme="majorBidi" w:cstheme="majorBidi"/>
          <w:sz w:val="24"/>
          <w:szCs w:val="24"/>
          <w:lang w:val="en-US"/>
        </w:rPr>
        <w:t>4.6</w:t>
      </w:r>
      <w:r w:rsidRPr="00B52BB5">
        <w:rPr>
          <w:rFonts w:asciiTheme="majorBidi" w:hAnsiTheme="majorBidi" w:cstheme="majorBidi"/>
          <w:sz w:val="24"/>
          <w:szCs w:val="24"/>
          <w:lang w:val="en-US"/>
        </w:rPr>
        <w:t xml:space="preserve"> </w:t>
      </w:r>
      <w:r>
        <w:rPr>
          <w:rFonts w:asciiTheme="majorBidi" w:hAnsiTheme="majorBidi" w:cstheme="majorBidi"/>
          <w:sz w:val="24"/>
          <w:szCs w:val="24"/>
          <w:lang w:val="en-US"/>
        </w:rPr>
        <w:t>bn</w:t>
      </w:r>
      <w:r w:rsidRPr="00B52BB5">
        <w:rPr>
          <w:rFonts w:asciiTheme="majorBidi" w:hAnsiTheme="majorBidi" w:cstheme="majorBidi"/>
          <w:sz w:val="24"/>
          <w:szCs w:val="24"/>
          <w:lang w:val="en-US"/>
        </w:rPr>
        <w:t xml:space="preserve"> in 2008 after it was about </w:t>
      </w:r>
      <w:r>
        <w:rPr>
          <w:rFonts w:asciiTheme="majorBidi" w:hAnsiTheme="majorBidi" w:cstheme="majorBidi"/>
          <w:sz w:val="24"/>
          <w:szCs w:val="24"/>
          <w:lang w:val="en-US"/>
        </w:rPr>
        <w:t>$19 bn</w:t>
      </w:r>
      <w:r w:rsidRPr="00B52BB5">
        <w:rPr>
          <w:rFonts w:asciiTheme="majorBidi" w:hAnsiTheme="majorBidi" w:cstheme="majorBidi"/>
          <w:sz w:val="24"/>
          <w:szCs w:val="24"/>
          <w:lang w:val="en-US"/>
        </w:rPr>
        <w:t xml:space="preserve"> in 2005</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98"/>
      </w:r>
    </w:p>
    <w:p w14:paraId="4F10CA60" w14:textId="3D3B0C5B" w:rsidR="00C56FD7" w:rsidRDefault="0043571E" w:rsidP="00634054">
      <w:pPr>
        <w:keepLines/>
        <w:suppressAutoHyphens/>
        <w:autoSpaceDE w:val="0"/>
        <w:adjustRightInd w:val="0"/>
        <w:spacing w:line="360" w:lineRule="auto"/>
        <w:ind w:firstLine="567"/>
        <w:jc w:val="both"/>
        <w:rPr>
          <w:rFonts w:asciiTheme="majorBidi" w:hAnsiTheme="majorBidi" w:cs="Times New Roman"/>
          <w:sz w:val="24"/>
          <w:szCs w:val="24"/>
          <w:lang w:val="en-US"/>
        </w:rPr>
      </w:pPr>
      <w:r>
        <w:rPr>
          <w:rFonts w:asciiTheme="majorBidi" w:hAnsiTheme="majorBidi" w:cstheme="majorBidi"/>
          <w:sz w:val="24"/>
          <w:szCs w:val="24"/>
          <w:lang w:val="en-US"/>
        </w:rPr>
        <w:lastRenderedPageBreak/>
        <w:t>L</w:t>
      </w:r>
      <w:r w:rsidR="00C56FD7" w:rsidRPr="00CC4B57">
        <w:rPr>
          <w:rFonts w:asciiTheme="majorBidi" w:hAnsiTheme="majorBidi" w:cstheme="majorBidi"/>
          <w:sz w:val="24"/>
          <w:szCs w:val="24"/>
          <w:lang w:val="en-US"/>
        </w:rPr>
        <w:t xml:space="preserve">oans from countries, institutions, and international organizations </w:t>
      </w:r>
      <w:r w:rsidR="0077271F">
        <w:rPr>
          <w:rFonts w:asciiTheme="majorBidi" w:hAnsiTheme="majorBidi" w:cstheme="majorBidi"/>
          <w:sz w:val="24"/>
          <w:szCs w:val="24"/>
          <w:lang w:val="en-US"/>
        </w:rPr>
        <w:t>have</w:t>
      </w:r>
      <w:r w:rsidR="00C56FD7" w:rsidRPr="00CC4B57">
        <w:rPr>
          <w:rFonts w:asciiTheme="majorBidi" w:hAnsiTheme="majorBidi" w:cstheme="majorBidi"/>
          <w:sz w:val="24"/>
          <w:szCs w:val="24"/>
          <w:lang w:val="en-US"/>
        </w:rPr>
        <w:t xml:space="preserve"> favorable facilities, such as grace periods, </w:t>
      </w:r>
      <w:r w:rsidR="00C56FD7">
        <w:rPr>
          <w:rFonts w:asciiTheme="majorBidi" w:hAnsiTheme="majorBidi" w:cstheme="majorBidi"/>
          <w:sz w:val="24"/>
          <w:szCs w:val="24"/>
          <w:lang w:val="en-US"/>
        </w:rPr>
        <w:t>l</w:t>
      </w:r>
      <w:r w:rsidR="0047693E">
        <w:rPr>
          <w:rFonts w:asciiTheme="majorBidi" w:hAnsiTheme="majorBidi" w:cstheme="majorBidi"/>
          <w:sz w:val="24"/>
          <w:szCs w:val="24"/>
          <w:lang w:val="en-US"/>
        </w:rPr>
        <w:t>o</w:t>
      </w:r>
      <w:r w:rsidR="00C56FD7">
        <w:rPr>
          <w:rFonts w:asciiTheme="majorBidi" w:hAnsiTheme="majorBidi" w:cstheme="majorBidi"/>
          <w:sz w:val="24"/>
          <w:szCs w:val="24"/>
          <w:lang w:val="en-US"/>
        </w:rPr>
        <w:t>w</w:t>
      </w:r>
      <w:r w:rsidR="0047693E">
        <w:rPr>
          <w:rFonts w:asciiTheme="majorBidi" w:hAnsiTheme="majorBidi" w:cstheme="majorBidi"/>
          <w:sz w:val="24"/>
          <w:szCs w:val="24"/>
          <w:lang w:val="en-US"/>
        </w:rPr>
        <w:t>-</w:t>
      </w:r>
      <w:r w:rsidR="00C56FD7" w:rsidRPr="00CC4B57">
        <w:rPr>
          <w:rFonts w:asciiTheme="majorBidi" w:hAnsiTheme="majorBidi" w:cstheme="majorBidi"/>
          <w:sz w:val="24"/>
          <w:szCs w:val="24"/>
          <w:lang w:val="en-US"/>
        </w:rPr>
        <w:t>interest rates</w:t>
      </w:r>
      <w:r w:rsidR="0077271F">
        <w:rPr>
          <w:rFonts w:asciiTheme="majorBidi" w:hAnsiTheme="majorBidi" w:cstheme="majorBidi"/>
          <w:sz w:val="24"/>
          <w:szCs w:val="24"/>
          <w:lang w:val="en-US"/>
        </w:rPr>
        <w:t>,</w:t>
      </w:r>
      <w:r w:rsidR="00C56FD7" w:rsidRPr="00CC4B57">
        <w:rPr>
          <w:rFonts w:asciiTheme="majorBidi" w:hAnsiTheme="majorBidi" w:cstheme="majorBidi"/>
          <w:sz w:val="24"/>
          <w:szCs w:val="24"/>
          <w:lang w:val="en-US"/>
        </w:rPr>
        <w:t xml:space="preserve"> and debt service conditions</w:t>
      </w:r>
      <w:r w:rsidR="00C56FD7">
        <w:rPr>
          <w:rFonts w:asciiTheme="majorBidi" w:hAnsiTheme="majorBidi" w:cstheme="majorBidi"/>
          <w:sz w:val="24"/>
          <w:szCs w:val="24"/>
          <w:lang w:val="en-US"/>
        </w:rPr>
        <w:t xml:space="preserve">. However, </w:t>
      </w:r>
      <w:r w:rsidR="00C56FD7" w:rsidRPr="00CC4B57">
        <w:rPr>
          <w:rFonts w:asciiTheme="majorBidi" w:hAnsiTheme="majorBidi" w:cstheme="majorBidi"/>
          <w:sz w:val="24"/>
          <w:szCs w:val="24"/>
          <w:lang w:val="en-US"/>
        </w:rPr>
        <w:t xml:space="preserve">political and economic pressures represent the biggest obstacle to </w:t>
      </w:r>
      <w:r w:rsidR="00C56FD7">
        <w:rPr>
          <w:rFonts w:asciiTheme="majorBidi" w:hAnsiTheme="majorBidi" w:cstheme="majorBidi"/>
          <w:sz w:val="24"/>
          <w:szCs w:val="24"/>
          <w:lang w:val="en-US"/>
        </w:rPr>
        <w:t>obtain</w:t>
      </w:r>
      <w:r w:rsidR="00C56FD7" w:rsidRPr="00CC4B57">
        <w:rPr>
          <w:rFonts w:asciiTheme="majorBidi" w:hAnsiTheme="majorBidi" w:cstheme="majorBidi"/>
          <w:sz w:val="24"/>
          <w:szCs w:val="24"/>
          <w:lang w:val="en-US"/>
        </w:rPr>
        <w:t xml:space="preserve"> </w:t>
      </w:r>
      <w:r>
        <w:rPr>
          <w:rFonts w:asciiTheme="majorBidi" w:hAnsiTheme="majorBidi" w:cstheme="majorBidi"/>
          <w:sz w:val="24"/>
          <w:szCs w:val="24"/>
          <w:lang w:val="en-US"/>
        </w:rPr>
        <w:t>these</w:t>
      </w:r>
      <w:r w:rsidR="00C56FD7" w:rsidRPr="00CC4B57">
        <w:rPr>
          <w:rFonts w:asciiTheme="majorBidi" w:hAnsiTheme="majorBidi" w:cstheme="majorBidi"/>
          <w:sz w:val="24"/>
          <w:szCs w:val="24"/>
          <w:lang w:val="en-US"/>
        </w:rPr>
        <w:t xml:space="preserve"> loans</w:t>
      </w:r>
      <w:r w:rsidR="00C56FD7" w:rsidRPr="00CC4B57">
        <w:rPr>
          <w:rFonts w:asciiTheme="majorBidi" w:hAnsiTheme="majorBidi" w:cs="Times New Roman"/>
          <w:sz w:val="24"/>
          <w:szCs w:val="24"/>
          <w:rtl/>
          <w:lang w:val="en-US"/>
        </w:rPr>
        <w:t>.</w:t>
      </w:r>
      <w:r w:rsidR="00C56FD7">
        <w:rPr>
          <w:rFonts w:asciiTheme="majorBidi" w:hAnsiTheme="majorBidi" w:cs="Times New Roman"/>
          <w:sz w:val="24"/>
          <w:szCs w:val="24"/>
          <w:lang w:val="en-US"/>
        </w:rPr>
        <w:t xml:space="preserve"> While</w:t>
      </w:r>
      <w:r w:rsidR="00C56FD7" w:rsidRPr="00CC4B57">
        <w:rPr>
          <w:rFonts w:asciiTheme="majorBidi" w:hAnsiTheme="majorBidi" w:cs="Times New Roman"/>
          <w:sz w:val="24"/>
          <w:szCs w:val="24"/>
          <w:lang w:val="en-US"/>
        </w:rPr>
        <w:t xml:space="preserve"> insufficient internal resources to finance the reconstruction in Syria may lead it to seek external loans</w:t>
      </w:r>
      <w:r w:rsidR="00C56FD7">
        <w:rPr>
          <w:rFonts w:asciiTheme="majorBidi" w:hAnsiTheme="majorBidi" w:cs="Times New Roman"/>
          <w:sz w:val="24"/>
          <w:szCs w:val="24"/>
          <w:lang w:val="en-US"/>
        </w:rPr>
        <w:t>.</w:t>
      </w:r>
    </w:p>
    <w:p w14:paraId="523099C5" w14:textId="16F66113" w:rsidR="00C56FD7" w:rsidRDefault="00C56FD7" w:rsidP="00634054">
      <w:pPr>
        <w:suppressAutoHyphens/>
        <w:autoSpaceDE w:val="0"/>
        <w:adjustRightInd w:val="0"/>
        <w:spacing w:line="360" w:lineRule="auto"/>
        <w:ind w:firstLine="567"/>
        <w:jc w:val="both"/>
        <w:rPr>
          <w:rFonts w:asciiTheme="majorBidi" w:hAnsiTheme="majorBidi" w:cs="Times New Roman"/>
          <w:sz w:val="24"/>
          <w:szCs w:val="24"/>
          <w:lang w:val="en-US"/>
        </w:rPr>
      </w:pPr>
      <w:r w:rsidRPr="00CC4B57">
        <w:rPr>
          <w:rFonts w:asciiTheme="majorBidi" w:hAnsiTheme="majorBidi" w:cs="Times New Roman"/>
          <w:sz w:val="24"/>
          <w:szCs w:val="24"/>
          <w:lang w:val="en-US"/>
        </w:rPr>
        <w:t xml:space="preserve">The Syrian government can conclude agreements with countries such as China, Russia, and </w:t>
      </w:r>
      <w:r>
        <w:rPr>
          <w:rFonts w:asciiTheme="majorBidi" w:hAnsiTheme="majorBidi" w:cs="Times New Roman"/>
          <w:sz w:val="24"/>
          <w:szCs w:val="24"/>
          <w:lang w:val="en-US"/>
        </w:rPr>
        <w:t>Iran</w:t>
      </w:r>
      <w:r w:rsidRPr="00CC4B57">
        <w:rPr>
          <w:rFonts w:asciiTheme="majorBidi" w:hAnsiTheme="majorBidi" w:cs="Times New Roman"/>
          <w:sz w:val="24"/>
          <w:szCs w:val="24"/>
          <w:lang w:val="en-US"/>
        </w:rPr>
        <w:t xml:space="preserve"> to provide loans or credit facilities</w:t>
      </w:r>
      <w:r w:rsidR="00A401F5">
        <w:rPr>
          <w:rFonts w:asciiTheme="majorBidi" w:hAnsiTheme="majorBidi" w:cs="Times New Roman"/>
          <w:sz w:val="24"/>
          <w:szCs w:val="24"/>
          <w:lang w:val="en-US"/>
        </w:rPr>
        <w:t>.</w:t>
      </w:r>
      <w:r>
        <w:rPr>
          <w:rFonts w:asciiTheme="majorBidi" w:hAnsiTheme="majorBidi" w:cs="Times New Roman"/>
          <w:sz w:val="24"/>
          <w:szCs w:val="24"/>
          <w:lang w:val="en-US"/>
        </w:rPr>
        <w:t xml:space="preserve"> </w:t>
      </w:r>
      <w:r w:rsidR="00A401F5">
        <w:rPr>
          <w:rFonts w:asciiTheme="majorBidi" w:hAnsiTheme="majorBidi" w:cs="Times New Roman"/>
          <w:sz w:val="24"/>
          <w:szCs w:val="24"/>
          <w:lang w:val="en-US"/>
        </w:rPr>
        <w:t>O</w:t>
      </w:r>
      <w:r w:rsidRPr="00CC4B57">
        <w:rPr>
          <w:rFonts w:asciiTheme="majorBidi" w:hAnsiTheme="majorBidi" w:cs="Times New Roman"/>
          <w:sz w:val="24"/>
          <w:szCs w:val="24"/>
          <w:lang w:val="en-US"/>
        </w:rPr>
        <w:t xml:space="preserve">r through the Development Bank of the BRICS </w:t>
      </w:r>
      <w:r w:rsidR="0047693E">
        <w:rPr>
          <w:rFonts w:asciiTheme="majorBidi" w:hAnsiTheme="majorBidi" w:cs="Times New Roman"/>
          <w:sz w:val="24"/>
          <w:szCs w:val="24"/>
          <w:lang w:val="en-US"/>
        </w:rPr>
        <w:t>g</w:t>
      </w:r>
      <w:r w:rsidRPr="00CC4B57">
        <w:rPr>
          <w:rFonts w:asciiTheme="majorBidi" w:hAnsiTheme="majorBidi" w:cs="Times New Roman"/>
          <w:sz w:val="24"/>
          <w:szCs w:val="24"/>
          <w:lang w:val="en-US"/>
        </w:rPr>
        <w:t>roup (Brazil</w:t>
      </w:r>
      <w:r>
        <w:rPr>
          <w:rFonts w:asciiTheme="majorBidi" w:hAnsiTheme="majorBidi" w:cs="Times New Roman"/>
          <w:sz w:val="24"/>
          <w:szCs w:val="24"/>
          <w:lang w:val="en-US"/>
        </w:rPr>
        <w:t xml:space="preserve">, </w:t>
      </w:r>
      <w:r w:rsidRPr="00CC4B57">
        <w:rPr>
          <w:rFonts w:asciiTheme="majorBidi" w:hAnsiTheme="majorBidi" w:cs="Times New Roman"/>
          <w:sz w:val="24"/>
          <w:szCs w:val="24"/>
          <w:lang w:val="en-US"/>
        </w:rPr>
        <w:t>Russia,</w:t>
      </w:r>
      <w:r>
        <w:rPr>
          <w:rFonts w:asciiTheme="majorBidi" w:hAnsiTheme="majorBidi" w:cs="Times New Roman"/>
          <w:sz w:val="24"/>
          <w:szCs w:val="24"/>
          <w:lang w:val="en-US"/>
        </w:rPr>
        <w:t xml:space="preserve"> </w:t>
      </w:r>
      <w:r w:rsidRPr="00CC4B57">
        <w:rPr>
          <w:rFonts w:asciiTheme="majorBidi" w:hAnsiTheme="majorBidi" w:cs="Times New Roman"/>
          <w:sz w:val="24"/>
          <w:szCs w:val="24"/>
          <w:lang w:val="en-US"/>
        </w:rPr>
        <w:t>India</w:t>
      </w:r>
      <w:r>
        <w:rPr>
          <w:rFonts w:asciiTheme="majorBidi" w:hAnsiTheme="majorBidi" w:cs="Times New Roman"/>
          <w:sz w:val="24"/>
          <w:szCs w:val="24"/>
          <w:lang w:val="en-US"/>
        </w:rPr>
        <w:t>,</w:t>
      </w:r>
      <w:r w:rsidRPr="00CC4B57">
        <w:rPr>
          <w:rFonts w:asciiTheme="majorBidi" w:hAnsiTheme="majorBidi" w:cs="Times New Roman"/>
          <w:sz w:val="24"/>
          <w:szCs w:val="24"/>
          <w:lang w:val="en-US"/>
        </w:rPr>
        <w:t xml:space="preserve"> China, and South Africa)</w:t>
      </w:r>
      <w:r w:rsidR="0077271F">
        <w:rPr>
          <w:rFonts w:asciiTheme="majorBidi" w:hAnsiTheme="majorBidi" w:cs="Times New Roman"/>
          <w:sz w:val="24"/>
          <w:szCs w:val="24"/>
          <w:lang w:val="en-US"/>
        </w:rPr>
        <w:t>,</w:t>
      </w:r>
      <w:r w:rsidRPr="00CC4B57">
        <w:rPr>
          <w:rFonts w:asciiTheme="majorBidi" w:hAnsiTheme="majorBidi" w:cs="Times New Roman"/>
          <w:sz w:val="24"/>
          <w:szCs w:val="24"/>
          <w:lang w:val="en-US"/>
        </w:rPr>
        <w:t xml:space="preserve"> and these countries can call for an international conference of donor countries for the reconstruction of Syria</w:t>
      </w:r>
      <w:r w:rsidRPr="00FC0A47">
        <w:rPr>
          <w:rFonts w:asciiTheme="majorBidi" w:hAnsiTheme="majorBidi" w:cs="Times New Roman"/>
          <w:sz w:val="24"/>
          <w:szCs w:val="24"/>
          <w:lang w:val="en-US"/>
        </w:rPr>
        <w:t>.</w:t>
      </w:r>
    </w:p>
    <w:p w14:paraId="2D87ECB0" w14:textId="20693780" w:rsidR="00C56FD7" w:rsidRDefault="00CA6987" w:rsidP="00634054">
      <w:pPr>
        <w:pStyle w:val="ListParagraph"/>
        <w:numPr>
          <w:ilvl w:val="0"/>
          <w:numId w:val="26"/>
        </w:numPr>
        <w:suppressAutoHyphens/>
        <w:autoSpaceDE w:val="0"/>
        <w:adjustRightInd w:val="0"/>
        <w:spacing w:before="240" w:line="360" w:lineRule="auto"/>
        <w:ind w:left="567" w:hanging="357"/>
        <w:contextualSpacing/>
        <w:jc w:val="both"/>
        <w:textAlignment w:val="auto"/>
        <w:rPr>
          <w:rFonts w:asciiTheme="majorBidi" w:hAnsiTheme="majorBidi" w:cstheme="majorBidi"/>
          <w:b/>
          <w:bCs/>
          <w:sz w:val="24"/>
          <w:szCs w:val="24"/>
          <w:lang w:val="en-US"/>
        </w:rPr>
      </w:pPr>
      <w:r>
        <w:rPr>
          <w:rFonts w:asciiTheme="majorBidi" w:hAnsiTheme="majorBidi" w:cstheme="majorBidi"/>
          <w:b/>
          <w:bCs/>
          <w:sz w:val="24"/>
          <w:szCs w:val="24"/>
          <w:lang w:val="en-US"/>
        </w:rPr>
        <w:t>Foreign investment (</w:t>
      </w:r>
      <w:r w:rsidR="00C56FD7">
        <w:rPr>
          <w:rFonts w:asciiTheme="majorBidi" w:hAnsiTheme="majorBidi" w:cstheme="majorBidi"/>
          <w:b/>
          <w:bCs/>
          <w:sz w:val="24"/>
          <w:szCs w:val="24"/>
          <w:lang w:val="en-US"/>
        </w:rPr>
        <w:t xml:space="preserve">Project finance </w:t>
      </w:r>
      <w:r>
        <w:rPr>
          <w:rFonts w:asciiTheme="majorBidi" w:hAnsiTheme="majorBidi" w:cstheme="majorBidi"/>
          <w:b/>
          <w:bCs/>
          <w:sz w:val="24"/>
          <w:szCs w:val="24"/>
          <w:lang w:val="en-US"/>
        </w:rPr>
        <w:t>form)</w:t>
      </w:r>
      <w:r w:rsidR="00C56FD7">
        <w:rPr>
          <w:rFonts w:asciiTheme="majorBidi" w:hAnsiTheme="majorBidi" w:cstheme="majorBidi"/>
          <w:b/>
          <w:bCs/>
          <w:sz w:val="24"/>
          <w:szCs w:val="24"/>
          <w:lang w:val="en-US"/>
        </w:rPr>
        <w:t>:</w:t>
      </w:r>
    </w:p>
    <w:p w14:paraId="528FF8C6" w14:textId="2A29CB5F" w:rsidR="00C56FD7" w:rsidRDefault="00C56FD7" w:rsidP="00634054">
      <w:pPr>
        <w:suppressAutoHyphens/>
        <w:autoSpaceDE w:val="0"/>
        <w:adjustRightInd w:val="0"/>
        <w:spacing w:line="360" w:lineRule="auto"/>
        <w:ind w:firstLine="567"/>
        <w:jc w:val="both"/>
        <w:rPr>
          <w:rFonts w:asciiTheme="majorBidi" w:hAnsiTheme="majorBidi" w:cs="Times New Roman"/>
          <w:sz w:val="24"/>
          <w:szCs w:val="24"/>
          <w:lang w:val="en-US"/>
        </w:rPr>
      </w:pPr>
      <w:r>
        <w:rPr>
          <w:rFonts w:asciiTheme="majorBidi" w:hAnsiTheme="majorBidi" w:cs="Times New Roman"/>
          <w:sz w:val="24"/>
          <w:szCs w:val="24"/>
          <w:lang w:val="en-US"/>
        </w:rPr>
        <w:t>P</w:t>
      </w:r>
      <w:r w:rsidRPr="00FE11DD">
        <w:rPr>
          <w:rFonts w:asciiTheme="majorBidi" w:hAnsiTheme="majorBidi" w:cs="Times New Roman"/>
          <w:sz w:val="24"/>
          <w:szCs w:val="24"/>
          <w:lang w:val="en-US"/>
        </w:rPr>
        <w:t>roject finance can adjust to less-than-favorable environments in the least developed countries</w:t>
      </w:r>
      <w:r w:rsidR="00A401F5">
        <w:rPr>
          <w:rFonts w:asciiTheme="majorBidi" w:hAnsiTheme="majorBidi" w:cs="Times New Roman"/>
          <w:sz w:val="24"/>
          <w:szCs w:val="24"/>
          <w:lang w:val="en-US"/>
        </w:rPr>
        <w:t xml:space="preserve"> </w:t>
      </w:r>
      <w:r w:rsidRPr="00FE11DD">
        <w:rPr>
          <w:rFonts w:asciiTheme="majorBidi" w:hAnsiTheme="majorBidi" w:cs="Times New Roman"/>
          <w:sz w:val="24"/>
          <w:szCs w:val="24"/>
          <w:lang w:val="en-US"/>
        </w:rPr>
        <w:t xml:space="preserve">and </w:t>
      </w:r>
      <w:r>
        <w:rPr>
          <w:rFonts w:asciiTheme="majorBidi" w:hAnsiTheme="majorBidi" w:cs="Times New Roman"/>
          <w:sz w:val="24"/>
          <w:szCs w:val="24"/>
          <w:lang w:val="en-US"/>
        </w:rPr>
        <w:t>can</w:t>
      </w:r>
      <w:r w:rsidRPr="00FE11DD">
        <w:rPr>
          <w:rFonts w:asciiTheme="majorBidi" w:hAnsiTheme="majorBidi" w:cs="Times New Roman"/>
          <w:sz w:val="24"/>
          <w:szCs w:val="24"/>
          <w:lang w:val="en-US"/>
        </w:rPr>
        <w:t xml:space="preserve"> substitute for the lack of institutional and financial development</w:t>
      </w:r>
      <w:r>
        <w:rPr>
          <w:rFonts w:asciiTheme="majorBidi" w:hAnsiTheme="majorBidi" w:cs="Times New Roman"/>
          <w:sz w:val="24"/>
          <w:szCs w:val="24"/>
          <w:lang w:val="en-US"/>
        </w:rPr>
        <w:t>.</w:t>
      </w:r>
      <w:r>
        <w:rPr>
          <w:rStyle w:val="FootnoteReference"/>
          <w:rFonts w:asciiTheme="majorBidi" w:hAnsiTheme="majorBidi" w:cs="Times New Roman"/>
          <w:sz w:val="24"/>
          <w:szCs w:val="24"/>
          <w:lang w:val="en-US"/>
        </w:rPr>
        <w:footnoteReference w:id="99"/>
      </w:r>
      <w:r>
        <w:rPr>
          <w:rFonts w:asciiTheme="majorBidi" w:hAnsiTheme="majorBidi" w:cs="Times New Roman"/>
          <w:sz w:val="24"/>
          <w:szCs w:val="24"/>
          <w:lang w:val="en-US"/>
        </w:rPr>
        <w:t xml:space="preserve"> </w:t>
      </w:r>
      <w:r w:rsidRPr="00FE11DD">
        <w:rPr>
          <w:rFonts w:asciiTheme="majorBidi" w:hAnsiTheme="majorBidi" w:cs="Times New Roman"/>
          <w:sz w:val="24"/>
          <w:szCs w:val="24"/>
          <w:lang w:val="en-US"/>
        </w:rPr>
        <w:t>This form of financing is characterized by providing a series of multiple financial options,</w:t>
      </w:r>
      <w:r>
        <w:rPr>
          <w:rFonts w:asciiTheme="majorBidi" w:hAnsiTheme="majorBidi" w:cs="Times New Roman"/>
          <w:sz w:val="24"/>
          <w:szCs w:val="24"/>
          <w:lang w:val="en-US"/>
        </w:rPr>
        <w:t xml:space="preserve"> </w:t>
      </w:r>
      <w:r w:rsidRPr="00FE11DD">
        <w:rPr>
          <w:rFonts w:asciiTheme="majorBidi" w:hAnsiTheme="majorBidi" w:cs="Times New Roman"/>
          <w:sz w:val="24"/>
          <w:szCs w:val="24"/>
          <w:lang w:val="en-US"/>
        </w:rPr>
        <w:t>as it provides the possibility to expand</w:t>
      </w:r>
      <w:r>
        <w:rPr>
          <w:rFonts w:asciiTheme="majorBidi" w:hAnsiTheme="majorBidi" w:cs="Times New Roman"/>
          <w:sz w:val="24"/>
          <w:szCs w:val="24"/>
          <w:lang w:val="en-US"/>
        </w:rPr>
        <w:t xml:space="preserve"> </w:t>
      </w:r>
      <w:r w:rsidRPr="00FE11DD">
        <w:rPr>
          <w:rFonts w:asciiTheme="majorBidi" w:hAnsiTheme="majorBidi" w:cs="Times New Roman"/>
          <w:sz w:val="24"/>
          <w:szCs w:val="24"/>
          <w:lang w:val="en-US"/>
        </w:rPr>
        <w:t>and modernize the infrastructure</w:t>
      </w:r>
      <w:r>
        <w:rPr>
          <w:rFonts w:asciiTheme="majorBidi" w:hAnsiTheme="majorBidi" w:cs="Times New Roman"/>
          <w:sz w:val="24"/>
          <w:szCs w:val="24"/>
          <w:lang w:val="en-US"/>
        </w:rPr>
        <w:t xml:space="preserve"> (m</w:t>
      </w:r>
      <w:r w:rsidRPr="00FE11DD">
        <w:rPr>
          <w:rFonts w:asciiTheme="majorBidi" w:hAnsiTheme="majorBidi" w:cs="Times New Roman"/>
          <w:sz w:val="24"/>
          <w:szCs w:val="24"/>
          <w:lang w:val="en-US"/>
        </w:rPr>
        <w:t xml:space="preserve">ajor roads, </w:t>
      </w:r>
      <w:r>
        <w:rPr>
          <w:rFonts w:asciiTheme="majorBidi" w:hAnsiTheme="majorBidi" w:cs="Times New Roman"/>
          <w:sz w:val="24"/>
          <w:szCs w:val="24"/>
          <w:lang w:val="en-US"/>
        </w:rPr>
        <w:t>hanging</w:t>
      </w:r>
      <w:r w:rsidRPr="00FE11DD">
        <w:rPr>
          <w:rFonts w:asciiTheme="majorBidi" w:hAnsiTheme="majorBidi" w:cs="Times New Roman"/>
          <w:sz w:val="24"/>
          <w:szCs w:val="24"/>
          <w:lang w:val="en-US"/>
        </w:rPr>
        <w:t xml:space="preserve"> and water bridges, </w:t>
      </w:r>
      <w:r>
        <w:rPr>
          <w:rFonts w:asciiTheme="majorBidi" w:hAnsiTheme="majorBidi" w:cs="Times New Roman"/>
          <w:sz w:val="24"/>
          <w:szCs w:val="24"/>
          <w:lang w:val="en-US"/>
        </w:rPr>
        <w:t xml:space="preserve">ports, </w:t>
      </w:r>
      <w:r w:rsidRPr="00FE11DD">
        <w:rPr>
          <w:rFonts w:asciiTheme="majorBidi" w:hAnsiTheme="majorBidi" w:cs="Times New Roman"/>
          <w:sz w:val="24"/>
          <w:szCs w:val="24"/>
          <w:lang w:val="en-US"/>
        </w:rPr>
        <w:t xml:space="preserve">airports, </w:t>
      </w:r>
      <w:r>
        <w:rPr>
          <w:rFonts w:asciiTheme="majorBidi" w:hAnsiTheme="majorBidi" w:cs="Times New Roman"/>
          <w:sz w:val="24"/>
          <w:szCs w:val="24"/>
          <w:lang w:val="en-US"/>
        </w:rPr>
        <w:t xml:space="preserve">and </w:t>
      </w:r>
      <w:r w:rsidRPr="00FE11DD">
        <w:rPr>
          <w:rFonts w:asciiTheme="majorBidi" w:hAnsiTheme="majorBidi" w:cs="Times New Roman"/>
          <w:sz w:val="24"/>
          <w:szCs w:val="24"/>
          <w:lang w:val="en-US"/>
        </w:rPr>
        <w:t>rebuilding cities</w:t>
      </w:r>
      <w:r>
        <w:rPr>
          <w:rFonts w:asciiTheme="majorBidi" w:hAnsiTheme="majorBidi" w:cs="Times New Roman"/>
          <w:sz w:val="24"/>
          <w:szCs w:val="24"/>
          <w:lang w:val="en-US"/>
        </w:rPr>
        <w:t>), b</w:t>
      </w:r>
      <w:r w:rsidRPr="00FE11DD">
        <w:rPr>
          <w:rFonts w:asciiTheme="majorBidi" w:hAnsiTheme="majorBidi" w:cs="Times New Roman"/>
          <w:sz w:val="24"/>
          <w:szCs w:val="24"/>
          <w:lang w:val="en-US"/>
        </w:rPr>
        <w:t xml:space="preserve">y financing projects with the necessary financial resources from outside </w:t>
      </w:r>
      <w:r w:rsidR="00BA4AE0">
        <w:rPr>
          <w:rFonts w:asciiTheme="majorBidi" w:hAnsiTheme="majorBidi" w:cs="Times New Roman"/>
          <w:sz w:val="24"/>
          <w:szCs w:val="24"/>
          <w:lang w:val="en-US"/>
        </w:rPr>
        <w:t xml:space="preserve">the </w:t>
      </w:r>
      <w:r w:rsidRPr="00FE11DD">
        <w:rPr>
          <w:rFonts w:asciiTheme="majorBidi" w:hAnsiTheme="majorBidi" w:cs="Times New Roman"/>
          <w:sz w:val="24"/>
          <w:szCs w:val="24"/>
          <w:lang w:val="en-US"/>
        </w:rPr>
        <w:t>government budget, without an increase in public debt and budget deficits</w:t>
      </w:r>
      <w:r>
        <w:rPr>
          <w:rFonts w:asciiTheme="majorBidi" w:hAnsiTheme="majorBidi" w:cs="Times New Roman"/>
          <w:sz w:val="24"/>
          <w:szCs w:val="24"/>
          <w:lang w:val="en-US"/>
        </w:rPr>
        <w:t>.</w:t>
      </w:r>
    </w:p>
    <w:p w14:paraId="51905B39" w14:textId="737AF1A6" w:rsidR="00402100" w:rsidRDefault="00C56FD7" w:rsidP="00634054">
      <w:pPr>
        <w:suppressAutoHyphens/>
        <w:autoSpaceDE w:val="0"/>
        <w:adjustRightInd w:val="0"/>
        <w:spacing w:line="360" w:lineRule="auto"/>
        <w:ind w:firstLine="567"/>
        <w:jc w:val="both"/>
        <w:rPr>
          <w:rFonts w:asciiTheme="majorBidi" w:hAnsiTheme="majorBidi" w:cs="Times New Roman"/>
          <w:sz w:val="24"/>
          <w:szCs w:val="24"/>
          <w:lang w:val="en-US"/>
        </w:rPr>
      </w:pPr>
      <w:r w:rsidRPr="00FE11DD">
        <w:rPr>
          <w:rFonts w:asciiTheme="majorBidi" w:hAnsiTheme="majorBidi" w:cs="Times New Roman"/>
          <w:sz w:val="24"/>
          <w:szCs w:val="24"/>
          <w:lang w:val="en-US"/>
        </w:rPr>
        <w:t xml:space="preserve">The </w:t>
      </w:r>
      <w:r w:rsidR="00D5087E" w:rsidRPr="00FE11DD">
        <w:rPr>
          <w:rFonts w:asciiTheme="majorBidi" w:hAnsiTheme="majorBidi" w:cs="Times New Roman"/>
          <w:sz w:val="24"/>
          <w:szCs w:val="24"/>
          <w:lang w:val="en-US"/>
        </w:rPr>
        <w:t xml:space="preserve">negotiation </w:t>
      </w:r>
      <w:r w:rsidRPr="00FE11DD">
        <w:rPr>
          <w:rFonts w:asciiTheme="majorBidi" w:hAnsiTheme="majorBidi" w:cs="Times New Roman"/>
          <w:sz w:val="24"/>
          <w:szCs w:val="24"/>
          <w:lang w:val="en-US"/>
        </w:rPr>
        <w:t>method between the government and foreign companies to invest in large mega</w:t>
      </w:r>
      <w:r w:rsidR="0047693E">
        <w:rPr>
          <w:rFonts w:asciiTheme="majorBidi" w:hAnsiTheme="majorBidi" w:cs="Times New Roman"/>
          <w:sz w:val="24"/>
          <w:szCs w:val="24"/>
          <w:lang w:val="en-US"/>
        </w:rPr>
        <w:t>-</w:t>
      </w:r>
      <w:r w:rsidRPr="00FE11DD">
        <w:rPr>
          <w:rFonts w:asciiTheme="majorBidi" w:hAnsiTheme="majorBidi" w:cs="Times New Roman"/>
          <w:sz w:val="24"/>
          <w:szCs w:val="24"/>
          <w:lang w:val="en-US"/>
        </w:rPr>
        <w:t>projects determines the method of financing, the period for operation</w:t>
      </w:r>
      <w:r w:rsidR="00BA4AE0">
        <w:rPr>
          <w:rFonts w:asciiTheme="majorBidi" w:hAnsiTheme="majorBidi" w:cs="Times New Roman"/>
          <w:sz w:val="24"/>
          <w:szCs w:val="24"/>
          <w:lang w:val="en-US"/>
        </w:rPr>
        <w:t>,</w:t>
      </w:r>
      <w:r w:rsidRPr="00FE11DD">
        <w:rPr>
          <w:rFonts w:asciiTheme="majorBidi" w:hAnsiTheme="majorBidi" w:cs="Times New Roman"/>
          <w:sz w:val="24"/>
          <w:szCs w:val="24"/>
          <w:lang w:val="en-US"/>
        </w:rPr>
        <w:t xml:space="preserve"> and the final ownership of the funded companies.</w:t>
      </w:r>
    </w:p>
    <w:p w14:paraId="021979F9" w14:textId="5F45ABF4" w:rsidR="00402100" w:rsidRPr="009C0AD1" w:rsidRDefault="00402100" w:rsidP="00634054">
      <w:pPr>
        <w:suppressAutoHyphens/>
        <w:autoSpaceDE w:val="0"/>
        <w:adjustRightInd w:val="0"/>
        <w:spacing w:before="240" w:line="360" w:lineRule="auto"/>
        <w:jc w:val="both"/>
        <w:rPr>
          <w:rFonts w:asciiTheme="majorBidi" w:hAnsiTheme="majorBidi" w:cstheme="majorBidi"/>
          <w:sz w:val="28"/>
          <w:szCs w:val="28"/>
        </w:rPr>
      </w:pPr>
      <w:r w:rsidRPr="009C0AD1">
        <w:rPr>
          <w:rFonts w:asciiTheme="majorBidi" w:hAnsiTheme="majorBidi" w:cstheme="majorBidi"/>
          <w:sz w:val="28"/>
          <w:szCs w:val="28"/>
        </w:rPr>
        <w:t xml:space="preserve">3.3 The </w:t>
      </w:r>
      <w:r w:rsidR="00B96905" w:rsidRPr="009C0AD1">
        <w:rPr>
          <w:rFonts w:asciiTheme="majorBidi" w:hAnsiTheme="majorBidi" w:cstheme="majorBidi"/>
          <w:sz w:val="28"/>
          <w:szCs w:val="28"/>
        </w:rPr>
        <w:t>i</w:t>
      </w:r>
      <w:r w:rsidRPr="009C0AD1">
        <w:rPr>
          <w:rFonts w:asciiTheme="majorBidi" w:hAnsiTheme="majorBidi" w:cstheme="majorBidi"/>
          <w:sz w:val="28"/>
          <w:szCs w:val="28"/>
        </w:rPr>
        <w:t>nvestment climate, opportunities</w:t>
      </w:r>
      <w:r w:rsidR="003D3786" w:rsidRPr="009C0AD1">
        <w:rPr>
          <w:rFonts w:asciiTheme="majorBidi" w:hAnsiTheme="majorBidi" w:cstheme="majorBidi"/>
          <w:sz w:val="28"/>
          <w:szCs w:val="28"/>
        </w:rPr>
        <w:t>,</w:t>
      </w:r>
      <w:r w:rsidRPr="009C0AD1">
        <w:rPr>
          <w:rFonts w:asciiTheme="majorBidi" w:hAnsiTheme="majorBidi" w:cstheme="majorBidi"/>
          <w:sz w:val="28"/>
          <w:szCs w:val="28"/>
        </w:rPr>
        <w:t xml:space="preserve"> and </w:t>
      </w:r>
      <w:r w:rsidR="00B96905" w:rsidRPr="009C0AD1">
        <w:rPr>
          <w:rFonts w:asciiTheme="majorBidi" w:hAnsiTheme="majorBidi" w:cstheme="majorBidi"/>
          <w:sz w:val="28"/>
          <w:szCs w:val="28"/>
        </w:rPr>
        <w:t>c</w:t>
      </w:r>
      <w:r w:rsidRPr="009C0AD1">
        <w:rPr>
          <w:rFonts w:asciiTheme="majorBidi" w:hAnsiTheme="majorBidi" w:cstheme="majorBidi"/>
          <w:sz w:val="28"/>
          <w:szCs w:val="28"/>
        </w:rPr>
        <w:t>hallenges for applying project finance in Syria</w:t>
      </w:r>
    </w:p>
    <w:p w14:paraId="2669067F" w14:textId="7179A646" w:rsidR="00402100" w:rsidRDefault="00402100" w:rsidP="00634054">
      <w:pPr>
        <w:suppressAutoHyphens/>
        <w:autoSpaceDE w:val="0"/>
        <w:adjustRightInd w:val="0"/>
        <w:spacing w:before="240" w:line="360" w:lineRule="auto"/>
        <w:ind w:firstLine="567"/>
        <w:jc w:val="both"/>
        <w:rPr>
          <w:rFonts w:asciiTheme="majorBidi" w:hAnsiTheme="majorBidi" w:cstheme="majorBidi"/>
          <w:sz w:val="24"/>
          <w:szCs w:val="24"/>
          <w:lang w:val="en-US" w:bidi="ar-SY"/>
        </w:rPr>
      </w:pPr>
      <w:r w:rsidRPr="003A7986">
        <w:rPr>
          <w:rFonts w:asciiTheme="majorBidi" w:hAnsiTheme="majorBidi" w:cstheme="majorBidi"/>
          <w:sz w:val="24"/>
          <w:szCs w:val="24"/>
          <w:lang w:val="en-US" w:bidi="ar-SY"/>
        </w:rPr>
        <w:t xml:space="preserve">There is no doubt that the </w:t>
      </w:r>
      <w:r w:rsidR="00BA4AE0">
        <w:rPr>
          <w:rFonts w:asciiTheme="majorBidi" w:hAnsiTheme="majorBidi" w:cstheme="majorBidi"/>
          <w:sz w:val="24"/>
          <w:szCs w:val="24"/>
          <w:lang w:val="en-US" w:bidi="ar-SY"/>
        </w:rPr>
        <w:t xml:space="preserve">reconstruction </w:t>
      </w:r>
      <w:r w:rsidRPr="003A7986">
        <w:rPr>
          <w:rFonts w:asciiTheme="majorBidi" w:hAnsiTheme="majorBidi" w:cstheme="majorBidi"/>
          <w:sz w:val="24"/>
          <w:szCs w:val="24"/>
          <w:lang w:val="en-US" w:bidi="ar-SY"/>
        </w:rPr>
        <w:t xml:space="preserve">stage that Syria is witnessing differs </w:t>
      </w:r>
      <w:r w:rsidR="00A401F5" w:rsidRPr="00A401F5">
        <w:rPr>
          <w:rFonts w:asciiTheme="majorBidi" w:hAnsiTheme="majorBidi" w:cstheme="majorBidi"/>
          <w:sz w:val="24"/>
          <w:szCs w:val="24"/>
          <w:lang w:val="en-US" w:bidi="ar-SY"/>
        </w:rPr>
        <w:t xml:space="preserve">significantly </w:t>
      </w:r>
      <w:r w:rsidRPr="003A7986">
        <w:rPr>
          <w:rFonts w:asciiTheme="majorBidi" w:hAnsiTheme="majorBidi" w:cstheme="majorBidi"/>
          <w:sz w:val="24"/>
          <w:szCs w:val="24"/>
          <w:lang w:val="en-US" w:bidi="ar-SY"/>
        </w:rPr>
        <w:t xml:space="preserve">from the pre-crisis stage </w:t>
      </w:r>
      <w:r w:rsidR="0043571E" w:rsidRPr="0043571E">
        <w:rPr>
          <w:rFonts w:asciiTheme="majorBidi" w:hAnsiTheme="majorBidi" w:cstheme="majorBidi"/>
          <w:sz w:val="24"/>
          <w:szCs w:val="24"/>
          <w:lang w:val="en-US" w:bidi="ar-SY"/>
        </w:rPr>
        <w:t>due to the change in many circumstances</w:t>
      </w:r>
      <w:r w:rsidRPr="003A7986">
        <w:rPr>
          <w:rFonts w:asciiTheme="majorBidi" w:hAnsiTheme="majorBidi" w:cstheme="majorBidi"/>
          <w:sz w:val="24"/>
          <w:szCs w:val="24"/>
          <w:lang w:val="en-US" w:bidi="ar-SY"/>
        </w:rPr>
        <w:t xml:space="preserve">. Therefore, creating an investment climate by updating laws and activating financial legislation and international agreements </w:t>
      </w:r>
      <w:r w:rsidR="003D3786" w:rsidRPr="003D3786">
        <w:rPr>
          <w:rFonts w:asciiTheme="majorBidi" w:hAnsiTheme="majorBidi" w:cstheme="majorBidi"/>
          <w:sz w:val="24"/>
          <w:szCs w:val="24"/>
          <w:lang w:val="en-US" w:bidi="ar-SY"/>
        </w:rPr>
        <w:t xml:space="preserve">following </w:t>
      </w:r>
      <w:r w:rsidRPr="003A7986">
        <w:rPr>
          <w:rFonts w:asciiTheme="majorBidi" w:hAnsiTheme="majorBidi" w:cstheme="majorBidi"/>
          <w:sz w:val="24"/>
          <w:szCs w:val="24"/>
          <w:lang w:val="en-US" w:bidi="ar-SY"/>
        </w:rPr>
        <w:t xml:space="preserve">a sound scientific approach enhances efforts to achieve </w:t>
      </w:r>
      <w:r>
        <w:rPr>
          <w:rFonts w:asciiTheme="majorBidi" w:hAnsiTheme="majorBidi" w:cstheme="majorBidi"/>
          <w:sz w:val="24"/>
          <w:szCs w:val="24"/>
          <w:lang w:val="en-US" w:bidi="ar-SY"/>
        </w:rPr>
        <w:t>c</w:t>
      </w:r>
      <w:r w:rsidRPr="003A7986">
        <w:rPr>
          <w:rFonts w:asciiTheme="majorBidi" w:hAnsiTheme="majorBidi" w:cstheme="majorBidi"/>
          <w:sz w:val="24"/>
          <w:szCs w:val="24"/>
          <w:lang w:val="en-US" w:bidi="ar-SY"/>
        </w:rPr>
        <w:t>omprehensive economic development</w:t>
      </w:r>
      <w:r w:rsidRPr="003A7986">
        <w:rPr>
          <w:rFonts w:asciiTheme="majorBidi" w:hAnsiTheme="majorBidi" w:cstheme="majorBidi"/>
          <w:sz w:val="24"/>
          <w:szCs w:val="24"/>
          <w:rtl/>
          <w:lang w:val="en-US" w:bidi="ar-SY"/>
        </w:rPr>
        <w:t>.</w:t>
      </w:r>
    </w:p>
    <w:p w14:paraId="262B0318" w14:textId="740FED9F" w:rsidR="00402100" w:rsidRDefault="00402100" w:rsidP="00634054">
      <w:pPr>
        <w:suppressAutoHyphens/>
        <w:autoSpaceDE w:val="0"/>
        <w:adjustRightInd w:val="0"/>
        <w:spacing w:line="360" w:lineRule="auto"/>
        <w:jc w:val="both"/>
        <w:rPr>
          <w:rFonts w:asciiTheme="majorBidi" w:hAnsiTheme="majorBidi" w:cstheme="majorBidi"/>
          <w:sz w:val="24"/>
          <w:szCs w:val="24"/>
          <w:lang w:val="en-US" w:bidi="ar-SY"/>
        </w:rPr>
      </w:pPr>
      <w:r w:rsidRPr="001E25E1">
        <w:rPr>
          <w:rFonts w:asciiTheme="majorBidi" w:hAnsiTheme="majorBidi" w:cstheme="majorBidi"/>
          <w:sz w:val="24"/>
          <w:szCs w:val="24"/>
          <w:lang w:val="en-US" w:bidi="ar-SY"/>
        </w:rPr>
        <w:t xml:space="preserve">Syria has </w:t>
      </w:r>
      <w:r w:rsidR="00A401F5" w:rsidRPr="00A401F5">
        <w:rPr>
          <w:rFonts w:asciiTheme="majorBidi" w:hAnsiTheme="majorBidi" w:cstheme="majorBidi"/>
          <w:sz w:val="24"/>
          <w:szCs w:val="24"/>
          <w:lang w:val="en-US" w:bidi="ar-SY"/>
        </w:rPr>
        <w:t xml:space="preserve">many </w:t>
      </w:r>
      <w:r w:rsidRPr="001E25E1">
        <w:rPr>
          <w:rFonts w:asciiTheme="majorBidi" w:hAnsiTheme="majorBidi" w:cstheme="majorBidi"/>
          <w:sz w:val="24"/>
          <w:szCs w:val="24"/>
          <w:lang w:val="en-US" w:bidi="ar-SY"/>
        </w:rPr>
        <w:t>attractions for investment, due to its strategic location</w:t>
      </w:r>
      <w:r>
        <w:rPr>
          <w:rFonts w:asciiTheme="majorBidi" w:hAnsiTheme="majorBidi" w:cstheme="majorBidi"/>
          <w:sz w:val="24"/>
          <w:szCs w:val="24"/>
          <w:lang w:val="en-US" w:bidi="ar-SY"/>
        </w:rPr>
        <w:t xml:space="preserve">, </w:t>
      </w:r>
      <w:r w:rsidRPr="001E25E1">
        <w:rPr>
          <w:rFonts w:asciiTheme="majorBidi" w:hAnsiTheme="majorBidi" w:cstheme="majorBidi"/>
          <w:sz w:val="24"/>
          <w:szCs w:val="24"/>
          <w:lang w:val="en-US" w:bidi="ar-SY"/>
        </w:rPr>
        <w:t>diversification of its natural resources</w:t>
      </w:r>
      <w:r w:rsidR="00BA4AE0">
        <w:rPr>
          <w:rFonts w:asciiTheme="majorBidi" w:hAnsiTheme="majorBidi" w:cstheme="majorBidi"/>
          <w:sz w:val="24"/>
          <w:szCs w:val="24"/>
          <w:lang w:val="en-US" w:bidi="ar-SY"/>
        </w:rPr>
        <w:t xml:space="preserve">, </w:t>
      </w:r>
      <w:r w:rsidRPr="001E25E1">
        <w:rPr>
          <w:rFonts w:asciiTheme="majorBidi" w:hAnsiTheme="majorBidi" w:cstheme="majorBidi"/>
          <w:sz w:val="24"/>
          <w:szCs w:val="24"/>
          <w:lang w:val="en-US" w:bidi="ar-SY"/>
        </w:rPr>
        <w:t>experienced and qualified human resources</w:t>
      </w:r>
      <w:r>
        <w:rPr>
          <w:rFonts w:asciiTheme="majorBidi" w:hAnsiTheme="majorBidi" w:cstheme="majorBidi"/>
          <w:sz w:val="24"/>
          <w:szCs w:val="24"/>
          <w:lang w:val="en-US" w:bidi="ar-SY"/>
        </w:rPr>
        <w:t>,</w:t>
      </w:r>
      <w:r w:rsidRPr="001E25E1">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a</w:t>
      </w:r>
      <w:r w:rsidRPr="006B1B0D">
        <w:rPr>
          <w:rFonts w:asciiTheme="majorBidi" w:hAnsiTheme="majorBidi" w:cstheme="majorBidi"/>
          <w:sz w:val="24"/>
          <w:szCs w:val="24"/>
          <w:lang w:val="en-US" w:bidi="ar-SY"/>
        </w:rPr>
        <w:t>nd the availability of attractive investment opportunities for investment in all sectors.</w:t>
      </w:r>
    </w:p>
    <w:p w14:paraId="5B2268BD" w14:textId="1F1B7D6C" w:rsidR="00402100" w:rsidRDefault="00402100" w:rsidP="00634054">
      <w:pPr>
        <w:suppressAutoHyphens/>
        <w:autoSpaceDE w:val="0"/>
        <w:adjustRightInd w:val="0"/>
        <w:spacing w:line="360" w:lineRule="auto"/>
        <w:ind w:firstLine="567"/>
        <w:jc w:val="both"/>
        <w:rPr>
          <w:rFonts w:asciiTheme="majorBidi" w:hAnsiTheme="majorBidi" w:cstheme="majorBidi"/>
          <w:sz w:val="24"/>
          <w:szCs w:val="24"/>
          <w:lang w:val="en-US" w:bidi="ar-SY"/>
        </w:rPr>
      </w:pPr>
      <w:r w:rsidRPr="006B1B0D">
        <w:rPr>
          <w:rFonts w:asciiTheme="majorBidi" w:hAnsiTheme="majorBidi" w:cstheme="majorBidi"/>
          <w:sz w:val="24"/>
          <w:szCs w:val="24"/>
          <w:lang w:val="en-US" w:bidi="ar-SY"/>
        </w:rPr>
        <w:lastRenderedPageBreak/>
        <w:t>Legislative Decree No. 8 of 2007 provided many advantages, exemptions</w:t>
      </w:r>
      <w:r w:rsidR="0047693E">
        <w:rPr>
          <w:rFonts w:asciiTheme="majorBidi" w:hAnsiTheme="majorBidi" w:cstheme="majorBidi"/>
          <w:sz w:val="24"/>
          <w:szCs w:val="24"/>
          <w:lang w:val="en-US" w:bidi="ar-SY"/>
        </w:rPr>
        <w:t>,</w:t>
      </w:r>
      <w:r w:rsidRPr="006B1B0D">
        <w:rPr>
          <w:rFonts w:asciiTheme="majorBidi" w:hAnsiTheme="majorBidi" w:cstheme="majorBidi"/>
          <w:sz w:val="24"/>
          <w:szCs w:val="24"/>
          <w:lang w:val="en-US" w:bidi="ar-SY"/>
        </w:rPr>
        <w:t xml:space="preserve"> and guarantees that encourage investment and facilitate its procedures</w:t>
      </w:r>
      <w:r>
        <w:rPr>
          <w:rFonts w:asciiTheme="majorBidi" w:hAnsiTheme="majorBidi" w:cstheme="majorBidi"/>
          <w:sz w:val="24"/>
          <w:szCs w:val="24"/>
          <w:lang w:val="en-US" w:bidi="ar-SY"/>
        </w:rPr>
        <w:t xml:space="preserve">, </w:t>
      </w:r>
      <w:r w:rsidRPr="006B1B0D">
        <w:rPr>
          <w:rFonts w:asciiTheme="majorBidi" w:hAnsiTheme="majorBidi" w:cstheme="majorBidi"/>
          <w:sz w:val="24"/>
          <w:szCs w:val="24"/>
          <w:lang w:val="en-US" w:bidi="ar-SY"/>
        </w:rPr>
        <w:t>to provide a safe and stimulating investment environment for the local and foreign investor</w:t>
      </w:r>
      <w:r>
        <w:rPr>
          <w:rFonts w:asciiTheme="majorBidi" w:hAnsiTheme="majorBidi" w:cstheme="majorBidi"/>
          <w:sz w:val="24"/>
          <w:szCs w:val="24"/>
          <w:lang w:val="en-US" w:bidi="ar-SY"/>
        </w:rPr>
        <w:t>s</w:t>
      </w:r>
      <w:r w:rsidRPr="006B1B0D">
        <w:rPr>
          <w:rFonts w:asciiTheme="majorBidi" w:hAnsiTheme="majorBidi" w:cstheme="majorBidi"/>
          <w:sz w:val="24"/>
          <w:szCs w:val="24"/>
          <w:lang w:val="en-US" w:bidi="ar-SY"/>
        </w:rPr>
        <w:t>.</w:t>
      </w:r>
      <w:r>
        <w:rPr>
          <w:rFonts w:asciiTheme="majorBidi" w:hAnsiTheme="majorBidi" w:cstheme="majorBidi"/>
          <w:sz w:val="24"/>
          <w:szCs w:val="24"/>
          <w:lang w:val="en-US" w:bidi="ar-SY"/>
        </w:rPr>
        <w:t xml:space="preserve"> </w:t>
      </w:r>
      <w:r w:rsidRPr="006B1B0D">
        <w:rPr>
          <w:rFonts w:asciiTheme="majorBidi" w:hAnsiTheme="majorBidi" w:cstheme="majorBidi"/>
          <w:sz w:val="24"/>
          <w:szCs w:val="24"/>
          <w:lang w:val="en-US" w:bidi="ar-SY"/>
        </w:rPr>
        <w:t>According to this decree</w:t>
      </w:r>
      <w:r>
        <w:rPr>
          <w:rFonts w:asciiTheme="majorBidi" w:hAnsiTheme="majorBidi" w:cstheme="majorBidi"/>
          <w:sz w:val="24"/>
          <w:szCs w:val="24"/>
          <w:lang w:val="en-US" w:bidi="ar-SY"/>
        </w:rPr>
        <w:t>:</w:t>
      </w:r>
      <w:r>
        <w:rPr>
          <w:rStyle w:val="FootnoteReference"/>
          <w:rFonts w:asciiTheme="majorBidi" w:hAnsiTheme="majorBidi" w:cstheme="majorBidi"/>
          <w:sz w:val="24"/>
          <w:szCs w:val="24"/>
          <w:lang w:val="en-US" w:bidi="ar-SY"/>
        </w:rPr>
        <w:footnoteReference w:id="100"/>
      </w:r>
    </w:p>
    <w:p w14:paraId="5218FD44" w14:textId="4C91EFE9" w:rsidR="00402100" w:rsidRDefault="00402100" w:rsidP="00634054">
      <w:pPr>
        <w:pStyle w:val="ListParagraph"/>
        <w:numPr>
          <w:ilvl w:val="0"/>
          <w:numId w:val="31"/>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bidi="ar-SY"/>
        </w:rPr>
      </w:pPr>
      <w:r w:rsidRPr="006B1B0D">
        <w:rPr>
          <w:rFonts w:asciiTheme="majorBidi" w:hAnsiTheme="majorBidi" w:cstheme="majorBidi"/>
          <w:sz w:val="24"/>
          <w:szCs w:val="24"/>
          <w:lang w:val="en-US" w:bidi="ar-SY"/>
        </w:rPr>
        <w:t>The investor is allowed to own and lease the lands and real estate necessary to establish or expand investment projects, provided that they are used exclusively for the</w:t>
      </w:r>
      <w:r w:rsidR="00B0452A">
        <w:rPr>
          <w:rFonts w:asciiTheme="majorBidi" w:hAnsiTheme="majorBidi" w:cstheme="majorBidi"/>
          <w:sz w:val="24"/>
          <w:szCs w:val="24"/>
          <w:lang w:val="en-US" w:bidi="ar-SY"/>
        </w:rPr>
        <w:t xml:space="preserve"> </w:t>
      </w:r>
      <w:r w:rsidR="00B0452A" w:rsidRPr="006B1B0D">
        <w:rPr>
          <w:rFonts w:asciiTheme="majorBidi" w:hAnsiTheme="majorBidi" w:cstheme="majorBidi"/>
          <w:sz w:val="24"/>
          <w:szCs w:val="24"/>
          <w:lang w:val="en-US" w:bidi="ar-SY"/>
        </w:rPr>
        <w:t>project's</w:t>
      </w:r>
      <w:r w:rsidRPr="006B1B0D">
        <w:rPr>
          <w:rFonts w:asciiTheme="majorBidi" w:hAnsiTheme="majorBidi" w:cstheme="majorBidi"/>
          <w:sz w:val="24"/>
          <w:szCs w:val="24"/>
          <w:lang w:val="en-US" w:bidi="ar-SY"/>
        </w:rPr>
        <w:t xml:space="preserve"> purposes.</w:t>
      </w:r>
    </w:p>
    <w:p w14:paraId="23B8F50B" w14:textId="6A39529A" w:rsidR="00402100" w:rsidRDefault="00402100" w:rsidP="00634054">
      <w:pPr>
        <w:pStyle w:val="ListParagraph"/>
        <w:numPr>
          <w:ilvl w:val="0"/>
          <w:numId w:val="31"/>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bidi="ar-SY"/>
        </w:rPr>
      </w:pPr>
      <w:r w:rsidRPr="006B1B0D">
        <w:rPr>
          <w:rFonts w:asciiTheme="majorBidi" w:hAnsiTheme="majorBidi" w:cstheme="majorBidi"/>
          <w:sz w:val="24"/>
          <w:szCs w:val="24"/>
          <w:lang w:val="en-US" w:bidi="ar-SY"/>
        </w:rPr>
        <w:t>The non-Syrian investor obtains work and residence permits for him and his family</w:t>
      </w:r>
      <w:r w:rsidR="00BA4AE0">
        <w:rPr>
          <w:rFonts w:asciiTheme="majorBidi" w:hAnsiTheme="majorBidi" w:cstheme="majorBidi"/>
          <w:sz w:val="24"/>
          <w:szCs w:val="24"/>
          <w:lang w:val="en-US" w:bidi="ar-SY"/>
        </w:rPr>
        <w:t xml:space="preserve"> </w:t>
      </w:r>
      <w:r w:rsidRPr="006B1B0D">
        <w:rPr>
          <w:rFonts w:asciiTheme="majorBidi" w:hAnsiTheme="majorBidi" w:cstheme="majorBidi"/>
          <w:sz w:val="24"/>
          <w:szCs w:val="24"/>
          <w:lang w:val="en-US" w:bidi="ar-SY"/>
        </w:rPr>
        <w:t>for the duration of the project's implementation and operation.</w:t>
      </w:r>
    </w:p>
    <w:p w14:paraId="099D6A96" w14:textId="3422DB00" w:rsidR="00402100" w:rsidRDefault="00402100" w:rsidP="00634054">
      <w:pPr>
        <w:pStyle w:val="ListParagraph"/>
        <w:numPr>
          <w:ilvl w:val="0"/>
          <w:numId w:val="31"/>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bidi="ar-SY"/>
        </w:rPr>
      </w:pPr>
      <w:r w:rsidRPr="006B1B0D">
        <w:rPr>
          <w:rFonts w:asciiTheme="majorBidi" w:hAnsiTheme="majorBidi" w:cstheme="majorBidi"/>
          <w:sz w:val="24"/>
          <w:szCs w:val="24"/>
          <w:lang w:val="en-US" w:bidi="ar-SY"/>
        </w:rPr>
        <w:t xml:space="preserve">The investor has the right to transfer the proceeds of </w:t>
      </w:r>
      <w:r w:rsidR="0047693E">
        <w:rPr>
          <w:rFonts w:asciiTheme="majorBidi" w:hAnsiTheme="majorBidi" w:cstheme="majorBidi"/>
          <w:sz w:val="24"/>
          <w:szCs w:val="24"/>
          <w:lang w:val="en-US" w:bidi="ar-SY"/>
        </w:rPr>
        <w:t xml:space="preserve">the </w:t>
      </w:r>
      <w:r w:rsidRPr="006B1B0D">
        <w:rPr>
          <w:rFonts w:asciiTheme="majorBidi" w:hAnsiTheme="majorBidi" w:cstheme="majorBidi"/>
          <w:sz w:val="24"/>
          <w:szCs w:val="24"/>
          <w:lang w:val="en-US" w:bidi="ar-SY"/>
        </w:rPr>
        <w:t>disposal of his share from the project abroad</w:t>
      </w:r>
      <w:r w:rsidR="00BA4AE0">
        <w:rPr>
          <w:rFonts w:asciiTheme="majorBidi" w:hAnsiTheme="majorBidi" w:cstheme="majorBidi"/>
          <w:sz w:val="24"/>
          <w:szCs w:val="24"/>
          <w:lang w:val="en-US" w:bidi="ar-SY"/>
        </w:rPr>
        <w:t>,</w:t>
      </w:r>
      <w:r w:rsidRPr="006B1B0D">
        <w:rPr>
          <w:rFonts w:asciiTheme="majorBidi" w:hAnsiTheme="majorBidi" w:cstheme="majorBidi"/>
          <w:sz w:val="24"/>
          <w:szCs w:val="24"/>
          <w:lang w:val="en-US" w:bidi="ar-SY"/>
        </w:rPr>
        <w:t xml:space="preserve"> after paying its taxes.</w:t>
      </w:r>
    </w:p>
    <w:p w14:paraId="770EA9D2" w14:textId="77777777" w:rsidR="00402100" w:rsidRPr="006B1B0D" w:rsidRDefault="00402100" w:rsidP="00634054">
      <w:pPr>
        <w:pStyle w:val="ListParagraph"/>
        <w:numPr>
          <w:ilvl w:val="0"/>
          <w:numId w:val="31"/>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bidi="ar-SY"/>
        </w:rPr>
      </w:pPr>
      <w:r w:rsidRPr="006B1B0D">
        <w:rPr>
          <w:rFonts w:asciiTheme="majorBidi" w:hAnsiTheme="majorBidi" w:cstheme="majorBidi"/>
          <w:sz w:val="24"/>
          <w:szCs w:val="24"/>
          <w:lang w:val="en-US" w:bidi="ar-SY"/>
        </w:rPr>
        <w:t>The investor has the right to transfer the profits achieved annually after paying its taxes.</w:t>
      </w:r>
    </w:p>
    <w:p w14:paraId="0895D960" w14:textId="677605F7" w:rsidR="00402100" w:rsidRDefault="00AA10E8" w:rsidP="00634054">
      <w:pPr>
        <w:suppressAutoHyphens/>
        <w:autoSpaceDE w:val="0"/>
        <w:adjustRightInd w:val="0"/>
        <w:spacing w:line="360" w:lineRule="auto"/>
        <w:ind w:firstLine="567"/>
        <w:jc w:val="both"/>
        <w:rPr>
          <w:rFonts w:asciiTheme="majorBidi" w:hAnsiTheme="majorBidi" w:cstheme="majorBidi"/>
          <w:sz w:val="24"/>
          <w:szCs w:val="24"/>
          <w:lang w:val="en-US" w:bidi="ar-SY"/>
        </w:rPr>
      </w:pPr>
      <w:r w:rsidRPr="00AA10E8">
        <w:rPr>
          <w:rFonts w:asciiTheme="majorBidi" w:hAnsiTheme="majorBidi" w:cstheme="majorBidi"/>
          <w:sz w:val="24"/>
          <w:szCs w:val="24"/>
          <w:lang w:val="en-US" w:bidi="ar-SY"/>
        </w:rPr>
        <w:t>Also, “Participatory Law” was issued in 2016, which allowed the private sector to invest in infrastructure projects, public utilities, and projects owned by the public sector</w:t>
      </w:r>
      <w:r w:rsidR="00402100" w:rsidRPr="007B56D3">
        <w:rPr>
          <w:rFonts w:asciiTheme="majorBidi" w:hAnsiTheme="majorBidi" w:cstheme="majorBidi"/>
          <w:sz w:val="24"/>
          <w:szCs w:val="24"/>
          <w:lang w:val="en-US" w:bidi="ar-SY"/>
        </w:rPr>
        <w:t>.</w:t>
      </w:r>
      <w:r w:rsidR="00402100">
        <w:rPr>
          <w:rStyle w:val="FootnoteReference"/>
          <w:rFonts w:asciiTheme="majorBidi" w:hAnsiTheme="majorBidi" w:cstheme="majorBidi"/>
          <w:sz w:val="24"/>
          <w:szCs w:val="24"/>
          <w:lang w:val="en-US" w:bidi="ar-SY"/>
        </w:rPr>
        <w:footnoteReference w:id="101"/>
      </w:r>
      <w:r w:rsidR="00402100">
        <w:rPr>
          <w:rFonts w:asciiTheme="majorBidi" w:hAnsiTheme="majorBidi" w:cstheme="majorBidi"/>
          <w:sz w:val="24"/>
          <w:szCs w:val="24"/>
          <w:lang w:val="en-US" w:bidi="ar-SY"/>
        </w:rPr>
        <w:t xml:space="preserve"> </w:t>
      </w:r>
      <w:r w:rsidR="00402100" w:rsidRPr="00D82457">
        <w:rPr>
          <w:rFonts w:asciiTheme="majorBidi" w:hAnsiTheme="majorBidi" w:cstheme="majorBidi"/>
          <w:sz w:val="24"/>
          <w:szCs w:val="24"/>
          <w:lang w:val="en-US" w:bidi="ar-SY"/>
        </w:rPr>
        <w:t xml:space="preserve">Thus, </w:t>
      </w:r>
      <w:r w:rsidR="00402100">
        <w:rPr>
          <w:rFonts w:asciiTheme="majorBidi" w:hAnsiTheme="majorBidi" w:cstheme="majorBidi"/>
          <w:sz w:val="24"/>
          <w:szCs w:val="24"/>
          <w:lang w:val="en-US" w:bidi="ar-SY"/>
        </w:rPr>
        <w:t>“P</w:t>
      </w:r>
      <w:r w:rsidR="00402100" w:rsidRPr="007B56D3">
        <w:rPr>
          <w:rFonts w:asciiTheme="majorBidi" w:hAnsiTheme="majorBidi" w:cstheme="majorBidi"/>
          <w:sz w:val="24"/>
          <w:szCs w:val="24"/>
          <w:lang w:val="en-US" w:bidi="ar-SY"/>
        </w:rPr>
        <w:t xml:space="preserve">articipatory </w:t>
      </w:r>
      <w:r w:rsidR="00402100">
        <w:rPr>
          <w:rFonts w:asciiTheme="majorBidi" w:hAnsiTheme="majorBidi" w:cstheme="majorBidi"/>
          <w:sz w:val="24"/>
          <w:szCs w:val="24"/>
          <w:lang w:val="en-US" w:bidi="ar-SY"/>
        </w:rPr>
        <w:t>L</w:t>
      </w:r>
      <w:r w:rsidR="00402100" w:rsidRPr="007B56D3">
        <w:rPr>
          <w:rFonts w:asciiTheme="majorBidi" w:hAnsiTheme="majorBidi" w:cstheme="majorBidi"/>
          <w:sz w:val="24"/>
          <w:szCs w:val="24"/>
          <w:lang w:val="en-US" w:bidi="ar-SY"/>
        </w:rPr>
        <w:t>aw</w:t>
      </w:r>
      <w:r w:rsidR="00402100">
        <w:rPr>
          <w:rFonts w:asciiTheme="majorBidi" w:hAnsiTheme="majorBidi" w:cstheme="majorBidi"/>
          <w:sz w:val="24"/>
          <w:szCs w:val="24"/>
          <w:lang w:val="en-US" w:bidi="ar-SY"/>
        </w:rPr>
        <w:t>”</w:t>
      </w:r>
      <w:r w:rsidR="00402100" w:rsidRPr="007B56D3">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paved</w:t>
      </w:r>
      <w:r w:rsidR="00402100" w:rsidRPr="00D82457">
        <w:rPr>
          <w:rFonts w:asciiTheme="majorBidi" w:hAnsiTheme="majorBidi" w:cstheme="majorBidi"/>
          <w:sz w:val="24"/>
          <w:szCs w:val="24"/>
          <w:lang w:val="en-US" w:bidi="ar-SY"/>
        </w:rPr>
        <w:t xml:space="preserve"> the way for the private sector</w:t>
      </w:r>
      <w:r w:rsidR="00402100">
        <w:rPr>
          <w:rFonts w:asciiTheme="majorBidi" w:hAnsiTheme="majorBidi" w:cstheme="majorBidi"/>
          <w:sz w:val="24"/>
          <w:szCs w:val="24"/>
          <w:lang w:val="en-US" w:bidi="ar-SY"/>
        </w:rPr>
        <w:t xml:space="preserve"> to invest in all the sectors</w:t>
      </w:r>
      <w:r w:rsidR="00BA4AE0">
        <w:rPr>
          <w:rFonts w:asciiTheme="majorBidi" w:hAnsiTheme="majorBidi" w:cstheme="majorBidi"/>
          <w:sz w:val="24"/>
          <w:szCs w:val="24"/>
          <w:lang w:val="en-US" w:bidi="ar-SY"/>
        </w:rPr>
        <w:t xml:space="preserve">. </w:t>
      </w:r>
      <w:r w:rsidR="00402100" w:rsidRPr="00D82457">
        <w:rPr>
          <w:rFonts w:asciiTheme="majorBidi" w:hAnsiTheme="majorBidi" w:cstheme="majorBidi"/>
          <w:sz w:val="24"/>
          <w:szCs w:val="24"/>
          <w:lang w:val="en-US" w:bidi="ar-SY"/>
        </w:rPr>
        <w:t xml:space="preserve">The </w:t>
      </w:r>
      <w:r w:rsidR="00402100">
        <w:rPr>
          <w:rFonts w:asciiTheme="majorBidi" w:hAnsiTheme="majorBidi" w:cstheme="majorBidi"/>
          <w:sz w:val="24"/>
          <w:szCs w:val="24"/>
          <w:lang w:val="en-US" w:bidi="ar-SY"/>
        </w:rPr>
        <w:t>“P</w:t>
      </w:r>
      <w:r w:rsidR="00402100" w:rsidRPr="007B56D3">
        <w:rPr>
          <w:rFonts w:asciiTheme="majorBidi" w:hAnsiTheme="majorBidi" w:cstheme="majorBidi"/>
          <w:sz w:val="24"/>
          <w:szCs w:val="24"/>
          <w:lang w:val="en-US" w:bidi="ar-SY"/>
        </w:rPr>
        <w:t xml:space="preserve">articipatory </w:t>
      </w:r>
      <w:r w:rsidR="00402100">
        <w:rPr>
          <w:rFonts w:asciiTheme="majorBidi" w:hAnsiTheme="majorBidi" w:cstheme="majorBidi"/>
          <w:sz w:val="24"/>
          <w:szCs w:val="24"/>
          <w:lang w:val="en-US" w:bidi="ar-SY"/>
        </w:rPr>
        <w:t>L</w:t>
      </w:r>
      <w:r w:rsidR="00402100" w:rsidRPr="007B56D3">
        <w:rPr>
          <w:rFonts w:asciiTheme="majorBidi" w:hAnsiTheme="majorBidi" w:cstheme="majorBidi"/>
          <w:sz w:val="24"/>
          <w:szCs w:val="24"/>
          <w:lang w:val="en-US" w:bidi="ar-SY"/>
        </w:rPr>
        <w:t>aw</w:t>
      </w:r>
      <w:r w:rsidR="00402100">
        <w:rPr>
          <w:rFonts w:asciiTheme="majorBidi" w:hAnsiTheme="majorBidi" w:cstheme="majorBidi"/>
          <w:sz w:val="24"/>
          <w:szCs w:val="24"/>
          <w:lang w:val="en-US" w:bidi="ar-SY"/>
        </w:rPr>
        <w:t>”</w:t>
      </w:r>
      <w:r w:rsidR="00402100" w:rsidRPr="007B56D3">
        <w:rPr>
          <w:rFonts w:asciiTheme="majorBidi" w:hAnsiTheme="majorBidi" w:cstheme="majorBidi"/>
          <w:sz w:val="24"/>
          <w:szCs w:val="24"/>
          <w:lang w:val="en-US" w:bidi="ar-SY"/>
        </w:rPr>
        <w:t xml:space="preserve"> </w:t>
      </w:r>
      <w:r w:rsidR="00402100" w:rsidRPr="00D82457">
        <w:rPr>
          <w:rFonts w:asciiTheme="majorBidi" w:hAnsiTheme="majorBidi" w:cstheme="majorBidi"/>
          <w:sz w:val="24"/>
          <w:szCs w:val="24"/>
          <w:lang w:val="en-US" w:bidi="ar-SY"/>
        </w:rPr>
        <w:t>in Syria did not specify the contracting period, as participatory contract models can range from simple contractual arrangements</w:t>
      </w:r>
      <w:r w:rsidR="00BA4AE0">
        <w:rPr>
          <w:rFonts w:asciiTheme="majorBidi" w:hAnsiTheme="majorBidi" w:cstheme="majorBidi"/>
          <w:sz w:val="24"/>
          <w:szCs w:val="24"/>
          <w:lang w:val="en-US" w:bidi="ar-SY"/>
        </w:rPr>
        <w:t>,</w:t>
      </w:r>
      <w:r w:rsidR="00402100" w:rsidRPr="00D82457">
        <w:rPr>
          <w:rFonts w:asciiTheme="majorBidi" w:hAnsiTheme="majorBidi" w:cstheme="majorBidi"/>
          <w:sz w:val="24"/>
          <w:szCs w:val="24"/>
          <w:lang w:val="en-US" w:bidi="ar-SY"/>
        </w:rPr>
        <w:t xml:space="preserve"> to provide a specific service </w:t>
      </w:r>
      <w:r w:rsidR="00402100">
        <w:rPr>
          <w:rFonts w:asciiTheme="majorBidi" w:hAnsiTheme="majorBidi" w:cstheme="majorBidi"/>
          <w:sz w:val="24"/>
          <w:szCs w:val="24"/>
          <w:lang w:val="en-US" w:bidi="ar-SY"/>
        </w:rPr>
        <w:t xml:space="preserve">such as </w:t>
      </w:r>
      <w:r w:rsidR="00402100" w:rsidRPr="00D82457">
        <w:rPr>
          <w:rFonts w:asciiTheme="majorBidi" w:hAnsiTheme="majorBidi" w:cstheme="majorBidi"/>
          <w:sz w:val="24"/>
          <w:szCs w:val="24"/>
          <w:lang w:val="en-US" w:bidi="ar-SY"/>
        </w:rPr>
        <w:t>garbage collection, to complex arrangements for designing, constructing, operating, maintaining, and financing infrastructure services.</w:t>
      </w:r>
      <w:r w:rsidR="00402100">
        <w:rPr>
          <w:rStyle w:val="FootnoteReference"/>
          <w:rFonts w:asciiTheme="majorBidi" w:hAnsiTheme="majorBidi" w:cstheme="majorBidi"/>
          <w:sz w:val="24"/>
          <w:szCs w:val="24"/>
          <w:lang w:val="en-US" w:bidi="ar-SY"/>
        </w:rPr>
        <w:footnoteReference w:id="102"/>
      </w:r>
    </w:p>
    <w:p w14:paraId="77C0E38E" w14:textId="77777777" w:rsidR="00402100" w:rsidRDefault="00402100" w:rsidP="00634054">
      <w:pPr>
        <w:suppressAutoHyphens/>
        <w:autoSpaceDE w:val="0"/>
        <w:adjustRightInd w:val="0"/>
        <w:spacing w:line="360" w:lineRule="auto"/>
        <w:ind w:firstLine="567"/>
        <w:jc w:val="both"/>
        <w:rPr>
          <w:rFonts w:asciiTheme="majorBidi" w:hAnsiTheme="majorBidi" w:cstheme="majorBidi"/>
          <w:sz w:val="24"/>
          <w:szCs w:val="24"/>
          <w:lang w:val="en-US" w:bidi="ar-SY"/>
        </w:rPr>
      </w:pPr>
      <w:r w:rsidRPr="009C21D4">
        <w:rPr>
          <w:rFonts w:asciiTheme="majorBidi" w:hAnsiTheme="majorBidi" w:cstheme="majorBidi"/>
          <w:sz w:val="24"/>
          <w:szCs w:val="24"/>
          <w:lang w:val="en-US" w:bidi="ar-SY"/>
        </w:rPr>
        <w:t>Also, some laws and decisions were issued to develop the investment climate in certain sectors during recent years, including:</w:t>
      </w:r>
    </w:p>
    <w:p w14:paraId="3DE6BAD1" w14:textId="0CE500D5" w:rsidR="00402100" w:rsidRDefault="00402100" w:rsidP="00634054">
      <w:pPr>
        <w:pStyle w:val="ListParagraph"/>
        <w:numPr>
          <w:ilvl w:val="0"/>
          <w:numId w:val="32"/>
        </w:numPr>
        <w:suppressAutoHyphens/>
        <w:autoSpaceDN/>
        <w:spacing w:line="480" w:lineRule="auto"/>
        <w:ind w:left="567" w:hanging="357"/>
        <w:contextualSpacing/>
        <w:jc w:val="both"/>
        <w:textAlignment w:val="auto"/>
        <w:rPr>
          <w:rFonts w:asciiTheme="majorBidi" w:hAnsiTheme="majorBidi" w:cstheme="majorBidi"/>
          <w:sz w:val="24"/>
          <w:szCs w:val="24"/>
          <w:lang w:val="en-US" w:bidi="ar-SY"/>
        </w:rPr>
      </w:pPr>
      <w:r w:rsidRPr="009C21D4">
        <w:rPr>
          <w:rFonts w:asciiTheme="majorBidi" w:hAnsiTheme="majorBidi" w:cstheme="majorBidi"/>
          <w:sz w:val="24"/>
          <w:szCs w:val="24"/>
          <w:lang w:val="en-US" w:bidi="ar-SY"/>
        </w:rPr>
        <w:t xml:space="preserve">Electricity and </w:t>
      </w:r>
      <w:r w:rsidR="009215BD">
        <w:rPr>
          <w:rFonts w:asciiTheme="majorBidi" w:hAnsiTheme="majorBidi" w:cstheme="majorBidi"/>
          <w:sz w:val="24"/>
          <w:szCs w:val="24"/>
          <w:lang w:val="en-US" w:bidi="ar-SY"/>
        </w:rPr>
        <w:t>e</w:t>
      </w:r>
      <w:r w:rsidRPr="009967D0">
        <w:rPr>
          <w:rFonts w:asciiTheme="majorBidi" w:hAnsiTheme="majorBidi" w:cstheme="majorBidi"/>
          <w:sz w:val="24"/>
          <w:szCs w:val="24"/>
          <w:lang w:val="en-US" w:bidi="ar-SY"/>
        </w:rPr>
        <w:t>nergy</w:t>
      </w:r>
      <w:r w:rsidRPr="009C21D4">
        <w:rPr>
          <w:rFonts w:asciiTheme="majorBidi" w:hAnsiTheme="majorBidi" w:cstheme="majorBidi"/>
          <w:sz w:val="24"/>
          <w:szCs w:val="24"/>
          <w:lang w:val="en-US" w:bidi="ar-SY"/>
        </w:rPr>
        <w:t xml:space="preserve"> </w:t>
      </w:r>
      <w:r w:rsidR="009215BD">
        <w:rPr>
          <w:rFonts w:asciiTheme="majorBidi" w:hAnsiTheme="majorBidi" w:cstheme="majorBidi"/>
          <w:sz w:val="24"/>
          <w:szCs w:val="24"/>
          <w:lang w:val="en-US" w:bidi="ar-SY"/>
        </w:rPr>
        <w:t>s</w:t>
      </w:r>
      <w:r w:rsidRPr="009C21D4">
        <w:rPr>
          <w:rFonts w:asciiTheme="majorBidi" w:hAnsiTheme="majorBidi" w:cstheme="majorBidi"/>
          <w:sz w:val="24"/>
          <w:szCs w:val="24"/>
          <w:lang w:val="en-US" w:bidi="ar-SY"/>
        </w:rPr>
        <w:t>ector:</w:t>
      </w:r>
      <w:r>
        <w:rPr>
          <w:rFonts w:asciiTheme="majorBidi" w:hAnsiTheme="majorBidi" w:cstheme="majorBidi"/>
          <w:sz w:val="24"/>
          <w:szCs w:val="24"/>
          <w:lang w:val="en-US" w:bidi="ar-SY"/>
        </w:rPr>
        <w:t xml:space="preserve"> </w:t>
      </w:r>
    </w:p>
    <w:p w14:paraId="5799C40F" w14:textId="2E673072" w:rsidR="00402100" w:rsidRDefault="00A5552D" w:rsidP="00634054">
      <w:pPr>
        <w:pStyle w:val="ListParagraph"/>
        <w:numPr>
          <w:ilvl w:val="5"/>
          <w:numId w:val="32"/>
        </w:numPr>
        <w:suppressAutoHyphens/>
        <w:autoSpaceDN/>
        <w:spacing w:before="240" w:line="360" w:lineRule="auto"/>
        <w:ind w:left="924" w:hanging="357"/>
        <w:contextualSpacing/>
        <w:jc w:val="both"/>
        <w:textAlignment w:val="auto"/>
        <w:rPr>
          <w:rFonts w:asciiTheme="majorBidi" w:hAnsiTheme="majorBidi" w:cstheme="majorBidi"/>
          <w:sz w:val="24"/>
          <w:szCs w:val="24"/>
          <w:lang w:val="en-US" w:bidi="ar-SY"/>
        </w:rPr>
      </w:pPr>
      <w:r w:rsidRPr="00A5552D">
        <w:rPr>
          <w:rFonts w:asciiTheme="majorBidi" w:hAnsiTheme="majorBidi" w:cstheme="majorBidi"/>
          <w:sz w:val="24"/>
          <w:szCs w:val="24"/>
          <w:lang w:val="en-US" w:bidi="ar-SY"/>
        </w:rPr>
        <w:t>Work on amending the Electricity Law to restructure the industry in line with the establishment of a competitive market, and the participation of investors from the private sector to generate and distribute electricity</w:t>
      </w:r>
      <w:r w:rsidR="00402100">
        <w:rPr>
          <w:rFonts w:asciiTheme="majorBidi" w:hAnsiTheme="majorBidi" w:cstheme="majorBidi"/>
          <w:sz w:val="24"/>
          <w:szCs w:val="24"/>
          <w:lang w:val="en-US" w:bidi="ar-SY"/>
        </w:rPr>
        <w:t>.</w:t>
      </w:r>
    </w:p>
    <w:p w14:paraId="41034F03" w14:textId="37C6EA35" w:rsidR="00402100" w:rsidRPr="00D76B5D" w:rsidRDefault="00402100" w:rsidP="00634054">
      <w:pPr>
        <w:pStyle w:val="ListParagraph"/>
        <w:numPr>
          <w:ilvl w:val="5"/>
          <w:numId w:val="32"/>
        </w:numPr>
        <w:suppressAutoHyphens/>
        <w:autoSpaceDN/>
        <w:spacing w:line="360" w:lineRule="auto"/>
        <w:ind w:left="924" w:hanging="357"/>
        <w:contextualSpacing/>
        <w:jc w:val="both"/>
        <w:textAlignment w:val="auto"/>
        <w:rPr>
          <w:rFonts w:asciiTheme="majorBidi" w:hAnsiTheme="majorBidi" w:cstheme="majorBidi"/>
          <w:sz w:val="24"/>
          <w:szCs w:val="24"/>
          <w:lang w:val="en-US" w:bidi="ar-SY"/>
        </w:rPr>
      </w:pPr>
      <w:r w:rsidRPr="00D76B5D">
        <w:rPr>
          <w:rFonts w:asciiTheme="majorBidi" w:hAnsiTheme="majorBidi" w:cstheme="majorBidi"/>
          <w:sz w:val="24"/>
          <w:szCs w:val="24"/>
          <w:lang w:val="en-US" w:bidi="ar-SY"/>
        </w:rPr>
        <w:t xml:space="preserve">Determining incentive prices for the purchase of electricity from </w:t>
      </w:r>
      <w:r w:rsidR="009967D0" w:rsidRPr="009967D0">
        <w:rPr>
          <w:rFonts w:asciiTheme="majorBidi" w:hAnsiTheme="majorBidi" w:cstheme="majorBidi"/>
          <w:sz w:val="24"/>
          <w:szCs w:val="24"/>
          <w:lang w:val="en-US" w:bidi="ar-SY"/>
        </w:rPr>
        <w:t>renewable energy projects</w:t>
      </w:r>
      <w:r w:rsidRPr="00D76B5D">
        <w:rPr>
          <w:rFonts w:asciiTheme="majorBidi" w:hAnsiTheme="majorBidi" w:cstheme="majorBidi"/>
          <w:sz w:val="24"/>
          <w:szCs w:val="24"/>
          <w:lang w:val="en-US" w:bidi="ar-SY"/>
        </w:rPr>
        <w:t>.</w:t>
      </w:r>
      <w:r>
        <w:rPr>
          <w:rStyle w:val="FootnoteReference"/>
          <w:rFonts w:asciiTheme="majorBidi" w:hAnsiTheme="majorBidi" w:cstheme="majorBidi"/>
          <w:sz w:val="24"/>
          <w:szCs w:val="24"/>
          <w:lang w:val="en-US" w:bidi="ar-SY"/>
        </w:rPr>
        <w:footnoteReference w:id="103"/>
      </w:r>
    </w:p>
    <w:p w14:paraId="36FAFE95" w14:textId="185A777E" w:rsidR="00402100" w:rsidRDefault="00402100" w:rsidP="00B0452A">
      <w:pPr>
        <w:pStyle w:val="ListParagraph"/>
        <w:numPr>
          <w:ilvl w:val="0"/>
          <w:numId w:val="32"/>
        </w:numPr>
        <w:suppressAutoHyphens/>
        <w:autoSpaceDN/>
        <w:spacing w:before="240" w:line="360" w:lineRule="auto"/>
        <w:ind w:left="567" w:hanging="357"/>
        <w:contextualSpacing/>
        <w:jc w:val="both"/>
        <w:textAlignment w:val="auto"/>
        <w:rPr>
          <w:rFonts w:asciiTheme="majorBidi" w:hAnsiTheme="majorBidi" w:cstheme="majorBidi"/>
          <w:sz w:val="24"/>
          <w:szCs w:val="24"/>
          <w:lang w:val="en-US" w:bidi="ar-SY"/>
        </w:rPr>
      </w:pPr>
      <w:r w:rsidRPr="009C21D4">
        <w:rPr>
          <w:rFonts w:asciiTheme="majorBidi" w:hAnsiTheme="majorBidi" w:cstheme="majorBidi"/>
          <w:sz w:val="24"/>
          <w:szCs w:val="24"/>
          <w:lang w:val="en-US" w:bidi="ar-SY"/>
        </w:rPr>
        <w:t>Industry sector: Reducing customs fees by 50% on raw materials and production inputs needed for local industries.</w:t>
      </w:r>
      <w:r>
        <w:rPr>
          <w:rStyle w:val="FootnoteReference"/>
          <w:rFonts w:asciiTheme="majorBidi" w:hAnsiTheme="majorBidi" w:cstheme="majorBidi"/>
          <w:sz w:val="24"/>
          <w:szCs w:val="24"/>
          <w:lang w:val="en-US" w:bidi="ar-SY"/>
        </w:rPr>
        <w:footnoteReference w:id="104"/>
      </w:r>
      <w:r w:rsidRPr="00EE1EB4">
        <w:rPr>
          <w:rFonts w:asciiTheme="majorBidi" w:hAnsiTheme="majorBidi" w:cstheme="majorBidi"/>
          <w:sz w:val="24"/>
          <w:szCs w:val="24"/>
          <w:lang w:val="en-US" w:bidi="ar-SY"/>
        </w:rPr>
        <w:t xml:space="preserve"> </w:t>
      </w:r>
    </w:p>
    <w:p w14:paraId="61A6D62B" w14:textId="77777777" w:rsidR="00B0452A" w:rsidRPr="00EE1EB4" w:rsidRDefault="00B0452A" w:rsidP="00B0452A">
      <w:pPr>
        <w:pStyle w:val="ListParagraph"/>
        <w:suppressAutoHyphens/>
        <w:autoSpaceDN/>
        <w:spacing w:before="240" w:line="360" w:lineRule="auto"/>
        <w:ind w:left="567"/>
        <w:contextualSpacing/>
        <w:jc w:val="both"/>
        <w:textAlignment w:val="auto"/>
        <w:rPr>
          <w:rFonts w:asciiTheme="majorBidi" w:hAnsiTheme="majorBidi" w:cstheme="majorBidi"/>
          <w:sz w:val="24"/>
          <w:szCs w:val="24"/>
          <w:lang w:val="en-US" w:bidi="ar-SY"/>
        </w:rPr>
      </w:pPr>
    </w:p>
    <w:p w14:paraId="56056176" w14:textId="77777777" w:rsidR="00402100" w:rsidRDefault="00402100" w:rsidP="00634054">
      <w:pPr>
        <w:pStyle w:val="ListParagraph"/>
        <w:numPr>
          <w:ilvl w:val="0"/>
          <w:numId w:val="32"/>
        </w:numPr>
        <w:suppressAutoHyphens/>
        <w:autoSpaceDN/>
        <w:spacing w:line="480" w:lineRule="auto"/>
        <w:ind w:left="567" w:hanging="357"/>
        <w:contextualSpacing/>
        <w:jc w:val="both"/>
        <w:textAlignment w:val="auto"/>
        <w:rPr>
          <w:rFonts w:asciiTheme="majorBidi" w:hAnsiTheme="majorBidi" w:cstheme="majorBidi"/>
          <w:sz w:val="24"/>
          <w:szCs w:val="24"/>
          <w:lang w:val="en-US" w:bidi="ar-SY"/>
        </w:rPr>
      </w:pPr>
      <w:r w:rsidRPr="00EE1EB4">
        <w:rPr>
          <w:rFonts w:asciiTheme="majorBidi" w:hAnsiTheme="majorBidi" w:cstheme="majorBidi"/>
          <w:sz w:val="24"/>
          <w:szCs w:val="24"/>
          <w:lang w:val="en-US" w:bidi="ar-SY"/>
        </w:rPr>
        <w:lastRenderedPageBreak/>
        <w:t>Real estate development and investment sector</w:t>
      </w:r>
      <w:r w:rsidRPr="009C21D4">
        <w:rPr>
          <w:rFonts w:asciiTheme="majorBidi" w:hAnsiTheme="majorBidi" w:cstheme="majorBidi"/>
          <w:sz w:val="24"/>
          <w:szCs w:val="24"/>
          <w:lang w:val="en-US" w:bidi="ar-SY"/>
        </w:rPr>
        <w:t>:</w:t>
      </w:r>
    </w:p>
    <w:p w14:paraId="2778C2B6" w14:textId="77777777" w:rsidR="00402100" w:rsidRDefault="00402100" w:rsidP="00634054">
      <w:pPr>
        <w:pStyle w:val="ListParagraph"/>
        <w:numPr>
          <w:ilvl w:val="5"/>
          <w:numId w:val="32"/>
        </w:numPr>
        <w:suppressAutoHyphens/>
        <w:autoSpaceDN/>
        <w:spacing w:line="360" w:lineRule="auto"/>
        <w:ind w:left="924" w:hanging="357"/>
        <w:contextualSpacing/>
        <w:jc w:val="both"/>
        <w:textAlignment w:val="auto"/>
        <w:rPr>
          <w:rFonts w:asciiTheme="majorBidi" w:hAnsiTheme="majorBidi" w:cstheme="majorBidi"/>
          <w:sz w:val="24"/>
          <w:szCs w:val="24"/>
          <w:lang w:val="en-US" w:bidi="ar-SY"/>
        </w:rPr>
      </w:pPr>
      <w:r w:rsidRPr="00EE1EB4">
        <w:rPr>
          <w:rFonts w:asciiTheme="majorBidi" w:hAnsiTheme="majorBidi" w:cstheme="majorBidi"/>
          <w:sz w:val="24"/>
          <w:szCs w:val="24"/>
          <w:lang w:val="en-US" w:bidi="ar-SY"/>
        </w:rPr>
        <w:t>Building an information infrastructure and implementing a comprehensive information network</w:t>
      </w:r>
      <w:r>
        <w:rPr>
          <w:rFonts w:asciiTheme="majorBidi" w:hAnsiTheme="majorBidi" w:cstheme="majorBidi"/>
          <w:sz w:val="24"/>
          <w:szCs w:val="24"/>
          <w:lang w:val="en-US" w:bidi="ar-SY"/>
        </w:rPr>
        <w:t>.</w:t>
      </w:r>
    </w:p>
    <w:p w14:paraId="5ED28799" w14:textId="77777777" w:rsidR="00402100" w:rsidRDefault="00402100" w:rsidP="00634054">
      <w:pPr>
        <w:pStyle w:val="ListParagraph"/>
        <w:numPr>
          <w:ilvl w:val="5"/>
          <w:numId w:val="32"/>
        </w:numPr>
        <w:suppressAutoHyphens/>
        <w:autoSpaceDN/>
        <w:spacing w:line="360" w:lineRule="auto"/>
        <w:ind w:left="924" w:hanging="357"/>
        <w:contextualSpacing/>
        <w:jc w:val="both"/>
        <w:textAlignment w:val="auto"/>
        <w:rPr>
          <w:rFonts w:asciiTheme="majorBidi" w:hAnsiTheme="majorBidi" w:cstheme="majorBidi"/>
          <w:sz w:val="24"/>
          <w:szCs w:val="24"/>
          <w:lang w:val="en-US" w:bidi="ar-SY"/>
        </w:rPr>
      </w:pPr>
      <w:r w:rsidRPr="00EE1EB4">
        <w:rPr>
          <w:rFonts w:asciiTheme="majorBidi" w:hAnsiTheme="majorBidi" w:cstheme="majorBidi"/>
          <w:sz w:val="24"/>
          <w:szCs w:val="24"/>
          <w:lang w:val="en-US" w:bidi="ar-SY"/>
        </w:rPr>
        <w:t>Updating the geographical atlas, which includes detailed data on the updated real estate development areas.</w:t>
      </w:r>
    </w:p>
    <w:p w14:paraId="4DA8DD5C" w14:textId="02251724" w:rsidR="00402100" w:rsidRDefault="00B04FD6" w:rsidP="00634054">
      <w:pPr>
        <w:pStyle w:val="ListParagraph"/>
        <w:numPr>
          <w:ilvl w:val="5"/>
          <w:numId w:val="32"/>
        </w:numPr>
        <w:suppressAutoHyphens/>
        <w:autoSpaceDN/>
        <w:spacing w:line="360" w:lineRule="auto"/>
        <w:ind w:left="924" w:hanging="357"/>
        <w:contextualSpacing/>
        <w:jc w:val="both"/>
        <w:textAlignment w:val="auto"/>
        <w:rPr>
          <w:rFonts w:asciiTheme="majorBidi" w:hAnsiTheme="majorBidi" w:cstheme="majorBidi"/>
          <w:sz w:val="24"/>
          <w:szCs w:val="24"/>
          <w:lang w:val="en-US" w:bidi="ar-SY"/>
        </w:rPr>
      </w:pPr>
      <w:r w:rsidRPr="00B04FD6">
        <w:rPr>
          <w:rFonts w:asciiTheme="majorBidi" w:hAnsiTheme="majorBidi" w:cstheme="majorBidi"/>
          <w:sz w:val="24"/>
          <w:szCs w:val="24"/>
          <w:lang w:val="en-US" w:bidi="ar-SY"/>
        </w:rPr>
        <w:t>Update the forms of the initial license application, registration application, and the final license application, that are required to establish a real estate development and investment company</w:t>
      </w:r>
      <w:r w:rsidR="00402100" w:rsidRPr="00EE1EB4">
        <w:rPr>
          <w:rFonts w:asciiTheme="majorBidi" w:hAnsiTheme="majorBidi" w:cstheme="majorBidi"/>
          <w:sz w:val="24"/>
          <w:szCs w:val="24"/>
          <w:lang w:val="en-US" w:bidi="ar-SY"/>
        </w:rPr>
        <w:t>.</w:t>
      </w:r>
    </w:p>
    <w:p w14:paraId="6240F806" w14:textId="77777777" w:rsidR="00402100" w:rsidRPr="009C21D4" w:rsidRDefault="00402100" w:rsidP="00634054">
      <w:pPr>
        <w:pStyle w:val="ListParagraph"/>
        <w:numPr>
          <w:ilvl w:val="0"/>
          <w:numId w:val="32"/>
        </w:numPr>
        <w:suppressAutoHyphens/>
        <w:autoSpaceDN/>
        <w:spacing w:line="360" w:lineRule="auto"/>
        <w:ind w:left="567" w:hanging="357"/>
        <w:contextualSpacing/>
        <w:jc w:val="both"/>
        <w:textAlignment w:val="auto"/>
        <w:rPr>
          <w:rFonts w:asciiTheme="majorBidi" w:hAnsiTheme="majorBidi" w:cstheme="majorBidi"/>
          <w:sz w:val="24"/>
          <w:szCs w:val="24"/>
          <w:lang w:val="en-US" w:bidi="ar-SY"/>
        </w:rPr>
      </w:pPr>
      <w:r>
        <w:rPr>
          <w:rFonts w:asciiTheme="majorBidi" w:hAnsiTheme="majorBidi" w:cstheme="majorBidi"/>
          <w:sz w:val="24"/>
          <w:szCs w:val="24"/>
          <w:lang w:val="en-US" w:bidi="ar-SY"/>
        </w:rPr>
        <w:t>T</w:t>
      </w:r>
      <w:r w:rsidRPr="00EE1EB4">
        <w:rPr>
          <w:rFonts w:asciiTheme="majorBidi" w:hAnsiTheme="majorBidi" w:cstheme="majorBidi"/>
          <w:sz w:val="24"/>
          <w:szCs w:val="24"/>
          <w:lang w:val="en-US" w:bidi="ar-SY"/>
        </w:rPr>
        <w:t>ourism sector:</w:t>
      </w:r>
      <w:r>
        <w:rPr>
          <w:rFonts w:asciiTheme="majorBidi" w:hAnsiTheme="majorBidi" w:cstheme="majorBidi"/>
          <w:sz w:val="24"/>
          <w:szCs w:val="24"/>
          <w:lang w:val="en-US" w:bidi="ar-SY"/>
        </w:rPr>
        <w:t xml:space="preserve"> </w:t>
      </w:r>
      <w:r w:rsidRPr="00EE1EB4">
        <w:rPr>
          <w:rFonts w:asciiTheme="majorBidi" w:hAnsiTheme="majorBidi" w:cstheme="majorBidi"/>
          <w:sz w:val="24"/>
          <w:szCs w:val="24"/>
          <w:lang w:val="en-US" w:bidi="ar-SY"/>
        </w:rPr>
        <w:t>Allow investors who have completed their investment projects (according to the BOT formula) with a period less than the actual implementation period mentioned in the contract</w:t>
      </w:r>
      <w:r>
        <w:rPr>
          <w:rFonts w:asciiTheme="majorBidi" w:hAnsiTheme="majorBidi" w:cstheme="majorBidi"/>
          <w:sz w:val="24"/>
          <w:szCs w:val="24"/>
          <w:lang w:val="en-US" w:bidi="ar-SY"/>
        </w:rPr>
        <w:t>,</w:t>
      </w:r>
      <w:r w:rsidRPr="00EE1EB4">
        <w:rPr>
          <w:rFonts w:asciiTheme="majorBidi" w:hAnsiTheme="majorBidi" w:cstheme="majorBidi"/>
          <w:sz w:val="24"/>
          <w:szCs w:val="24"/>
          <w:lang w:val="en-US" w:bidi="ar-SY"/>
        </w:rPr>
        <w:t xml:space="preserve"> to invest these projects without paying investment fees </w:t>
      </w:r>
      <w:r w:rsidRPr="00B10292">
        <w:rPr>
          <w:rFonts w:asciiTheme="majorBidi" w:hAnsiTheme="majorBidi" w:cstheme="majorBidi"/>
          <w:sz w:val="24"/>
          <w:szCs w:val="24"/>
          <w:lang w:val="en-US" w:bidi="ar-SY"/>
        </w:rPr>
        <w:t>for the remaining period of the implementation period.</w:t>
      </w:r>
      <w:r>
        <w:rPr>
          <w:rStyle w:val="FootnoteReference"/>
          <w:rFonts w:asciiTheme="majorBidi" w:hAnsiTheme="majorBidi" w:cstheme="majorBidi"/>
          <w:sz w:val="24"/>
          <w:szCs w:val="24"/>
          <w:lang w:val="en-US" w:bidi="ar-SY"/>
        </w:rPr>
        <w:footnoteReference w:id="105"/>
      </w:r>
    </w:p>
    <w:p w14:paraId="07F10AF9" w14:textId="712F25A6" w:rsidR="009967D0" w:rsidRDefault="00402100" w:rsidP="00634054">
      <w:pPr>
        <w:suppressAutoHyphens/>
        <w:autoSpaceDE w:val="0"/>
        <w:adjustRightInd w:val="0"/>
        <w:spacing w:before="240" w:after="0" w:line="360" w:lineRule="auto"/>
        <w:ind w:firstLine="567"/>
        <w:jc w:val="both"/>
        <w:rPr>
          <w:rFonts w:asciiTheme="majorBidi" w:hAnsiTheme="majorBidi" w:cstheme="majorBidi"/>
          <w:sz w:val="24"/>
          <w:szCs w:val="24"/>
          <w:lang w:val="en-US"/>
        </w:rPr>
      </w:pPr>
      <w:r w:rsidRPr="009605B0">
        <w:rPr>
          <w:rFonts w:asciiTheme="majorBidi" w:hAnsiTheme="majorBidi" w:cstheme="majorBidi"/>
          <w:sz w:val="24"/>
          <w:szCs w:val="24"/>
          <w:lang w:val="en-US"/>
        </w:rPr>
        <w:t xml:space="preserve">The Syrian Investment </w:t>
      </w:r>
      <w:r>
        <w:rPr>
          <w:rFonts w:asciiTheme="majorBidi" w:hAnsiTheme="majorBidi" w:cstheme="majorBidi"/>
          <w:sz w:val="24"/>
          <w:szCs w:val="24"/>
          <w:lang w:val="en-US"/>
        </w:rPr>
        <w:t>Agency</w:t>
      </w:r>
      <w:r w:rsidRPr="009605B0">
        <w:rPr>
          <w:rFonts w:asciiTheme="majorBidi" w:hAnsiTheme="majorBidi" w:cstheme="majorBidi"/>
          <w:sz w:val="24"/>
          <w:szCs w:val="24"/>
          <w:lang w:val="en-US"/>
        </w:rPr>
        <w:t xml:space="preserve"> has also been established </w:t>
      </w:r>
      <w:r w:rsidR="0047693E" w:rsidRPr="0047693E">
        <w:rPr>
          <w:rFonts w:asciiTheme="majorBidi" w:hAnsiTheme="majorBidi" w:cstheme="majorBidi"/>
          <w:sz w:val="24"/>
          <w:szCs w:val="24"/>
          <w:lang w:val="en-US"/>
        </w:rPr>
        <w:t xml:space="preserve">under </w:t>
      </w:r>
      <w:r w:rsidRPr="009605B0">
        <w:rPr>
          <w:rFonts w:asciiTheme="majorBidi" w:hAnsiTheme="majorBidi" w:cstheme="majorBidi"/>
          <w:sz w:val="24"/>
          <w:szCs w:val="24"/>
          <w:lang w:val="en-US"/>
        </w:rPr>
        <w:t>Legislative Decree No. 9 of 2007</w:t>
      </w:r>
      <w:r w:rsidR="009967D0">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9967D0">
        <w:rPr>
          <w:rFonts w:asciiTheme="majorBidi" w:hAnsiTheme="majorBidi" w:cstheme="majorBidi"/>
          <w:sz w:val="24"/>
          <w:szCs w:val="24"/>
          <w:lang w:val="en-US"/>
        </w:rPr>
        <w:t>I</w:t>
      </w:r>
      <w:r w:rsidRPr="009605B0">
        <w:rPr>
          <w:rFonts w:asciiTheme="majorBidi" w:hAnsiTheme="majorBidi" w:cstheme="majorBidi"/>
          <w:sz w:val="24"/>
          <w:szCs w:val="24"/>
          <w:lang w:val="en-US"/>
        </w:rPr>
        <w:t xml:space="preserve">ts role </w:t>
      </w:r>
      <w:r w:rsidR="009967D0">
        <w:rPr>
          <w:rFonts w:asciiTheme="majorBidi" w:hAnsiTheme="majorBidi" w:cstheme="majorBidi"/>
          <w:sz w:val="24"/>
          <w:szCs w:val="24"/>
          <w:lang w:val="en-US"/>
        </w:rPr>
        <w:t>is</w:t>
      </w:r>
      <w:r w:rsidRPr="009605B0">
        <w:rPr>
          <w:rFonts w:asciiTheme="majorBidi" w:hAnsiTheme="majorBidi" w:cstheme="majorBidi"/>
          <w:sz w:val="24"/>
          <w:szCs w:val="24"/>
          <w:lang w:val="en-US"/>
        </w:rPr>
        <w:t xml:space="preserve"> the continuous monitoring and updating of the investment map to know the existing resources and capabilities</w:t>
      </w:r>
      <w:r w:rsidR="00997F68">
        <w:rPr>
          <w:rFonts w:asciiTheme="majorBidi" w:hAnsiTheme="majorBidi" w:cstheme="majorBidi"/>
          <w:sz w:val="24"/>
          <w:szCs w:val="24"/>
          <w:lang w:val="en-US"/>
        </w:rPr>
        <w:t>;</w:t>
      </w:r>
      <w:r w:rsidRPr="009605B0">
        <w:rPr>
          <w:rFonts w:asciiTheme="majorBidi" w:hAnsiTheme="majorBidi" w:cstheme="majorBidi"/>
          <w:sz w:val="24"/>
          <w:szCs w:val="24"/>
          <w:lang w:val="en-US"/>
        </w:rPr>
        <w:t xml:space="preserve"> </w:t>
      </w:r>
      <w:r>
        <w:rPr>
          <w:rFonts w:asciiTheme="majorBidi" w:hAnsiTheme="majorBidi" w:cstheme="majorBidi"/>
          <w:sz w:val="24"/>
          <w:szCs w:val="24"/>
          <w:lang w:val="en-US"/>
        </w:rPr>
        <w:t>the agency</w:t>
      </w:r>
      <w:r w:rsidRPr="009605B0">
        <w:rPr>
          <w:rFonts w:asciiTheme="majorBidi" w:hAnsiTheme="majorBidi" w:cstheme="majorBidi"/>
          <w:sz w:val="24"/>
          <w:szCs w:val="24"/>
          <w:lang w:val="en-US"/>
        </w:rPr>
        <w:t xml:space="preserve"> works </w:t>
      </w:r>
      <w:r>
        <w:rPr>
          <w:rFonts w:asciiTheme="majorBidi" w:hAnsiTheme="majorBidi" w:cstheme="majorBidi"/>
          <w:sz w:val="24"/>
          <w:szCs w:val="24"/>
          <w:lang w:val="en-US"/>
        </w:rPr>
        <w:t>to</w:t>
      </w:r>
      <w:r w:rsidRPr="009605B0">
        <w:rPr>
          <w:rFonts w:asciiTheme="majorBidi" w:hAnsiTheme="majorBidi" w:cstheme="majorBidi"/>
          <w:sz w:val="24"/>
          <w:szCs w:val="24"/>
          <w:lang w:val="en-US"/>
        </w:rPr>
        <w:t xml:space="preserve"> provid</w:t>
      </w:r>
      <w:r>
        <w:rPr>
          <w:rFonts w:asciiTheme="majorBidi" w:hAnsiTheme="majorBidi" w:cstheme="majorBidi"/>
          <w:sz w:val="24"/>
          <w:szCs w:val="24"/>
          <w:lang w:val="en-US"/>
        </w:rPr>
        <w:t>e</w:t>
      </w:r>
      <w:r w:rsidRPr="009605B0">
        <w:rPr>
          <w:rFonts w:asciiTheme="majorBidi" w:hAnsiTheme="majorBidi" w:cstheme="majorBidi"/>
          <w:sz w:val="24"/>
          <w:szCs w:val="24"/>
          <w:lang w:val="en-US"/>
        </w:rPr>
        <w:t xml:space="preserve"> the appropriate investment climate </w:t>
      </w:r>
      <w:r>
        <w:rPr>
          <w:rFonts w:asciiTheme="majorBidi" w:hAnsiTheme="majorBidi" w:cstheme="majorBidi"/>
          <w:sz w:val="24"/>
          <w:szCs w:val="24"/>
          <w:lang w:val="en-US"/>
        </w:rPr>
        <w:t>and</w:t>
      </w:r>
      <w:r w:rsidRPr="009605B0">
        <w:rPr>
          <w:rFonts w:asciiTheme="majorBidi" w:hAnsiTheme="majorBidi" w:cstheme="majorBidi"/>
          <w:sz w:val="24"/>
          <w:szCs w:val="24"/>
          <w:lang w:val="en-US"/>
        </w:rPr>
        <w:t xml:space="preserve"> prepar</w:t>
      </w:r>
      <w:r>
        <w:rPr>
          <w:rFonts w:asciiTheme="majorBidi" w:hAnsiTheme="majorBidi" w:cstheme="majorBidi"/>
          <w:sz w:val="24"/>
          <w:szCs w:val="24"/>
          <w:lang w:val="en-US"/>
        </w:rPr>
        <w:t>e</w:t>
      </w:r>
      <w:r w:rsidR="00B04FD6">
        <w:rPr>
          <w:rFonts w:asciiTheme="majorBidi" w:hAnsiTheme="majorBidi" w:cstheme="majorBidi"/>
          <w:sz w:val="24"/>
          <w:szCs w:val="24"/>
          <w:lang w:val="en-US"/>
        </w:rPr>
        <w:t>s</w:t>
      </w:r>
      <w:r w:rsidRPr="009605B0">
        <w:rPr>
          <w:rFonts w:asciiTheme="majorBidi" w:hAnsiTheme="majorBidi" w:cstheme="majorBidi"/>
          <w:sz w:val="24"/>
          <w:szCs w:val="24"/>
          <w:lang w:val="en-US"/>
        </w:rPr>
        <w:t xml:space="preserve"> the investment map that includes investment projects of strategic importance, </w:t>
      </w:r>
      <w:r w:rsidR="009967D0">
        <w:rPr>
          <w:rFonts w:asciiTheme="majorBidi" w:hAnsiTheme="majorBidi" w:cstheme="majorBidi"/>
          <w:sz w:val="24"/>
          <w:szCs w:val="24"/>
          <w:lang w:val="en-US"/>
        </w:rPr>
        <w:t>with</w:t>
      </w:r>
      <w:r w:rsidRPr="009605B0">
        <w:rPr>
          <w:rFonts w:asciiTheme="majorBidi" w:hAnsiTheme="majorBidi" w:cstheme="majorBidi"/>
          <w:sz w:val="24"/>
          <w:szCs w:val="24"/>
          <w:lang w:val="en-US"/>
        </w:rPr>
        <w:t xml:space="preserve"> </w:t>
      </w:r>
      <w:r w:rsidR="009967D0" w:rsidRPr="009605B0">
        <w:rPr>
          <w:rFonts w:asciiTheme="majorBidi" w:hAnsiTheme="majorBidi" w:cstheme="majorBidi"/>
          <w:sz w:val="24"/>
          <w:szCs w:val="24"/>
          <w:lang w:val="en-US"/>
        </w:rPr>
        <w:t>updati</w:t>
      </w:r>
      <w:r w:rsidR="009967D0">
        <w:rPr>
          <w:rFonts w:asciiTheme="majorBidi" w:hAnsiTheme="majorBidi" w:cstheme="majorBidi"/>
          <w:sz w:val="24"/>
          <w:szCs w:val="24"/>
          <w:lang w:val="en-US"/>
        </w:rPr>
        <w:t>ng</w:t>
      </w:r>
      <w:r w:rsidRPr="009605B0">
        <w:rPr>
          <w:rFonts w:asciiTheme="majorBidi" w:hAnsiTheme="majorBidi" w:cstheme="majorBidi"/>
          <w:sz w:val="24"/>
          <w:szCs w:val="24"/>
          <w:lang w:val="en-US"/>
        </w:rPr>
        <w:t xml:space="preserve"> it continuously. It also tracks project implementation and overcomes obstacles that hinder its implementation.</w:t>
      </w:r>
    </w:p>
    <w:p w14:paraId="5F7C46A3" w14:textId="2C602326" w:rsidR="00E11ACC" w:rsidRPr="00D00FC2" w:rsidRDefault="00E11ACC" w:rsidP="00E11ACC">
      <w:pPr>
        <w:autoSpaceDE w:val="0"/>
        <w:adjustRightInd w:val="0"/>
        <w:spacing w:after="0" w:line="360" w:lineRule="auto"/>
        <w:jc w:val="right"/>
        <w:rPr>
          <w:rFonts w:asciiTheme="majorBidi" w:hAnsiTheme="majorBidi" w:cstheme="majorBidi"/>
          <w:i/>
          <w:iCs/>
          <w:sz w:val="24"/>
          <w:szCs w:val="24"/>
          <w:lang w:val="en-US"/>
        </w:rPr>
      </w:pPr>
      <w:r w:rsidRPr="00D00FC2">
        <w:rPr>
          <w:rFonts w:asciiTheme="majorBidi" w:hAnsiTheme="majorBidi" w:cstheme="majorBidi"/>
          <w:i/>
          <w:iCs/>
          <w:sz w:val="24"/>
          <w:szCs w:val="24"/>
          <w:lang w:val="en-US"/>
        </w:rPr>
        <w:t xml:space="preserve">Table </w:t>
      </w:r>
      <w:r w:rsidR="00D00FC2" w:rsidRPr="00D00FC2">
        <w:rPr>
          <w:rFonts w:asciiTheme="majorBidi" w:hAnsiTheme="majorBidi" w:cstheme="majorBidi"/>
          <w:i/>
          <w:iCs/>
          <w:sz w:val="24"/>
          <w:szCs w:val="24"/>
          <w:lang w:val="en-US"/>
        </w:rPr>
        <w:t>3.3</w:t>
      </w:r>
    </w:p>
    <w:p w14:paraId="3DAEC95C" w14:textId="77777777" w:rsidR="00E11ACC" w:rsidRPr="00422EA0" w:rsidRDefault="00E11ACC" w:rsidP="00D00FC2">
      <w:pPr>
        <w:autoSpaceDE w:val="0"/>
        <w:adjustRightInd w:val="0"/>
        <w:spacing w:line="360" w:lineRule="auto"/>
        <w:jc w:val="center"/>
        <w:rPr>
          <w:rFonts w:asciiTheme="majorBidi" w:hAnsiTheme="majorBidi" w:cstheme="majorBidi"/>
          <w:sz w:val="24"/>
          <w:szCs w:val="24"/>
          <w:lang w:val="en-US"/>
        </w:rPr>
      </w:pPr>
      <w:r w:rsidRPr="00422EA0">
        <w:rPr>
          <w:rFonts w:asciiTheme="majorBidi" w:hAnsiTheme="majorBidi" w:cstheme="majorBidi"/>
          <w:sz w:val="24"/>
          <w:szCs w:val="24"/>
          <w:lang w:val="en-US"/>
        </w:rPr>
        <w:t>Some of the investment opportunities offered by the Syrian Investment Agency</w:t>
      </w:r>
    </w:p>
    <w:tbl>
      <w:tblPr>
        <w:tblStyle w:val="TableGrid"/>
        <w:tblW w:w="9654" w:type="dxa"/>
        <w:tblInd w:w="0" w:type="dxa"/>
        <w:tblLook w:val="04A0" w:firstRow="1" w:lastRow="0" w:firstColumn="1" w:lastColumn="0" w:noHBand="0" w:noVBand="1"/>
      </w:tblPr>
      <w:tblGrid>
        <w:gridCol w:w="2403"/>
        <w:gridCol w:w="7251"/>
      </w:tblGrid>
      <w:tr w:rsidR="00E11ACC" w14:paraId="685C9BD2" w14:textId="77777777" w:rsidTr="00F60AC3">
        <w:trPr>
          <w:trHeight w:val="503"/>
        </w:trPr>
        <w:tc>
          <w:tcPr>
            <w:tcW w:w="2403" w:type="dxa"/>
            <w:vAlign w:val="center"/>
          </w:tcPr>
          <w:p w14:paraId="756FA8B5" w14:textId="77777777" w:rsidR="00E11ACC" w:rsidRPr="00422EA0" w:rsidRDefault="00E11ACC" w:rsidP="00D00FC2">
            <w:pPr>
              <w:autoSpaceDE w:val="0"/>
              <w:autoSpaceDN w:val="0"/>
              <w:adjustRightInd w:val="0"/>
              <w:jc w:val="center"/>
              <w:rPr>
                <w:rFonts w:asciiTheme="majorBidi" w:hAnsiTheme="majorBidi" w:cstheme="majorBidi"/>
                <w:b/>
                <w:bCs/>
                <w:sz w:val="20"/>
                <w:szCs w:val="20"/>
                <w:lang w:val="en-US"/>
              </w:rPr>
            </w:pPr>
            <w:r w:rsidRPr="00422EA0">
              <w:rPr>
                <w:rFonts w:asciiTheme="majorBidi" w:hAnsiTheme="majorBidi" w:cstheme="majorBidi"/>
                <w:b/>
                <w:bCs/>
                <w:sz w:val="20"/>
                <w:szCs w:val="20"/>
                <w:lang w:val="en-US"/>
              </w:rPr>
              <w:t>Sector</w:t>
            </w:r>
          </w:p>
        </w:tc>
        <w:tc>
          <w:tcPr>
            <w:tcW w:w="7251" w:type="dxa"/>
            <w:vAlign w:val="center"/>
          </w:tcPr>
          <w:p w14:paraId="57A8233C" w14:textId="5D26C865" w:rsidR="00E11ACC" w:rsidRPr="00422EA0" w:rsidRDefault="00E11ACC" w:rsidP="00D00FC2">
            <w:pPr>
              <w:autoSpaceDE w:val="0"/>
              <w:autoSpaceDN w:val="0"/>
              <w:adjustRightInd w:val="0"/>
              <w:jc w:val="center"/>
              <w:rPr>
                <w:rFonts w:asciiTheme="majorBidi" w:hAnsiTheme="majorBidi" w:cstheme="majorBidi"/>
                <w:b/>
                <w:bCs/>
                <w:sz w:val="20"/>
                <w:szCs w:val="20"/>
                <w:lang w:val="en-US"/>
              </w:rPr>
            </w:pPr>
            <w:r w:rsidRPr="00422EA0">
              <w:rPr>
                <w:rFonts w:asciiTheme="majorBidi" w:hAnsiTheme="majorBidi" w:cstheme="majorBidi"/>
                <w:b/>
                <w:bCs/>
                <w:sz w:val="20"/>
                <w:szCs w:val="20"/>
                <w:lang w:val="en-US"/>
              </w:rPr>
              <w:t xml:space="preserve">Investment </w:t>
            </w:r>
            <w:r w:rsidR="00F60AC3">
              <w:rPr>
                <w:rFonts w:asciiTheme="majorBidi" w:hAnsiTheme="majorBidi" w:cstheme="majorBidi"/>
                <w:b/>
                <w:bCs/>
                <w:sz w:val="20"/>
                <w:szCs w:val="20"/>
                <w:lang w:val="en-US"/>
              </w:rPr>
              <w:t>o</w:t>
            </w:r>
            <w:r w:rsidRPr="00422EA0">
              <w:rPr>
                <w:rFonts w:asciiTheme="majorBidi" w:hAnsiTheme="majorBidi" w:cstheme="majorBidi"/>
                <w:b/>
                <w:bCs/>
                <w:sz w:val="20"/>
                <w:szCs w:val="20"/>
                <w:lang w:val="en-US"/>
              </w:rPr>
              <w:t>pportunity</w:t>
            </w:r>
          </w:p>
        </w:tc>
      </w:tr>
      <w:tr w:rsidR="00E11ACC" w14:paraId="2DB48159" w14:textId="77777777" w:rsidTr="00F60AC3">
        <w:trPr>
          <w:trHeight w:val="1097"/>
        </w:trPr>
        <w:tc>
          <w:tcPr>
            <w:tcW w:w="2403" w:type="dxa"/>
            <w:vAlign w:val="center"/>
          </w:tcPr>
          <w:p w14:paraId="43D2BE20" w14:textId="77777777" w:rsidR="00E11ACC" w:rsidRPr="00422EA0" w:rsidRDefault="00E11ACC" w:rsidP="00D00FC2">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Manufacture</w:t>
            </w:r>
          </w:p>
        </w:tc>
        <w:tc>
          <w:tcPr>
            <w:tcW w:w="7251" w:type="dxa"/>
            <w:vAlign w:val="center"/>
          </w:tcPr>
          <w:p w14:paraId="06D4AE9D"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Cancer drugs production</w:t>
            </w:r>
          </w:p>
          <w:p w14:paraId="283B8079"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Medical gas production (oxygen gas)</w:t>
            </w:r>
          </w:p>
          <w:p w14:paraId="0DBC67B8"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Production of electric lifts</w:t>
            </w:r>
          </w:p>
          <w:p w14:paraId="0FE3B572"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Artificial limb manufacturing</w:t>
            </w:r>
          </w:p>
        </w:tc>
      </w:tr>
      <w:tr w:rsidR="00E11ACC" w14:paraId="255E55F1" w14:textId="77777777" w:rsidTr="00F60AC3">
        <w:trPr>
          <w:trHeight w:val="460"/>
        </w:trPr>
        <w:tc>
          <w:tcPr>
            <w:tcW w:w="2403" w:type="dxa"/>
            <w:vAlign w:val="center"/>
          </w:tcPr>
          <w:p w14:paraId="00D3103F" w14:textId="77777777" w:rsidR="00E11ACC" w:rsidRPr="00422EA0" w:rsidRDefault="00E11ACC" w:rsidP="00D00FC2">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Agriculture</w:t>
            </w:r>
          </w:p>
        </w:tc>
        <w:tc>
          <w:tcPr>
            <w:tcW w:w="7251" w:type="dxa"/>
            <w:vAlign w:val="center"/>
          </w:tcPr>
          <w:p w14:paraId="3C22FD5B" w14:textId="77777777" w:rsidR="00E11ACC" w:rsidRPr="00422EA0" w:rsidRDefault="00E11ACC" w:rsidP="00D00FC2">
            <w:pPr>
              <w:pStyle w:val="ListParagraph"/>
              <w:numPr>
                <w:ilvl w:val="0"/>
                <w:numId w:val="33"/>
              </w:numPr>
              <w:autoSpaceDE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Cultivation of Damascene rose and medicinal herbs</w:t>
            </w:r>
          </w:p>
        </w:tc>
      </w:tr>
      <w:tr w:rsidR="00E11ACC" w14:paraId="51EDC6E6" w14:textId="77777777" w:rsidTr="00F60AC3">
        <w:trPr>
          <w:trHeight w:val="584"/>
        </w:trPr>
        <w:tc>
          <w:tcPr>
            <w:tcW w:w="2403" w:type="dxa"/>
            <w:vAlign w:val="center"/>
          </w:tcPr>
          <w:p w14:paraId="2F13C13D" w14:textId="77777777" w:rsidR="00E11ACC" w:rsidRPr="00422EA0" w:rsidRDefault="00E11ACC" w:rsidP="00D00FC2">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Mining</w:t>
            </w:r>
          </w:p>
        </w:tc>
        <w:tc>
          <w:tcPr>
            <w:tcW w:w="7251" w:type="dxa"/>
            <w:vAlign w:val="center"/>
          </w:tcPr>
          <w:p w14:paraId="23E90DF7"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Generating electrical energy from oil shale ores</w:t>
            </w:r>
          </w:p>
          <w:p w14:paraId="3EC9772D"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Zeolite investment project</w:t>
            </w:r>
          </w:p>
        </w:tc>
      </w:tr>
      <w:tr w:rsidR="00E11ACC" w14:paraId="36BCDBDD" w14:textId="77777777" w:rsidTr="00F60AC3">
        <w:trPr>
          <w:trHeight w:val="891"/>
        </w:trPr>
        <w:tc>
          <w:tcPr>
            <w:tcW w:w="2403" w:type="dxa"/>
            <w:vAlign w:val="center"/>
          </w:tcPr>
          <w:p w14:paraId="29F43F52" w14:textId="77777777" w:rsidR="00E11ACC" w:rsidRPr="00422EA0" w:rsidRDefault="00E11ACC" w:rsidP="00D00FC2">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Health Care</w:t>
            </w:r>
          </w:p>
        </w:tc>
        <w:tc>
          <w:tcPr>
            <w:tcW w:w="7251" w:type="dxa"/>
            <w:vAlign w:val="center"/>
          </w:tcPr>
          <w:p w14:paraId="1A2DF77F"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Project for medical solutions</w:t>
            </w:r>
          </w:p>
          <w:p w14:paraId="707C7A48"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Project for hospital supplies</w:t>
            </w:r>
          </w:p>
          <w:p w14:paraId="726C105E"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Project for medical tools</w:t>
            </w:r>
          </w:p>
        </w:tc>
      </w:tr>
      <w:tr w:rsidR="00E11ACC" w14:paraId="1D478ECB" w14:textId="77777777" w:rsidTr="00F60AC3">
        <w:trPr>
          <w:trHeight w:val="864"/>
        </w:trPr>
        <w:tc>
          <w:tcPr>
            <w:tcW w:w="2403" w:type="dxa"/>
            <w:vAlign w:val="center"/>
          </w:tcPr>
          <w:p w14:paraId="064B6E8D" w14:textId="77777777" w:rsidR="00E11ACC" w:rsidRPr="00422EA0" w:rsidRDefault="00E11ACC" w:rsidP="00D00FC2">
            <w:pPr>
              <w:autoSpaceDE w:val="0"/>
              <w:autoSpaceDN w:val="0"/>
              <w:adjustRightInd w:val="0"/>
              <w:jc w:val="center"/>
              <w:rPr>
                <w:rFonts w:asciiTheme="majorBidi" w:hAnsiTheme="majorBidi" w:cstheme="majorBidi"/>
                <w:sz w:val="20"/>
                <w:szCs w:val="20"/>
                <w:lang w:val="en-US"/>
              </w:rPr>
            </w:pPr>
            <w:r w:rsidRPr="00422EA0">
              <w:rPr>
                <w:rFonts w:asciiTheme="majorBidi" w:hAnsiTheme="majorBidi" w:cstheme="majorBidi"/>
                <w:sz w:val="20"/>
                <w:szCs w:val="20"/>
                <w:lang w:val="en-US"/>
              </w:rPr>
              <w:t>Energy</w:t>
            </w:r>
          </w:p>
        </w:tc>
        <w:tc>
          <w:tcPr>
            <w:tcW w:w="7251" w:type="dxa"/>
            <w:vAlign w:val="center"/>
          </w:tcPr>
          <w:p w14:paraId="16DCD2B8"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Electricity generation based on solar energy sources</w:t>
            </w:r>
          </w:p>
          <w:p w14:paraId="308C98DD"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Generating electric energy by wind turbines</w:t>
            </w:r>
          </w:p>
          <w:p w14:paraId="1CD11CB8" w14:textId="77777777" w:rsidR="00E11ACC" w:rsidRPr="00422EA0" w:rsidRDefault="00E11ACC" w:rsidP="00D00FC2">
            <w:pPr>
              <w:pStyle w:val="ListParagraph"/>
              <w:numPr>
                <w:ilvl w:val="0"/>
                <w:numId w:val="33"/>
              </w:numPr>
              <w:autoSpaceDE w:val="0"/>
              <w:autoSpaceDN w:val="0"/>
              <w:adjustRightInd w:val="0"/>
              <w:contextualSpacing/>
              <w:rPr>
                <w:rFonts w:asciiTheme="majorBidi" w:hAnsiTheme="majorBidi" w:cstheme="majorBidi"/>
                <w:sz w:val="20"/>
                <w:szCs w:val="20"/>
                <w:lang w:val="en-US"/>
              </w:rPr>
            </w:pPr>
            <w:r w:rsidRPr="00422EA0">
              <w:rPr>
                <w:rFonts w:asciiTheme="majorBidi" w:hAnsiTheme="majorBidi" w:cstheme="majorBidi"/>
                <w:sz w:val="20"/>
                <w:szCs w:val="20"/>
                <w:lang w:val="en-US"/>
              </w:rPr>
              <w:t>Steam generating station with a capacity of 300 megawatts</w:t>
            </w:r>
          </w:p>
        </w:tc>
      </w:tr>
    </w:tbl>
    <w:p w14:paraId="5D3DD451" w14:textId="40F8C5FB" w:rsidR="00E11ACC" w:rsidRPr="00DE0F81" w:rsidRDefault="00E11ACC" w:rsidP="00F60AC3">
      <w:pPr>
        <w:autoSpaceDE w:val="0"/>
        <w:adjustRightInd w:val="0"/>
        <w:spacing w:before="240" w:after="0" w:line="360" w:lineRule="auto"/>
        <w:jc w:val="both"/>
        <w:rPr>
          <w:rFonts w:asciiTheme="majorBidi" w:hAnsiTheme="majorBidi" w:cstheme="majorBidi"/>
          <w:sz w:val="24"/>
          <w:szCs w:val="24"/>
          <w:lang w:val="en-US"/>
        </w:rPr>
      </w:pPr>
      <w:r w:rsidRPr="00DE0F81">
        <w:rPr>
          <w:rFonts w:ascii="Times New Roman" w:hAnsi="Times New Roman" w:cs="Times New Roman"/>
          <w:i/>
          <w:iCs/>
          <w:lang w:val="en-US"/>
        </w:rPr>
        <w:t>Source:</w:t>
      </w:r>
      <w:r>
        <w:rPr>
          <w:rFonts w:ascii="Times New Roman" w:hAnsi="Times New Roman" w:cs="Times New Roman"/>
          <w:i/>
          <w:iCs/>
          <w:lang w:val="en-US"/>
        </w:rPr>
        <w:t xml:space="preserve"> </w:t>
      </w:r>
      <w:r w:rsidR="003F7D25" w:rsidRPr="009738BC">
        <w:rPr>
          <w:rFonts w:ascii="Times New Roman" w:hAnsi="Times New Roman" w:cs="Times New Roman"/>
          <w:lang w:val="en-US"/>
        </w:rPr>
        <w:t xml:space="preserve">compiled by </w:t>
      </w:r>
      <w:r w:rsidR="003F7D25">
        <w:rPr>
          <w:rFonts w:ascii="Times New Roman" w:hAnsi="Times New Roman" w:cs="Times New Roman"/>
          <w:lang w:val="en-US"/>
        </w:rPr>
        <w:t xml:space="preserve">the </w:t>
      </w:r>
      <w:r w:rsidR="003F7D25" w:rsidRPr="009738BC">
        <w:rPr>
          <w:rFonts w:ascii="Times New Roman" w:hAnsi="Times New Roman" w:cs="Times New Roman"/>
          <w:lang w:val="en-US"/>
        </w:rPr>
        <w:t>author based on</w:t>
      </w:r>
      <w:r w:rsidR="003F7D25" w:rsidRPr="00345605">
        <w:rPr>
          <w:rFonts w:ascii="Times New Roman" w:hAnsi="Times New Roman" w:cs="Times New Roman"/>
          <w:lang w:val="en-US"/>
        </w:rPr>
        <w:t xml:space="preserve"> </w:t>
      </w:r>
      <w:r w:rsidRPr="00DE0F81">
        <w:rPr>
          <w:rFonts w:ascii="Times New Roman" w:hAnsi="Times New Roman" w:cs="Times New Roman"/>
          <w:lang w:val="en-US"/>
        </w:rPr>
        <w:t>Syrian Investment A</w:t>
      </w:r>
      <w:r>
        <w:rPr>
          <w:rFonts w:ascii="Times New Roman" w:hAnsi="Times New Roman" w:cs="Times New Roman"/>
          <w:lang w:val="en-US"/>
        </w:rPr>
        <w:t>gency.</w:t>
      </w:r>
    </w:p>
    <w:p w14:paraId="14C9CAE6" w14:textId="42B92971" w:rsidR="00402100" w:rsidRDefault="00402100" w:rsidP="00F60AC3">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In 2019, the </w:t>
      </w:r>
      <w:r w:rsidRPr="0099019D">
        <w:rPr>
          <w:rFonts w:asciiTheme="majorBidi" w:hAnsiTheme="majorBidi" w:cstheme="majorBidi"/>
          <w:sz w:val="24"/>
          <w:szCs w:val="24"/>
          <w:lang w:val="en-US"/>
        </w:rPr>
        <w:t xml:space="preserve">Syrian Investment </w:t>
      </w:r>
      <w:r>
        <w:rPr>
          <w:rFonts w:asciiTheme="majorBidi" w:hAnsiTheme="majorBidi" w:cstheme="majorBidi"/>
          <w:sz w:val="24"/>
          <w:szCs w:val="24"/>
          <w:lang w:val="en-US"/>
        </w:rPr>
        <w:t>Agency</w:t>
      </w:r>
      <w:r w:rsidRPr="009605B0">
        <w:rPr>
          <w:rFonts w:asciiTheme="majorBidi" w:hAnsiTheme="majorBidi" w:cstheme="majorBidi"/>
          <w:sz w:val="24"/>
          <w:szCs w:val="24"/>
          <w:lang w:val="en-US"/>
        </w:rPr>
        <w:t xml:space="preserve"> </w:t>
      </w:r>
      <w:r w:rsidRPr="0099019D">
        <w:rPr>
          <w:rFonts w:asciiTheme="majorBidi" w:hAnsiTheme="majorBidi" w:cstheme="majorBidi"/>
          <w:sz w:val="24"/>
          <w:szCs w:val="24"/>
          <w:lang w:val="en-US"/>
        </w:rPr>
        <w:t xml:space="preserve">offered 188 private investment opportunities distributed </w:t>
      </w:r>
      <w:r>
        <w:rPr>
          <w:rFonts w:asciiTheme="majorBidi" w:hAnsiTheme="majorBidi" w:cstheme="majorBidi"/>
          <w:sz w:val="24"/>
          <w:szCs w:val="24"/>
          <w:lang w:val="en-US"/>
        </w:rPr>
        <w:t>among</w:t>
      </w:r>
      <w:r w:rsidRPr="0099019D">
        <w:rPr>
          <w:rFonts w:asciiTheme="majorBidi" w:hAnsiTheme="majorBidi" w:cstheme="majorBidi"/>
          <w:sz w:val="24"/>
          <w:szCs w:val="24"/>
          <w:lang w:val="en-US"/>
        </w:rPr>
        <w:t xml:space="preserve"> several </w:t>
      </w:r>
      <w:r>
        <w:rPr>
          <w:rFonts w:asciiTheme="majorBidi" w:hAnsiTheme="majorBidi" w:cstheme="majorBidi"/>
          <w:sz w:val="24"/>
          <w:szCs w:val="24"/>
          <w:lang w:val="en-US"/>
        </w:rPr>
        <w:t>cities</w:t>
      </w:r>
      <w:r w:rsidR="00997F68">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B04FD6">
        <w:rPr>
          <w:rFonts w:asciiTheme="majorBidi" w:hAnsiTheme="majorBidi" w:cstheme="majorBidi"/>
          <w:sz w:val="24"/>
          <w:szCs w:val="24"/>
          <w:lang w:val="en-US"/>
        </w:rPr>
        <w:t>they were</w:t>
      </w:r>
      <w:r w:rsidRPr="0099019D">
        <w:rPr>
          <w:rFonts w:asciiTheme="majorBidi" w:hAnsiTheme="majorBidi" w:cstheme="majorBidi"/>
          <w:sz w:val="24"/>
          <w:szCs w:val="24"/>
          <w:lang w:val="en-US"/>
        </w:rPr>
        <w:t xml:space="preserve"> diversified </w:t>
      </w:r>
      <w:r w:rsidR="00B04FD6">
        <w:rPr>
          <w:rFonts w:asciiTheme="majorBidi" w:hAnsiTheme="majorBidi" w:cstheme="majorBidi"/>
          <w:sz w:val="24"/>
          <w:szCs w:val="24"/>
          <w:lang w:val="en-US"/>
        </w:rPr>
        <w:t xml:space="preserve">in </w:t>
      </w:r>
      <w:r w:rsidRPr="0099019D">
        <w:rPr>
          <w:rFonts w:asciiTheme="majorBidi" w:hAnsiTheme="majorBidi" w:cstheme="majorBidi"/>
          <w:sz w:val="24"/>
          <w:szCs w:val="24"/>
          <w:lang w:val="en-US"/>
        </w:rPr>
        <w:t>manufacturing</w:t>
      </w:r>
      <w:r>
        <w:rPr>
          <w:rFonts w:asciiTheme="majorBidi" w:hAnsiTheme="majorBidi" w:cstheme="majorBidi"/>
          <w:sz w:val="24"/>
          <w:szCs w:val="24"/>
          <w:lang w:val="en-US"/>
        </w:rPr>
        <w:t>,</w:t>
      </w:r>
      <w:r w:rsidRPr="0099019D">
        <w:rPr>
          <w:rFonts w:asciiTheme="majorBidi" w:hAnsiTheme="majorBidi" w:cstheme="majorBidi"/>
          <w:sz w:val="24"/>
          <w:szCs w:val="24"/>
          <w:lang w:val="en-US"/>
        </w:rPr>
        <w:t xml:space="preserve"> extractive industry, tourism, electricity and energy, agriculture</w:t>
      </w:r>
      <w:r w:rsidR="00B04FD6">
        <w:rPr>
          <w:rFonts w:asciiTheme="majorBidi" w:hAnsiTheme="majorBidi" w:cstheme="majorBidi"/>
          <w:sz w:val="24"/>
          <w:szCs w:val="24"/>
          <w:lang w:val="en-US"/>
        </w:rPr>
        <w:t>,</w:t>
      </w:r>
      <w:r w:rsidRPr="0099019D">
        <w:rPr>
          <w:rFonts w:asciiTheme="majorBidi" w:hAnsiTheme="majorBidi" w:cstheme="majorBidi"/>
          <w:sz w:val="24"/>
          <w:szCs w:val="24"/>
          <w:lang w:val="en-US"/>
        </w:rPr>
        <w:t xml:space="preserve"> and </w:t>
      </w:r>
      <w:r>
        <w:rPr>
          <w:rFonts w:asciiTheme="majorBidi" w:hAnsiTheme="majorBidi" w:cstheme="majorBidi"/>
          <w:sz w:val="24"/>
          <w:szCs w:val="24"/>
          <w:lang w:val="en-US"/>
        </w:rPr>
        <w:t>livestock</w:t>
      </w:r>
      <w:r w:rsidRPr="0099019D">
        <w:rPr>
          <w:rFonts w:asciiTheme="majorBidi" w:hAnsiTheme="majorBidi" w:cstheme="majorBidi"/>
          <w:sz w:val="24"/>
          <w:szCs w:val="24"/>
          <w:lang w:val="en-US"/>
        </w:rPr>
        <w:t xml:space="preserve"> production.</w:t>
      </w:r>
      <w:r w:rsidRPr="00F60AC3">
        <w:rPr>
          <w:vertAlign w:val="superscript"/>
        </w:rPr>
        <w:footnoteReference w:id="106"/>
      </w:r>
      <w:r>
        <w:rPr>
          <w:rFonts w:asciiTheme="majorBidi" w:hAnsiTheme="majorBidi" w:cstheme="majorBidi"/>
          <w:sz w:val="24"/>
          <w:szCs w:val="24"/>
          <w:lang w:val="en-US"/>
        </w:rPr>
        <w:t xml:space="preserve"> </w:t>
      </w:r>
      <w:r w:rsidRPr="0099019D">
        <w:rPr>
          <w:rFonts w:asciiTheme="majorBidi" w:hAnsiTheme="majorBidi" w:cstheme="majorBidi"/>
          <w:sz w:val="24"/>
          <w:szCs w:val="24"/>
          <w:lang w:val="en-US"/>
        </w:rPr>
        <w:t xml:space="preserve">Some examples of the opportunities are listed in </w:t>
      </w:r>
      <w:r w:rsidRPr="00F60AC3">
        <w:rPr>
          <w:rFonts w:asciiTheme="majorBidi" w:hAnsiTheme="majorBidi" w:cstheme="majorBidi"/>
          <w:i/>
          <w:iCs/>
          <w:sz w:val="24"/>
          <w:szCs w:val="24"/>
          <w:lang w:val="en-US"/>
        </w:rPr>
        <w:t xml:space="preserve">Table </w:t>
      </w:r>
      <w:r w:rsidR="00D92837" w:rsidRPr="00F60AC3">
        <w:rPr>
          <w:rFonts w:asciiTheme="majorBidi" w:hAnsiTheme="majorBidi" w:cstheme="majorBidi"/>
          <w:i/>
          <w:iCs/>
          <w:sz w:val="24"/>
          <w:szCs w:val="24"/>
          <w:lang w:val="en-US"/>
        </w:rPr>
        <w:t>3.</w:t>
      </w:r>
      <w:r w:rsidR="00736BF5" w:rsidRPr="00F60AC3">
        <w:rPr>
          <w:rFonts w:asciiTheme="majorBidi" w:hAnsiTheme="majorBidi" w:cstheme="majorBidi"/>
          <w:i/>
          <w:iCs/>
          <w:sz w:val="24"/>
          <w:szCs w:val="24"/>
          <w:lang w:val="en-US"/>
        </w:rPr>
        <w:t>3</w:t>
      </w:r>
      <w:r w:rsidRPr="0099019D">
        <w:rPr>
          <w:rFonts w:asciiTheme="majorBidi" w:hAnsiTheme="majorBidi" w:cstheme="majorBidi"/>
          <w:sz w:val="24"/>
          <w:szCs w:val="24"/>
          <w:lang w:val="en-US"/>
        </w:rPr>
        <w:t>.</w:t>
      </w:r>
    </w:p>
    <w:p w14:paraId="2226A3E8" w14:textId="65B0D41D" w:rsidR="00DB6BF8" w:rsidRDefault="00DB6BF8"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However, applying</w:t>
      </w:r>
      <w:r w:rsidR="00A5552D">
        <w:rPr>
          <w:rFonts w:asciiTheme="majorBidi" w:hAnsiTheme="majorBidi" w:cstheme="majorBidi"/>
          <w:sz w:val="24"/>
          <w:szCs w:val="24"/>
          <w:lang w:val="en-US"/>
        </w:rPr>
        <w:t xml:space="preserve"> the</w:t>
      </w:r>
      <w:r>
        <w:rPr>
          <w:rFonts w:asciiTheme="majorBidi" w:hAnsiTheme="majorBidi" w:cstheme="majorBidi"/>
          <w:sz w:val="24"/>
          <w:szCs w:val="24"/>
          <w:lang w:val="en-US"/>
        </w:rPr>
        <w:t xml:space="preserve"> project finance</w:t>
      </w:r>
      <w:r w:rsidRPr="001F62AD">
        <w:rPr>
          <w:rFonts w:asciiTheme="majorBidi" w:hAnsiTheme="majorBidi" w:cstheme="majorBidi"/>
          <w:sz w:val="24"/>
          <w:szCs w:val="24"/>
          <w:lang w:val="en-US"/>
        </w:rPr>
        <w:t xml:space="preserve"> </w:t>
      </w:r>
      <w:r w:rsidR="00B04FD6" w:rsidRPr="00B04FD6">
        <w:rPr>
          <w:rFonts w:asciiTheme="majorBidi" w:hAnsiTheme="majorBidi" w:cstheme="majorBidi"/>
          <w:sz w:val="24"/>
          <w:szCs w:val="24"/>
          <w:lang w:val="en-US"/>
        </w:rPr>
        <w:t>technique</w:t>
      </w:r>
      <w:r w:rsidR="00B04FD6">
        <w:rPr>
          <w:rFonts w:asciiTheme="majorBidi" w:hAnsiTheme="majorBidi" w:cstheme="majorBidi"/>
          <w:sz w:val="24"/>
          <w:szCs w:val="24"/>
          <w:lang w:val="en-US"/>
        </w:rPr>
        <w:t xml:space="preserve"> </w:t>
      </w:r>
      <w:r>
        <w:rPr>
          <w:rFonts w:asciiTheme="majorBidi" w:hAnsiTheme="majorBidi" w:cstheme="majorBidi"/>
          <w:sz w:val="24"/>
          <w:szCs w:val="24"/>
          <w:lang w:val="en-US"/>
        </w:rPr>
        <w:t>would</w:t>
      </w:r>
      <w:r w:rsidRPr="001F62AD">
        <w:rPr>
          <w:rFonts w:asciiTheme="majorBidi" w:hAnsiTheme="majorBidi" w:cstheme="majorBidi"/>
          <w:sz w:val="24"/>
          <w:szCs w:val="24"/>
          <w:lang w:val="en-US"/>
        </w:rPr>
        <w:t xml:space="preserve"> face a </w:t>
      </w:r>
      <w:r>
        <w:rPr>
          <w:rFonts w:asciiTheme="majorBidi" w:hAnsiTheme="majorBidi" w:cstheme="majorBidi"/>
          <w:sz w:val="24"/>
          <w:szCs w:val="24"/>
          <w:lang w:val="en-US"/>
        </w:rPr>
        <w:t>range</w:t>
      </w:r>
      <w:r w:rsidRPr="001F62AD">
        <w:rPr>
          <w:rFonts w:asciiTheme="majorBidi" w:hAnsiTheme="majorBidi" w:cstheme="majorBidi"/>
          <w:sz w:val="24"/>
          <w:szCs w:val="24"/>
          <w:lang w:val="en-US"/>
        </w:rPr>
        <w:t xml:space="preserve"> of challenges, the most important of which are:</w:t>
      </w:r>
    </w:p>
    <w:p w14:paraId="3F6AC77C" w14:textId="437FFDD1" w:rsidR="00DB6BF8" w:rsidRDefault="00DB6BF8" w:rsidP="00634054">
      <w:pPr>
        <w:pStyle w:val="ListParagraph"/>
        <w:numPr>
          <w:ilvl w:val="0"/>
          <w:numId w:val="30"/>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E31D2B">
        <w:rPr>
          <w:rFonts w:asciiTheme="majorBidi" w:hAnsiTheme="majorBidi" w:cstheme="majorBidi"/>
          <w:sz w:val="24"/>
          <w:szCs w:val="24"/>
          <w:lang w:val="en-US"/>
        </w:rPr>
        <w:t>C</w:t>
      </w:r>
      <w:r w:rsidR="00E11ACC" w:rsidRPr="00E11ACC">
        <w:rPr>
          <w:rFonts w:asciiTheme="majorBidi" w:hAnsiTheme="majorBidi" w:cstheme="majorBidi"/>
          <w:sz w:val="24"/>
          <w:szCs w:val="24"/>
          <w:lang w:val="en-US"/>
        </w:rPr>
        <w:t xml:space="preserve">ontinuation </w:t>
      </w:r>
      <w:r w:rsidR="00E11ACC">
        <w:rPr>
          <w:rFonts w:asciiTheme="majorBidi" w:hAnsiTheme="majorBidi" w:cstheme="majorBidi"/>
          <w:sz w:val="24"/>
          <w:szCs w:val="24"/>
          <w:lang w:val="en-US"/>
        </w:rPr>
        <w:t xml:space="preserve">of </w:t>
      </w:r>
      <w:r w:rsidRPr="00E31D2B">
        <w:rPr>
          <w:rFonts w:asciiTheme="majorBidi" w:hAnsiTheme="majorBidi" w:cstheme="majorBidi"/>
          <w:sz w:val="24"/>
          <w:szCs w:val="24"/>
          <w:lang w:val="en-US"/>
        </w:rPr>
        <w:t>international economic sanctions against Syria</w:t>
      </w:r>
    </w:p>
    <w:p w14:paraId="0201271A" w14:textId="11A71EFC" w:rsidR="00422EA0" w:rsidRDefault="004C7581"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4C7581">
        <w:rPr>
          <w:rFonts w:asciiTheme="majorBidi" w:hAnsiTheme="majorBidi" w:cstheme="majorBidi"/>
          <w:sz w:val="24"/>
          <w:szCs w:val="24"/>
          <w:lang w:val="en-US"/>
        </w:rPr>
        <w:t>Since the beginning of the crisis, economic sanctions have been imposed on Syria, including the banning of relations with the Central Bank of Syria and the Commercial Bank of Syria</w:t>
      </w:r>
      <w:r w:rsidR="00B04FD6" w:rsidRPr="00B04FD6">
        <w:rPr>
          <w:rFonts w:asciiTheme="majorBidi" w:hAnsiTheme="majorBidi" w:cstheme="majorBidi"/>
          <w:sz w:val="24"/>
          <w:szCs w:val="24"/>
          <w:lang w:val="en-US"/>
        </w:rPr>
        <w:t>, the restriction of financial transactions, insurance, and funds transfer</w:t>
      </w:r>
      <w:r w:rsidR="00DB6BF8">
        <w:rPr>
          <w:rFonts w:asciiTheme="majorBidi" w:hAnsiTheme="majorBidi" w:cstheme="majorBidi"/>
          <w:sz w:val="24"/>
          <w:szCs w:val="24"/>
          <w:lang w:val="en-US"/>
        </w:rPr>
        <w:t xml:space="preserve">. </w:t>
      </w:r>
      <w:r w:rsidR="00DB6BF8" w:rsidRPr="00E31D2B">
        <w:rPr>
          <w:rFonts w:asciiTheme="majorBidi" w:hAnsiTheme="majorBidi" w:cstheme="majorBidi"/>
          <w:sz w:val="24"/>
          <w:szCs w:val="24"/>
          <w:lang w:val="en-US"/>
        </w:rPr>
        <w:t>It would affect funding sources, raise borrowing costs, the cost of importing raw materials, as well as the investment process</w:t>
      </w:r>
      <w:r w:rsidR="00DB6BF8">
        <w:rPr>
          <w:rFonts w:asciiTheme="majorBidi" w:hAnsiTheme="majorBidi" w:cstheme="majorBidi"/>
          <w:sz w:val="24"/>
          <w:szCs w:val="24"/>
          <w:lang w:val="en-US"/>
        </w:rPr>
        <w:t>.</w:t>
      </w:r>
    </w:p>
    <w:p w14:paraId="329CC90B" w14:textId="534A1907" w:rsidR="009967D0" w:rsidRDefault="00E11ACC" w:rsidP="00634054">
      <w:pPr>
        <w:pStyle w:val="ListParagraph"/>
        <w:numPr>
          <w:ilvl w:val="0"/>
          <w:numId w:val="30"/>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Pr>
          <w:rFonts w:asciiTheme="majorBidi" w:hAnsiTheme="majorBidi" w:cstheme="majorBidi"/>
          <w:sz w:val="24"/>
          <w:szCs w:val="24"/>
          <w:lang w:val="en-US"/>
        </w:rPr>
        <w:t>Instability</w:t>
      </w:r>
      <w:r w:rsidR="009967D0" w:rsidRPr="00E31D2B">
        <w:rPr>
          <w:rFonts w:asciiTheme="majorBidi" w:hAnsiTheme="majorBidi" w:cstheme="majorBidi"/>
          <w:sz w:val="24"/>
          <w:szCs w:val="24"/>
          <w:lang w:val="en-US"/>
        </w:rPr>
        <w:t xml:space="preserve"> of the Syrian </w:t>
      </w:r>
      <w:r w:rsidR="009967D0">
        <w:rPr>
          <w:rFonts w:asciiTheme="majorBidi" w:hAnsiTheme="majorBidi" w:cstheme="majorBidi"/>
          <w:sz w:val="24"/>
          <w:szCs w:val="24"/>
          <w:lang w:val="en-US"/>
        </w:rPr>
        <w:t>Pound</w:t>
      </w:r>
      <w:r w:rsidR="009967D0" w:rsidRPr="00E31D2B">
        <w:rPr>
          <w:rFonts w:asciiTheme="majorBidi" w:hAnsiTheme="majorBidi" w:cstheme="majorBidi"/>
          <w:sz w:val="24"/>
          <w:szCs w:val="24"/>
          <w:lang w:val="en-US"/>
        </w:rPr>
        <w:t xml:space="preserve"> exchange rate</w:t>
      </w:r>
    </w:p>
    <w:p w14:paraId="43D9709B" w14:textId="2DB3ED84" w:rsidR="009967D0" w:rsidRPr="00E11ACC" w:rsidRDefault="009967D0" w:rsidP="00634054">
      <w:pPr>
        <w:suppressAutoHyphens/>
        <w:autoSpaceDE w:val="0"/>
        <w:adjustRightInd w:val="0"/>
        <w:spacing w:line="360" w:lineRule="auto"/>
        <w:ind w:firstLine="567"/>
        <w:contextualSpacing/>
        <w:jc w:val="both"/>
        <w:textAlignment w:val="auto"/>
        <w:rPr>
          <w:rFonts w:asciiTheme="majorBidi" w:hAnsiTheme="majorBidi" w:cstheme="majorBidi"/>
          <w:sz w:val="24"/>
          <w:szCs w:val="24"/>
          <w:lang w:val="en-US"/>
        </w:rPr>
      </w:pPr>
      <w:r w:rsidRPr="00E11ACC">
        <w:rPr>
          <w:rFonts w:asciiTheme="majorBidi" w:hAnsiTheme="majorBidi" w:cstheme="majorBidi"/>
          <w:sz w:val="24"/>
          <w:szCs w:val="24"/>
          <w:lang w:val="en-US"/>
        </w:rPr>
        <w:t>The exchange rate is a measure of the government's success in managing macroeconomics</w:t>
      </w:r>
      <w:r w:rsidR="00E8667D">
        <w:rPr>
          <w:rFonts w:asciiTheme="majorBidi" w:hAnsiTheme="majorBidi" w:cstheme="majorBidi"/>
          <w:sz w:val="24"/>
          <w:szCs w:val="24"/>
          <w:lang w:val="en-US"/>
        </w:rPr>
        <w:t>.</w:t>
      </w:r>
      <w:r w:rsidRPr="00E11ACC">
        <w:rPr>
          <w:rFonts w:asciiTheme="majorBidi" w:hAnsiTheme="majorBidi" w:cstheme="majorBidi"/>
          <w:sz w:val="24"/>
          <w:szCs w:val="24"/>
          <w:lang w:val="en-US"/>
        </w:rPr>
        <w:t xml:space="preserve"> </w:t>
      </w:r>
      <w:r w:rsidR="00E8667D">
        <w:rPr>
          <w:rFonts w:asciiTheme="majorBidi" w:hAnsiTheme="majorBidi" w:cstheme="majorBidi"/>
          <w:sz w:val="24"/>
          <w:szCs w:val="24"/>
          <w:lang w:val="en-US"/>
        </w:rPr>
        <w:t>T</w:t>
      </w:r>
      <w:r w:rsidRPr="00E11ACC">
        <w:rPr>
          <w:rFonts w:asciiTheme="majorBidi" w:hAnsiTheme="majorBidi" w:cstheme="majorBidi"/>
          <w:sz w:val="24"/>
          <w:szCs w:val="24"/>
          <w:lang w:val="en-US"/>
        </w:rPr>
        <w:t>he fluctuation and instability of the exchange rate confuse the government with the lack of confidence of investors and individuals in the Syrian pound, which poses a great challenge to investment.</w:t>
      </w:r>
    </w:p>
    <w:p w14:paraId="58AD95A7" w14:textId="77777777" w:rsidR="00402100" w:rsidRDefault="00402100" w:rsidP="00634054">
      <w:pPr>
        <w:pStyle w:val="ListParagraph"/>
        <w:numPr>
          <w:ilvl w:val="0"/>
          <w:numId w:val="30"/>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AF0B72">
        <w:rPr>
          <w:rFonts w:asciiTheme="majorBidi" w:hAnsiTheme="majorBidi" w:cstheme="majorBidi"/>
          <w:sz w:val="24"/>
          <w:szCs w:val="24"/>
          <w:lang w:val="en-US"/>
        </w:rPr>
        <w:t>Weak institutional capacity in Syria</w:t>
      </w:r>
    </w:p>
    <w:p w14:paraId="1652FC44" w14:textId="4A8E108B" w:rsidR="00402100" w:rsidRDefault="00402100"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AF0B72">
        <w:rPr>
          <w:rFonts w:asciiTheme="majorBidi" w:hAnsiTheme="majorBidi" w:cstheme="majorBidi"/>
          <w:sz w:val="24"/>
          <w:szCs w:val="24"/>
          <w:lang w:val="en-US"/>
        </w:rPr>
        <w:t>The governmental and private institutions in Syria suffer from great weakness</w:t>
      </w:r>
      <w:r>
        <w:rPr>
          <w:rFonts w:asciiTheme="majorBidi" w:hAnsiTheme="majorBidi" w:cstheme="majorBidi"/>
          <w:sz w:val="24"/>
          <w:szCs w:val="24"/>
          <w:lang w:val="en-US"/>
        </w:rPr>
        <w:t xml:space="preserve">, </w:t>
      </w:r>
      <w:r w:rsidRPr="00AF0B72">
        <w:rPr>
          <w:rFonts w:asciiTheme="majorBidi" w:hAnsiTheme="majorBidi" w:cstheme="majorBidi"/>
          <w:sz w:val="24"/>
          <w:szCs w:val="24"/>
          <w:lang w:val="en-US"/>
        </w:rPr>
        <w:t>as most of them lack expertise, transparency, accountability</w:t>
      </w:r>
      <w:r>
        <w:rPr>
          <w:rFonts w:asciiTheme="majorBidi" w:hAnsiTheme="majorBidi" w:cstheme="majorBidi"/>
          <w:sz w:val="24"/>
          <w:szCs w:val="24"/>
          <w:lang w:val="en-US"/>
        </w:rPr>
        <w:t>,</w:t>
      </w:r>
      <w:r w:rsidRPr="00AF0B72">
        <w:rPr>
          <w:rFonts w:asciiTheme="majorBidi" w:hAnsiTheme="majorBidi" w:cstheme="majorBidi"/>
          <w:sz w:val="24"/>
          <w:szCs w:val="24"/>
          <w:lang w:val="en-US"/>
        </w:rPr>
        <w:t xml:space="preserve"> and effective performance</w:t>
      </w:r>
      <w:r>
        <w:rPr>
          <w:rFonts w:asciiTheme="majorBidi" w:hAnsiTheme="majorBidi" w:cstheme="majorBidi"/>
          <w:sz w:val="24"/>
          <w:szCs w:val="24"/>
          <w:lang w:val="en-US"/>
        </w:rPr>
        <w:t xml:space="preserve">. </w:t>
      </w:r>
      <w:r w:rsidR="00E8667D">
        <w:rPr>
          <w:rFonts w:asciiTheme="majorBidi" w:hAnsiTheme="majorBidi" w:cstheme="majorBidi"/>
          <w:sz w:val="24"/>
          <w:szCs w:val="24"/>
          <w:lang w:val="en-US"/>
        </w:rPr>
        <w:t>They</w:t>
      </w:r>
      <w:r w:rsidR="00E8667D" w:rsidRPr="00AF0B72">
        <w:rPr>
          <w:rFonts w:asciiTheme="majorBidi" w:hAnsiTheme="majorBidi" w:cstheme="majorBidi"/>
          <w:sz w:val="24"/>
          <w:szCs w:val="24"/>
          <w:lang w:val="en-US"/>
        </w:rPr>
        <w:t xml:space="preserve"> </w:t>
      </w:r>
      <w:r w:rsidRPr="00AF0B72">
        <w:rPr>
          <w:rFonts w:asciiTheme="majorBidi" w:hAnsiTheme="majorBidi" w:cstheme="majorBidi"/>
          <w:sz w:val="24"/>
          <w:szCs w:val="24"/>
          <w:lang w:val="en-US"/>
        </w:rPr>
        <w:t>also suffer from extreme centralization, whether at the level of decision-making, planning</w:t>
      </w:r>
      <w:r w:rsidR="00E11ACC">
        <w:rPr>
          <w:rFonts w:asciiTheme="majorBidi" w:hAnsiTheme="majorBidi" w:cstheme="majorBidi"/>
          <w:sz w:val="24"/>
          <w:szCs w:val="24"/>
          <w:lang w:val="en-US"/>
        </w:rPr>
        <w:t xml:space="preserve">, </w:t>
      </w:r>
      <w:r w:rsidRPr="00AF0B72">
        <w:rPr>
          <w:rFonts w:asciiTheme="majorBidi" w:hAnsiTheme="majorBidi" w:cstheme="majorBidi"/>
          <w:sz w:val="24"/>
          <w:szCs w:val="24"/>
          <w:lang w:val="en-US"/>
        </w:rPr>
        <w:t>or implementation</w:t>
      </w:r>
      <w:r w:rsidR="00E8667D">
        <w:rPr>
          <w:rFonts w:asciiTheme="majorBidi" w:hAnsiTheme="majorBidi" w:cstheme="majorBidi"/>
          <w:sz w:val="24"/>
          <w:szCs w:val="24"/>
          <w:lang w:val="en-US"/>
        </w:rPr>
        <w:t>;</w:t>
      </w:r>
      <w:r>
        <w:rPr>
          <w:rFonts w:asciiTheme="majorBidi" w:hAnsiTheme="majorBidi" w:cstheme="majorBidi"/>
          <w:sz w:val="24"/>
          <w:szCs w:val="24"/>
          <w:lang w:val="en-US"/>
        </w:rPr>
        <w:t xml:space="preserve"> t</w:t>
      </w:r>
      <w:r w:rsidRPr="00AF0B72">
        <w:rPr>
          <w:rFonts w:asciiTheme="majorBidi" w:hAnsiTheme="majorBidi" w:cstheme="majorBidi"/>
          <w:sz w:val="24"/>
          <w:szCs w:val="24"/>
          <w:lang w:val="en-US"/>
        </w:rPr>
        <w:t>his is considered a challenge in the implementation of new investments</w:t>
      </w:r>
      <w:r>
        <w:rPr>
          <w:rFonts w:asciiTheme="majorBidi" w:hAnsiTheme="majorBidi" w:cstheme="majorBidi"/>
          <w:sz w:val="24"/>
          <w:szCs w:val="24"/>
          <w:lang w:val="en-US"/>
        </w:rPr>
        <w:t>.</w:t>
      </w:r>
    </w:p>
    <w:p w14:paraId="08A472F4" w14:textId="77777777" w:rsidR="00402100" w:rsidRDefault="00402100" w:rsidP="00634054">
      <w:pPr>
        <w:pStyle w:val="ListParagraph"/>
        <w:numPr>
          <w:ilvl w:val="0"/>
          <w:numId w:val="30"/>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AF0B72">
        <w:rPr>
          <w:rFonts w:asciiTheme="majorBidi" w:hAnsiTheme="majorBidi" w:cstheme="majorBidi"/>
          <w:sz w:val="24"/>
          <w:szCs w:val="24"/>
          <w:lang w:val="en-US"/>
        </w:rPr>
        <w:t>Financial and administrative corruption</w:t>
      </w:r>
    </w:p>
    <w:p w14:paraId="27DAC199" w14:textId="61A9280E" w:rsidR="00402100" w:rsidRDefault="00D04D47" w:rsidP="00634054">
      <w:pPr>
        <w:suppressAutoHyphens/>
        <w:autoSpaceDE w:val="0"/>
        <w:adjustRightInd w:val="0"/>
        <w:spacing w:line="360" w:lineRule="auto"/>
        <w:ind w:firstLine="567"/>
        <w:jc w:val="both"/>
        <w:rPr>
          <w:rFonts w:asciiTheme="majorBidi" w:hAnsiTheme="majorBidi" w:cstheme="majorBidi"/>
          <w:sz w:val="24"/>
          <w:szCs w:val="24"/>
          <w:rtl/>
          <w:lang w:val="en-US"/>
        </w:rPr>
      </w:pPr>
      <w:r w:rsidRPr="00D04D47">
        <w:rPr>
          <w:rFonts w:asciiTheme="majorBidi" w:hAnsiTheme="majorBidi" w:cstheme="majorBidi"/>
          <w:sz w:val="24"/>
          <w:szCs w:val="24"/>
          <w:lang w:val="en-US"/>
        </w:rPr>
        <w:t>According to the 2019 Corruption Perceptions Index issued by Transparency International, Syria is among the world's ten most corrupt countries</w:t>
      </w:r>
      <w:r w:rsidR="00402100">
        <w:rPr>
          <w:rFonts w:asciiTheme="majorBidi" w:hAnsiTheme="majorBidi" w:cstheme="majorBidi"/>
          <w:sz w:val="24"/>
          <w:szCs w:val="24"/>
          <w:lang w:val="en-US"/>
        </w:rPr>
        <w:t>.</w:t>
      </w:r>
      <w:r w:rsidR="00402100">
        <w:rPr>
          <w:rStyle w:val="FootnoteReference"/>
          <w:rFonts w:asciiTheme="majorBidi" w:hAnsiTheme="majorBidi" w:cstheme="majorBidi"/>
          <w:sz w:val="24"/>
          <w:szCs w:val="24"/>
          <w:lang w:val="en-US"/>
        </w:rPr>
        <w:footnoteReference w:id="107"/>
      </w:r>
      <w:r w:rsidR="00402100">
        <w:rPr>
          <w:rFonts w:asciiTheme="majorBidi" w:hAnsiTheme="majorBidi" w:cstheme="majorBidi"/>
          <w:sz w:val="24"/>
          <w:szCs w:val="24"/>
          <w:lang w:val="en-US"/>
        </w:rPr>
        <w:t xml:space="preserve"> </w:t>
      </w:r>
      <w:r w:rsidR="004C7581" w:rsidRPr="004C7581">
        <w:rPr>
          <w:rFonts w:asciiTheme="majorBidi" w:hAnsiTheme="majorBidi" w:cstheme="majorBidi"/>
          <w:sz w:val="24"/>
          <w:szCs w:val="24"/>
          <w:lang w:val="en-US"/>
        </w:rPr>
        <w:t>A study by Syrian economic researchers found that corruption rates in Syria amounted to 30% of GDP</w:t>
      </w:r>
      <w:r w:rsidR="00402100">
        <w:rPr>
          <w:rFonts w:asciiTheme="majorBidi" w:hAnsiTheme="majorBidi" w:cstheme="majorBidi"/>
          <w:sz w:val="24"/>
          <w:szCs w:val="24"/>
          <w:lang w:val="en-US"/>
        </w:rPr>
        <w:t>.</w:t>
      </w:r>
      <w:r w:rsidR="00402100">
        <w:rPr>
          <w:rStyle w:val="FootnoteReference"/>
          <w:rFonts w:asciiTheme="majorBidi" w:hAnsiTheme="majorBidi" w:cstheme="majorBidi"/>
          <w:sz w:val="24"/>
          <w:szCs w:val="24"/>
          <w:lang w:val="en-US"/>
        </w:rPr>
        <w:footnoteReference w:id="108"/>
      </w:r>
      <w:r w:rsidR="00402100">
        <w:rPr>
          <w:rFonts w:asciiTheme="majorBidi" w:hAnsiTheme="majorBidi" w:cstheme="majorBidi"/>
          <w:sz w:val="24"/>
          <w:szCs w:val="24"/>
          <w:lang w:val="en-US"/>
        </w:rPr>
        <w:t xml:space="preserve"> </w:t>
      </w:r>
      <w:r w:rsidR="00402100" w:rsidRPr="0007641B">
        <w:rPr>
          <w:rFonts w:asciiTheme="majorBidi" w:hAnsiTheme="majorBidi" w:cstheme="majorBidi"/>
          <w:sz w:val="24"/>
          <w:szCs w:val="24"/>
          <w:lang w:val="en-US"/>
        </w:rPr>
        <w:t>Administrative and financial corruption affects the cost of the required investments</w:t>
      </w:r>
      <w:r w:rsidR="00402100">
        <w:rPr>
          <w:rFonts w:asciiTheme="majorBidi" w:hAnsiTheme="majorBidi" w:cstheme="majorBidi"/>
          <w:sz w:val="24"/>
          <w:szCs w:val="24"/>
          <w:lang w:val="en-US"/>
        </w:rPr>
        <w:t xml:space="preserve"> </w:t>
      </w:r>
      <w:r w:rsidR="00402100" w:rsidRPr="0007641B">
        <w:rPr>
          <w:rFonts w:asciiTheme="majorBidi" w:hAnsiTheme="majorBidi" w:cstheme="majorBidi"/>
          <w:sz w:val="24"/>
          <w:szCs w:val="24"/>
          <w:lang w:val="en-US"/>
        </w:rPr>
        <w:t>and reduces the return on investment</w:t>
      </w:r>
      <w:r w:rsidR="00402100">
        <w:rPr>
          <w:rFonts w:asciiTheme="majorBidi" w:hAnsiTheme="majorBidi" w:cstheme="majorBidi"/>
          <w:sz w:val="24"/>
          <w:szCs w:val="24"/>
          <w:lang w:val="en-US"/>
        </w:rPr>
        <w:t xml:space="preserve">, </w:t>
      </w:r>
      <w:r w:rsidR="00747499" w:rsidRPr="0007641B">
        <w:rPr>
          <w:rFonts w:asciiTheme="majorBidi" w:hAnsiTheme="majorBidi" w:cstheme="majorBidi"/>
          <w:sz w:val="24"/>
          <w:szCs w:val="24"/>
          <w:lang w:val="en-US"/>
        </w:rPr>
        <w:t>maki</w:t>
      </w:r>
      <w:r w:rsidR="00747499">
        <w:rPr>
          <w:rFonts w:asciiTheme="majorBidi" w:hAnsiTheme="majorBidi" w:cstheme="majorBidi"/>
          <w:sz w:val="24"/>
          <w:szCs w:val="24"/>
          <w:lang w:val="en-US"/>
        </w:rPr>
        <w:t>ng</w:t>
      </w:r>
      <w:r w:rsidR="00402100" w:rsidRPr="0007641B">
        <w:rPr>
          <w:rFonts w:asciiTheme="majorBidi" w:hAnsiTheme="majorBidi" w:cstheme="majorBidi"/>
          <w:sz w:val="24"/>
          <w:szCs w:val="24"/>
          <w:lang w:val="en-US"/>
        </w:rPr>
        <w:t xml:space="preserve"> it more </w:t>
      </w:r>
      <w:r w:rsidR="00B70106" w:rsidRPr="00B70106">
        <w:rPr>
          <w:rFonts w:asciiTheme="majorBidi" w:hAnsiTheme="majorBidi" w:cstheme="majorBidi"/>
          <w:sz w:val="24"/>
          <w:szCs w:val="24"/>
          <w:lang w:val="en-US"/>
        </w:rPr>
        <w:t xml:space="preserve">challenging </w:t>
      </w:r>
      <w:r w:rsidR="00402100" w:rsidRPr="0007641B">
        <w:rPr>
          <w:rFonts w:asciiTheme="majorBidi" w:hAnsiTheme="majorBidi" w:cstheme="majorBidi"/>
          <w:sz w:val="24"/>
          <w:szCs w:val="24"/>
          <w:lang w:val="en-US"/>
        </w:rPr>
        <w:t>to attract new investments</w:t>
      </w:r>
      <w:r>
        <w:rPr>
          <w:rFonts w:asciiTheme="majorBidi" w:hAnsiTheme="majorBidi" w:cstheme="majorBidi"/>
          <w:sz w:val="24"/>
          <w:szCs w:val="24"/>
          <w:lang w:val="en-US"/>
        </w:rPr>
        <w:t>. There are concerns</w:t>
      </w:r>
      <w:r w:rsidR="00402100" w:rsidRPr="006355E0">
        <w:rPr>
          <w:rFonts w:asciiTheme="majorBidi" w:hAnsiTheme="majorBidi" w:cstheme="majorBidi"/>
          <w:sz w:val="24"/>
          <w:szCs w:val="24"/>
          <w:lang w:val="en-US"/>
        </w:rPr>
        <w:t xml:space="preserve"> that corruption will affect </w:t>
      </w:r>
      <w:r w:rsidR="00402100">
        <w:rPr>
          <w:rFonts w:asciiTheme="majorBidi" w:hAnsiTheme="majorBidi" w:cstheme="majorBidi"/>
          <w:sz w:val="24"/>
          <w:szCs w:val="24"/>
          <w:lang w:val="en-US"/>
        </w:rPr>
        <w:t>bids</w:t>
      </w:r>
      <w:r w:rsidR="00402100" w:rsidRPr="006355E0">
        <w:rPr>
          <w:rFonts w:asciiTheme="majorBidi" w:hAnsiTheme="majorBidi" w:cstheme="majorBidi"/>
          <w:sz w:val="24"/>
          <w:szCs w:val="24"/>
          <w:lang w:val="en-US"/>
        </w:rPr>
        <w:t xml:space="preserve"> and </w:t>
      </w:r>
      <w:r w:rsidR="00402100">
        <w:rPr>
          <w:rFonts w:asciiTheme="majorBidi" w:hAnsiTheme="majorBidi" w:cstheme="majorBidi"/>
          <w:sz w:val="24"/>
          <w:szCs w:val="24"/>
          <w:lang w:val="en-US"/>
        </w:rPr>
        <w:t>potential</w:t>
      </w:r>
      <w:r w:rsidR="00402100" w:rsidRPr="006355E0">
        <w:rPr>
          <w:rFonts w:asciiTheme="majorBidi" w:hAnsiTheme="majorBidi" w:cstheme="majorBidi"/>
          <w:sz w:val="24"/>
          <w:szCs w:val="24"/>
          <w:lang w:val="en-US"/>
        </w:rPr>
        <w:t xml:space="preserve"> projects in the reconstruction phase</w:t>
      </w:r>
      <w:r w:rsidR="00402100">
        <w:rPr>
          <w:rFonts w:asciiTheme="majorBidi" w:hAnsiTheme="majorBidi" w:cstheme="majorBidi"/>
          <w:sz w:val="24"/>
          <w:szCs w:val="24"/>
          <w:lang w:val="en-US"/>
        </w:rPr>
        <w:t>.</w:t>
      </w:r>
    </w:p>
    <w:p w14:paraId="0E41E4F3" w14:textId="77777777" w:rsidR="00402100" w:rsidRDefault="00402100" w:rsidP="00634054">
      <w:pPr>
        <w:pStyle w:val="ListParagraph"/>
        <w:numPr>
          <w:ilvl w:val="0"/>
          <w:numId w:val="30"/>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6355E0">
        <w:rPr>
          <w:rFonts w:asciiTheme="majorBidi" w:hAnsiTheme="majorBidi" w:cstheme="majorBidi"/>
          <w:sz w:val="24"/>
          <w:szCs w:val="24"/>
          <w:lang w:val="en-US"/>
        </w:rPr>
        <w:lastRenderedPageBreak/>
        <w:t>Lack of privatization programs for the public sector</w:t>
      </w:r>
    </w:p>
    <w:p w14:paraId="10F8F401" w14:textId="0D9AC035" w:rsidR="00402100" w:rsidRDefault="00E11ACC" w:rsidP="00634054">
      <w:pPr>
        <w:suppressAutoHyphens/>
        <w:autoSpaceDE w:val="0"/>
        <w:adjustRightInd w:val="0"/>
        <w:spacing w:line="360" w:lineRule="auto"/>
        <w:ind w:firstLine="567"/>
        <w:jc w:val="both"/>
        <w:rPr>
          <w:rFonts w:asciiTheme="majorBidi" w:hAnsiTheme="majorBidi" w:cstheme="majorBidi"/>
          <w:sz w:val="24"/>
          <w:szCs w:val="24"/>
          <w:rtl/>
          <w:lang w:val="en-US"/>
        </w:rPr>
      </w:pPr>
      <w:r>
        <w:rPr>
          <w:rFonts w:asciiTheme="majorBidi" w:hAnsiTheme="majorBidi" w:cstheme="majorBidi"/>
          <w:sz w:val="24"/>
          <w:szCs w:val="24"/>
          <w:lang w:val="en-US"/>
        </w:rPr>
        <w:t>This</w:t>
      </w:r>
      <w:r w:rsidR="00402100" w:rsidRPr="006355E0">
        <w:rPr>
          <w:rFonts w:asciiTheme="majorBidi" w:hAnsiTheme="majorBidi" w:cstheme="majorBidi"/>
          <w:sz w:val="24"/>
          <w:szCs w:val="24"/>
          <w:lang w:val="en-US"/>
        </w:rPr>
        <w:t xml:space="preserve"> is due to several reasons, including the government's reluctance to abandon the </w:t>
      </w:r>
      <w:r w:rsidR="00B71A74" w:rsidRPr="00B71A74">
        <w:rPr>
          <w:rFonts w:asciiTheme="majorBidi" w:hAnsiTheme="majorBidi" w:cstheme="majorBidi"/>
          <w:sz w:val="24"/>
          <w:szCs w:val="24"/>
          <w:lang w:val="en-US"/>
        </w:rPr>
        <w:t>public economic</w:t>
      </w:r>
      <w:r w:rsidR="00B71A74">
        <w:rPr>
          <w:rFonts w:asciiTheme="majorBidi" w:hAnsiTheme="majorBidi" w:cstheme="majorBidi"/>
          <w:sz w:val="24"/>
          <w:szCs w:val="24"/>
          <w:lang w:val="en-US"/>
        </w:rPr>
        <w:t xml:space="preserve"> </w:t>
      </w:r>
      <w:r w:rsidR="00402100" w:rsidRPr="006355E0">
        <w:rPr>
          <w:rFonts w:asciiTheme="majorBidi" w:hAnsiTheme="majorBidi" w:cstheme="majorBidi"/>
          <w:sz w:val="24"/>
          <w:szCs w:val="24"/>
          <w:lang w:val="en-US"/>
        </w:rPr>
        <w:t xml:space="preserve">sector, and the social role played by </w:t>
      </w:r>
      <w:r>
        <w:rPr>
          <w:rFonts w:asciiTheme="majorBidi" w:hAnsiTheme="majorBidi" w:cstheme="majorBidi"/>
          <w:sz w:val="24"/>
          <w:szCs w:val="24"/>
          <w:lang w:val="en-US"/>
        </w:rPr>
        <w:t xml:space="preserve">the </w:t>
      </w:r>
      <w:r w:rsidR="00402100" w:rsidRPr="006355E0">
        <w:rPr>
          <w:rFonts w:asciiTheme="majorBidi" w:hAnsiTheme="majorBidi" w:cstheme="majorBidi"/>
          <w:sz w:val="24"/>
          <w:szCs w:val="24"/>
          <w:lang w:val="en-US"/>
        </w:rPr>
        <w:t>economic and non-economic public sector institutions.</w:t>
      </w:r>
    </w:p>
    <w:p w14:paraId="39B586E8" w14:textId="77777777" w:rsidR="00402100" w:rsidRDefault="00402100" w:rsidP="00634054">
      <w:pPr>
        <w:pStyle w:val="ListParagraph"/>
        <w:numPr>
          <w:ilvl w:val="0"/>
          <w:numId w:val="30"/>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6355E0">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slow </w:t>
      </w:r>
      <w:r w:rsidRPr="006355E0">
        <w:rPr>
          <w:rFonts w:asciiTheme="majorBidi" w:hAnsiTheme="majorBidi" w:cstheme="majorBidi"/>
          <w:sz w:val="24"/>
          <w:szCs w:val="24"/>
          <w:lang w:val="en-US"/>
        </w:rPr>
        <w:t>process of implementing economic reform programs</w:t>
      </w:r>
    </w:p>
    <w:p w14:paraId="04054322" w14:textId="4BC9E97B" w:rsidR="00402100" w:rsidRDefault="00402100"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BA0E56">
        <w:rPr>
          <w:rFonts w:asciiTheme="majorBidi" w:hAnsiTheme="majorBidi" w:cstheme="majorBidi"/>
          <w:sz w:val="24"/>
          <w:szCs w:val="24"/>
          <w:lang w:val="en-US"/>
        </w:rPr>
        <w:t xml:space="preserve">Syria adopts a </w:t>
      </w:r>
      <w:r>
        <w:rPr>
          <w:rFonts w:asciiTheme="majorBidi" w:hAnsiTheme="majorBidi" w:cstheme="majorBidi"/>
          <w:sz w:val="24"/>
          <w:szCs w:val="24"/>
          <w:lang w:val="en-US"/>
        </w:rPr>
        <w:t xml:space="preserve">gradual </w:t>
      </w:r>
      <w:r w:rsidRPr="00BA0E56">
        <w:rPr>
          <w:rFonts w:asciiTheme="majorBidi" w:hAnsiTheme="majorBidi" w:cstheme="majorBidi"/>
          <w:sz w:val="24"/>
          <w:szCs w:val="24"/>
          <w:lang w:val="en-US"/>
        </w:rPr>
        <w:t xml:space="preserve">transition to </w:t>
      </w:r>
      <w:r w:rsidR="0047693E">
        <w:rPr>
          <w:rFonts w:asciiTheme="majorBidi" w:hAnsiTheme="majorBidi" w:cstheme="majorBidi"/>
          <w:sz w:val="24"/>
          <w:szCs w:val="24"/>
          <w:lang w:val="en-US"/>
        </w:rPr>
        <w:t xml:space="preserve">the </w:t>
      </w:r>
      <w:r w:rsidRPr="00BA0E56">
        <w:rPr>
          <w:rFonts w:asciiTheme="majorBidi" w:hAnsiTheme="majorBidi" w:cstheme="majorBidi"/>
          <w:sz w:val="24"/>
          <w:szCs w:val="24"/>
          <w:lang w:val="en-US"/>
        </w:rPr>
        <w:t>social market economy</w:t>
      </w:r>
      <w:r w:rsidR="00B71A7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E11ACC">
        <w:rPr>
          <w:rFonts w:asciiTheme="majorBidi" w:hAnsiTheme="majorBidi" w:cstheme="majorBidi"/>
          <w:sz w:val="24"/>
          <w:szCs w:val="24"/>
          <w:lang w:val="en-US"/>
        </w:rPr>
        <w:t>t</w:t>
      </w:r>
      <w:r w:rsidRPr="00BA0E56">
        <w:rPr>
          <w:rFonts w:asciiTheme="majorBidi" w:hAnsiTheme="majorBidi" w:cstheme="majorBidi"/>
          <w:sz w:val="24"/>
          <w:szCs w:val="24"/>
          <w:lang w:val="en-US"/>
        </w:rPr>
        <w:t>herefore, it requires more time to implement economic reforms</w:t>
      </w:r>
      <w:r w:rsidR="00930904">
        <w:rPr>
          <w:rFonts w:asciiTheme="majorBidi" w:hAnsiTheme="majorBidi" w:cstheme="majorBidi"/>
          <w:sz w:val="24"/>
          <w:szCs w:val="24"/>
          <w:lang w:val="en-US"/>
        </w:rPr>
        <w:t>.</w:t>
      </w:r>
      <w:r w:rsidRPr="00BA0E56">
        <w:rPr>
          <w:rFonts w:asciiTheme="majorBidi" w:hAnsiTheme="majorBidi" w:cstheme="majorBidi"/>
          <w:sz w:val="24"/>
          <w:szCs w:val="24"/>
          <w:lang w:val="en-US"/>
        </w:rPr>
        <w:t xml:space="preserve"> </w:t>
      </w:r>
      <w:r w:rsidR="00930904">
        <w:rPr>
          <w:rFonts w:asciiTheme="majorBidi" w:hAnsiTheme="majorBidi" w:cstheme="majorBidi"/>
          <w:sz w:val="24"/>
          <w:szCs w:val="24"/>
          <w:lang w:val="en-US"/>
        </w:rPr>
        <w:t>S</w:t>
      </w:r>
      <w:r w:rsidRPr="00BA0E56">
        <w:rPr>
          <w:rFonts w:asciiTheme="majorBidi" w:hAnsiTheme="majorBidi" w:cstheme="majorBidi"/>
          <w:sz w:val="24"/>
          <w:szCs w:val="24"/>
          <w:lang w:val="en-US"/>
        </w:rPr>
        <w:t>uch as giving up government support</w:t>
      </w:r>
      <w:r w:rsidRPr="00BA0E56">
        <w:t xml:space="preserve"> </w:t>
      </w:r>
      <w:r w:rsidRPr="00BA0E56">
        <w:rPr>
          <w:rFonts w:asciiTheme="majorBidi" w:hAnsiTheme="majorBidi" w:cstheme="majorBidi"/>
          <w:sz w:val="24"/>
          <w:szCs w:val="24"/>
          <w:lang w:val="en-US"/>
        </w:rPr>
        <w:t>for the prices of some materials</w:t>
      </w:r>
      <w:r>
        <w:rPr>
          <w:rFonts w:asciiTheme="majorBidi" w:hAnsiTheme="majorBidi" w:cstheme="majorBidi"/>
          <w:sz w:val="24"/>
          <w:szCs w:val="24"/>
          <w:lang w:val="en-US"/>
        </w:rPr>
        <w:t>, o</w:t>
      </w:r>
      <w:r w:rsidRPr="00BA0E56">
        <w:rPr>
          <w:rFonts w:asciiTheme="majorBidi" w:hAnsiTheme="majorBidi" w:cstheme="majorBidi"/>
          <w:sz w:val="24"/>
          <w:szCs w:val="24"/>
          <w:lang w:val="en-US"/>
        </w:rPr>
        <w:t>penness to the outside world</w:t>
      </w:r>
      <w:r w:rsidR="00E11ACC">
        <w:rPr>
          <w:rFonts w:asciiTheme="majorBidi" w:hAnsiTheme="majorBidi" w:cstheme="majorBidi"/>
          <w:sz w:val="24"/>
          <w:szCs w:val="24"/>
          <w:lang w:val="en-US"/>
        </w:rPr>
        <w:t xml:space="preserve">, </w:t>
      </w:r>
      <w:r w:rsidRPr="00BA0E56">
        <w:rPr>
          <w:rFonts w:asciiTheme="majorBidi" w:hAnsiTheme="majorBidi" w:cstheme="majorBidi"/>
          <w:sz w:val="24"/>
          <w:szCs w:val="24"/>
          <w:lang w:val="en-US"/>
        </w:rPr>
        <w:t>the abolition of import restrictions</w:t>
      </w:r>
      <w:r>
        <w:rPr>
          <w:rFonts w:asciiTheme="majorBidi" w:hAnsiTheme="majorBidi" w:cstheme="majorBidi"/>
          <w:sz w:val="24"/>
          <w:szCs w:val="24"/>
          <w:lang w:val="en-US"/>
        </w:rPr>
        <w:t>, mo</w:t>
      </w:r>
      <w:r w:rsidRPr="00BA0E56">
        <w:rPr>
          <w:rFonts w:asciiTheme="majorBidi" w:hAnsiTheme="majorBidi" w:cstheme="majorBidi"/>
          <w:sz w:val="24"/>
          <w:szCs w:val="24"/>
          <w:lang w:val="en-US"/>
        </w:rPr>
        <w:t>netary and fiscal policy reforms</w:t>
      </w:r>
      <w:r>
        <w:rPr>
          <w:rFonts w:asciiTheme="majorBidi" w:hAnsiTheme="majorBidi" w:cstheme="majorBidi"/>
          <w:sz w:val="24"/>
          <w:szCs w:val="24"/>
          <w:lang w:val="en-US"/>
        </w:rPr>
        <w:t xml:space="preserve">, </w:t>
      </w:r>
      <w:r w:rsidRPr="00BA0E56">
        <w:rPr>
          <w:rFonts w:asciiTheme="majorBidi" w:hAnsiTheme="majorBidi" w:cstheme="majorBidi"/>
          <w:sz w:val="24"/>
          <w:szCs w:val="24"/>
          <w:lang w:val="en-US"/>
        </w:rPr>
        <w:t>and privatizing the public sector</w:t>
      </w:r>
      <w:r>
        <w:rPr>
          <w:rFonts w:asciiTheme="majorBidi" w:hAnsiTheme="majorBidi" w:cstheme="majorBidi"/>
          <w:sz w:val="24"/>
          <w:szCs w:val="24"/>
          <w:lang w:val="en-US"/>
        </w:rPr>
        <w:t>.</w:t>
      </w:r>
    </w:p>
    <w:p w14:paraId="58ED2274" w14:textId="77777777" w:rsidR="00402100" w:rsidRPr="001D52BB" w:rsidRDefault="00402100" w:rsidP="004F2D38">
      <w:pPr>
        <w:pStyle w:val="ListParagraph"/>
        <w:numPr>
          <w:ilvl w:val="0"/>
          <w:numId w:val="30"/>
        </w:numPr>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1D52BB">
        <w:rPr>
          <w:rFonts w:asciiTheme="majorBidi" w:hAnsiTheme="majorBidi" w:cstheme="majorBidi"/>
          <w:sz w:val="24"/>
          <w:szCs w:val="24"/>
          <w:lang w:val="en-US"/>
        </w:rPr>
        <w:t xml:space="preserve">The </w:t>
      </w:r>
      <w:r w:rsidRPr="00BA0E56">
        <w:rPr>
          <w:rFonts w:asciiTheme="majorBidi" w:hAnsiTheme="majorBidi" w:cstheme="majorBidi"/>
          <w:sz w:val="24"/>
          <w:szCs w:val="24"/>
          <w:lang w:val="en-US"/>
        </w:rPr>
        <w:t>modernity</w:t>
      </w:r>
      <w:r w:rsidRPr="001D52BB">
        <w:rPr>
          <w:rFonts w:asciiTheme="majorBidi" w:hAnsiTheme="majorBidi" w:cstheme="majorBidi"/>
          <w:sz w:val="24"/>
          <w:szCs w:val="24"/>
          <w:lang w:val="en-US"/>
        </w:rPr>
        <w:t xml:space="preserve"> and weakness of the financial market</w:t>
      </w:r>
    </w:p>
    <w:p w14:paraId="1C4F9156" w14:textId="470F803F" w:rsidR="00402100" w:rsidRPr="001D52BB" w:rsidRDefault="00402100" w:rsidP="00634054">
      <w:pPr>
        <w:suppressAutoHyphens/>
        <w:autoSpaceDE w:val="0"/>
        <w:adjustRightInd w:val="0"/>
        <w:spacing w:line="360" w:lineRule="auto"/>
        <w:ind w:firstLine="567"/>
        <w:jc w:val="both"/>
        <w:rPr>
          <w:rFonts w:asciiTheme="majorBidi" w:hAnsiTheme="majorBidi" w:cstheme="majorBidi"/>
          <w:sz w:val="24"/>
          <w:szCs w:val="24"/>
          <w:lang w:val="en-US"/>
        </w:rPr>
      </w:pPr>
      <w:r w:rsidRPr="001D52BB">
        <w:rPr>
          <w:rFonts w:asciiTheme="majorBidi" w:hAnsiTheme="majorBidi" w:cstheme="majorBidi"/>
          <w:sz w:val="24"/>
          <w:szCs w:val="24"/>
          <w:lang w:val="en-US"/>
        </w:rPr>
        <w:t xml:space="preserve">The financial market is one of the most </w:t>
      </w:r>
      <w:r w:rsidR="00B71A74" w:rsidRPr="00B71A74">
        <w:rPr>
          <w:rFonts w:asciiTheme="majorBidi" w:hAnsiTheme="majorBidi" w:cstheme="majorBidi"/>
          <w:sz w:val="24"/>
          <w:szCs w:val="24"/>
          <w:lang w:val="en-US"/>
        </w:rPr>
        <w:t xml:space="preserve">critical </w:t>
      </w:r>
      <w:r w:rsidRPr="001D52BB">
        <w:rPr>
          <w:rFonts w:asciiTheme="majorBidi" w:hAnsiTheme="majorBidi" w:cstheme="majorBidi"/>
          <w:sz w:val="24"/>
          <w:szCs w:val="24"/>
          <w:lang w:val="en-US"/>
        </w:rPr>
        <w:t>pillars of economies with its accumulation of savings and direct investment</w:t>
      </w:r>
      <w:r w:rsidR="00E11ACC">
        <w:rPr>
          <w:rFonts w:asciiTheme="majorBidi" w:hAnsiTheme="majorBidi" w:cstheme="majorBidi"/>
          <w:sz w:val="24"/>
          <w:szCs w:val="24"/>
          <w:lang w:val="en-US"/>
        </w:rPr>
        <w:t>. I</w:t>
      </w:r>
      <w:r w:rsidRPr="001D52BB">
        <w:rPr>
          <w:rFonts w:asciiTheme="majorBidi" w:hAnsiTheme="majorBidi" w:cstheme="majorBidi"/>
          <w:sz w:val="24"/>
          <w:szCs w:val="24"/>
          <w:lang w:val="en-US"/>
        </w:rPr>
        <w:t>t also serves as a platform for large-scale shareholders and other joint-stock companies</w:t>
      </w:r>
      <w:r w:rsidR="00E11ACC">
        <w:rPr>
          <w:rFonts w:asciiTheme="majorBidi" w:hAnsiTheme="majorBidi" w:cstheme="majorBidi"/>
          <w:sz w:val="24"/>
          <w:szCs w:val="24"/>
          <w:lang w:val="en-US"/>
        </w:rPr>
        <w:t>,</w:t>
      </w:r>
      <w:r w:rsidRPr="001D52BB">
        <w:rPr>
          <w:rFonts w:asciiTheme="majorBidi" w:hAnsiTheme="majorBidi" w:cstheme="majorBidi"/>
          <w:sz w:val="24"/>
          <w:szCs w:val="24"/>
          <w:lang w:val="en-US"/>
        </w:rPr>
        <w:t xml:space="preserve"> </w:t>
      </w:r>
      <w:r w:rsidR="00E11ACC">
        <w:rPr>
          <w:rFonts w:asciiTheme="majorBidi" w:hAnsiTheme="majorBidi" w:cstheme="majorBidi"/>
          <w:sz w:val="24"/>
          <w:szCs w:val="24"/>
          <w:lang w:val="en-US"/>
        </w:rPr>
        <w:t>t</w:t>
      </w:r>
      <w:r w:rsidRPr="001D52BB">
        <w:rPr>
          <w:rFonts w:asciiTheme="majorBidi" w:hAnsiTheme="majorBidi" w:cstheme="majorBidi"/>
          <w:sz w:val="24"/>
          <w:szCs w:val="24"/>
          <w:lang w:val="en-US"/>
        </w:rPr>
        <w:t>hus, attracting inflows from domestic and foreign investment.</w:t>
      </w:r>
    </w:p>
    <w:p w14:paraId="338757E0" w14:textId="77777777" w:rsidR="00402100" w:rsidRPr="001D52BB" w:rsidRDefault="00402100" w:rsidP="004F2D38">
      <w:pPr>
        <w:pStyle w:val="ListParagraph"/>
        <w:numPr>
          <w:ilvl w:val="0"/>
          <w:numId w:val="30"/>
        </w:numPr>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1D52BB">
        <w:rPr>
          <w:rFonts w:asciiTheme="majorBidi" w:hAnsiTheme="majorBidi" w:cstheme="majorBidi"/>
          <w:sz w:val="24"/>
          <w:szCs w:val="24"/>
          <w:lang w:val="en-US"/>
        </w:rPr>
        <w:t>Excluding some strategic sectors from the domestic and foreign private sectors</w:t>
      </w:r>
    </w:p>
    <w:p w14:paraId="6A42F8BA" w14:textId="496A6E90" w:rsidR="00402100" w:rsidRPr="001D52BB" w:rsidRDefault="00E11ACC" w:rsidP="00634054">
      <w:pPr>
        <w:suppressAutoHyphens/>
        <w:autoSpaceDE w:val="0"/>
        <w:adjustRightInd w:val="0"/>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There is</w:t>
      </w:r>
      <w:r w:rsidR="00402100" w:rsidRPr="001D52BB">
        <w:rPr>
          <w:rFonts w:asciiTheme="majorBidi" w:hAnsiTheme="majorBidi" w:cstheme="majorBidi"/>
          <w:sz w:val="24"/>
          <w:szCs w:val="24"/>
          <w:lang w:val="en-US"/>
        </w:rPr>
        <w:t xml:space="preserve"> a monopoly on some strategic sectors in the national economy, such as electricity generation, water supply, and landline phones. </w:t>
      </w:r>
      <w:r w:rsidR="0028540A" w:rsidRPr="0028540A">
        <w:rPr>
          <w:rFonts w:asciiTheme="majorBidi" w:hAnsiTheme="majorBidi" w:cstheme="majorBidi"/>
          <w:sz w:val="24"/>
          <w:szCs w:val="24"/>
          <w:lang w:val="en-US"/>
        </w:rPr>
        <w:t>Hence, these monopolies restrict foreign investment flows as they are desirable sectors by international companies using project finance mechanism</w:t>
      </w:r>
      <w:r w:rsidR="00402100" w:rsidRPr="001D52BB">
        <w:rPr>
          <w:rFonts w:asciiTheme="majorBidi" w:hAnsiTheme="majorBidi" w:cstheme="majorBidi"/>
          <w:sz w:val="24"/>
          <w:szCs w:val="24"/>
          <w:lang w:val="en-US"/>
        </w:rPr>
        <w:t>.</w:t>
      </w:r>
      <w:r w:rsidR="00402100" w:rsidRPr="001D52BB">
        <w:rPr>
          <w:rFonts w:asciiTheme="majorBidi" w:hAnsiTheme="majorBidi" w:cstheme="majorBidi" w:hint="cs"/>
          <w:sz w:val="24"/>
          <w:szCs w:val="24"/>
          <w:rtl/>
          <w:lang w:val="en-US"/>
        </w:rPr>
        <w:t xml:space="preserve"> </w:t>
      </w:r>
    </w:p>
    <w:p w14:paraId="264CD4EF" w14:textId="77777777" w:rsidR="00402100" w:rsidRPr="001D52BB" w:rsidRDefault="00402100" w:rsidP="004F2D38">
      <w:pPr>
        <w:pStyle w:val="ListParagraph"/>
        <w:numPr>
          <w:ilvl w:val="0"/>
          <w:numId w:val="30"/>
        </w:numPr>
        <w:autoSpaceDE w:val="0"/>
        <w:adjustRightInd w:val="0"/>
        <w:spacing w:line="360" w:lineRule="auto"/>
        <w:ind w:left="567" w:hanging="357"/>
        <w:contextualSpacing/>
        <w:jc w:val="both"/>
        <w:textAlignment w:val="auto"/>
        <w:rPr>
          <w:rFonts w:asciiTheme="majorBidi" w:hAnsiTheme="majorBidi" w:cstheme="majorBidi"/>
          <w:sz w:val="24"/>
          <w:szCs w:val="24"/>
          <w:lang w:val="en-US"/>
        </w:rPr>
      </w:pPr>
      <w:r w:rsidRPr="001D52BB">
        <w:rPr>
          <w:rFonts w:asciiTheme="majorBidi" w:hAnsiTheme="majorBidi" w:cstheme="majorBidi"/>
          <w:sz w:val="24"/>
          <w:szCs w:val="24"/>
          <w:lang w:val="en-US"/>
        </w:rPr>
        <w:t>Low degree of protection of intellectual property and trademarks</w:t>
      </w:r>
    </w:p>
    <w:p w14:paraId="6C9194BC" w14:textId="14A475BB" w:rsidR="00402100" w:rsidRDefault="00402100" w:rsidP="004F2D38">
      <w:pPr>
        <w:autoSpaceDE w:val="0"/>
        <w:adjustRightInd w:val="0"/>
        <w:spacing w:line="360" w:lineRule="auto"/>
        <w:ind w:firstLine="567"/>
        <w:jc w:val="both"/>
        <w:rPr>
          <w:rFonts w:asciiTheme="majorBidi" w:hAnsiTheme="majorBidi" w:cstheme="majorBidi"/>
          <w:sz w:val="24"/>
          <w:szCs w:val="24"/>
          <w:lang w:val="en-US"/>
        </w:rPr>
      </w:pPr>
      <w:r w:rsidRPr="001D52BB">
        <w:rPr>
          <w:rFonts w:asciiTheme="majorBidi" w:hAnsiTheme="majorBidi" w:cstheme="majorBidi"/>
          <w:sz w:val="24"/>
          <w:szCs w:val="24"/>
          <w:lang w:val="en-US"/>
        </w:rPr>
        <w:t>Despite the issuance of laws protecting intellectual property and patents in Syria, they need more transparency and the effective application of those laws.</w:t>
      </w:r>
    </w:p>
    <w:p w14:paraId="6D3B660D" w14:textId="2EAD3013" w:rsidR="00DB6A2F" w:rsidRPr="004F2D38" w:rsidRDefault="00DB6A2F" w:rsidP="009B01FE">
      <w:pPr>
        <w:spacing w:before="240" w:line="360" w:lineRule="auto"/>
        <w:jc w:val="both"/>
        <w:rPr>
          <w:rFonts w:asciiTheme="majorBidi" w:hAnsiTheme="majorBidi" w:cstheme="majorBidi"/>
          <w:sz w:val="28"/>
          <w:szCs w:val="28"/>
        </w:rPr>
      </w:pPr>
      <w:r w:rsidRPr="004F2D38">
        <w:rPr>
          <w:rFonts w:asciiTheme="majorBidi" w:hAnsiTheme="majorBidi" w:cstheme="majorBidi"/>
          <w:sz w:val="28"/>
          <w:szCs w:val="28"/>
        </w:rPr>
        <w:t xml:space="preserve">3.4 Evaluation </w:t>
      </w:r>
      <w:r w:rsidR="00997436" w:rsidRPr="004F2D38">
        <w:rPr>
          <w:rFonts w:asciiTheme="majorBidi" w:hAnsiTheme="majorBidi" w:cstheme="majorBidi"/>
          <w:sz w:val="28"/>
          <w:szCs w:val="28"/>
        </w:rPr>
        <w:t>m</w:t>
      </w:r>
      <w:r w:rsidRPr="004F2D38">
        <w:rPr>
          <w:rFonts w:asciiTheme="majorBidi" w:hAnsiTheme="majorBidi" w:cstheme="majorBidi"/>
          <w:sz w:val="28"/>
          <w:szCs w:val="28"/>
        </w:rPr>
        <w:t xml:space="preserve">odel of the </w:t>
      </w:r>
      <w:r w:rsidR="00997436" w:rsidRPr="004F2D38">
        <w:rPr>
          <w:rFonts w:asciiTheme="majorBidi" w:hAnsiTheme="majorBidi" w:cstheme="majorBidi"/>
          <w:sz w:val="28"/>
          <w:szCs w:val="28"/>
        </w:rPr>
        <w:t>p</w:t>
      </w:r>
      <w:r w:rsidRPr="004F2D38">
        <w:rPr>
          <w:rFonts w:asciiTheme="majorBidi" w:hAnsiTheme="majorBidi" w:cstheme="majorBidi"/>
          <w:sz w:val="28"/>
          <w:szCs w:val="28"/>
        </w:rPr>
        <w:t xml:space="preserve">roject </w:t>
      </w:r>
      <w:r w:rsidR="00997436" w:rsidRPr="004F2D38">
        <w:rPr>
          <w:rFonts w:asciiTheme="majorBidi" w:hAnsiTheme="majorBidi" w:cstheme="majorBidi"/>
          <w:sz w:val="28"/>
          <w:szCs w:val="28"/>
        </w:rPr>
        <w:t>f</w:t>
      </w:r>
      <w:r w:rsidRPr="004F2D38">
        <w:rPr>
          <w:rFonts w:asciiTheme="majorBidi" w:hAnsiTheme="majorBidi" w:cstheme="majorBidi"/>
          <w:sz w:val="28"/>
          <w:szCs w:val="28"/>
        </w:rPr>
        <w:t>inance investments</w:t>
      </w:r>
    </w:p>
    <w:p w14:paraId="1AC6EFB2" w14:textId="043ABB97" w:rsidR="00DB6A2F" w:rsidRPr="007B6666" w:rsidRDefault="00DF43E6" w:rsidP="007039D3">
      <w:pPr>
        <w:suppressAutoHyphens/>
        <w:spacing w:before="240" w:line="360" w:lineRule="auto"/>
        <w:ind w:firstLine="567"/>
        <w:jc w:val="both"/>
        <w:rPr>
          <w:rFonts w:asciiTheme="majorBidi" w:hAnsiTheme="majorBidi" w:cstheme="majorBidi"/>
          <w:sz w:val="24"/>
          <w:szCs w:val="24"/>
        </w:rPr>
      </w:pPr>
      <w:r w:rsidRPr="00DF43E6">
        <w:rPr>
          <w:rFonts w:asciiTheme="majorBidi" w:hAnsiTheme="majorBidi" w:cstheme="majorBidi"/>
          <w:sz w:val="24"/>
          <w:szCs w:val="24"/>
        </w:rPr>
        <w:t>A comprehensive model for assessing an investment project's quality should be built based on multicriteria analysis that considers many indicators</w:t>
      </w:r>
      <w:r w:rsidR="00DB6A2F" w:rsidRPr="007B6666">
        <w:rPr>
          <w:rFonts w:asciiTheme="majorBidi" w:hAnsiTheme="majorBidi" w:cstheme="majorBidi"/>
          <w:sz w:val="24"/>
          <w:szCs w:val="24"/>
        </w:rPr>
        <w:t>. The selected criteria will help to take into account the interests and benefits of all stakeholders in the project financing system.</w:t>
      </w:r>
    </w:p>
    <w:p w14:paraId="5CE63397" w14:textId="6155FBCB" w:rsidR="00DB6A2F" w:rsidRPr="007B6666" w:rsidRDefault="003A13D4" w:rsidP="007039D3">
      <w:pPr>
        <w:suppressAutoHyphens/>
        <w:spacing w:line="360" w:lineRule="auto"/>
        <w:ind w:firstLine="567"/>
        <w:jc w:val="both"/>
        <w:rPr>
          <w:rFonts w:asciiTheme="majorBidi" w:hAnsiTheme="majorBidi" w:cstheme="majorBidi"/>
          <w:sz w:val="24"/>
          <w:szCs w:val="24"/>
        </w:rPr>
      </w:pPr>
      <w:r w:rsidRPr="003A13D4">
        <w:rPr>
          <w:rFonts w:asciiTheme="majorBidi" w:hAnsiTheme="majorBidi" w:cstheme="majorBidi"/>
          <w:sz w:val="24"/>
          <w:szCs w:val="24"/>
        </w:rPr>
        <w:t xml:space="preserve">This model was built </w:t>
      </w:r>
      <w:r w:rsidR="00B71A74" w:rsidRPr="00B71A74">
        <w:rPr>
          <w:rFonts w:asciiTheme="majorBidi" w:hAnsiTheme="majorBidi" w:cstheme="majorBidi"/>
          <w:sz w:val="24"/>
          <w:szCs w:val="24"/>
        </w:rPr>
        <w:t xml:space="preserve">based on </w:t>
      </w:r>
      <w:r w:rsidRPr="003A13D4">
        <w:rPr>
          <w:rFonts w:asciiTheme="majorBidi" w:hAnsiTheme="majorBidi" w:cstheme="majorBidi"/>
          <w:sz w:val="24"/>
          <w:szCs w:val="24"/>
        </w:rPr>
        <w:t>Titov model</w:t>
      </w:r>
      <w:r>
        <w:rPr>
          <w:rFonts w:asciiTheme="majorBidi" w:hAnsiTheme="majorBidi" w:cstheme="majorBidi"/>
          <w:sz w:val="24"/>
          <w:szCs w:val="24"/>
        </w:rPr>
        <w:t>,</w:t>
      </w:r>
      <w:r w:rsidRPr="001D0DD0">
        <w:rPr>
          <w:vertAlign w:val="superscript"/>
        </w:rPr>
        <w:footnoteReference w:id="109"/>
      </w:r>
      <w:r>
        <w:rPr>
          <w:rFonts w:asciiTheme="majorBidi" w:hAnsiTheme="majorBidi" w:cstheme="majorBidi"/>
          <w:sz w:val="24"/>
          <w:szCs w:val="24"/>
        </w:rPr>
        <w:t xml:space="preserve"> </w:t>
      </w:r>
      <w:r w:rsidR="00DB6A2F" w:rsidRPr="007B6666">
        <w:rPr>
          <w:rFonts w:asciiTheme="majorBidi" w:hAnsiTheme="majorBidi" w:cstheme="majorBidi"/>
          <w:sz w:val="24"/>
          <w:szCs w:val="24"/>
        </w:rPr>
        <w:t>to make decisions on the implementation of investment projects in Syria</w:t>
      </w:r>
      <w:r w:rsidR="00402F9E">
        <w:rPr>
          <w:rFonts w:asciiTheme="majorBidi" w:hAnsiTheme="majorBidi" w:cstheme="majorBidi"/>
          <w:sz w:val="24"/>
          <w:szCs w:val="24"/>
        </w:rPr>
        <w:t>;</w:t>
      </w:r>
      <w:r w:rsidR="00DB6A2F" w:rsidRPr="007B6666">
        <w:rPr>
          <w:rFonts w:asciiTheme="majorBidi" w:hAnsiTheme="majorBidi" w:cstheme="majorBidi"/>
          <w:sz w:val="24"/>
          <w:szCs w:val="24"/>
        </w:rPr>
        <w:t xml:space="preserve"> it is necessary to analyse</w:t>
      </w:r>
      <w:r w:rsidR="00AA7397">
        <w:rPr>
          <w:rFonts w:asciiTheme="majorBidi" w:hAnsiTheme="majorBidi" w:cstheme="majorBidi"/>
          <w:sz w:val="24"/>
          <w:szCs w:val="24"/>
        </w:rPr>
        <w:t xml:space="preserve"> </w:t>
      </w:r>
      <w:r w:rsidR="0030532A" w:rsidRPr="0030532A">
        <w:rPr>
          <w:rFonts w:asciiTheme="majorBidi" w:hAnsiTheme="majorBidi" w:cstheme="majorBidi"/>
          <w:sz w:val="24"/>
          <w:szCs w:val="24"/>
        </w:rPr>
        <w:t>many evaluation criteria of various nature specific to Syria's investment climate</w:t>
      </w:r>
      <w:r w:rsidR="00AA7397" w:rsidRPr="00AA7397">
        <w:rPr>
          <w:rFonts w:asciiTheme="majorBidi" w:hAnsiTheme="majorBidi" w:cstheme="majorBidi"/>
          <w:sz w:val="24"/>
          <w:szCs w:val="24"/>
        </w:rPr>
        <w:t>. </w:t>
      </w:r>
    </w:p>
    <w:p w14:paraId="0655FCFA" w14:textId="3F49B7E7" w:rsidR="00DB6A2F" w:rsidRPr="00AA7397" w:rsidRDefault="00DB6A2F" w:rsidP="007039D3">
      <w:pPr>
        <w:suppressAutoHyphens/>
        <w:spacing w:line="360" w:lineRule="auto"/>
        <w:ind w:firstLine="567"/>
        <w:jc w:val="both"/>
        <w:rPr>
          <w:rFonts w:asciiTheme="majorBidi" w:hAnsiTheme="majorBidi" w:cstheme="majorBidi"/>
          <w:sz w:val="24"/>
          <w:szCs w:val="24"/>
        </w:rPr>
      </w:pPr>
      <w:r w:rsidRPr="007B6666">
        <w:rPr>
          <w:rFonts w:asciiTheme="majorBidi" w:hAnsiTheme="majorBidi" w:cstheme="majorBidi"/>
          <w:sz w:val="24"/>
          <w:szCs w:val="24"/>
        </w:rPr>
        <w:lastRenderedPageBreak/>
        <w:t>For these purposes, we introduce vectors characterizing the parameters of the investment project</w:t>
      </w:r>
      <w:r w:rsidR="00AA7397">
        <w:rPr>
          <w:rFonts w:asciiTheme="majorBidi" w:hAnsiTheme="majorBidi" w:cstheme="majorBidi"/>
          <w:sz w:val="24"/>
          <w:szCs w:val="24"/>
        </w:rPr>
        <w:t xml:space="preserve"> in Syria</w:t>
      </w:r>
      <w:r w:rsidRPr="007B6666">
        <w:rPr>
          <w:rFonts w:asciiTheme="majorBidi" w:hAnsiTheme="majorBidi" w:cstheme="majorBidi"/>
          <w:sz w:val="24"/>
          <w:szCs w:val="24"/>
        </w:rPr>
        <w:t xml:space="preserve">. These vectors are set </w:t>
      </w:r>
      <w:r w:rsidR="00B71A74" w:rsidRPr="00B71A74">
        <w:rPr>
          <w:rFonts w:asciiTheme="majorBidi" w:hAnsiTheme="majorBidi" w:cstheme="majorBidi"/>
          <w:sz w:val="24"/>
          <w:szCs w:val="24"/>
        </w:rPr>
        <w:t>based on</w:t>
      </w:r>
      <w:r w:rsidR="00B71A74">
        <w:rPr>
          <w:rFonts w:asciiTheme="majorBidi" w:hAnsiTheme="majorBidi" w:cstheme="majorBidi"/>
          <w:sz w:val="24"/>
          <w:szCs w:val="24"/>
        </w:rPr>
        <w:t xml:space="preserve"> </w:t>
      </w:r>
      <w:r w:rsidRPr="007B6666">
        <w:rPr>
          <w:rFonts w:asciiTheme="majorBidi" w:hAnsiTheme="majorBidi" w:cstheme="majorBidi"/>
          <w:sz w:val="24"/>
          <w:szCs w:val="24"/>
        </w:rPr>
        <w:t xml:space="preserve">expert estimates, </w:t>
      </w:r>
      <w:r w:rsidRPr="0050213F">
        <w:rPr>
          <w:rFonts w:asciiTheme="majorBidi" w:hAnsiTheme="majorBidi" w:cstheme="majorBidi"/>
          <w:sz w:val="24"/>
          <w:szCs w:val="24"/>
        </w:rPr>
        <w:t>except for the vectors of economic characteristics</w:t>
      </w:r>
      <w:r>
        <w:rPr>
          <w:rFonts w:asciiTheme="majorBidi" w:hAnsiTheme="majorBidi" w:cstheme="majorBidi"/>
          <w:sz w:val="24"/>
          <w:szCs w:val="24"/>
        </w:rPr>
        <w:t xml:space="preserve"> of the project</w:t>
      </w:r>
      <w:r w:rsidRPr="007B6666">
        <w:rPr>
          <w:rFonts w:asciiTheme="majorBidi" w:hAnsiTheme="majorBidi" w:cstheme="majorBidi"/>
          <w:sz w:val="24"/>
          <w:szCs w:val="24"/>
        </w:rPr>
        <w:t>, which is set by the stakeholders of the project financing system</w:t>
      </w:r>
      <w:r w:rsidR="00AA7397" w:rsidRPr="00AA7397">
        <w:rPr>
          <w:rFonts w:asciiTheme="majorBidi" w:hAnsiTheme="majorBidi" w:cstheme="majorBidi"/>
          <w:sz w:val="24"/>
          <w:szCs w:val="24"/>
        </w:rPr>
        <w:t xml:space="preserve">, and the vectors of the government support </w:t>
      </w:r>
      <w:r w:rsidR="00AA7397" w:rsidRPr="0050213F">
        <w:rPr>
          <w:rFonts w:asciiTheme="majorBidi" w:hAnsiTheme="majorBidi" w:cstheme="majorBidi"/>
          <w:sz w:val="24"/>
          <w:szCs w:val="24"/>
        </w:rPr>
        <w:t>characteristics</w:t>
      </w:r>
      <w:r w:rsidR="00AA7397">
        <w:rPr>
          <w:rFonts w:asciiTheme="majorBidi" w:hAnsiTheme="majorBidi" w:cstheme="majorBidi"/>
          <w:sz w:val="24"/>
          <w:szCs w:val="24"/>
        </w:rPr>
        <w:t xml:space="preserve"> of the project, which is set by the Syrian government. </w:t>
      </w:r>
      <w:r w:rsidR="00B71A74" w:rsidRPr="00B71A74">
        <w:rPr>
          <w:rFonts w:asciiTheme="majorBidi" w:hAnsiTheme="majorBidi" w:cstheme="majorBidi"/>
          <w:sz w:val="24"/>
          <w:szCs w:val="24"/>
        </w:rPr>
        <w:t>Many other external indicators affect</w:t>
      </w:r>
      <w:r w:rsidR="00B71A74">
        <w:rPr>
          <w:rFonts w:asciiTheme="majorBidi" w:hAnsiTheme="majorBidi" w:cstheme="majorBidi"/>
          <w:sz w:val="24"/>
          <w:szCs w:val="24"/>
        </w:rPr>
        <w:t xml:space="preserve"> </w:t>
      </w:r>
      <w:r w:rsidR="00AA7397" w:rsidRPr="00AA7397">
        <w:rPr>
          <w:rFonts w:asciiTheme="majorBidi" w:hAnsiTheme="majorBidi" w:cstheme="majorBidi"/>
          <w:sz w:val="24"/>
          <w:szCs w:val="24"/>
        </w:rPr>
        <w:t>the evaluation of the project</w:t>
      </w:r>
      <w:r w:rsidR="003707ED">
        <w:rPr>
          <w:rFonts w:asciiTheme="majorBidi" w:hAnsiTheme="majorBidi" w:cstheme="majorBidi"/>
          <w:sz w:val="24"/>
          <w:szCs w:val="24"/>
        </w:rPr>
        <w:t>.</w:t>
      </w:r>
      <w:r w:rsidR="00AA7397" w:rsidRPr="00AA7397">
        <w:rPr>
          <w:rFonts w:asciiTheme="majorBidi" w:hAnsiTheme="majorBidi" w:cstheme="majorBidi"/>
          <w:sz w:val="24"/>
          <w:szCs w:val="24"/>
        </w:rPr>
        <w:t xml:space="preserve"> </w:t>
      </w:r>
      <w:r w:rsidR="003707ED" w:rsidRPr="003707ED">
        <w:rPr>
          <w:rFonts w:asciiTheme="majorBidi" w:hAnsiTheme="majorBidi" w:cstheme="majorBidi"/>
          <w:sz w:val="24"/>
          <w:szCs w:val="24"/>
        </w:rPr>
        <w:t>Still, we will not pay attention to it, as it is difficult to predict or control it, such as the inflation rate, exchange rate stability, and political stability</w:t>
      </w:r>
      <w:r w:rsidR="00AA7397" w:rsidRPr="00AA7397">
        <w:rPr>
          <w:rFonts w:asciiTheme="majorBidi" w:hAnsiTheme="majorBidi" w:cstheme="majorBidi"/>
          <w:sz w:val="24"/>
          <w:szCs w:val="24"/>
        </w:rPr>
        <w:t>.</w:t>
      </w:r>
    </w:p>
    <w:p w14:paraId="2BD6C37C" w14:textId="02E1FE5A" w:rsidR="00DB6A2F" w:rsidRPr="006B749B" w:rsidRDefault="00DB6A2F" w:rsidP="004F2D38">
      <w:pPr>
        <w:spacing w:line="360" w:lineRule="auto"/>
        <w:ind w:firstLine="567"/>
        <w:jc w:val="both"/>
        <w:rPr>
          <w:rFonts w:asciiTheme="majorBidi" w:hAnsiTheme="majorBidi" w:cstheme="majorBidi"/>
          <w:sz w:val="24"/>
          <w:szCs w:val="24"/>
        </w:rPr>
      </w:pPr>
      <w:r w:rsidRPr="006B749B">
        <w:rPr>
          <w:rFonts w:asciiTheme="majorBidi" w:hAnsiTheme="majorBidi" w:cstheme="majorBidi"/>
          <w:sz w:val="24"/>
          <w:szCs w:val="24"/>
        </w:rPr>
        <w:t>Description of vector components</w:t>
      </w:r>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S</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w:rPr>
                    <w:rFonts w:ascii="Cambria Math" w:hAnsi="Cambria Math" w:cstheme="majorBidi"/>
                    <w:sz w:val="24"/>
                    <w:szCs w:val="24"/>
                  </w:rPr>
                  <m:t>m</m:t>
                </m:r>
              </m:e>
              <m:sub>
                <m:r>
                  <m:rPr>
                    <m:sty m:val="p"/>
                  </m:rPr>
                  <w:rPr>
                    <w:rFonts w:ascii="Cambria Math" w:hAnsi="Cambria Math" w:cstheme="majorBidi"/>
                    <w:sz w:val="24"/>
                    <w:szCs w:val="24"/>
                  </w:rPr>
                  <m:t>1</m:t>
                </m:r>
              </m:sub>
            </m:sSub>
          </m:sup>
        </m:sSubSup>
      </m:oMath>
      <w:r w:rsidRPr="006B749B">
        <w:rPr>
          <w:rFonts w:asciiTheme="majorBidi" w:hAnsiTheme="majorBidi" w:cstheme="majorBidi"/>
          <w:sz w:val="24"/>
          <w:szCs w:val="24"/>
        </w:rPr>
        <w:t>,</w:t>
      </w:r>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G</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G</m:t>
                    </m:r>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w:rPr>
                    <w:rFonts w:ascii="Cambria Math" w:hAnsi="Cambria Math" w:cstheme="majorBidi"/>
                    <w:sz w:val="24"/>
                    <w:szCs w:val="24"/>
                  </w:rPr>
                  <m:t>m</m:t>
                </m:r>
              </m:e>
              <m:sub>
                <m:r>
                  <m:rPr>
                    <m:sty m:val="p"/>
                  </m:rPr>
                  <w:rPr>
                    <w:rFonts w:ascii="Cambria Math" w:hAnsi="Cambria Math" w:cstheme="majorBidi"/>
                    <w:sz w:val="24"/>
                    <w:szCs w:val="24"/>
                  </w:rPr>
                  <m:t>2</m:t>
                </m:r>
              </m:sub>
            </m:sSub>
          </m:sup>
        </m:sSubSup>
      </m:oMath>
      <w:r w:rsidRPr="006B749B">
        <w:rPr>
          <w:rFonts w:asciiTheme="majorBidi" w:hAnsiTheme="majorBidi" w:cstheme="majorBidi"/>
          <w:sz w:val="24"/>
          <w:szCs w:val="24"/>
        </w:rPr>
        <w:t>,</w:t>
      </w:r>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E</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E</m:t>
                    </m:r>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w:rPr>
                    <w:rFonts w:ascii="Cambria Math" w:hAnsi="Cambria Math" w:cstheme="majorBidi"/>
                    <w:sz w:val="24"/>
                    <w:szCs w:val="24"/>
                  </w:rPr>
                  <m:t>m</m:t>
                </m:r>
              </m:e>
              <m:sub>
                <m:r>
                  <w:rPr>
                    <w:rFonts w:ascii="Cambria Math" w:hAnsi="Cambria Math" w:cstheme="majorBidi"/>
                    <w:sz w:val="24"/>
                    <w:szCs w:val="24"/>
                  </w:rPr>
                  <m:t>3</m:t>
                </m:r>
              </m:sub>
            </m:sSub>
          </m:sup>
        </m:sSubSup>
      </m:oMath>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W</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W</m:t>
                    </m:r>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w:rPr>
                    <w:rFonts w:ascii="Cambria Math" w:hAnsi="Cambria Math" w:cstheme="majorBidi"/>
                    <w:sz w:val="24"/>
                    <w:szCs w:val="24"/>
                  </w:rPr>
                  <m:t>m</m:t>
                </m:r>
              </m:e>
              <m:sub>
                <m:r>
                  <w:rPr>
                    <w:rFonts w:ascii="Cambria Math" w:hAnsi="Cambria Math" w:cstheme="majorBidi"/>
                    <w:sz w:val="24"/>
                    <w:szCs w:val="24"/>
                  </w:rPr>
                  <m:t>4</m:t>
                </m:r>
              </m:sub>
            </m:sSub>
          </m:sup>
        </m:sSubSup>
      </m:oMath>
      <w:r w:rsidRPr="006B749B">
        <w:rPr>
          <w:rFonts w:asciiTheme="majorBidi" w:hAnsiTheme="majorBidi" w:cstheme="majorBidi"/>
          <w:sz w:val="24"/>
          <w:szCs w:val="24"/>
        </w:rPr>
        <w:t>,</w:t>
      </w:r>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P</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P</m:t>
                    </m:r>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w:rPr>
                    <w:rFonts w:ascii="Cambria Math" w:hAnsi="Cambria Math" w:cstheme="majorBidi"/>
                    <w:sz w:val="24"/>
                    <w:szCs w:val="24"/>
                  </w:rPr>
                  <m:t>m</m:t>
                </m:r>
              </m:e>
              <m:sub>
                <m:r>
                  <w:rPr>
                    <w:rFonts w:ascii="Cambria Math" w:hAnsi="Cambria Math" w:cstheme="majorBidi"/>
                    <w:sz w:val="24"/>
                    <w:szCs w:val="24"/>
                  </w:rPr>
                  <m:t>5</m:t>
                </m:r>
              </m:sub>
            </m:sSub>
          </m:sup>
        </m:sSubSup>
      </m:oMath>
      <w:r w:rsidRPr="006B749B">
        <w:rPr>
          <w:rFonts w:asciiTheme="majorBidi" w:hAnsiTheme="majorBidi" w:cstheme="majorBidi"/>
          <w:sz w:val="24"/>
          <w:szCs w:val="24"/>
        </w:rPr>
        <w:t>,</w:t>
      </w:r>
      <w:r w:rsidR="00161D42">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I</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hAnsi="Cambria Math" w:cstheme="majorBidi"/>
                        <w:sz w:val="24"/>
                        <w:szCs w:val="24"/>
                      </w:rPr>
                      <m:t>I</m:t>
                    </m:r>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w:rPr>
                    <w:rFonts w:ascii="Cambria Math" w:hAnsi="Cambria Math" w:cstheme="majorBidi"/>
                    <w:sz w:val="24"/>
                    <w:szCs w:val="24"/>
                  </w:rPr>
                  <m:t>m</m:t>
                </m:r>
              </m:e>
              <m:sub>
                <m:r>
                  <m:rPr>
                    <m:sty m:val="p"/>
                  </m:rPr>
                  <w:rPr>
                    <w:rFonts w:ascii="Cambria Math" w:hAnsi="Cambria Math" w:cstheme="majorBidi"/>
                    <w:sz w:val="24"/>
                    <w:szCs w:val="24"/>
                  </w:rPr>
                  <m:t>6</m:t>
                </m:r>
              </m:sub>
            </m:sSub>
          </m:sup>
        </m:sSubSup>
      </m:oMath>
      <w:r w:rsidR="009B01FE">
        <w:rPr>
          <w:rFonts w:asciiTheme="majorBidi" w:hAnsiTheme="majorBidi" w:cstheme="majorBidi"/>
          <w:sz w:val="24"/>
          <w:szCs w:val="24"/>
        </w:rPr>
        <w:t xml:space="preserve">, </w:t>
      </w:r>
      <w:r w:rsidRPr="006B749B">
        <w:rPr>
          <w:rFonts w:asciiTheme="majorBidi" w:hAnsiTheme="majorBidi" w:cstheme="majorBidi"/>
          <w:sz w:val="24"/>
          <w:szCs w:val="24"/>
        </w:rPr>
        <w:t xml:space="preserve">as well as the acceptable intervals for their changes, specified taking into account the quality requirements for the investment project, are given in </w:t>
      </w:r>
      <w:r w:rsidR="00555190">
        <w:rPr>
          <w:rFonts w:asciiTheme="majorBidi" w:hAnsiTheme="majorBidi" w:cstheme="majorBidi"/>
          <w:sz w:val="24"/>
          <w:szCs w:val="24"/>
        </w:rPr>
        <w:t>a</w:t>
      </w:r>
      <w:r w:rsidRPr="00DB6A2F">
        <w:rPr>
          <w:rFonts w:asciiTheme="majorBidi" w:hAnsiTheme="majorBidi" w:cstheme="majorBidi"/>
          <w:sz w:val="24"/>
          <w:szCs w:val="24"/>
        </w:rPr>
        <w:t xml:space="preserve">ppendix </w:t>
      </w:r>
      <w:r w:rsidR="00A801BA">
        <w:rPr>
          <w:rFonts w:asciiTheme="majorBidi" w:hAnsiTheme="majorBidi" w:cstheme="majorBidi"/>
          <w:sz w:val="24"/>
          <w:szCs w:val="24"/>
        </w:rPr>
        <w:t>5</w:t>
      </w:r>
      <w:r w:rsidRPr="006B749B">
        <w:rPr>
          <w:rFonts w:asciiTheme="majorBidi" w:hAnsiTheme="majorBidi" w:cstheme="majorBidi"/>
          <w:sz w:val="24"/>
          <w:szCs w:val="24"/>
        </w:rPr>
        <w:t>.</w:t>
      </w:r>
    </w:p>
    <w:p w14:paraId="69163C85" w14:textId="4F0D9D03" w:rsidR="00DB6A2F" w:rsidRDefault="00DB6A2F" w:rsidP="004F2D38">
      <w:pPr>
        <w:spacing w:line="360" w:lineRule="auto"/>
        <w:ind w:firstLine="567"/>
        <w:jc w:val="both"/>
        <w:rPr>
          <w:rFonts w:asciiTheme="majorBidi" w:hAnsiTheme="majorBidi" w:cstheme="majorBidi"/>
          <w:sz w:val="24"/>
          <w:szCs w:val="24"/>
        </w:rPr>
      </w:pPr>
      <w:r w:rsidRPr="00845573">
        <w:rPr>
          <w:rFonts w:asciiTheme="majorBidi" w:hAnsiTheme="majorBidi" w:cstheme="majorBidi"/>
          <w:sz w:val="24"/>
          <w:szCs w:val="24"/>
        </w:rPr>
        <w:t xml:space="preserve">It is assumed that each component of the vectors </w:t>
      </w:r>
      <m:oMath>
        <m:acc>
          <m:accPr>
            <m:chr m:val="⃗"/>
            <m:ctrlPr>
              <w:rPr>
                <w:rFonts w:ascii="Cambria Math" w:hAnsi="Cambria Math" w:cstheme="majorBidi"/>
                <w:sz w:val="24"/>
                <w:szCs w:val="24"/>
              </w:rPr>
            </m:ctrlPr>
          </m:accPr>
          <m:e>
            <m:r>
              <w:rPr>
                <w:rFonts w:ascii="Cambria Math" w:hAnsi="Cambria Math" w:cstheme="majorBidi"/>
                <w:sz w:val="24"/>
                <w:szCs w:val="24"/>
              </w:rPr>
              <m:t>S</m:t>
            </m:r>
          </m:e>
        </m:acc>
        <m:r>
          <w:rPr>
            <w:rFonts w:ascii="Cambria Math" w:hAnsi="Cambria Math" w:cstheme="majorBidi"/>
            <w:sz w:val="24"/>
            <w:szCs w:val="24"/>
          </w:rPr>
          <m:t xml:space="preserve">  </m:t>
        </m:r>
      </m:oMath>
      <w:r w:rsidRPr="00845573">
        <w:rPr>
          <w:rFonts w:asciiTheme="majorBidi" w:hAnsiTheme="majorBidi" w:cstheme="majorBidi"/>
          <w:sz w:val="24"/>
          <w:szCs w:val="24"/>
        </w:rPr>
        <w:t>,</w:t>
      </w:r>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G</m:t>
            </m:r>
          </m:e>
        </m:acc>
        <m:r>
          <w:rPr>
            <w:rFonts w:ascii="Cambria Math" w:hAnsi="Cambria Math" w:cstheme="majorBidi"/>
            <w:sz w:val="24"/>
            <w:szCs w:val="24"/>
          </w:rPr>
          <m:t xml:space="preserve"> </m:t>
        </m:r>
      </m:oMath>
      <w:r w:rsidRPr="00845573">
        <w:rPr>
          <w:rFonts w:asciiTheme="majorBidi" w:hAnsiTheme="majorBidi" w:cstheme="majorBidi"/>
          <w:sz w:val="24"/>
          <w:szCs w:val="24"/>
        </w:rPr>
        <w:t>,</w:t>
      </w:r>
      <m:oMath>
        <m:r>
          <w:rPr>
            <w:rFonts w:ascii="Cambria Math" w:hAnsi="Cambria Math" w:cstheme="majorBidi"/>
            <w:sz w:val="24"/>
            <w:szCs w:val="24"/>
          </w:rPr>
          <m:t xml:space="preserve"> </m:t>
        </m:r>
        <m:acc>
          <m:accPr>
            <m:chr m:val="⃗"/>
            <m:ctrlPr>
              <w:rPr>
                <w:rFonts w:ascii="Cambria Math" w:hAnsi="Cambria Math" w:cstheme="majorBidi"/>
                <w:sz w:val="24"/>
                <w:szCs w:val="24"/>
              </w:rPr>
            </m:ctrlPr>
          </m:accPr>
          <m:e>
            <m:r>
              <w:rPr>
                <w:rFonts w:ascii="Cambria Math" w:hAnsi="Cambria Math" w:cstheme="majorBidi"/>
                <w:sz w:val="24"/>
                <w:szCs w:val="24"/>
              </w:rPr>
              <m:t>E</m:t>
            </m:r>
          </m:e>
        </m:acc>
        <m:r>
          <w:rPr>
            <w:rFonts w:ascii="Cambria Math" w:hAnsi="Cambria Math" w:cstheme="majorBidi"/>
            <w:sz w:val="24"/>
            <w:szCs w:val="24"/>
          </w:rPr>
          <m:t xml:space="preserve"> </m:t>
        </m:r>
      </m:oMath>
      <w:r w:rsidRPr="00845573">
        <w:rPr>
          <w:rFonts w:asciiTheme="majorBidi" w:hAnsiTheme="majorBidi" w:cstheme="majorBidi"/>
          <w:sz w:val="24"/>
          <w:szCs w:val="24"/>
        </w:rPr>
        <w:t>,</w:t>
      </w:r>
      <w:r>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W</m:t>
            </m:r>
          </m:e>
        </m:acc>
        <m:r>
          <w:rPr>
            <w:rFonts w:ascii="Cambria Math" w:hAnsi="Cambria Math" w:cstheme="majorBidi"/>
            <w:sz w:val="24"/>
            <w:szCs w:val="24"/>
          </w:rPr>
          <m:t xml:space="preserve"> </m:t>
        </m:r>
      </m:oMath>
      <w:r w:rsidRPr="00845573">
        <w:rPr>
          <w:rFonts w:asciiTheme="majorBidi" w:hAnsiTheme="majorBidi" w:cstheme="majorBidi"/>
          <w:sz w:val="24"/>
          <w:szCs w:val="24"/>
        </w:rPr>
        <w:t>,</w:t>
      </w:r>
      <m:oMath>
        <m:r>
          <w:rPr>
            <w:rFonts w:ascii="Cambria Math" w:hAnsi="Cambria Math" w:cstheme="majorBidi"/>
            <w:sz w:val="24"/>
            <w:szCs w:val="24"/>
          </w:rPr>
          <m:t xml:space="preserve"> </m:t>
        </m:r>
        <m:acc>
          <m:accPr>
            <m:chr m:val="⃗"/>
            <m:ctrlPr>
              <w:rPr>
                <w:rFonts w:ascii="Cambria Math" w:hAnsi="Cambria Math" w:cstheme="majorBidi"/>
                <w:sz w:val="24"/>
                <w:szCs w:val="24"/>
              </w:rPr>
            </m:ctrlPr>
          </m:accPr>
          <m:e>
            <m:r>
              <w:rPr>
                <w:rFonts w:ascii="Cambria Math" w:hAnsi="Cambria Math" w:cstheme="majorBidi"/>
                <w:sz w:val="24"/>
                <w:szCs w:val="24"/>
              </w:rPr>
              <m:t>P</m:t>
            </m:r>
          </m:e>
        </m:acc>
        <m:r>
          <w:rPr>
            <w:rFonts w:ascii="Cambria Math" w:hAnsi="Cambria Math" w:cstheme="majorBidi"/>
            <w:sz w:val="24"/>
            <w:szCs w:val="24"/>
          </w:rPr>
          <m:t xml:space="preserve"> </m:t>
        </m:r>
      </m:oMath>
      <w:r w:rsidR="00161D42">
        <w:rPr>
          <w:rFonts w:asciiTheme="majorBidi" w:hAnsiTheme="majorBidi" w:cstheme="majorBidi"/>
          <w:sz w:val="24"/>
          <w:szCs w:val="24"/>
        </w:rPr>
        <w:t xml:space="preserve">, </w:t>
      </w:r>
      <m:oMath>
        <m:acc>
          <m:accPr>
            <m:chr m:val="⃗"/>
            <m:ctrlPr>
              <w:rPr>
                <w:rFonts w:ascii="Cambria Math" w:hAnsi="Cambria Math" w:cstheme="majorBidi"/>
                <w:sz w:val="24"/>
                <w:szCs w:val="24"/>
              </w:rPr>
            </m:ctrlPr>
          </m:accPr>
          <m:e>
            <m:r>
              <w:rPr>
                <w:rFonts w:ascii="Cambria Math" w:hAnsi="Cambria Math" w:cstheme="majorBidi"/>
                <w:sz w:val="24"/>
                <w:szCs w:val="24"/>
              </w:rPr>
              <m:t>I</m:t>
            </m:r>
          </m:e>
        </m:acc>
      </m:oMath>
      <w:r>
        <w:rPr>
          <w:rFonts w:asciiTheme="majorBidi" w:eastAsiaTheme="minorEastAsia" w:hAnsiTheme="majorBidi" w:cstheme="majorBidi"/>
          <w:sz w:val="24"/>
          <w:szCs w:val="24"/>
        </w:rPr>
        <w:t xml:space="preserve"> </w:t>
      </w:r>
      <w:r w:rsidR="00296639">
        <w:rPr>
          <w:rFonts w:asciiTheme="majorBidi" w:eastAsiaTheme="minorEastAsia" w:hAnsiTheme="majorBidi" w:cstheme="majorBidi"/>
          <w:sz w:val="24"/>
          <w:szCs w:val="24"/>
        </w:rPr>
        <w:t xml:space="preserve">is </w:t>
      </w:r>
      <w:r w:rsidRPr="00845573">
        <w:rPr>
          <w:rFonts w:asciiTheme="majorBidi" w:hAnsiTheme="majorBidi" w:cstheme="majorBidi"/>
          <w:sz w:val="24"/>
          <w:szCs w:val="24"/>
        </w:rPr>
        <w:t xml:space="preserve">determined with the help of experts is defined as a pair of </w:t>
      </w:r>
      <w:r>
        <w:rPr>
          <w:rFonts w:asciiTheme="majorBidi" w:hAnsiTheme="majorBidi" w:cstheme="majorBidi"/>
          <w:sz w:val="24"/>
          <w:szCs w:val="24"/>
        </w:rPr>
        <w:t>values</w:t>
      </w:r>
      <w:r w:rsidRPr="00845573">
        <w:rPr>
          <w:rFonts w:asciiTheme="majorBidi" w:hAnsiTheme="majorBidi" w:cstheme="majorBidi"/>
          <w:sz w:val="24"/>
          <w:szCs w:val="24"/>
        </w:rPr>
        <w:t>: the average value of this indicator and standard deviation characterizing the range of expert</w:t>
      </w:r>
      <w:r w:rsidR="0022798A">
        <w:rPr>
          <w:rFonts w:asciiTheme="majorBidi" w:hAnsiTheme="majorBidi" w:cstheme="majorBidi"/>
          <w:sz w:val="24"/>
          <w:szCs w:val="24"/>
        </w:rPr>
        <w:t>s</w:t>
      </w:r>
      <w:r w:rsidR="00E20029" w:rsidRPr="00E20029">
        <w:rPr>
          <w:rFonts w:ascii="Times New Roman" w:hAnsi="Times New Roman" w:cs="Times New Roman"/>
          <w:sz w:val="24"/>
          <w:szCs w:val="24"/>
        </w:rPr>
        <w:t>'</w:t>
      </w:r>
      <w:r w:rsidR="0022798A">
        <w:rPr>
          <w:rFonts w:asciiTheme="majorBidi" w:hAnsiTheme="majorBidi" w:cstheme="majorBidi"/>
          <w:sz w:val="24"/>
          <w:szCs w:val="24"/>
        </w:rPr>
        <w:t xml:space="preserve"> </w:t>
      </w:r>
      <w:r w:rsidRPr="00845573">
        <w:rPr>
          <w:rFonts w:asciiTheme="majorBidi" w:hAnsiTheme="majorBidi" w:cstheme="majorBidi"/>
          <w:sz w:val="24"/>
          <w:szCs w:val="24"/>
        </w:rPr>
        <w:t xml:space="preserve">opinions. Then we </w:t>
      </w:r>
      <w:r>
        <w:rPr>
          <w:rFonts w:asciiTheme="majorBidi" w:hAnsiTheme="majorBidi" w:cstheme="majorBidi"/>
          <w:sz w:val="24"/>
          <w:szCs w:val="24"/>
        </w:rPr>
        <w:t>give</w:t>
      </w:r>
      <w:r w:rsidRPr="00845573">
        <w:rPr>
          <w:rFonts w:asciiTheme="majorBidi" w:hAnsiTheme="majorBidi" w:cstheme="majorBidi"/>
          <w:sz w:val="24"/>
          <w:szCs w:val="24"/>
        </w:rPr>
        <w:t xml:space="preserve"> the first element of this pair with a macron</w:t>
      </w:r>
      <w:r>
        <w:rPr>
          <w:rFonts w:asciiTheme="majorBidi" w:hAnsiTheme="majorBidi" w:cstheme="majorBidi"/>
          <w:sz w:val="24"/>
          <w:szCs w:val="24"/>
        </w:rPr>
        <w:t xml:space="preserve"> symbol</w:t>
      </w:r>
      <w:r w:rsidRPr="00845573">
        <w:rPr>
          <w:rFonts w:asciiTheme="majorBidi" w:hAnsiTheme="majorBidi" w:cstheme="majorBidi"/>
          <w:sz w:val="24"/>
          <w:szCs w:val="24"/>
        </w:rPr>
        <w:t xml:space="preserve">, and the second with a tilde. So, for example, the </w:t>
      </w:r>
      <w:r w:rsidRPr="00951A92">
        <w:rPr>
          <w:rFonts w:asciiTheme="majorBidi" w:hAnsiTheme="majorBidi" w:cstheme="majorBidi"/>
          <w:sz w:val="24"/>
          <w:szCs w:val="24"/>
        </w:rPr>
        <w:t>average project cost</w:t>
      </w:r>
      <w:r w:rsidRPr="00845573">
        <w:rPr>
          <w:rFonts w:asciiTheme="majorBidi" w:hAnsiTheme="majorBidi" w:cstheme="majorBidi"/>
          <w:sz w:val="24"/>
          <w:szCs w:val="24"/>
        </w:rPr>
        <w:t xml:space="preserve"> </w:t>
      </w:r>
      <w:r w:rsidRPr="00951A92">
        <w:rPr>
          <w:rFonts w:asciiTheme="majorBidi" w:hAnsiTheme="majorBidi" w:cstheme="majorBidi"/>
          <w:sz w:val="24"/>
          <w:szCs w:val="24"/>
        </w:rPr>
        <w:t>estimate</w:t>
      </w:r>
      <w:r w:rsidRPr="00845573">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1</m:t>
            </m:r>
          </m:sub>
        </m:sSub>
      </m:oMath>
      <w:r w:rsidRPr="00845573">
        <w:rPr>
          <w:rFonts w:asciiTheme="majorBidi" w:hAnsiTheme="majorBidi" w:cstheme="majorBidi"/>
          <w:sz w:val="24"/>
          <w:szCs w:val="24"/>
        </w:rPr>
        <w:t xml:space="preserve"> will be designated as</w:t>
      </w:r>
      <w:r>
        <w:rPr>
          <w:rFonts w:asciiTheme="majorBidi" w:hAnsiTheme="majorBidi" w:cstheme="majorBidi"/>
          <w:sz w:val="24"/>
          <w:szCs w:val="24"/>
        </w:rPr>
        <w:t xml:space="preserve"> </w:t>
      </w:r>
      <m:oMath>
        <m:acc>
          <m:accPr>
            <m:chr m:val="̅"/>
            <m:ctrlPr>
              <w:rPr>
                <w:rFonts w:ascii="Cambria Math" w:hAnsi="Cambria Math" w:cstheme="majorBidi"/>
                <w:i/>
                <w:sz w:val="24"/>
                <w:szCs w:val="24"/>
              </w:rPr>
            </m:ctrlPr>
          </m:accPr>
          <m:e>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1</m:t>
                </m:r>
              </m:sub>
            </m:sSub>
          </m:e>
        </m:acc>
      </m:oMath>
      <w:r w:rsidRPr="00845573">
        <w:rPr>
          <w:rFonts w:asciiTheme="majorBidi" w:hAnsiTheme="majorBidi" w:cstheme="majorBidi"/>
          <w:sz w:val="24"/>
          <w:szCs w:val="24"/>
        </w:rPr>
        <w:t>, and its standard deviation</w:t>
      </w:r>
      <w:r>
        <w:rPr>
          <w:rFonts w:asciiTheme="majorBidi" w:hAnsiTheme="majorBidi" w:cstheme="majorBidi"/>
          <w:sz w:val="24"/>
          <w:szCs w:val="24"/>
        </w:rPr>
        <w:t xml:space="preserve"> </w:t>
      </w:r>
      <w:r w:rsidRPr="00845573">
        <w:rPr>
          <w:rFonts w:asciiTheme="majorBidi" w:hAnsiTheme="majorBidi" w:cstheme="majorBidi"/>
          <w:sz w:val="24"/>
          <w:szCs w:val="24"/>
        </w:rPr>
        <w:t>as</w:t>
      </w:r>
      <w:r>
        <w:rPr>
          <w:rFonts w:asciiTheme="majorBidi" w:hAnsiTheme="majorBidi" w:cstheme="majorBidi"/>
          <w:sz w:val="24"/>
          <w:szCs w:val="24"/>
        </w:rPr>
        <w:t xml:space="preserve"> </w:t>
      </w:r>
      <m:oMath>
        <m:acc>
          <m:accPr>
            <m:chr m:val="̃"/>
            <m:ctrlPr>
              <w:rPr>
                <w:rFonts w:ascii="Cambria Math" w:hAnsi="Cambria Math" w:cstheme="majorBidi"/>
                <w:i/>
                <w:sz w:val="24"/>
                <w:szCs w:val="24"/>
              </w:rPr>
            </m:ctrlPr>
          </m:accPr>
          <m:e>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1</m:t>
                </m:r>
              </m:sub>
            </m:sSub>
          </m:e>
        </m:acc>
      </m:oMath>
      <w:r w:rsidRPr="00845573">
        <w:rPr>
          <w:rFonts w:asciiTheme="majorBidi" w:hAnsiTheme="majorBidi" w:cstheme="majorBidi"/>
          <w:sz w:val="24"/>
          <w:szCs w:val="24"/>
        </w:rPr>
        <w:t>.</w:t>
      </w:r>
    </w:p>
    <w:p w14:paraId="151C974E" w14:textId="7584DDF5" w:rsidR="00DB6A2F" w:rsidRPr="00524313" w:rsidRDefault="00DB6A2F" w:rsidP="004F2D38">
      <w:pPr>
        <w:spacing w:line="360" w:lineRule="auto"/>
        <w:ind w:firstLine="567"/>
        <w:jc w:val="both"/>
        <w:rPr>
          <w:rFonts w:asciiTheme="majorBidi" w:eastAsiaTheme="minorEastAsia" w:hAnsiTheme="majorBidi" w:cstheme="majorBidi"/>
          <w:sz w:val="24"/>
          <w:szCs w:val="24"/>
          <w:rtl/>
          <w:lang w:val="en-US" w:bidi="ar-SY"/>
        </w:rPr>
      </w:pPr>
      <w:r w:rsidRPr="002E2B80">
        <w:rPr>
          <w:rFonts w:asciiTheme="majorBidi" w:hAnsiTheme="majorBidi" w:cstheme="majorBidi"/>
          <w:sz w:val="24"/>
          <w:szCs w:val="24"/>
        </w:rPr>
        <w:t>To simplify the calculations, we introduce the following generalized vectors of dimension</w:t>
      </w:r>
      <w:r>
        <w:rPr>
          <w:rFonts w:asciiTheme="majorBidi" w:hAnsiTheme="majorBidi" w:cstheme="majorBidi"/>
          <w:sz w:val="24"/>
          <w:szCs w:val="24"/>
        </w:rPr>
        <w:t xml:space="preserve"> </w:t>
      </w:r>
      <m:oMath>
        <m:r>
          <w:rPr>
            <w:rFonts w:ascii="Cambria Math" w:hAnsi="Cambria Math" w:cstheme="majorBidi"/>
            <w:sz w:val="24"/>
            <w:szCs w:val="24"/>
          </w:rPr>
          <m:t xml:space="preserve">m=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 xml:space="preserve">+ ... +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6</m:t>
            </m:r>
          </m:sub>
        </m:sSub>
      </m:oMath>
      <w:r>
        <w:rPr>
          <w:rFonts w:asciiTheme="majorBidi" w:eastAsiaTheme="minorEastAsia" w:hAnsiTheme="majorBidi" w:cstheme="majorBidi"/>
          <w:sz w:val="24"/>
          <w:szCs w:val="24"/>
        </w:rPr>
        <w:t xml:space="preserve"> : </w:t>
      </w:r>
    </w:p>
    <w:p w14:paraId="04E54EC6" w14:textId="14D3D585" w:rsidR="00DB6A2F" w:rsidRPr="00DD0316" w:rsidRDefault="00FD76B3" w:rsidP="00DB6A2F">
      <w:pPr>
        <w:spacing w:line="360" w:lineRule="auto"/>
        <w:jc w:val="center"/>
        <w:rPr>
          <w:rFonts w:asciiTheme="majorBidi" w:eastAsiaTheme="minorEastAsia" w:hAnsiTheme="majorBidi" w:cstheme="majorBidi"/>
          <w:sz w:val="24"/>
          <w:szCs w:val="24"/>
        </w:rPr>
      </w:pPr>
      <m:oMath>
        <m:acc>
          <m:accPr>
            <m:chr m:val="⃗"/>
            <m:ctrlPr>
              <w:rPr>
                <w:rFonts w:ascii="Cambria Math" w:hAnsi="Cambria Math" w:cstheme="majorBidi"/>
                <w:sz w:val="24"/>
                <w:szCs w:val="24"/>
              </w:rPr>
            </m:ctrlPr>
          </m:accPr>
          <m:e>
            <m:r>
              <w:rPr>
                <w:rFonts w:ascii="Cambria Math" w:hAnsi="Cambria Math" w:cstheme="majorBidi"/>
                <w:sz w:val="24"/>
                <w:szCs w:val="24"/>
              </w:rPr>
              <m:t>Q</m:t>
            </m:r>
          </m:e>
        </m:acc>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Q</m:t>
                        </m:r>
                      </m:e>
                    </m:acc>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r>
              <m:rPr>
                <m:sty m:val="p"/>
              </m:rPr>
              <w:rPr>
                <w:rFonts w:ascii="Cambria Math" w:hAnsi="Cambria Math" w:cstheme="majorBidi"/>
                <w:sz w:val="24"/>
                <w:szCs w:val="24"/>
              </w:rPr>
              <m:t>m</m:t>
            </m:r>
          </m:sup>
        </m:sSubSup>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m:t>
            </m:r>
            <m:acc>
              <m:accPr>
                <m:chr m:val="̅"/>
                <m:ctrlPr>
                  <w:rPr>
                    <w:rFonts w:ascii="Cambria Math" w:hAnsi="Cambria Math" w:cstheme="majorBidi"/>
                    <w:i/>
                    <w:iCs/>
                    <w:sz w:val="24"/>
                    <w:szCs w:val="24"/>
                  </w:rPr>
                </m:ctrlPr>
              </m:accPr>
              <m:e>
                <m:r>
                  <w:rPr>
                    <w:rFonts w:ascii="Cambria Math" w:hAnsi="Cambria Math" w:cstheme="majorBidi"/>
                    <w:sz w:val="24"/>
                    <w:szCs w:val="24"/>
                  </w:rPr>
                  <m:t>S</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S</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G</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G</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E</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E</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3</m:t>
                </m:r>
              </m:sub>
            </m:sSub>
          </m:sub>
        </m:sSub>
      </m:oMath>
      <w:r w:rsidR="00DB6A2F" w:rsidRPr="00DD0316">
        <w:rPr>
          <w:rFonts w:asciiTheme="majorBidi" w:eastAsiaTheme="minorEastAsia" w:hAnsiTheme="majorBidi" w:cstheme="majorBidi"/>
          <w:sz w:val="24"/>
          <w:szCs w:val="24"/>
        </w:rPr>
        <w:t>,</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W</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W</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4</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P</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P</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5</m:t>
                </m:r>
              </m:sub>
            </m:sSub>
          </m:sub>
        </m:sSub>
      </m:oMath>
      <w:r w:rsidR="00161D42"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I</m:t>
                </m:r>
              </m:e>
            </m:acc>
          </m:e>
          <m:sub>
            <m:r>
              <w:rPr>
                <w:rFonts w:ascii="Cambria Math" w:hAnsi="Cambria Math" w:cstheme="majorBidi"/>
                <w:sz w:val="24"/>
                <w:szCs w:val="24"/>
              </w:rPr>
              <m:t>1</m:t>
            </m:r>
          </m:sub>
        </m:sSub>
      </m:oMath>
      <w:r w:rsidR="00161D42"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I</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6</m:t>
                </m:r>
              </m:sub>
            </m:sSub>
          </m:sub>
        </m:sSub>
      </m:oMath>
      <w:r w:rsidR="00DB6A2F" w:rsidRPr="00DD0316">
        <w:rPr>
          <w:rFonts w:asciiTheme="majorBidi" w:eastAsiaTheme="minorEastAsia" w:hAnsiTheme="majorBidi" w:cstheme="majorBidi"/>
          <w:sz w:val="24"/>
          <w:szCs w:val="24"/>
        </w:rPr>
        <w:t>)</w:t>
      </w:r>
    </w:p>
    <w:p w14:paraId="6C0BC7B0" w14:textId="3B79F5C1" w:rsidR="00DB6A2F" w:rsidRPr="00DD0316" w:rsidRDefault="00FD76B3" w:rsidP="00DB6A2F">
      <w:pPr>
        <w:spacing w:line="360" w:lineRule="auto"/>
        <w:jc w:val="center"/>
        <w:rPr>
          <w:rFonts w:asciiTheme="majorBidi" w:eastAsiaTheme="minorEastAsia" w:hAnsiTheme="majorBidi" w:cstheme="majorBidi"/>
          <w:sz w:val="24"/>
          <w:szCs w:val="24"/>
        </w:rPr>
      </w:pPr>
      <m:oMath>
        <m:acc>
          <m:accPr>
            <m:chr m:val="⃗"/>
            <m:ctrlPr>
              <w:rPr>
                <w:rFonts w:ascii="Cambria Math" w:hAnsi="Cambria Math" w:cstheme="majorBidi"/>
                <w:sz w:val="24"/>
                <w:szCs w:val="24"/>
              </w:rPr>
            </m:ctrlPr>
          </m:accPr>
          <m:e>
            <m:r>
              <w:rPr>
                <w:rFonts w:ascii="Cambria Math" w:hAnsi="Cambria Math" w:cstheme="majorBidi"/>
                <w:sz w:val="24"/>
                <w:szCs w:val="24"/>
              </w:rPr>
              <m:t>q</m:t>
            </m:r>
          </m:e>
        </m:acc>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w:rPr>
                <w:rFonts w:ascii="Cambria Math" w:hAnsi="Cambria Math" w:cstheme="majorBidi"/>
                <w:sz w:val="24"/>
                <w:szCs w:val="24"/>
              </w:rPr>
              <m:t>(</m:t>
            </m:r>
            <m:acc>
              <m:accPr>
                <m:chr m:val="̃"/>
                <m:ctrlPr>
                  <w:rPr>
                    <w:rFonts w:ascii="Cambria Math" w:hAnsi="Cambria Math" w:cstheme="majorBidi"/>
                    <w:i/>
                    <w:sz w:val="24"/>
                    <w:szCs w:val="24"/>
                  </w:rPr>
                </m:ctrlPr>
              </m:accPr>
              <m:e>
                <m:r>
                  <w:rPr>
                    <w:rFonts w:ascii="Cambria Math" w:hAnsi="Cambria Math" w:cstheme="majorBidi"/>
                    <w:sz w:val="24"/>
                    <w:szCs w:val="24"/>
                  </w:rPr>
                  <m:t>S</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S</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G</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G</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E</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E</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3</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W</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W</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4</m:t>
                </m:r>
              </m:sub>
            </m:sSub>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P</m:t>
                </m:r>
              </m:e>
            </m:acc>
          </m:e>
          <m:sub>
            <m:r>
              <w:rPr>
                <w:rFonts w:ascii="Cambria Math" w:hAnsi="Cambria Math" w:cstheme="majorBidi"/>
                <w:sz w:val="24"/>
                <w:szCs w:val="24"/>
              </w:rPr>
              <m:t>1</m:t>
            </m:r>
          </m:sub>
        </m:sSub>
      </m:oMath>
      <w:r w:rsidR="00DB6A2F"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P</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5</m:t>
                </m:r>
              </m:sub>
            </m:sSub>
          </m:sub>
        </m:sSub>
      </m:oMath>
      <w:r w:rsidR="00161D42"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I</m:t>
                </m:r>
              </m:e>
            </m:acc>
          </m:e>
          <m:sub>
            <m:r>
              <w:rPr>
                <w:rFonts w:ascii="Cambria Math" w:hAnsi="Cambria Math" w:cstheme="majorBidi"/>
                <w:sz w:val="24"/>
                <w:szCs w:val="24"/>
              </w:rPr>
              <m:t>1</m:t>
            </m:r>
          </m:sub>
        </m:sSub>
      </m:oMath>
      <w:r w:rsidR="00161D42" w:rsidRPr="00DD0316">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I</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6</m:t>
                </m:r>
              </m:sub>
            </m:sSub>
          </m:sub>
        </m:sSub>
      </m:oMath>
      <w:r w:rsidR="00DB6A2F" w:rsidRPr="00DD0316">
        <w:rPr>
          <w:rFonts w:asciiTheme="majorBidi" w:eastAsiaTheme="minorEastAsia" w:hAnsiTheme="majorBidi" w:cstheme="majorBidi"/>
          <w:sz w:val="24"/>
          <w:szCs w:val="24"/>
        </w:rPr>
        <w:t>)</w:t>
      </w:r>
    </w:p>
    <w:p w14:paraId="1AF888E6" w14:textId="677B5EA3" w:rsidR="00DB6A2F" w:rsidRDefault="00DB6A2F" w:rsidP="007039D3">
      <w:pPr>
        <w:suppressAutoHyphen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w:t>
      </w:r>
      <w:r w:rsidRPr="00524313">
        <w:rPr>
          <w:rFonts w:asciiTheme="majorBidi" w:hAnsiTheme="majorBidi" w:cstheme="majorBidi"/>
          <w:sz w:val="24"/>
          <w:szCs w:val="24"/>
        </w:rPr>
        <w:t xml:space="preserve">n this case, the corresponding acceptable change intervals from </w:t>
      </w:r>
      <w:r w:rsidR="00555190">
        <w:rPr>
          <w:rFonts w:asciiTheme="majorBidi" w:hAnsiTheme="majorBidi" w:cstheme="majorBidi"/>
          <w:sz w:val="24"/>
          <w:szCs w:val="24"/>
        </w:rPr>
        <w:t>a</w:t>
      </w:r>
      <w:r w:rsidRPr="00DB6A2F">
        <w:rPr>
          <w:rFonts w:asciiTheme="majorBidi" w:hAnsiTheme="majorBidi" w:cstheme="majorBidi"/>
          <w:sz w:val="24"/>
          <w:szCs w:val="24"/>
        </w:rPr>
        <w:t xml:space="preserve">ppendix </w:t>
      </w:r>
      <w:r w:rsidR="00A801BA">
        <w:rPr>
          <w:rFonts w:asciiTheme="majorBidi" w:hAnsiTheme="majorBidi" w:cstheme="majorBidi"/>
          <w:sz w:val="24"/>
          <w:szCs w:val="24"/>
        </w:rPr>
        <w:t>5</w:t>
      </w:r>
      <w:r w:rsidRPr="00524313">
        <w:rPr>
          <w:rFonts w:asciiTheme="majorBidi" w:hAnsiTheme="majorBidi" w:cstheme="majorBidi"/>
          <w:sz w:val="24"/>
          <w:szCs w:val="24"/>
        </w:rPr>
        <w:t xml:space="preserve"> can also be represented in a similar way in the form of vectors of dimension </w:t>
      </w:r>
      <m:oMath>
        <m:r>
          <w:rPr>
            <w:rFonts w:ascii="Cambria Math" w:hAnsi="Cambria Math" w:cstheme="majorBidi"/>
            <w:sz w:val="24"/>
            <w:szCs w:val="24"/>
          </w:rPr>
          <m:t>m</m:t>
        </m:r>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min</m:t>
            </m:r>
          </m:sub>
        </m:sSub>
        <m:r>
          <m:rPr>
            <m:sty m:val="p"/>
          </m:rPr>
          <w:rPr>
            <w:rFonts w:ascii="Cambria Math" w:hAnsi="Cambria Math" w:cstheme="majorBidi"/>
            <w:sz w:val="24"/>
            <w:szCs w:val="24"/>
          </w:rPr>
          <m:t xml:space="preserve"> </m:t>
        </m:r>
      </m:oMath>
      <w:r w:rsidRPr="00616E85">
        <w:rPr>
          <w:rFonts w:asciiTheme="majorBidi" w:hAnsiTheme="majorBidi" w:cstheme="majorBidi"/>
          <w:sz w:val="24"/>
          <w:szCs w:val="24"/>
        </w:rPr>
        <w:t xml:space="preserve">and </w:t>
      </w:r>
      <m:oMath>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max</m:t>
            </m:r>
          </m:sub>
        </m:sSub>
      </m:oMath>
      <w:r w:rsidRPr="00616E85">
        <w:rPr>
          <w:rFonts w:asciiTheme="majorBidi" w:hAnsiTheme="majorBidi" w:cstheme="majorBidi"/>
          <w:sz w:val="24"/>
          <w:szCs w:val="24"/>
        </w:rPr>
        <w:t xml:space="preserve">. Then </w:t>
      </w:r>
      <m:oMath>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pmin</m:t>
            </m:r>
          </m:sub>
        </m:sSub>
        <m:r>
          <m:rPr>
            <m:sty m:val="p"/>
          </m:rPr>
          <w:rPr>
            <w:rFonts w:ascii="Cambria Math" w:hAnsi="Cambria Math" w:cstheme="majorBidi"/>
            <w:sz w:val="24"/>
            <w:szCs w:val="24"/>
          </w:rPr>
          <m:t xml:space="preserve"> ≤ </m:t>
        </m:r>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p</m:t>
            </m:r>
          </m:sub>
        </m:sSub>
        <m:r>
          <m:rPr>
            <m:sty m:val="p"/>
          </m:rPr>
          <w:rPr>
            <w:rFonts w:ascii="Cambria Math" w:hAnsi="Cambria Math" w:cstheme="majorBidi"/>
            <w:sz w:val="24"/>
            <w:szCs w:val="24"/>
          </w:rPr>
          <m:t xml:space="preserve"> ≤ </m:t>
        </m:r>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pmax</m:t>
            </m:r>
          </m:sub>
        </m:sSub>
      </m:oMath>
      <w:r w:rsidRPr="00616E85">
        <w:rPr>
          <w:rFonts w:asciiTheme="majorBidi" w:hAnsiTheme="majorBidi" w:cstheme="majorBidi"/>
          <w:sz w:val="24"/>
          <w:szCs w:val="24"/>
        </w:rPr>
        <w:t xml:space="preserve">, </w:t>
      </w:r>
      <m:oMath>
        <m:r>
          <w:rPr>
            <w:rFonts w:ascii="Cambria Math" w:hAnsi="Cambria Math" w:cstheme="majorBidi"/>
            <w:sz w:val="24"/>
            <w:szCs w:val="24"/>
          </w:rPr>
          <m:t>p</m:t>
        </m:r>
        <m:r>
          <m:rPr>
            <m:sty m:val="p"/>
          </m:rPr>
          <w:rPr>
            <w:rFonts w:ascii="Cambria Math" w:hAnsi="Cambria Math" w:cstheme="majorBidi"/>
            <w:sz w:val="24"/>
            <w:szCs w:val="24"/>
          </w:rPr>
          <m:t>∈1 ÷</m:t>
        </m:r>
        <m:r>
          <w:rPr>
            <w:rFonts w:ascii="Cambria Math" w:hAnsi="Cambria Math" w:cstheme="majorBidi"/>
            <w:sz w:val="24"/>
            <w:szCs w:val="24"/>
          </w:rPr>
          <m:t>m</m:t>
        </m:r>
      </m:oMath>
      <w:r w:rsidRPr="00616E85">
        <w:rPr>
          <w:rFonts w:asciiTheme="majorBidi" w:hAnsiTheme="majorBidi" w:cstheme="majorBidi"/>
          <w:sz w:val="24"/>
          <w:szCs w:val="24"/>
        </w:rPr>
        <w:t xml:space="preserve">, where </w:t>
      </w:r>
      <m:oMath>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pmin</m:t>
            </m:r>
          </m:sub>
        </m:sSub>
      </m:oMath>
      <w:r w:rsidRPr="00616E85">
        <w:rPr>
          <w:rFonts w:asciiTheme="majorBidi" w:hAnsiTheme="majorBidi" w:cstheme="majorBidi"/>
          <w:sz w:val="24"/>
          <w:szCs w:val="24"/>
        </w:rPr>
        <w:t xml:space="preserve"> and </w:t>
      </w:r>
      <m:oMath>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pmax</m:t>
            </m:r>
          </m:sub>
        </m:sSub>
      </m:oMath>
      <w:r w:rsidRPr="00616E85">
        <w:rPr>
          <w:rFonts w:asciiTheme="majorBidi" w:hAnsiTheme="majorBidi" w:cstheme="majorBidi"/>
          <w:sz w:val="24"/>
          <w:szCs w:val="24"/>
        </w:rPr>
        <w:t xml:space="preserve"> are components of the vectors</w:t>
      </w:r>
      <w:r>
        <w:rPr>
          <w:rFonts w:asciiTheme="majorBidi" w:hAnsiTheme="majorBidi" w:cstheme="majorBidi"/>
          <w:sz w:val="24"/>
          <w:szCs w:val="24"/>
        </w:rPr>
        <w:t xml:space="preserve"> </w:t>
      </w:r>
      <m:oMath>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min</m:t>
            </m:r>
          </m:sub>
        </m:sSub>
      </m:oMath>
      <w:r>
        <w:rPr>
          <w:rFonts w:asciiTheme="majorBidi" w:eastAsiaTheme="minorEastAsia" w:hAnsiTheme="majorBidi" w:cstheme="majorBidi"/>
          <w:sz w:val="24"/>
          <w:szCs w:val="24"/>
        </w:rPr>
        <w:t xml:space="preserve"> </w:t>
      </w:r>
      <w:r w:rsidRPr="00616E85">
        <w:rPr>
          <w:rFonts w:asciiTheme="majorBidi" w:hAnsiTheme="majorBidi" w:cstheme="majorBidi"/>
          <w:sz w:val="24"/>
          <w:szCs w:val="24"/>
        </w:rPr>
        <w:t xml:space="preserve">and </w:t>
      </w:r>
      <m:oMath>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max</m:t>
            </m:r>
          </m:sub>
        </m:sSub>
      </m:oMath>
      <w:r>
        <w:rPr>
          <w:rFonts w:asciiTheme="majorBidi" w:eastAsiaTheme="minorEastAsia" w:hAnsiTheme="majorBidi" w:cstheme="majorBidi"/>
          <w:sz w:val="24"/>
          <w:szCs w:val="24"/>
        </w:rPr>
        <w:t xml:space="preserve"> </w:t>
      </w:r>
      <w:r w:rsidRPr="00616E85">
        <w:rPr>
          <w:rFonts w:asciiTheme="majorBidi" w:hAnsiTheme="majorBidi" w:cstheme="majorBidi"/>
          <w:sz w:val="24"/>
          <w:szCs w:val="24"/>
        </w:rPr>
        <w:t>respectively</w:t>
      </w:r>
      <w:r>
        <w:rPr>
          <w:rFonts w:asciiTheme="majorBidi" w:hAnsiTheme="majorBidi" w:cstheme="majorBidi"/>
          <w:sz w:val="24"/>
          <w:szCs w:val="24"/>
        </w:rPr>
        <w:t xml:space="preserve">. </w:t>
      </w:r>
      <w:r w:rsidRPr="00616E85">
        <w:rPr>
          <w:rFonts w:asciiTheme="majorBidi" w:hAnsiTheme="majorBidi" w:cstheme="majorBidi"/>
          <w:sz w:val="24"/>
          <w:szCs w:val="24"/>
        </w:rPr>
        <w:t>Further in the formulas</w:t>
      </w:r>
      <w:r w:rsidR="00571780">
        <w:rPr>
          <w:rFonts w:asciiTheme="majorBidi" w:hAnsiTheme="majorBidi" w:cstheme="majorBidi"/>
          <w:sz w:val="24"/>
          <w:szCs w:val="24"/>
        </w:rPr>
        <w:t>,</w:t>
      </w:r>
      <w:r w:rsidRPr="00616E85">
        <w:rPr>
          <w:rFonts w:asciiTheme="majorBidi" w:hAnsiTheme="majorBidi" w:cstheme="majorBidi"/>
          <w:sz w:val="24"/>
          <w:szCs w:val="24"/>
        </w:rPr>
        <w:t xml:space="preserve"> we will also use the notation:</w:t>
      </w:r>
    </w:p>
    <w:p w14:paraId="4BA8B100" w14:textId="0C2759DE" w:rsidR="00DB6A2F" w:rsidRDefault="00FD76B3" w:rsidP="00DB6A2F">
      <w:pPr>
        <w:spacing w:line="360" w:lineRule="auto"/>
        <w:jc w:val="center"/>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1</m:t>
            </m:r>
          </m:sub>
        </m:sSub>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S</m:t>
                        </m:r>
                      </m:e>
                    </m:acc>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w:rPr>
                    <w:rFonts w:ascii="Cambria Math" w:hAnsi="Cambria Math" w:cstheme="majorBidi"/>
                    <w:sz w:val="24"/>
                    <w:szCs w:val="24"/>
                  </w:rPr>
                  <m:t>1</m:t>
                </m:r>
              </m:sub>
            </m:sSub>
          </m:sup>
        </m:sSubSup>
        <m:r>
          <w:rPr>
            <w:rFonts w:ascii="Cambria Math" w:hAnsi="Cambria Math" w:cstheme="majorBidi"/>
            <w:sz w:val="24"/>
            <w:szCs w:val="24"/>
          </w:rPr>
          <m:t xml:space="preserve">= </m:t>
        </m:r>
        <m:sSub>
          <m:sSubPr>
            <m:ctrlPr>
              <w:rPr>
                <w:rFonts w:ascii="Cambria Math" w:hAnsi="Cambria Math" w:cstheme="majorBidi"/>
                <w:sz w:val="24"/>
                <w:szCs w:val="24"/>
              </w:rPr>
            </m:ctrlPr>
          </m:sSubPr>
          <m:e>
            <m:r>
              <w:rPr>
                <w:rFonts w:ascii="Cambria Math" w:hAnsi="Cambria Math" w:cstheme="majorBidi"/>
                <w:sz w:val="24"/>
                <w:szCs w:val="24"/>
              </w:rPr>
              <m:t>(</m:t>
            </m:r>
            <m:acc>
              <m:accPr>
                <m:chr m:val="̅"/>
                <m:ctrlPr>
                  <w:rPr>
                    <w:rFonts w:ascii="Cambria Math" w:hAnsi="Cambria Math" w:cstheme="majorBidi"/>
                    <w:i/>
                    <w:iCs/>
                    <w:sz w:val="24"/>
                    <w:szCs w:val="24"/>
                  </w:rPr>
                </m:ctrlPr>
              </m:accPr>
              <m:e>
                <m:r>
                  <w:rPr>
                    <w:rFonts w:ascii="Cambria Math" w:hAnsi="Cambria Math" w:cstheme="majorBidi"/>
                    <w:sz w:val="24"/>
                    <w:szCs w:val="24"/>
                  </w:rPr>
                  <m:t>S</m:t>
                </m:r>
              </m:e>
            </m:acc>
          </m:e>
          <m:sub>
            <m:r>
              <w:rPr>
                <w:rFonts w:ascii="Cambria Math" w:hAnsi="Cambria Math" w:cstheme="majorBidi"/>
                <w:sz w:val="24"/>
                <w:szCs w:val="24"/>
              </w:rPr>
              <m:t>1</m:t>
            </m:r>
          </m:sub>
        </m:sSub>
      </m:oMath>
      <w:r w:rsidR="00DB6A2F">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S</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sub>
        </m:sSub>
      </m:oMath>
      <w:r w:rsidR="00DB6A2F">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Q</m:t>
                </m:r>
              </m:e>
            </m:acc>
          </m:e>
          <m:sub>
            <m:r>
              <w:rPr>
                <w:rFonts w:ascii="Cambria Math" w:hAnsi="Cambria Math" w:cstheme="majorBidi"/>
                <w:sz w:val="24"/>
                <w:szCs w:val="24"/>
              </w:rPr>
              <m:t>1;p</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S</m:t>
                </m:r>
              </m:e>
            </m:acc>
          </m:e>
          <m:sub>
            <m:r>
              <w:rPr>
                <w:rFonts w:ascii="Cambria Math" w:hAnsi="Cambria Math" w:cstheme="majorBidi"/>
                <w:sz w:val="24"/>
                <w:szCs w:val="24"/>
              </w:rPr>
              <m:t>p</m:t>
            </m:r>
          </m:sub>
        </m:sSub>
      </m:oMath>
    </w:p>
    <w:p w14:paraId="219B37DA" w14:textId="1A16E20B" w:rsidR="00DB6A2F" w:rsidRDefault="00FD76B3" w:rsidP="00DB6A2F">
      <w:pPr>
        <w:spacing w:line="360" w:lineRule="auto"/>
        <w:jc w:val="center"/>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2</m:t>
            </m:r>
          </m:sub>
        </m:sSub>
        <m:r>
          <m:rPr>
            <m:sty m:val="p"/>
          </m:rPr>
          <w:rPr>
            <w:rFonts w:ascii="Cambria Math" w:hAnsi="Cambria Math" w:cstheme="majorBidi"/>
            <w:sz w:val="24"/>
            <w:szCs w:val="24"/>
          </w:rPr>
          <m:t xml:space="preserve">= </m:t>
        </m:r>
        <m:sSubSup>
          <m:sSubSupPr>
            <m:ctrlPr>
              <w:rPr>
                <w:rFonts w:ascii="Cambria Math" w:hAnsi="Cambria Math" w:cstheme="majorBidi"/>
                <w:sz w:val="24"/>
                <w:szCs w:val="24"/>
              </w:rPr>
            </m:ctrlPr>
          </m:sSubSup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G</m:t>
                        </m:r>
                      </m:e>
                    </m:acc>
                  </m:e>
                  <m:sub>
                    <m:r>
                      <w:rPr>
                        <w:rFonts w:ascii="Cambria Math" w:hAnsi="Cambria Math" w:cstheme="majorBidi"/>
                        <w:sz w:val="24"/>
                        <w:szCs w:val="24"/>
                      </w:rPr>
                      <m:t>p</m:t>
                    </m:r>
                  </m:sub>
                </m:sSub>
              </m:e>
            </m:d>
          </m:e>
          <m:sub>
            <m:r>
              <w:rPr>
                <w:rFonts w:ascii="Cambria Math" w:hAnsi="Cambria Math" w:cstheme="majorBidi"/>
                <w:sz w:val="24"/>
                <w:szCs w:val="24"/>
              </w:rPr>
              <m:t>p</m:t>
            </m:r>
            <m:r>
              <m:rPr>
                <m:sty m:val="p"/>
              </m:rPr>
              <w:rPr>
                <w:rFonts w:ascii="Cambria Math" w:hAnsi="Cambria Math" w:cstheme="majorBidi"/>
                <w:sz w:val="24"/>
                <w:szCs w:val="24"/>
              </w:rPr>
              <m:t>=1</m:t>
            </m:r>
          </m:sub>
          <m:sup>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w:rPr>
                    <w:rFonts w:ascii="Cambria Math" w:hAnsi="Cambria Math" w:cstheme="majorBidi"/>
                    <w:sz w:val="24"/>
                    <w:szCs w:val="24"/>
                  </w:rPr>
                  <m:t>2</m:t>
                </m:r>
              </m:sub>
            </m:sSub>
          </m:sup>
        </m:sSubSup>
        <m:r>
          <w:rPr>
            <w:rFonts w:ascii="Cambria Math" w:hAnsi="Cambria Math" w:cstheme="majorBidi"/>
            <w:sz w:val="24"/>
            <w:szCs w:val="24"/>
          </w:rPr>
          <m:t xml:space="preserve">= </m:t>
        </m:r>
        <m:sSub>
          <m:sSubPr>
            <m:ctrlPr>
              <w:rPr>
                <w:rFonts w:ascii="Cambria Math" w:hAnsi="Cambria Math" w:cstheme="majorBidi"/>
                <w:sz w:val="24"/>
                <w:szCs w:val="24"/>
              </w:rPr>
            </m:ctrlPr>
          </m:sSubPr>
          <m:e>
            <m:r>
              <w:rPr>
                <w:rFonts w:ascii="Cambria Math" w:hAnsi="Cambria Math" w:cstheme="majorBidi"/>
                <w:sz w:val="24"/>
                <w:szCs w:val="24"/>
              </w:rPr>
              <m:t>(</m:t>
            </m:r>
            <m:acc>
              <m:accPr>
                <m:chr m:val="̅"/>
                <m:ctrlPr>
                  <w:rPr>
                    <w:rFonts w:ascii="Cambria Math" w:hAnsi="Cambria Math" w:cstheme="majorBidi"/>
                    <w:i/>
                    <w:iCs/>
                    <w:sz w:val="24"/>
                    <w:szCs w:val="24"/>
                  </w:rPr>
                </m:ctrlPr>
              </m:accPr>
              <m:e>
                <m:r>
                  <w:rPr>
                    <w:rFonts w:ascii="Cambria Math" w:hAnsi="Cambria Math" w:cstheme="majorBidi"/>
                    <w:sz w:val="24"/>
                    <w:szCs w:val="24"/>
                  </w:rPr>
                  <m:t>G</m:t>
                </m:r>
              </m:e>
            </m:acc>
          </m:e>
          <m:sub>
            <m:r>
              <w:rPr>
                <w:rFonts w:ascii="Cambria Math" w:hAnsi="Cambria Math" w:cstheme="majorBidi"/>
                <w:sz w:val="24"/>
                <w:szCs w:val="24"/>
              </w:rPr>
              <m:t>1</m:t>
            </m:r>
          </m:sub>
        </m:sSub>
      </m:oMath>
      <w:r w:rsidR="00DB6A2F">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G</m:t>
                </m:r>
              </m:e>
            </m:acc>
          </m:e>
          <m:sub>
            <m:sSub>
              <m:sSubPr>
                <m:ctrlPr>
                  <w:rPr>
                    <w:rFonts w:ascii="Cambria Math" w:hAnsi="Cambria Math" w:cstheme="majorBidi"/>
                    <w:i/>
                    <w:iCs/>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sub>
        </m:sSub>
      </m:oMath>
      <w:r w:rsidR="00DB6A2F">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Q</m:t>
                </m:r>
              </m:e>
            </m:acc>
          </m:e>
          <m:sub>
            <m:r>
              <w:rPr>
                <w:rFonts w:ascii="Cambria Math" w:hAnsi="Cambria Math" w:cstheme="majorBidi"/>
                <w:sz w:val="24"/>
                <w:szCs w:val="24"/>
              </w:rPr>
              <m:t>2;p</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G</m:t>
                </m:r>
              </m:e>
            </m:acc>
          </m:e>
          <m:sub>
            <m:r>
              <w:rPr>
                <w:rFonts w:ascii="Cambria Math" w:hAnsi="Cambria Math" w:cstheme="majorBidi"/>
                <w:sz w:val="24"/>
                <w:szCs w:val="24"/>
              </w:rPr>
              <m:t>p</m:t>
            </m:r>
          </m:sub>
        </m:sSub>
      </m:oMath>
    </w:p>
    <w:p w14:paraId="5ABA5A6B" w14:textId="77777777" w:rsidR="00DB6A2F" w:rsidRDefault="00DB6A2F" w:rsidP="00DB6A2F">
      <w:pPr>
        <w:spacing w:line="360" w:lineRule="auto"/>
        <w:jc w:val="cente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etc.</m:t>
          </m:r>
        </m:oMath>
      </m:oMathPara>
    </w:p>
    <w:p w14:paraId="3A2BABDD" w14:textId="77777777" w:rsidR="00DB6A2F" w:rsidRDefault="00DB6A2F" w:rsidP="007039D3">
      <w:pPr>
        <w:suppressAutoHyphens/>
        <w:spacing w:line="360" w:lineRule="auto"/>
        <w:ind w:firstLine="567"/>
        <w:jc w:val="both"/>
        <w:rPr>
          <w:rFonts w:asciiTheme="majorBidi" w:hAnsiTheme="majorBidi" w:cstheme="majorBidi"/>
          <w:sz w:val="24"/>
          <w:szCs w:val="24"/>
        </w:rPr>
      </w:pPr>
      <w:r w:rsidRPr="003A6302">
        <w:rPr>
          <w:rFonts w:asciiTheme="majorBidi" w:hAnsiTheme="majorBidi" w:cstheme="majorBidi"/>
          <w:sz w:val="24"/>
          <w:szCs w:val="24"/>
        </w:rPr>
        <w:t>To solve the problem of assessing the quality of an investment project</w:t>
      </w:r>
      <w:r>
        <w:rPr>
          <w:rFonts w:asciiTheme="majorBidi" w:hAnsiTheme="majorBidi" w:cstheme="majorBidi"/>
          <w:sz w:val="24"/>
          <w:szCs w:val="24"/>
        </w:rPr>
        <w:t xml:space="preserve">, </w:t>
      </w:r>
      <w:r w:rsidRPr="003A6302">
        <w:rPr>
          <w:rFonts w:asciiTheme="majorBidi" w:hAnsiTheme="majorBidi" w:cstheme="majorBidi"/>
          <w:sz w:val="24"/>
          <w:szCs w:val="24"/>
        </w:rPr>
        <w:t>taking into account the multicriteria approach to the problem of choosing optimal solutions</w:t>
      </w:r>
      <w:r>
        <w:rPr>
          <w:rFonts w:asciiTheme="majorBidi" w:hAnsiTheme="majorBidi" w:cstheme="majorBidi"/>
          <w:sz w:val="24"/>
          <w:szCs w:val="24"/>
        </w:rPr>
        <w:t xml:space="preserve">, </w:t>
      </w:r>
      <w:r w:rsidRPr="003A6302">
        <w:rPr>
          <w:rFonts w:asciiTheme="majorBidi" w:hAnsiTheme="majorBidi" w:cstheme="majorBidi"/>
          <w:sz w:val="24"/>
          <w:szCs w:val="24"/>
        </w:rPr>
        <w:t xml:space="preserve">with the goal of separate </w:t>
      </w:r>
      <w:r w:rsidRPr="003A6302">
        <w:rPr>
          <w:rFonts w:asciiTheme="majorBidi" w:hAnsiTheme="majorBidi" w:cstheme="majorBidi"/>
          <w:sz w:val="24"/>
          <w:szCs w:val="24"/>
        </w:rPr>
        <w:lastRenderedPageBreak/>
        <w:t>optimization of quantitative and qualitative parameters of the project</w:t>
      </w:r>
      <w:r>
        <w:rPr>
          <w:rFonts w:asciiTheme="majorBidi" w:hAnsiTheme="majorBidi" w:cstheme="majorBidi"/>
          <w:sz w:val="24"/>
          <w:szCs w:val="24"/>
        </w:rPr>
        <w:t>, we</w:t>
      </w:r>
      <w:r w:rsidRPr="003A6302">
        <w:rPr>
          <w:rFonts w:asciiTheme="majorBidi" w:hAnsiTheme="majorBidi" w:cstheme="majorBidi"/>
          <w:sz w:val="24"/>
          <w:szCs w:val="24"/>
        </w:rPr>
        <w:t xml:space="preserve"> introduce a set of functions </w:t>
      </w: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 xml:space="preserve"> </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Q</m:t>
                    </m:r>
                  </m:e>
                </m:acc>
              </m:e>
              <m:sub>
                <m:r>
                  <w:rPr>
                    <w:rFonts w:ascii="Cambria Math" w:hAnsi="Cambria Math" w:cstheme="majorBidi"/>
                    <w:sz w:val="24"/>
                    <w:szCs w:val="24"/>
                  </w:rPr>
                  <m:t>i</m:t>
                </m:r>
              </m:sub>
            </m:sSub>
          </m:e>
        </m:d>
      </m:oMath>
      <w:r>
        <w:rPr>
          <w:rFonts w:asciiTheme="majorBidi" w:eastAsiaTheme="minorEastAsia" w:hAnsiTheme="majorBidi" w:cstheme="majorBidi"/>
          <w:sz w:val="24"/>
          <w:szCs w:val="24"/>
        </w:rPr>
        <w:t xml:space="preserve"> </w:t>
      </w:r>
      <w:r w:rsidRPr="003A6302">
        <w:rPr>
          <w:rFonts w:asciiTheme="majorBidi" w:hAnsiTheme="majorBidi" w:cstheme="majorBidi"/>
          <w:sz w:val="24"/>
          <w:szCs w:val="24"/>
        </w:rPr>
        <w:t>of the following form:</w:t>
      </w:r>
    </w:p>
    <w:p w14:paraId="386D13D4" w14:textId="2F0A23F2" w:rsidR="00DB6A2F" w:rsidRPr="003A6302" w:rsidRDefault="00FD76B3" w:rsidP="00DB6A2F">
      <w:pPr>
        <w:spacing w:line="36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 xml:space="preserve"> </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Q</m:t>
                      </m:r>
                    </m:e>
                  </m:acc>
                </m:e>
                <m:sub>
                  <m:r>
                    <w:rPr>
                      <w:rFonts w:ascii="Cambria Math" w:hAnsi="Cambria Math" w:cstheme="majorBidi"/>
                      <w:sz w:val="24"/>
                      <w:szCs w:val="24"/>
                    </w:rPr>
                    <m:t>i</m:t>
                  </m:r>
                </m:sub>
              </m:sSub>
            </m:e>
          </m:d>
          <m:r>
            <w:rPr>
              <w:rFonts w:ascii="Cambria Math" w:hAnsi="Cambria Math" w:cstheme="majorBidi"/>
              <w:sz w:val="24"/>
              <w:szCs w:val="24"/>
            </w:rPr>
            <m:t xml:space="preserve">= </m:t>
          </m:r>
          <m:nary>
            <m:naryPr>
              <m:chr m:val="∏"/>
              <m:limLoc m:val="undOvr"/>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=1</m:t>
              </m:r>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i</m:t>
                  </m:r>
                </m:sub>
              </m:sSub>
            </m:sup>
            <m:e>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ty m:val="bi"/>
                            </m:rPr>
                            <w:rPr>
                              <w:rFonts w:ascii="Cambria Math" w:eastAsiaTheme="minorEastAsia" w:hAnsi="Cambria Math" w:cstheme="majorBidi"/>
                              <w:sz w:val="24"/>
                              <w:szCs w:val="24"/>
                            </w:rPr>
                            <m:t>Ξ</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e>
                      </m:d>
                    </m:e>
                  </m:d>
                </m:e>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sup>
              </m:sSup>
            </m:e>
          </m:nary>
          <m:r>
            <w:rPr>
              <w:rFonts w:ascii="Cambria Math" w:eastAsiaTheme="minorEastAsia" w:hAnsi="Cambria Math" w:cstheme="majorBidi"/>
              <w:sz w:val="24"/>
              <w:szCs w:val="24"/>
            </w:rPr>
            <m:t xml:space="preserve">   , i ∈1 ÷6               (1)</m:t>
          </m:r>
        </m:oMath>
      </m:oMathPara>
    </w:p>
    <w:p w14:paraId="4B9E7DFD" w14:textId="7D7F35DE" w:rsidR="00DB6A2F" w:rsidRDefault="00DB6A2F" w:rsidP="007039D3">
      <w:pPr>
        <w:suppressAutoHyphens/>
        <w:spacing w:line="360" w:lineRule="auto"/>
        <w:ind w:firstLine="567"/>
        <w:jc w:val="both"/>
        <w:rPr>
          <w:rFonts w:asciiTheme="majorBidi" w:eastAsiaTheme="minorEastAsia" w:hAnsiTheme="majorBidi" w:cstheme="majorBidi"/>
          <w:sz w:val="24"/>
          <w:szCs w:val="24"/>
        </w:rPr>
      </w:pPr>
      <w:r w:rsidRPr="006C7F41">
        <w:rPr>
          <w:rFonts w:asciiTheme="majorBidi" w:hAnsiTheme="majorBidi" w:cstheme="majorBidi"/>
          <w:sz w:val="24"/>
          <w:szCs w:val="24"/>
        </w:rPr>
        <w:t xml:space="preserve">Where </w:t>
      </w:r>
      <m:oMath>
        <m:sSub>
          <m:sSubPr>
            <m:ctrlPr>
              <w:rPr>
                <w:rFonts w:ascii="Cambria Math" w:hAnsi="Cambria Math" w:cstheme="majorBidi"/>
                <w:sz w:val="24"/>
                <w:szCs w:val="24"/>
              </w:rPr>
            </m:ctrlPr>
          </m:sSubPr>
          <m:e>
            <m:acc>
              <m:accPr>
                <m:chr m:val="̅"/>
                <m:ctrlPr>
                  <w:rPr>
                    <w:rFonts w:ascii="Cambria Math" w:hAnsi="Cambria Math" w:cstheme="majorBidi"/>
                    <w:sz w:val="24"/>
                    <w:szCs w:val="24"/>
                  </w:rPr>
                </m:ctrlPr>
              </m:accPr>
              <m:e>
                <m:r>
                  <w:rPr>
                    <w:rFonts w:ascii="Cambria Math" w:hAnsi="Cambria Math" w:cstheme="majorBidi"/>
                    <w:sz w:val="24"/>
                    <w:szCs w:val="24"/>
                  </w:rPr>
                  <m:t>Q</m:t>
                </m:r>
              </m:e>
            </m:acc>
          </m:e>
          <m:sub>
            <m:r>
              <w:rPr>
                <w:rFonts w:ascii="Cambria Math" w:hAnsi="Cambria Math" w:cstheme="majorBidi"/>
                <w:sz w:val="24"/>
                <w:szCs w:val="24"/>
              </w:rPr>
              <m:t>i</m:t>
            </m:r>
            <m:r>
              <m:rPr>
                <m:sty m:val="p"/>
              </m:rP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sub>
        </m:sSub>
      </m:oMath>
      <w:r w:rsidRPr="006C7F41">
        <w:rPr>
          <w:rFonts w:asciiTheme="majorBidi" w:hAnsiTheme="majorBidi" w:cstheme="majorBidi"/>
          <w:sz w:val="24"/>
          <w:szCs w:val="24"/>
        </w:rPr>
        <w:t xml:space="preserve"> </w:t>
      </w:r>
      <w:r>
        <w:rPr>
          <w:rFonts w:asciiTheme="majorBidi" w:hAnsiTheme="majorBidi" w:cstheme="majorBidi"/>
          <w:sz w:val="24"/>
          <w:szCs w:val="24"/>
        </w:rPr>
        <w:t>– is</w:t>
      </w:r>
      <w:r w:rsidRPr="006C7F41">
        <w:rPr>
          <w:rFonts w:asciiTheme="majorBidi" w:hAnsiTheme="majorBidi" w:cstheme="majorBidi"/>
          <w:sz w:val="24"/>
          <w:szCs w:val="24"/>
        </w:rPr>
        <w:t xml:space="preserve"> the average expected value of the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 xml:space="preserve"> </m:t>
        </m:r>
      </m:oMath>
      <w:r w:rsidRPr="006C7F41">
        <w:rPr>
          <w:rFonts w:asciiTheme="majorBidi" w:hAnsiTheme="majorBidi" w:cstheme="majorBidi"/>
          <w:sz w:val="24"/>
          <w:szCs w:val="24"/>
        </w:rPr>
        <w:t>indicator of the</w:t>
      </w:r>
      <m:oMath>
        <m:r>
          <w:rPr>
            <w:rFonts w:ascii="Cambria Math" w:hAnsi="Cambria Math" w:cstheme="majorBidi"/>
            <w:sz w:val="24"/>
            <w:szCs w:val="24"/>
          </w:rPr>
          <m:t xml:space="preserve"> i</m:t>
        </m:r>
      </m:oMath>
      <w:r>
        <w:rPr>
          <w:rFonts w:asciiTheme="majorBidi" w:hAnsiTheme="majorBidi" w:cstheme="majorBidi"/>
          <w:sz w:val="24"/>
          <w:szCs w:val="24"/>
        </w:rPr>
        <w:t xml:space="preserve"> </w:t>
      </w:r>
      <w:r w:rsidRPr="006C7F41">
        <w:rPr>
          <w:rFonts w:asciiTheme="majorBidi" w:hAnsiTheme="majorBidi" w:cstheme="majorBidi"/>
          <w:sz w:val="24"/>
          <w:szCs w:val="24"/>
        </w:rPr>
        <w:t xml:space="preserve">block, </w:t>
      </w: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sub>
        </m:sSub>
      </m:oMath>
      <w:r w:rsidRPr="006C7F41">
        <w:rPr>
          <w:rFonts w:asciiTheme="majorBidi" w:hAnsiTheme="majorBidi" w:cstheme="majorBidi"/>
          <w:sz w:val="24"/>
          <w:szCs w:val="24"/>
        </w:rPr>
        <w:t xml:space="preserve"> – the number of indicators in the</w:t>
      </w:r>
      <m:oMath>
        <m:r>
          <w:rPr>
            <w:rFonts w:ascii="Cambria Math" w:hAnsi="Cambria Math" w:cstheme="majorBidi"/>
            <w:sz w:val="24"/>
            <w:szCs w:val="24"/>
          </w:rPr>
          <m:t xml:space="preserve"> i</m:t>
        </m:r>
      </m:oMath>
      <w:r>
        <w:rPr>
          <w:rFonts w:asciiTheme="majorBidi" w:hAnsiTheme="majorBidi" w:cstheme="majorBidi"/>
          <w:sz w:val="24"/>
          <w:szCs w:val="24"/>
        </w:rPr>
        <w:t xml:space="preserve"> </w:t>
      </w:r>
      <w:r w:rsidRPr="006C7F41">
        <w:rPr>
          <w:rFonts w:asciiTheme="majorBidi" w:hAnsiTheme="majorBidi" w:cstheme="majorBidi"/>
          <w:sz w:val="24"/>
          <w:szCs w:val="24"/>
        </w:rPr>
        <w:t>block</w:t>
      </w:r>
      <w:r>
        <w:rPr>
          <w:rFonts w:asciiTheme="majorBidi"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&gt;0</m:t>
        </m:r>
      </m:oMath>
      <w:r>
        <w:rPr>
          <w:rFonts w:asciiTheme="majorBidi" w:eastAsiaTheme="minorEastAsia" w:hAnsiTheme="majorBidi" w:cstheme="majorBidi"/>
          <w:sz w:val="24"/>
          <w:szCs w:val="24"/>
        </w:rPr>
        <w:t xml:space="preserve"> </w:t>
      </w:r>
      <m:oMath>
        <m:d>
          <m:dPr>
            <m:ctrlPr>
              <w:rPr>
                <w:rFonts w:ascii="Cambria Math" w:eastAsiaTheme="minorEastAsia"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 xml:space="preserve"> ∈1 ÷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sub>
            </m:sSub>
          </m:e>
        </m:d>
      </m:oMath>
      <w:r>
        <w:rPr>
          <w:rFonts w:asciiTheme="majorBidi" w:eastAsiaTheme="minorEastAsia" w:hAnsiTheme="majorBidi" w:cstheme="majorBidi"/>
          <w:sz w:val="24"/>
          <w:szCs w:val="24"/>
        </w:rPr>
        <w:t xml:space="preserve"> - </w:t>
      </w:r>
      <w:r w:rsidRPr="00B72FA5">
        <w:rPr>
          <w:rFonts w:asciiTheme="majorBidi" w:eastAsiaTheme="minorEastAsia" w:hAnsiTheme="majorBidi" w:cstheme="majorBidi"/>
          <w:sz w:val="24"/>
          <w:szCs w:val="24"/>
        </w:rPr>
        <w:t>parameters specified on the basis of statistics for other similar investment programs</w:t>
      </w:r>
      <w:r>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m:rPr>
                <m:sty m:val="bi"/>
              </m:rPr>
              <w:rPr>
                <w:rFonts w:ascii="Cambria Math" w:eastAsiaTheme="minorEastAsia" w:hAnsi="Cambria Math" w:cstheme="majorBidi"/>
                <w:sz w:val="24"/>
                <w:szCs w:val="24"/>
              </w:rPr>
              <m:t>Ξ</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e>
        </m:d>
      </m:oMath>
      <w:r>
        <w:rPr>
          <w:rFonts w:asciiTheme="majorBidi" w:eastAsiaTheme="minorEastAsia" w:hAnsiTheme="majorBidi" w:cstheme="majorBidi"/>
          <w:sz w:val="24"/>
          <w:szCs w:val="24"/>
        </w:rPr>
        <w:t xml:space="preserve"> - n</w:t>
      </w:r>
      <w:r w:rsidRPr="00B72FA5">
        <w:rPr>
          <w:rFonts w:asciiTheme="majorBidi" w:eastAsiaTheme="minorEastAsia" w:hAnsiTheme="majorBidi" w:cstheme="majorBidi"/>
          <w:sz w:val="24"/>
          <w:szCs w:val="24"/>
        </w:rPr>
        <w:t>ormalizing function for the corresponding indicator. This function can be built with the help of experts, using a scale from 0 to 100%.</w:t>
      </w:r>
    </w:p>
    <w:p w14:paraId="5491EAE9" w14:textId="3552F701" w:rsidR="00740BBC" w:rsidRPr="00740BBC" w:rsidRDefault="00740BBC" w:rsidP="007039D3">
      <w:pPr>
        <w:suppressAutoHyphens/>
        <w:spacing w:line="360" w:lineRule="auto"/>
        <w:jc w:val="both"/>
        <w:rPr>
          <w:rFonts w:asciiTheme="majorBidi" w:hAnsiTheme="majorBidi" w:cstheme="majorBidi"/>
          <w:sz w:val="24"/>
          <w:szCs w:val="24"/>
          <w:lang w:val="en-US"/>
        </w:rPr>
      </w:pPr>
      <w:r w:rsidRPr="00740BBC">
        <w:rPr>
          <w:rFonts w:asciiTheme="majorBidi" w:hAnsiTheme="majorBidi" w:cstheme="majorBidi"/>
          <w:sz w:val="24"/>
          <w:szCs w:val="24"/>
          <w:lang w:val="en-US"/>
        </w:rPr>
        <w:t xml:space="preserve">Function (1) is the homogeneous Cobb-Douglas function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oMath>
      <w:r w:rsidRPr="00740BBC">
        <w:rPr>
          <w:rFonts w:asciiTheme="majorBidi" w:hAnsiTheme="majorBidi" w:cstheme="majorBidi"/>
          <w:sz w:val="24"/>
          <w:szCs w:val="24"/>
          <w:lang w:val="en-US"/>
        </w:rPr>
        <w:t xml:space="preserve"> of arguments with degree of homogeneity </w:t>
      </w:r>
      <m:oMath>
        <m:sSub>
          <m:sSubPr>
            <m:ctrlPr>
              <w:rPr>
                <w:rFonts w:ascii="Cambria Math" w:hAnsi="Cambria Math" w:cstheme="majorBidi"/>
                <w:sz w:val="24"/>
                <w:szCs w:val="24"/>
                <w:lang w:val="en-US"/>
              </w:rPr>
            </m:ctrlPr>
          </m:sSubPr>
          <m:e>
            <m:acc>
              <m:accPr>
                <m:ctrlPr>
                  <w:rPr>
                    <w:rFonts w:ascii="Cambria Math" w:hAnsi="Cambria Math" w:cstheme="majorBidi"/>
                    <w:sz w:val="24"/>
                    <w:szCs w:val="24"/>
                    <w:lang w:val="en-US"/>
                  </w:rPr>
                </m:ctrlPr>
              </m:accPr>
              <m:e>
                <m:r>
                  <w:rPr>
                    <w:rFonts w:ascii="Cambria Math" w:hAnsi="Cambria Math" w:cstheme="majorBidi"/>
                    <w:sz w:val="24"/>
                    <w:szCs w:val="24"/>
                    <w:lang w:val="en-US"/>
                  </w:rPr>
                  <m:t>h</m:t>
                </m:r>
              </m:e>
            </m:acc>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 </m:t>
        </m:r>
        <m:nary>
          <m:naryPr>
            <m:chr m:val="∑"/>
            <m:limLoc m:val="undOvr"/>
            <m:ctrlPr>
              <w:rPr>
                <w:rFonts w:ascii="Cambria Math" w:hAnsi="Cambria Math" w:cstheme="majorBidi"/>
                <w:sz w:val="24"/>
                <w:szCs w:val="24"/>
                <w:lang w:val="en-US"/>
              </w:rPr>
            </m:ctrlPr>
          </m:naryPr>
          <m:sub>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=1</m:t>
            </m:r>
          </m:sub>
          <m:sup>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sup>
          <m:e>
            <m:sSub>
              <m:sSubPr>
                <m:ctrlPr>
                  <w:rPr>
                    <w:rFonts w:ascii="Cambria Math" w:hAnsi="Cambria Math" w:cstheme="majorBid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e>
        </m:nary>
        <m:r>
          <m:rPr>
            <m:sty m:val="p"/>
          </m:rPr>
          <w:rPr>
            <w:rFonts w:ascii="Cambria Math" w:hAnsi="Cambria Math" w:cstheme="majorBidi"/>
            <w:sz w:val="24"/>
            <w:szCs w:val="24"/>
            <w:lang w:val="en-US"/>
          </w:rPr>
          <m:t xml:space="preserve"> ; </m:t>
        </m:r>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acc>
                  <m:accPr>
                    <m:ctrlPr>
                      <w:rPr>
                        <w:rFonts w:ascii="Cambria Math" w:hAnsi="Cambria Math" w:cstheme="majorBidi"/>
                        <w:sz w:val="24"/>
                        <w:szCs w:val="24"/>
                        <w:lang w:val="en-US"/>
                      </w:rPr>
                    </m:ctrlPr>
                  </m:accPr>
                  <m:e>
                    <m:r>
                      <w:rPr>
                        <w:rFonts w:ascii="Cambria Math" w:hAnsi="Cambria Math" w:cstheme="majorBidi"/>
                        <w:sz w:val="24"/>
                        <w:szCs w:val="24"/>
                        <w:lang w:val="en-US"/>
                      </w:rPr>
                      <m:t>h</m:t>
                    </m:r>
                  </m:e>
                </m:acc>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 &gt;0</m:t>
            </m:r>
          </m:e>
        </m:d>
      </m:oMath>
      <w:r w:rsidRPr="00740BBC">
        <w:rPr>
          <w:rFonts w:asciiTheme="majorBidi" w:hAnsiTheme="majorBidi" w:cstheme="majorBidi"/>
          <w:sz w:val="24"/>
          <w:szCs w:val="24"/>
          <w:lang w:val="en-US"/>
        </w:rPr>
        <w:t xml:space="preserve">. It is obvious that if  </w:t>
      </w:r>
      <m:oMath>
        <m:sSub>
          <m:sSubPr>
            <m:ctrlPr>
              <w:rPr>
                <w:rFonts w:ascii="Cambria Math" w:hAnsi="Cambria Math" w:cstheme="majorBidi"/>
                <w:sz w:val="24"/>
                <w:szCs w:val="24"/>
                <w:lang w:val="en-US"/>
              </w:rPr>
            </m:ctrlPr>
          </m:sSubPr>
          <m:e>
            <m:acc>
              <m:accPr>
                <m:ctrlPr>
                  <w:rPr>
                    <w:rFonts w:ascii="Cambria Math" w:hAnsi="Cambria Math" w:cstheme="majorBidi"/>
                    <w:sz w:val="24"/>
                    <w:szCs w:val="24"/>
                    <w:lang w:val="en-US"/>
                  </w:rPr>
                </m:ctrlPr>
              </m:accPr>
              <m:e>
                <m:r>
                  <w:rPr>
                    <w:rFonts w:ascii="Cambria Math" w:hAnsi="Cambria Math" w:cstheme="majorBidi"/>
                    <w:sz w:val="24"/>
                    <w:szCs w:val="24"/>
                    <w:lang w:val="en-US"/>
                  </w:rPr>
                  <m:t>h</m:t>
                </m:r>
              </m:e>
            </m:acc>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 &gt;1</m:t>
        </m:r>
      </m:oMath>
      <w:r w:rsidRPr="00740BBC">
        <w:rPr>
          <w:rFonts w:asciiTheme="majorBidi" w:hAnsiTheme="majorBidi" w:cstheme="majorBidi"/>
          <w:sz w:val="24"/>
          <w:szCs w:val="24"/>
          <w:lang w:val="en-US"/>
        </w:rPr>
        <w:t xml:space="preserve"> - we will have a positive impact on the scale, for </w:t>
      </w:r>
      <m:oMath>
        <m:sSub>
          <m:sSubPr>
            <m:ctrlPr>
              <w:rPr>
                <w:rFonts w:ascii="Cambria Math" w:hAnsi="Cambria Math" w:cstheme="majorBidi"/>
                <w:sz w:val="24"/>
                <w:szCs w:val="24"/>
                <w:lang w:val="en-US"/>
              </w:rPr>
            </m:ctrlPr>
          </m:sSubPr>
          <m:e>
            <m:acc>
              <m:accPr>
                <m:ctrlPr>
                  <w:rPr>
                    <w:rFonts w:ascii="Cambria Math" w:hAnsi="Cambria Math" w:cstheme="majorBidi"/>
                    <w:sz w:val="24"/>
                    <w:szCs w:val="24"/>
                    <w:lang w:val="en-US"/>
                  </w:rPr>
                </m:ctrlPr>
              </m:accPr>
              <m:e>
                <m:r>
                  <w:rPr>
                    <w:rFonts w:ascii="Cambria Math" w:hAnsi="Cambria Math" w:cstheme="majorBidi"/>
                    <w:sz w:val="24"/>
                    <w:szCs w:val="24"/>
                    <w:lang w:val="en-US"/>
                  </w:rPr>
                  <m:t>h</m:t>
                </m:r>
              </m:e>
            </m:acc>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=1</m:t>
        </m:r>
      </m:oMath>
      <w:r w:rsidRPr="00740BBC">
        <w:rPr>
          <w:rFonts w:asciiTheme="majorBidi" w:hAnsiTheme="majorBidi" w:cstheme="majorBidi"/>
          <w:sz w:val="24"/>
          <w:szCs w:val="24"/>
          <w:lang w:val="en-US"/>
        </w:rPr>
        <w:t xml:space="preserve"> - constant, and for </w:t>
      </w:r>
      <m:oMath>
        <m:sSub>
          <m:sSubPr>
            <m:ctrlPr>
              <w:rPr>
                <w:rFonts w:ascii="Cambria Math" w:hAnsi="Cambria Math" w:cstheme="majorBidi"/>
                <w:sz w:val="24"/>
                <w:szCs w:val="24"/>
                <w:lang w:val="en-US"/>
              </w:rPr>
            </m:ctrlPr>
          </m:sSubPr>
          <m:e>
            <m:acc>
              <m:accPr>
                <m:ctrlPr>
                  <w:rPr>
                    <w:rFonts w:ascii="Cambria Math" w:hAnsi="Cambria Math" w:cstheme="majorBidi"/>
                    <w:sz w:val="24"/>
                    <w:szCs w:val="24"/>
                    <w:lang w:val="en-US"/>
                  </w:rPr>
                </m:ctrlPr>
              </m:accPr>
              <m:e>
                <m:r>
                  <w:rPr>
                    <w:rFonts w:ascii="Cambria Math" w:hAnsi="Cambria Math" w:cstheme="majorBidi"/>
                    <w:sz w:val="24"/>
                    <w:szCs w:val="24"/>
                    <w:lang w:val="en-US"/>
                  </w:rPr>
                  <m:t>h</m:t>
                </m:r>
              </m:e>
            </m:acc>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 &lt;1</m:t>
        </m:r>
      </m:oMath>
      <w:r w:rsidRPr="00740BBC">
        <w:rPr>
          <w:rFonts w:asciiTheme="majorBidi" w:hAnsiTheme="majorBidi" w:cstheme="majorBidi"/>
          <w:sz w:val="24"/>
          <w:szCs w:val="24"/>
          <w:lang w:val="en-US"/>
        </w:rPr>
        <w:t xml:space="preserve"> - a negative impact. The choice of this type of function is due, in particular, to the fact that it allows to replace the contribution of one factor (indicator) with the contribution of another, at the same time, taking into account the non-linearity of this process and avoiding high values of the function for critically small values of individual indicators.</w:t>
      </w:r>
    </w:p>
    <w:p w14:paraId="7CEDCF66" w14:textId="4979D0C4" w:rsidR="00740BBC" w:rsidRPr="00740BBC" w:rsidRDefault="00740BBC" w:rsidP="00740BBC">
      <w:pPr>
        <w:spacing w:line="360" w:lineRule="auto"/>
        <w:jc w:val="both"/>
        <w:rPr>
          <w:rFonts w:asciiTheme="majorBidi" w:hAnsiTheme="majorBidi" w:cstheme="majorBidi"/>
          <w:sz w:val="24"/>
          <w:szCs w:val="24"/>
          <w:lang w:val="en-US"/>
        </w:rPr>
      </w:pPr>
      <w:r w:rsidRPr="00740BBC">
        <w:rPr>
          <w:rFonts w:asciiTheme="majorBidi" w:hAnsiTheme="majorBidi" w:cstheme="majorBidi"/>
          <w:sz w:val="24"/>
          <w:szCs w:val="24"/>
          <w:lang w:val="en-US"/>
        </w:rPr>
        <w:t xml:space="preserve">The elasticity with respect to the argument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Pr="00740BBC">
        <w:rPr>
          <w:rFonts w:asciiTheme="majorBidi" w:hAnsiTheme="majorBidi" w:cstheme="majorBidi"/>
          <w:sz w:val="24"/>
          <w:szCs w:val="24"/>
          <w:lang w:val="en-US"/>
        </w:rPr>
        <w:t xml:space="preserve"> is calculated in the standard way:</w:t>
      </w:r>
    </w:p>
    <w:p w14:paraId="4A3A6554" w14:textId="5DB590B8" w:rsidR="00740BBC" w:rsidRPr="00740BBC" w:rsidRDefault="00FD76B3" w:rsidP="00740BBC">
      <w:pPr>
        <w:spacing w:line="360" w:lineRule="auto"/>
        <w:jc w:val="both"/>
        <w:rPr>
          <w:rFonts w:asciiTheme="majorBidi" w:hAnsiTheme="majorBidi" w:cstheme="majorBidi"/>
          <w:sz w:val="24"/>
          <w:szCs w:val="24"/>
          <w:lang w:val="en-US"/>
        </w:rPr>
      </w:pPr>
      <m:oMathPara>
        <m:oMath>
          <m:sSub>
            <m:sSubPr>
              <m:ctrlPr>
                <w:rPr>
                  <w:rFonts w:ascii="Cambria Math" w:hAnsi="Cambria Math" w:cstheme="majorBidi"/>
                  <w:sz w:val="24"/>
                  <w:szCs w:val="24"/>
                  <w:lang w:val="en-US"/>
                </w:rPr>
              </m:ctrlPr>
            </m:sSubPr>
            <m:e>
              <m:r>
                <m:rPr>
                  <m:sty m:val="bi"/>
                </m:rPr>
                <w:rPr>
                  <w:rFonts w:ascii="Cambria Math" w:hAnsi="Cambria Math" w:cstheme="majorBidi"/>
                  <w:sz w:val="24"/>
                  <w:szCs w:val="24"/>
                  <w:lang w:val="en-US"/>
                </w:rPr>
                <m:t>ε</m:t>
              </m:r>
            </m:e>
            <m:sub>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r>
            <w:rPr>
              <w:rFonts w:ascii="Cambria Math" w:hAnsi="Cambria Math" w:cstheme="majorBidi"/>
              <w:sz w:val="24"/>
              <w:szCs w:val="24"/>
              <w:lang w:val="en-US"/>
            </w:rPr>
            <m:t xml:space="preserve">= </m:t>
          </m:r>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num>
                <m:den>
                  <m:sSub>
                    <m:sSubPr>
                      <m:ctrlPr>
                        <w:rPr>
                          <w:rFonts w:ascii="Cambria Math" w:hAnsi="Cambria Math" w:cstheme="majorBidi"/>
                          <w:sz w:val="24"/>
                          <w:szCs w:val="24"/>
                          <w:lang w:val="en-US"/>
                        </w:rPr>
                      </m:ctrlPr>
                    </m:sSubPr>
                    <m:e>
                      <m:r>
                        <m:rPr>
                          <m:sty m:val="p"/>
                        </m:rPr>
                        <w:rPr>
                          <w:rFonts w:ascii="Cambria Math" w:hAnsi="Cambria Math" w:cstheme="majorBidi"/>
                          <w:sz w:val="24"/>
                          <w:szCs w:val="24"/>
                          <w:lang w:val="en-US"/>
                        </w:rPr>
                        <m:t>F</m:t>
                      </m:r>
                    </m:e>
                    <m:sub>
                      <m:r>
                        <w:rPr>
                          <w:rFonts w:ascii="Cambria Math" w:hAnsi="Cambria Math" w:cstheme="majorBidi"/>
                          <w:sz w:val="24"/>
                          <w:szCs w:val="24"/>
                          <w:lang w:val="en-US"/>
                        </w:rPr>
                        <m:t>i</m:t>
                      </m:r>
                    </m:sub>
                  </m:sSub>
                </m:den>
              </m:f>
            </m:e>
          </m:d>
          <m:f>
            <m:fPr>
              <m:ctrlPr>
                <w:rPr>
                  <w:rFonts w:ascii="Cambria Math" w:hAnsi="Cambria Math" w:cstheme="majorBidi"/>
                  <w:i/>
                  <w:sz w:val="24"/>
                  <w:szCs w:val="24"/>
                  <w:lang w:val="en-US"/>
                </w:rPr>
              </m:ctrlPr>
            </m:fPr>
            <m:num>
              <m:sSub>
                <m:sSubPr>
                  <m:ctrlPr>
                    <w:rPr>
                      <w:rFonts w:ascii="Cambria Math" w:hAnsi="Cambria Math" w:cstheme="majorBidi"/>
                      <w:sz w:val="24"/>
                      <w:szCs w:val="24"/>
                      <w:lang w:val="en-US"/>
                    </w:rPr>
                  </m:ctrlPr>
                </m:sSubPr>
                <m:e>
                  <m:r>
                    <w:rPr>
                      <w:rFonts w:ascii="Cambria Math" w:hAnsi="Cambria Math" w:cstheme="majorBidi"/>
                      <w:sz w:val="24"/>
                      <w:szCs w:val="24"/>
                      <w:lang w:val="en-US"/>
                    </w:rPr>
                    <m:t>dF</m:t>
                  </m:r>
                </m:e>
                <m:sub>
                  <m:r>
                    <w:rPr>
                      <w:rFonts w:ascii="Cambria Math" w:hAnsi="Cambria Math" w:cstheme="majorBidi"/>
                      <w:sz w:val="24"/>
                      <w:szCs w:val="24"/>
                      <w:lang w:val="en-US"/>
                    </w:rPr>
                    <m:t>i</m:t>
                  </m:r>
                </m:sub>
              </m:sSub>
            </m:num>
            <m:den>
              <m:sSub>
                <m:sSubPr>
                  <m:ctrlPr>
                    <w:rPr>
                      <w:rFonts w:ascii="Cambria Math" w:hAnsi="Cambria Math" w:cstheme="majorBidi"/>
                      <w:sz w:val="24"/>
                      <w:szCs w:val="24"/>
                      <w:lang w:val="en-US"/>
                    </w:rPr>
                  </m:ctrlPr>
                </m:sSubPr>
                <m:e>
                  <m:r>
                    <w:rPr>
                      <w:rFonts w:ascii="Cambria Math" w:hAnsi="Cambria Math" w:cstheme="majorBidi"/>
                      <w:sz w:val="24"/>
                      <w:szCs w:val="24"/>
                      <w:lang w:val="en-US"/>
                    </w:rPr>
                    <m:t>d</m:t>
                  </m:r>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den>
          </m:f>
          <m: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w:rPr>
                  <w:rFonts w:ascii="Cambria Math" w:hAnsi="Cambria Math" w:cstheme="majorBidi"/>
                  <w:sz w:val="24"/>
                  <w:szCs w:val="24"/>
                  <w:lang w:val="en-US"/>
                </w:rPr>
                <m:t xml:space="preserve"> </m:t>
              </m:r>
            </m:sub>
          </m:sSub>
          <m:r>
            <w:rPr>
              <w:rFonts w:ascii="Cambria Math" w:eastAsiaTheme="minorEastAsia" w:hAnsi="Cambria Math" w:cstheme="majorBidi"/>
              <w:sz w:val="24"/>
              <w:szCs w:val="24"/>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w:rPr>
              <w:rFonts w:ascii="Cambria Math" w:eastAsiaTheme="minorEastAsia" w:hAnsi="Cambria Math" w:cstheme="majorBidi"/>
              <w:sz w:val="24"/>
              <w:szCs w:val="24"/>
            </w:rPr>
            <m:t>∈1÷</m:t>
          </m:r>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r>
            <w:rPr>
              <w:rFonts w:ascii="Cambria Math" w:hAnsi="Cambria Math" w:cstheme="majorBidi"/>
              <w:sz w:val="24"/>
              <w:szCs w:val="24"/>
              <w:lang w:val="en-US"/>
            </w:rPr>
            <m:t xml:space="preserve">) </m:t>
          </m:r>
        </m:oMath>
      </m:oMathPara>
    </w:p>
    <w:p w14:paraId="1A5421D0" w14:textId="4B2F3F04" w:rsidR="00DB6A2F" w:rsidRPr="00A119B3" w:rsidRDefault="00DB6A2F" w:rsidP="004F2D38">
      <w:pPr>
        <w:spacing w:line="360" w:lineRule="auto"/>
        <w:ind w:firstLine="567"/>
        <w:jc w:val="both"/>
        <w:rPr>
          <w:rFonts w:asciiTheme="majorBidi" w:hAnsiTheme="majorBidi" w:cstheme="majorBidi"/>
          <w:sz w:val="24"/>
          <w:szCs w:val="24"/>
          <w:lang w:val="en-US"/>
        </w:rPr>
      </w:pPr>
      <w:r w:rsidRPr="00A119B3">
        <w:rPr>
          <w:rFonts w:asciiTheme="majorBidi" w:hAnsiTheme="majorBidi" w:cstheme="majorBidi"/>
          <w:sz w:val="24"/>
          <w:szCs w:val="24"/>
          <w:lang w:val="en-US"/>
        </w:rPr>
        <w:t>To decide the adequacy of the existing economic environment of the project, we formulate the following balance model, which includes the following linear restrictions:</w:t>
      </w:r>
    </w:p>
    <w:p w14:paraId="28A1E64E" w14:textId="30864215" w:rsidR="00DB6A2F" w:rsidRPr="00A119B3" w:rsidRDefault="00FD76B3" w:rsidP="00FD546D">
      <w:pPr>
        <w:spacing w:line="360" w:lineRule="auto"/>
        <w:jc w:val="center"/>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F</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 </m:t>
        </m:r>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sub>
            </m:sSub>
          </m:e>
        </m:d>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i</m:t>
            </m:r>
          </m:sub>
        </m:sSub>
      </m:oMath>
      <w:r w:rsidR="00FD546D">
        <w:rPr>
          <w:rFonts w:asciiTheme="majorBidi" w:hAnsiTheme="majorBidi" w:cstheme="majorBidi"/>
          <w:sz w:val="24"/>
          <w:szCs w:val="24"/>
          <w:lang w:val="en-US"/>
        </w:rPr>
        <w:t xml:space="preserve">,                     </w:t>
      </w:r>
      <m:oMath>
        <m:r>
          <m:rPr>
            <m:sty m:val="p"/>
          </m:rPr>
          <w:rPr>
            <w:rFonts w:ascii="Cambria Math" w:hAnsi="Cambria Math" w:cstheme="majorBidi"/>
            <w:sz w:val="24"/>
            <w:szCs w:val="24"/>
            <w:lang w:val="en-US"/>
          </w:rPr>
          <m:t xml:space="preserve"> (2)</m:t>
        </m:r>
      </m:oMath>
    </w:p>
    <w:p w14:paraId="660D0B96" w14:textId="5AA8DD33" w:rsidR="00DB6A2F" w:rsidRDefault="00DB6A2F" w:rsidP="004F2D38">
      <w:pPr>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W</w:t>
      </w:r>
      <w:r w:rsidRPr="00A119B3">
        <w:rPr>
          <w:rFonts w:asciiTheme="majorBidi" w:hAnsiTheme="majorBidi" w:cstheme="majorBidi"/>
          <w:sz w:val="24"/>
          <w:szCs w:val="24"/>
          <w:lang w:val="en-US"/>
        </w:rPr>
        <w:t xml:space="preserve">here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B</m:t>
            </m:r>
          </m:e>
          <m:sub>
            <m:r>
              <w:rPr>
                <w:rFonts w:ascii="Cambria Math" w:hAnsi="Cambria Math" w:cstheme="majorBidi"/>
                <w:sz w:val="24"/>
                <w:szCs w:val="24"/>
                <w:lang w:val="en-US"/>
              </w:rPr>
              <m:t>i</m:t>
            </m:r>
          </m:sub>
        </m:sSub>
      </m:oMath>
      <w:r w:rsidRPr="00A119B3">
        <w:rPr>
          <w:rFonts w:asciiTheme="majorBidi" w:hAnsiTheme="majorBidi" w:cstheme="majorBidi"/>
          <w:sz w:val="24"/>
          <w:szCs w:val="24"/>
          <w:lang w:val="en-US"/>
        </w:rPr>
        <w:t xml:space="preserve"> </w:t>
      </w:r>
      <w:r w:rsidR="00FD546D">
        <w:rPr>
          <w:rFonts w:asciiTheme="majorBidi" w:hAnsiTheme="majorBidi" w:cstheme="majorBidi"/>
          <w:sz w:val="24"/>
          <w:szCs w:val="24"/>
          <w:lang w:val="en-US"/>
        </w:rPr>
        <w:t xml:space="preserve">- </w:t>
      </w:r>
      <w:r w:rsidRPr="00A119B3">
        <w:rPr>
          <w:rFonts w:asciiTheme="majorBidi" w:hAnsiTheme="majorBidi" w:cstheme="majorBidi"/>
          <w:sz w:val="24"/>
          <w:szCs w:val="24"/>
          <w:lang w:val="en-US"/>
        </w:rPr>
        <w:t>is the minimum allowable value of the evaluation function of the</w:t>
      </w:r>
      <m:oMath>
        <m:r>
          <m:rPr>
            <m:sty m:val="p"/>
          </m:rPr>
          <w:rPr>
            <w:rFonts w:ascii="Cambria Math" w:hAnsi="Cambria Math" w:cstheme="majorBidi"/>
            <w:sz w:val="24"/>
            <w:szCs w:val="24"/>
            <w:lang w:val="en-US"/>
          </w:rPr>
          <m:t xml:space="preserve"> </m:t>
        </m:r>
        <m:r>
          <w:rPr>
            <w:rFonts w:ascii="Cambria Math" w:hAnsi="Cambria Math" w:cstheme="majorBidi"/>
            <w:sz w:val="24"/>
            <w:szCs w:val="24"/>
            <w:lang w:val="en-US"/>
          </w:rPr>
          <m:t>i</m:t>
        </m:r>
      </m:oMath>
      <w:r w:rsidRPr="00A119B3">
        <w:rPr>
          <w:rFonts w:asciiTheme="majorBidi" w:hAnsiTheme="majorBidi" w:cstheme="majorBidi"/>
          <w:sz w:val="24"/>
          <w:szCs w:val="24"/>
          <w:lang w:val="en-US"/>
        </w:rPr>
        <w:t xml:space="preserve"> block</w:t>
      </w:r>
      <w:r w:rsidR="00AD6301">
        <w:rPr>
          <w:rFonts w:asciiTheme="majorBidi" w:hAnsiTheme="majorBidi" w:cstheme="majorBidi"/>
          <w:sz w:val="24"/>
          <w:szCs w:val="24"/>
          <w:lang w:val="en-US"/>
        </w:rPr>
        <w:t>,</w:t>
      </w:r>
    </w:p>
    <w:p w14:paraId="1D825DC0" w14:textId="7DE868BC" w:rsidR="00DB6A2F" w:rsidRPr="00A119B3" w:rsidRDefault="00FD76B3" w:rsidP="00FD546D">
      <w:pPr>
        <w:spacing w:line="360" w:lineRule="auto"/>
        <w:jc w:val="center"/>
        <w:rPr>
          <w:rFonts w:asciiTheme="majorBidi" w:hAnsiTheme="majorBidi" w:cstheme="majorBidi"/>
          <w:sz w:val="24"/>
          <w:szCs w:val="24"/>
          <w:lang w:val="en-US"/>
        </w:rPr>
      </w:pPr>
      <m:oMath>
        <m:nary>
          <m:naryPr>
            <m:chr m:val="∑"/>
            <m:limLoc m:val="undOvr"/>
            <m:ctrlPr>
              <w:rPr>
                <w:rFonts w:ascii="Cambria Math" w:hAnsi="Cambria Math" w:cstheme="majorBidi"/>
                <w:sz w:val="24"/>
                <w:szCs w:val="24"/>
                <w:lang w:val="en-US"/>
              </w:rPr>
            </m:ctrlPr>
          </m:naryPr>
          <m:sub>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=1</m:t>
            </m:r>
          </m:sub>
          <m:sup>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sup>
          <m:e>
            <m:sSub>
              <m:sSubPr>
                <m:ctrlPr>
                  <w:rPr>
                    <w:rFonts w:ascii="Cambria Math" w:hAnsi="Cambria Math" w:cstheme="majorBid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e>
        </m:nary>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D</m:t>
            </m:r>
          </m:e>
          <m:sub>
            <m:r>
              <w:rPr>
                <w:rFonts w:ascii="Cambria Math" w:hAnsi="Cambria Math" w:cstheme="majorBidi"/>
                <w:sz w:val="24"/>
                <w:szCs w:val="24"/>
                <w:lang w:val="en-US"/>
              </w:rPr>
              <m:t>i</m:t>
            </m:r>
          </m:sub>
        </m:sSub>
      </m:oMath>
      <w:r w:rsidR="00FD546D">
        <w:rPr>
          <w:rFonts w:asciiTheme="majorBidi" w:hAnsiTheme="majorBidi" w:cstheme="majorBidi"/>
          <w:sz w:val="24"/>
          <w:szCs w:val="24"/>
          <w:lang w:val="en-US"/>
        </w:rPr>
        <w:t xml:space="preserve">, </w:t>
      </w:r>
      <m:oMath>
        <m:r>
          <m:rPr>
            <m:sty m:val="p"/>
          </m:rPr>
          <w:rPr>
            <w:rFonts w:ascii="Cambria Math" w:hAnsi="Cambria Math" w:cstheme="majorBidi"/>
            <w:sz w:val="24"/>
            <w:szCs w:val="24"/>
            <w:lang w:val="en-US"/>
          </w:rPr>
          <m:t xml:space="preserve">         (3)</m:t>
        </m:r>
      </m:oMath>
    </w:p>
    <w:p w14:paraId="2D534393" w14:textId="1F293574" w:rsidR="00DB6A2F" w:rsidRDefault="00FD76B3" w:rsidP="007039D3">
      <w:pPr>
        <w:suppressAutoHyphens/>
        <w:spacing w:line="360" w:lineRule="auto"/>
        <w:ind w:firstLine="567"/>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D</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 xml:space="preserve"> </m:t>
        </m:r>
      </m:oMath>
      <w:r w:rsidR="00FD546D">
        <w:rPr>
          <w:rFonts w:asciiTheme="majorBidi" w:hAnsiTheme="majorBidi" w:cstheme="majorBidi"/>
          <w:sz w:val="24"/>
          <w:szCs w:val="24"/>
          <w:lang w:val="en-US"/>
        </w:rPr>
        <w:t xml:space="preserve">- </w:t>
      </w:r>
      <w:r w:rsidR="00DB6A2F" w:rsidRPr="003D01CD">
        <w:rPr>
          <w:rFonts w:asciiTheme="majorBidi" w:hAnsiTheme="majorBidi" w:cstheme="majorBidi"/>
          <w:sz w:val="24"/>
          <w:szCs w:val="24"/>
          <w:lang w:val="en-US"/>
        </w:rPr>
        <w:t xml:space="preserve">is an indicator characterizing the maximum allowable risk for the </w:t>
      </w:r>
      <m:oMath>
        <m:r>
          <w:rPr>
            <w:rFonts w:ascii="Cambria Math" w:hAnsi="Cambria Math" w:cstheme="majorBidi"/>
            <w:sz w:val="24"/>
            <w:szCs w:val="24"/>
            <w:lang w:val="en-US"/>
          </w:rPr>
          <m:t>i</m:t>
        </m:r>
      </m:oMath>
      <w:r w:rsidR="00DB6A2F" w:rsidRPr="003D01CD">
        <w:rPr>
          <w:rFonts w:asciiTheme="majorBidi" w:hAnsiTheme="majorBidi" w:cstheme="majorBidi"/>
          <w:sz w:val="24"/>
          <w:szCs w:val="24"/>
          <w:lang w:val="en-US"/>
        </w:rPr>
        <w:t xml:space="preserve"> block (in the absence of correlation),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00DB6A2F" w:rsidRPr="003D01CD">
        <w:rPr>
          <w:rFonts w:asciiTheme="majorBidi" w:hAnsiTheme="majorBidi" w:cstheme="majorBidi"/>
          <w:sz w:val="24"/>
          <w:szCs w:val="24"/>
          <w:lang w:val="en-US"/>
        </w:rPr>
        <w:t xml:space="preserve"> - is the standard deviation of the indicator, the average expected value of which is determined through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00DB6A2F" w:rsidRPr="003D01CD">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c</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00DB6A2F" w:rsidRPr="003D01CD">
        <w:rPr>
          <w:rFonts w:asciiTheme="majorBidi" w:hAnsiTheme="majorBidi" w:cstheme="majorBidi"/>
          <w:sz w:val="24"/>
          <w:szCs w:val="24"/>
          <w:lang w:val="en-US"/>
        </w:rPr>
        <w:t>- weights that characterize the significance of deviations for a particular indicator.</w:t>
      </w:r>
    </w:p>
    <w:p w14:paraId="6E543A69" w14:textId="77777777" w:rsidR="00DB6A2F" w:rsidRDefault="00DB6A2F" w:rsidP="007039D3">
      <w:pPr>
        <w:suppressAutoHyphens/>
        <w:spacing w:line="360" w:lineRule="auto"/>
        <w:ind w:firstLine="567"/>
        <w:jc w:val="both"/>
        <w:rPr>
          <w:rFonts w:asciiTheme="majorBidi" w:hAnsiTheme="majorBidi" w:cstheme="majorBidi"/>
          <w:sz w:val="24"/>
          <w:szCs w:val="24"/>
          <w:lang w:val="en-US"/>
        </w:rPr>
      </w:pPr>
      <w:r w:rsidRPr="003D01CD">
        <w:rPr>
          <w:rFonts w:asciiTheme="majorBidi" w:hAnsiTheme="majorBidi" w:cstheme="majorBidi"/>
          <w:sz w:val="24"/>
          <w:szCs w:val="24"/>
          <w:lang w:val="en-US"/>
        </w:rPr>
        <w:lastRenderedPageBreak/>
        <w:t>In case of violation of inequalities of type (</w:t>
      </w:r>
      <w:r>
        <w:rPr>
          <w:rFonts w:asciiTheme="majorBidi" w:hAnsiTheme="majorBidi" w:cstheme="majorBidi"/>
          <w:sz w:val="24"/>
          <w:szCs w:val="24"/>
          <w:lang w:val="en-US"/>
        </w:rPr>
        <w:t>2</w:t>
      </w:r>
      <w:r w:rsidRPr="003D01CD">
        <w:rPr>
          <w:rFonts w:asciiTheme="majorBidi" w:hAnsiTheme="majorBidi" w:cstheme="majorBidi"/>
          <w:sz w:val="24"/>
          <w:szCs w:val="24"/>
          <w:lang w:val="en-US"/>
        </w:rPr>
        <w:t>), we proceed to the stage of correction of indicators that cause this violation</w:t>
      </w:r>
      <w:r>
        <w:rPr>
          <w:rFonts w:asciiTheme="majorBidi" w:hAnsiTheme="majorBidi" w:cstheme="majorBidi"/>
          <w:sz w:val="24"/>
          <w:szCs w:val="24"/>
          <w:lang w:val="en-US"/>
        </w:rPr>
        <w:t>.</w:t>
      </w:r>
    </w:p>
    <w:p w14:paraId="022901EA" w14:textId="5695C2F2" w:rsidR="00FD546D" w:rsidRDefault="00DB6A2F" w:rsidP="007039D3">
      <w:pPr>
        <w:suppressAutoHyphens/>
        <w:spacing w:line="360" w:lineRule="auto"/>
        <w:ind w:firstLine="567"/>
        <w:jc w:val="both"/>
        <w:rPr>
          <w:rFonts w:asciiTheme="majorBidi" w:hAnsiTheme="majorBidi" w:cstheme="majorBidi"/>
          <w:sz w:val="24"/>
          <w:szCs w:val="24"/>
          <w:lang w:val="en-US"/>
        </w:rPr>
      </w:pPr>
      <w:r w:rsidRPr="000156E4">
        <w:rPr>
          <w:rFonts w:asciiTheme="majorBidi" w:hAnsiTheme="majorBidi" w:cstheme="majorBidi"/>
          <w:sz w:val="24"/>
          <w:szCs w:val="24"/>
          <w:lang w:val="en-US"/>
        </w:rPr>
        <w:t xml:space="preserve">At this stage, </w:t>
      </w:r>
      <w:r w:rsidR="00571780">
        <w:rPr>
          <w:rFonts w:asciiTheme="majorBidi" w:hAnsiTheme="majorBidi" w:cstheme="majorBidi"/>
          <w:sz w:val="24"/>
          <w:szCs w:val="24"/>
          <w:lang w:val="en-US"/>
        </w:rPr>
        <w:t>several</w:t>
      </w:r>
      <w:r w:rsidRPr="000156E4">
        <w:rPr>
          <w:rFonts w:asciiTheme="majorBidi" w:hAnsiTheme="majorBidi" w:cstheme="majorBidi"/>
          <w:sz w:val="24"/>
          <w:szCs w:val="24"/>
          <w:lang w:val="en-US"/>
        </w:rPr>
        <w:t xml:space="preserve"> problems arise</w:t>
      </w:r>
      <w:r w:rsidR="00FD546D">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0156E4">
        <w:rPr>
          <w:rFonts w:asciiTheme="majorBidi" w:hAnsiTheme="majorBidi" w:cstheme="majorBidi"/>
          <w:sz w:val="24"/>
          <w:szCs w:val="24"/>
          <w:lang w:val="en-US"/>
        </w:rPr>
        <w:t>firstly, which indicators have the most negative impact,</w:t>
      </w:r>
      <w:r>
        <w:rPr>
          <w:rFonts w:asciiTheme="majorBidi" w:hAnsiTheme="majorBidi" w:cstheme="majorBidi"/>
          <w:sz w:val="24"/>
          <w:szCs w:val="24"/>
          <w:lang w:val="en-US"/>
        </w:rPr>
        <w:t xml:space="preserve"> </w:t>
      </w:r>
      <w:r w:rsidRPr="000156E4">
        <w:rPr>
          <w:rFonts w:asciiTheme="majorBidi" w:hAnsiTheme="majorBidi" w:cstheme="majorBidi"/>
          <w:sz w:val="24"/>
          <w:szCs w:val="24"/>
          <w:lang w:val="en-US"/>
        </w:rPr>
        <w:t>secondly, according to what indicators the function is most elastic,</w:t>
      </w:r>
      <w:r>
        <w:rPr>
          <w:rFonts w:asciiTheme="majorBidi" w:hAnsiTheme="majorBidi" w:cstheme="majorBidi"/>
          <w:sz w:val="24"/>
          <w:szCs w:val="24"/>
          <w:lang w:val="en-US"/>
        </w:rPr>
        <w:t xml:space="preserve"> </w:t>
      </w:r>
      <w:r w:rsidRPr="000156E4">
        <w:rPr>
          <w:rFonts w:asciiTheme="majorBidi" w:hAnsiTheme="majorBidi" w:cstheme="majorBidi"/>
          <w:sz w:val="24"/>
          <w:szCs w:val="24"/>
          <w:lang w:val="en-US"/>
        </w:rPr>
        <w:t>thirdly, what indicators are cheaper to manage.</w:t>
      </w:r>
      <w:r>
        <w:rPr>
          <w:rFonts w:asciiTheme="majorBidi" w:hAnsiTheme="majorBidi" w:cstheme="majorBidi"/>
          <w:sz w:val="24"/>
          <w:szCs w:val="24"/>
          <w:lang w:val="en-US"/>
        </w:rPr>
        <w:t xml:space="preserve"> </w:t>
      </w:r>
      <w:r w:rsidRPr="000156E4">
        <w:rPr>
          <w:rFonts w:asciiTheme="majorBidi" w:hAnsiTheme="majorBidi" w:cstheme="majorBidi"/>
          <w:sz w:val="24"/>
          <w:szCs w:val="24"/>
          <w:lang w:val="en-US"/>
        </w:rPr>
        <w:t xml:space="preserve">Thus, within the framework of each </w:t>
      </w:r>
      <w:r w:rsidR="007E31BD" w:rsidRPr="007E31BD">
        <w:rPr>
          <w:rFonts w:asciiTheme="majorBidi" w:hAnsiTheme="majorBidi" w:cstheme="majorBidi"/>
          <w:sz w:val="24"/>
          <w:szCs w:val="24"/>
          <w:lang w:val="en-US"/>
        </w:rPr>
        <w:t xml:space="preserve">severe </w:t>
      </w:r>
      <w:r>
        <w:rPr>
          <w:rFonts w:asciiTheme="majorBidi" w:hAnsiTheme="majorBidi" w:cstheme="majorBidi"/>
          <w:sz w:val="24"/>
          <w:szCs w:val="24"/>
          <w:lang w:val="en-US"/>
        </w:rPr>
        <w:t>problem</w:t>
      </w:r>
      <w:r w:rsidRPr="000156E4">
        <w:rPr>
          <w:rFonts w:asciiTheme="majorBidi" w:hAnsiTheme="majorBidi" w:cstheme="majorBidi"/>
          <w:sz w:val="24"/>
          <w:szCs w:val="24"/>
          <w:lang w:val="en-US"/>
        </w:rPr>
        <w:t>, we strive to maximize the beneficial effect, that is, changing the block evaluation function at the lowest cost of effort</w:t>
      </w:r>
      <w:r w:rsidR="00FD546D">
        <w:rPr>
          <w:rFonts w:asciiTheme="majorBidi" w:hAnsiTheme="majorBidi" w:cstheme="majorBidi"/>
          <w:sz w:val="24"/>
          <w:szCs w:val="24"/>
          <w:lang w:val="en-US"/>
        </w:rPr>
        <w:t>.</w:t>
      </w:r>
    </w:p>
    <w:p w14:paraId="4DB67A75" w14:textId="65D4B935" w:rsidR="00DB6A2F" w:rsidRDefault="00DB6A2F" w:rsidP="007039D3">
      <w:pPr>
        <w:suppressAutoHyphens/>
        <w:spacing w:line="360" w:lineRule="auto"/>
        <w:ind w:firstLine="567"/>
        <w:jc w:val="both"/>
        <w:rPr>
          <w:rFonts w:asciiTheme="majorBidi" w:hAnsiTheme="majorBidi" w:cstheme="majorBidi"/>
          <w:sz w:val="24"/>
          <w:szCs w:val="24"/>
          <w:lang w:val="en-US"/>
        </w:rPr>
      </w:pPr>
      <w:r w:rsidRPr="000156E4">
        <w:rPr>
          <w:rFonts w:asciiTheme="majorBidi" w:hAnsiTheme="majorBidi" w:cstheme="majorBidi"/>
          <w:sz w:val="24"/>
          <w:szCs w:val="24"/>
          <w:lang w:val="en-US"/>
        </w:rPr>
        <w:t>In the case of violation of inequality of type (</w:t>
      </w:r>
      <w:r>
        <w:rPr>
          <w:rFonts w:asciiTheme="majorBidi" w:hAnsiTheme="majorBidi" w:cstheme="majorBidi"/>
          <w:sz w:val="24"/>
          <w:szCs w:val="24"/>
          <w:lang w:val="en-US"/>
        </w:rPr>
        <w:t>3</w:t>
      </w:r>
      <w:r w:rsidRPr="000156E4">
        <w:rPr>
          <w:rFonts w:asciiTheme="majorBidi" w:hAnsiTheme="majorBidi" w:cstheme="majorBidi"/>
          <w:sz w:val="24"/>
          <w:szCs w:val="24"/>
          <w:lang w:val="en-US"/>
        </w:rPr>
        <w:t>), it makes sense to clarify what caused the divergence of expert opinions that caused it</w:t>
      </w:r>
      <w:r w:rsidR="00FD546D">
        <w:rPr>
          <w:rFonts w:asciiTheme="majorBidi" w:hAnsiTheme="majorBidi" w:cstheme="majorBidi"/>
          <w:sz w:val="24"/>
          <w:szCs w:val="24"/>
          <w:lang w:val="en-US"/>
        </w:rPr>
        <w:t>,</w:t>
      </w:r>
      <w:r w:rsidRPr="000156E4">
        <w:rPr>
          <w:rFonts w:asciiTheme="majorBidi" w:hAnsiTheme="majorBidi" w:cstheme="majorBidi"/>
          <w:sz w:val="24"/>
          <w:szCs w:val="24"/>
          <w:lang w:val="en-US"/>
        </w:rPr>
        <w:t xml:space="preserve"> and if necessary, correct both the assessment methodology and the composition of experts.</w:t>
      </w:r>
    </w:p>
    <w:p w14:paraId="6C84BA8F" w14:textId="77777777" w:rsidR="00DB6A2F" w:rsidRDefault="00DB6A2F" w:rsidP="007039D3">
      <w:pPr>
        <w:suppressAutoHyphens/>
        <w:spacing w:line="360" w:lineRule="auto"/>
        <w:ind w:firstLine="567"/>
        <w:jc w:val="both"/>
        <w:rPr>
          <w:rFonts w:asciiTheme="majorBidi" w:hAnsiTheme="majorBidi" w:cstheme="majorBidi"/>
          <w:sz w:val="24"/>
          <w:szCs w:val="24"/>
          <w:lang w:val="en-US"/>
        </w:rPr>
      </w:pPr>
      <w:r w:rsidRPr="00DA6CEE">
        <w:rPr>
          <w:rFonts w:asciiTheme="majorBidi" w:hAnsiTheme="majorBidi" w:cstheme="majorBidi"/>
          <w:sz w:val="24"/>
          <w:szCs w:val="24"/>
          <w:lang w:val="en-US"/>
        </w:rPr>
        <w:t xml:space="preserve">Another version of the model building path is based on the emergence of a new premise: on the possibility of controlling the majority of the described components of the vector of </w:t>
      </w:r>
      <m:oMath>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oMath>
      <w:r w:rsidRPr="00DA6CEE">
        <w:rPr>
          <w:rFonts w:asciiTheme="majorBidi" w:hAnsiTheme="majorBidi" w:cstheme="majorBidi"/>
          <w:sz w:val="24"/>
          <w:szCs w:val="24"/>
          <w:lang w:val="en-US"/>
        </w:rPr>
        <w:t xml:space="preserve"> factors within the framework of the model itself.</w:t>
      </w:r>
      <w:r>
        <w:rPr>
          <w:rFonts w:asciiTheme="majorBidi" w:hAnsiTheme="majorBidi" w:cstheme="majorBidi"/>
          <w:sz w:val="24"/>
          <w:szCs w:val="24"/>
          <w:lang w:val="en-US"/>
        </w:rPr>
        <w:t xml:space="preserve"> </w:t>
      </w:r>
      <w:r w:rsidRPr="004F6068">
        <w:rPr>
          <w:rFonts w:asciiTheme="majorBidi" w:hAnsiTheme="majorBidi" w:cstheme="majorBidi"/>
          <w:sz w:val="24"/>
          <w:szCs w:val="24"/>
          <w:lang w:val="en-US"/>
        </w:rPr>
        <w:t xml:space="preserve">The introduction of this premise is appropriate if the question of whether a project should be implemented has been decided in advance, and the assessment should answer the question about the specific details </w:t>
      </w:r>
      <w:r>
        <w:rPr>
          <w:rFonts w:asciiTheme="majorBidi" w:hAnsiTheme="majorBidi" w:cstheme="majorBidi"/>
          <w:sz w:val="24"/>
          <w:szCs w:val="24"/>
          <w:lang w:val="en-US"/>
        </w:rPr>
        <w:t>in</w:t>
      </w:r>
      <w:r w:rsidRPr="004F6068">
        <w:rPr>
          <w:rFonts w:asciiTheme="majorBidi" w:hAnsiTheme="majorBidi" w:cstheme="majorBidi"/>
          <w:sz w:val="24"/>
          <w:szCs w:val="24"/>
          <w:lang w:val="en-US"/>
        </w:rPr>
        <w:t xml:space="preserve"> the implementation rather than about its feasibility as such (for example, a socially significant project</w:t>
      </w:r>
      <w:r>
        <w:rPr>
          <w:rFonts w:asciiTheme="majorBidi" w:hAnsiTheme="majorBidi" w:cstheme="majorBidi"/>
          <w:sz w:val="24"/>
          <w:szCs w:val="24"/>
          <w:lang w:val="en-US"/>
        </w:rPr>
        <w:t>)</w:t>
      </w:r>
      <w:r w:rsidRPr="004F6068">
        <w:rPr>
          <w:rFonts w:asciiTheme="majorBidi" w:hAnsiTheme="majorBidi" w:cstheme="majorBidi"/>
          <w:sz w:val="24"/>
          <w:szCs w:val="24"/>
          <w:lang w:val="en-US"/>
        </w:rPr>
        <w:t>.</w:t>
      </w:r>
    </w:p>
    <w:p w14:paraId="3AF5FAE8" w14:textId="277E460D" w:rsidR="00DB6A2F" w:rsidRPr="00DC5437" w:rsidRDefault="00DB6A2F" w:rsidP="004F2D38">
      <w:pPr>
        <w:spacing w:line="360" w:lineRule="auto"/>
        <w:ind w:firstLine="567"/>
        <w:jc w:val="both"/>
        <w:rPr>
          <w:rFonts w:asciiTheme="majorBidi" w:hAnsiTheme="majorBidi" w:cstheme="majorBidi"/>
          <w:sz w:val="24"/>
          <w:szCs w:val="24"/>
          <w:lang w:val="en-US"/>
        </w:rPr>
      </w:pPr>
      <w:r w:rsidRPr="00951E5C">
        <w:rPr>
          <w:rFonts w:asciiTheme="majorBidi" w:hAnsiTheme="majorBidi" w:cstheme="majorBidi"/>
          <w:sz w:val="24"/>
          <w:szCs w:val="24"/>
          <w:lang w:val="en-US"/>
        </w:rPr>
        <w:t>Then</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to</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the</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vectors</w:t>
      </w:r>
      <w:r w:rsidRPr="00475506">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sub>
        </m:sSub>
      </m:oMath>
      <w:r w:rsidRPr="00475506">
        <w:rPr>
          <w:rFonts w:asciiTheme="majorBidi" w:hAnsiTheme="majorBidi" w:cstheme="majorBidi"/>
          <w:sz w:val="24"/>
          <w:szCs w:val="24"/>
          <w:lang w:val="en-US"/>
        </w:rPr>
        <w:t xml:space="preserve"> </w:t>
      </w:r>
      <w:r w:rsidRPr="00CD1096">
        <w:rPr>
          <w:rFonts w:asciiTheme="majorBidi" w:hAnsiTheme="majorBidi" w:cstheme="majorBidi"/>
          <w:sz w:val="24"/>
          <w:szCs w:val="24"/>
          <w:lang w:val="en-US"/>
        </w:rPr>
        <w:t>and</w:t>
      </w:r>
      <w:r w:rsidRPr="00475506">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sub>
        </m:sSub>
      </m:oMath>
      <w:r w:rsidRPr="00475506">
        <w:rPr>
          <w:rFonts w:asciiTheme="majorBidi" w:hAnsiTheme="majorBidi" w:cstheme="majorBidi"/>
          <w:sz w:val="24"/>
          <w:szCs w:val="24"/>
          <w:lang w:val="en-US"/>
        </w:rPr>
        <w:t xml:space="preserve"> </w:t>
      </w:r>
      <w:r>
        <w:rPr>
          <w:rFonts w:asciiTheme="majorBidi" w:hAnsiTheme="majorBidi" w:cstheme="majorBidi"/>
          <w:sz w:val="24"/>
          <w:szCs w:val="24"/>
          <w:lang w:val="en-US"/>
        </w:rPr>
        <w:t>will be</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added</w:t>
      </w:r>
      <w:r>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oMath>
      <w:r w:rsidRPr="00475506">
        <w:rPr>
          <w:rFonts w:asciiTheme="majorBidi" w:hAnsiTheme="majorBidi" w:cstheme="majorBidi"/>
          <w:sz w:val="24"/>
          <w:szCs w:val="24"/>
          <w:lang w:val="en-US"/>
        </w:rPr>
        <w:t xml:space="preserve"> - </w:t>
      </w:r>
      <w:r w:rsidRPr="00951E5C">
        <w:rPr>
          <w:rFonts w:asciiTheme="majorBidi" w:hAnsiTheme="majorBidi" w:cstheme="majorBidi"/>
          <w:sz w:val="24"/>
          <w:szCs w:val="24"/>
          <w:lang w:val="en-US"/>
        </w:rPr>
        <w:t>dimensional</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vectors</w:t>
      </w:r>
      <w:r w:rsidRPr="00475506">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U</m:t>
                </m:r>
              </m:e>
            </m:acc>
          </m:e>
          <m:sub>
            <m:r>
              <w:rPr>
                <w:rFonts w:ascii="Cambria Math" w:hAnsi="Cambria Math" w:cstheme="majorBidi"/>
                <w:sz w:val="24"/>
                <w:szCs w:val="24"/>
                <w:lang w:val="en-US"/>
              </w:rPr>
              <m:t>i</m:t>
            </m:r>
          </m:sub>
        </m:sSub>
      </m:oMath>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the</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components</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of</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which</w:t>
      </w:r>
      <w:r w:rsidRPr="00475506">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U</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are</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variable</w:t>
      </w:r>
      <w:r w:rsidRPr="00475506">
        <w:rPr>
          <w:rFonts w:asciiTheme="majorBidi" w:hAnsiTheme="majorBidi" w:cstheme="majorBidi"/>
          <w:sz w:val="24"/>
          <w:szCs w:val="24"/>
          <w:lang w:val="en-US"/>
        </w:rPr>
        <w:t xml:space="preserve"> </w:t>
      </w:r>
      <w:r w:rsidRPr="00951E5C">
        <w:rPr>
          <w:rFonts w:asciiTheme="majorBidi" w:hAnsiTheme="majorBidi" w:cstheme="majorBidi"/>
          <w:sz w:val="24"/>
          <w:szCs w:val="24"/>
          <w:lang w:val="en-US"/>
        </w:rPr>
        <w:t>quantities</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that</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separate</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the</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controlled</w:t>
      </w:r>
      <w:r w:rsidRPr="00475506">
        <w:rPr>
          <w:rFonts w:asciiTheme="majorBidi" w:hAnsiTheme="majorBidi" w:cstheme="majorBidi"/>
          <w:sz w:val="24"/>
          <w:szCs w:val="24"/>
          <w:lang w:val="en-US"/>
        </w:rPr>
        <w:t xml:space="preserve"> </w:t>
      </w:r>
      <w:r w:rsidR="00DA6AC5">
        <w:rPr>
          <w:rFonts w:asciiTheme="majorBidi" w:hAnsiTheme="majorBidi" w:cstheme="majorBidi"/>
          <w:sz w:val="24"/>
          <w:szCs w:val="24"/>
          <w:lang w:val="en-US"/>
        </w:rPr>
        <w:t>change</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of</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the</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average</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value</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of</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the</w:t>
      </w:r>
      <w:r w:rsidRPr="00475506">
        <w:rPr>
          <w:rFonts w:asciiTheme="majorBidi" w:hAnsiTheme="majorBidi" w:cstheme="majorBidi"/>
          <w:sz w:val="24"/>
          <w:szCs w:val="24"/>
          <w:lang w:val="en-US"/>
        </w:rPr>
        <w:t xml:space="preserve"> </w:t>
      </w:r>
      <m:oMath>
        <m:sSub>
          <m:sSubPr>
            <m:ctrlPr>
              <w:rPr>
                <w:rFonts w:ascii="Cambria Math" w:hAnsi="Cambria Math" w:cstheme="majorBidi"/>
                <w:i/>
                <w:sz w:val="24"/>
                <w:szCs w:val="24"/>
                <w:lang w:val="ru-RU"/>
              </w:rPr>
            </m:ctrlPr>
          </m:sSubPr>
          <m:e>
            <m:r>
              <w:rPr>
                <w:rFonts w:ascii="Cambria Math" w:hAnsi="Cambria Math" w:cstheme="majorBidi"/>
                <w:sz w:val="24"/>
                <w:szCs w:val="24"/>
                <w:lang w:val="ru-RU"/>
              </w:rPr>
              <m:t>p</m:t>
            </m:r>
          </m:e>
          <m:sub>
            <m:r>
              <w:rPr>
                <w:rFonts w:ascii="Cambria Math" w:hAnsi="Cambria Math" w:cstheme="majorBidi"/>
                <w:sz w:val="24"/>
                <w:szCs w:val="24"/>
                <w:lang w:val="ru-RU"/>
              </w:rPr>
              <m:t>i</m:t>
            </m:r>
          </m:sub>
        </m:sSub>
      </m:oMath>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indicator</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of</w:t>
      </w:r>
      <w:r w:rsidRPr="00475506">
        <w:rPr>
          <w:rFonts w:asciiTheme="majorBidi" w:hAnsiTheme="majorBidi" w:cstheme="majorBidi"/>
          <w:sz w:val="24"/>
          <w:szCs w:val="24"/>
          <w:lang w:val="en-US"/>
        </w:rPr>
        <w:t xml:space="preserve"> </w:t>
      </w:r>
      <w:r w:rsidRPr="004C4570">
        <w:rPr>
          <w:rFonts w:asciiTheme="majorBidi" w:hAnsiTheme="majorBidi" w:cstheme="majorBidi"/>
          <w:sz w:val="24"/>
          <w:szCs w:val="24"/>
          <w:lang w:val="en-US"/>
        </w:rPr>
        <w:t>group</w:t>
      </w:r>
      <w:r w:rsidRPr="00475506">
        <w:rPr>
          <w:rFonts w:asciiTheme="majorBidi" w:hAnsiTheme="majorBidi" w:cstheme="majorBidi"/>
          <w:sz w:val="24"/>
          <w:szCs w:val="24"/>
          <w:lang w:val="en-US"/>
        </w:rPr>
        <w:t xml:space="preserve"> </w:t>
      </w:r>
      <m:oMath>
        <m:r>
          <w:rPr>
            <w:rFonts w:ascii="Cambria Math" w:hAnsi="Cambria Math" w:cstheme="majorBidi"/>
            <w:sz w:val="24"/>
            <w:szCs w:val="24"/>
            <w:lang w:val="en-US"/>
          </w:rPr>
          <m:t>i</m:t>
        </m:r>
      </m:oMath>
      <w:r w:rsidRPr="00475506">
        <w:rPr>
          <w:rFonts w:asciiTheme="majorBidi" w:hAnsiTheme="majorBidi" w:cstheme="majorBidi"/>
          <w:sz w:val="24"/>
          <w:szCs w:val="24"/>
          <w:lang w:val="en-US"/>
        </w:rPr>
        <w:t xml:space="preserve"> </w:t>
      </w:r>
      <w:r>
        <w:rPr>
          <w:rFonts w:asciiTheme="majorBidi" w:hAnsiTheme="majorBidi" w:cstheme="majorBidi"/>
          <w:sz w:val="24"/>
          <w:szCs w:val="24"/>
          <w:lang w:val="en-US"/>
        </w:rPr>
        <w:t>from</w:t>
      </w:r>
      <w:r w:rsidRPr="00475506">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Pr="00475506">
        <w:rPr>
          <w:rFonts w:asciiTheme="majorBidi" w:hAnsiTheme="majorBidi" w:cstheme="majorBidi"/>
          <w:sz w:val="24"/>
          <w:szCs w:val="24"/>
          <w:lang w:val="en-US"/>
        </w:rPr>
        <w:t xml:space="preserve">. </w:t>
      </w:r>
      <w:r w:rsidRPr="00DC5437">
        <w:rPr>
          <w:rFonts w:asciiTheme="majorBidi" w:hAnsiTheme="majorBidi" w:cstheme="majorBidi"/>
          <w:sz w:val="24"/>
          <w:szCs w:val="24"/>
          <w:lang w:val="en-US"/>
        </w:rPr>
        <w:t xml:space="preserve">Thus, the changed average value of the </w:t>
      </w:r>
      <m:oMath>
        <m:sSub>
          <m:sSubPr>
            <m:ctrlPr>
              <w:rPr>
                <w:rFonts w:ascii="Cambria Math" w:hAnsi="Cambria Math" w:cstheme="majorBidi"/>
                <w:i/>
                <w:sz w:val="24"/>
                <w:szCs w:val="24"/>
                <w:lang w:val="ru-RU"/>
              </w:rPr>
            </m:ctrlPr>
          </m:sSubPr>
          <m:e>
            <m:r>
              <w:rPr>
                <w:rFonts w:ascii="Cambria Math" w:hAnsi="Cambria Math" w:cstheme="majorBidi"/>
                <w:sz w:val="24"/>
                <w:szCs w:val="24"/>
                <w:lang w:val="ru-RU"/>
              </w:rPr>
              <m:t>p</m:t>
            </m:r>
          </m:e>
          <m:sub>
            <m:r>
              <w:rPr>
                <w:rFonts w:ascii="Cambria Math" w:hAnsi="Cambria Math" w:cstheme="majorBidi"/>
                <w:sz w:val="24"/>
                <w:szCs w:val="24"/>
                <w:lang w:val="ru-RU"/>
              </w:rPr>
              <m:t>i</m:t>
            </m:r>
          </m:sub>
        </m:sSub>
      </m:oMath>
      <w:r w:rsidRPr="00DC5437">
        <w:rPr>
          <w:rFonts w:asciiTheme="majorBidi" w:hAnsiTheme="majorBidi" w:cstheme="majorBidi"/>
          <w:sz w:val="24"/>
          <w:szCs w:val="24"/>
          <w:lang w:val="en-US"/>
        </w:rPr>
        <w:t xml:space="preserve"> indicator becomes</w:t>
      </w:r>
      <w:r>
        <w:rPr>
          <w:rFonts w:asciiTheme="majorBidi" w:hAnsiTheme="majorBidi" w:cstheme="majorBidi"/>
          <w:sz w:val="24"/>
          <w:szCs w:val="24"/>
          <w:lang w:val="en-US"/>
        </w:rPr>
        <w:t xml:space="preserve"> equal to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U</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sidRPr="00DC5437">
        <w:rPr>
          <w:rFonts w:asciiTheme="majorBidi" w:hAnsiTheme="majorBidi" w:cstheme="majorBidi"/>
          <w:sz w:val="24"/>
          <w:szCs w:val="24"/>
          <w:lang w:val="en-US"/>
        </w:rPr>
        <w:t>.</w:t>
      </w:r>
    </w:p>
    <w:p w14:paraId="09A772F9" w14:textId="5DD80656" w:rsidR="00DB6A2F" w:rsidRDefault="00DB6A2F" w:rsidP="004F2D38">
      <w:pPr>
        <w:spacing w:line="360" w:lineRule="auto"/>
        <w:ind w:firstLine="567"/>
        <w:jc w:val="both"/>
        <w:rPr>
          <w:rFonts w:asciiTheme="majorBidi" w:hAnsiTheme="majorBidi" w:cstheme="majorBidi"/>
          <w:sz w:val="24"/>
          <w:szCs w:val="24"/>
          <w:rtl/>
          <w:lang w:val="en-US"/>
        </w:rPr>
      </w:pPr>
      <w:r w:rsidRPr="008061AD">
        <w:rPr>
          <w:rFonts w:asciiTheme="majorBidi" w:hAnsiTheme="majorBidi" w:cstheme="majorBidi"/>
          <w:sz w:val="24"/>
          <w:szCs w:val="24"/>
          <w:lang w:val="en-US"/>
        </w:rPr>
        <w:t xml:space="preserve">As a result, the balance model with </w:t>
      </w:r>
      <w:r w:rsidR="0038050B">
        <w:rPr>
          <w:rFonts w:asciiTheme="majorBidi" w:hAnsiTheme="majorBidi" w:cstheme="majorBidi"/>
          <w:sz w:val="24"/>
          <w:szCs w:val="24"/>
          <w:lang w:val="en-US"/>
        </w:rPr>
        <w:t>12</w:t>
      </w:r>
      <w:r w:rsidRPr="008061AD">
        <w:rPr>
          <w:rFonts w:asciiTheme="majorBidi" w:hAnsiTheme="majorBidi" w:cstheme="majorBidi"/>
          <w:sz w:val="24"/>
          <w:szCs w:val="24"/>
          <w:lang w:val="en-US"/>
        </w:rPr>
        <w:t xml:space="preserve"> </w:t>
      </w:r>
      <w:r w:rsidR="00DA6AC5" w:rsidRPr="00A119B3">
        <w:rPr>
          <w:rFonts w:asciiTheme="majorBidi" w:hAnsiTheme="majorBidi" w:cstheme="majorBidi"/>
          <w:sz w:val="24"/>
          <w:szCs w:val="24"/>
          <w:lang w:val="en-US"/>
        </w:rPr>
        <w:t>restrictions</w:t>
      </w:r>
      <w:r w:rsidR="00DA6AC5" w:rsidRPr="008061AD">
        <w:rPr>
          <w:rFonts w:asciiTheme="majorBidi" w:hAnsiTheme="majorBidi" w:cstheme="majorBidi"/>
          <w:sz w:val="24"/>
          <w:szCs w:val="24"/>
          <w:lang w:val="en-US"/>
        </w:rPr>
        <w:t xml:space="preserve"> </w:t>
      </w:r>
      <w:r w:rsidRPr="008061AD">
        <w:rPr>
          <w:rFonts w:asciiTheme="majorBidi" w:hAnsiTheme="majorBidi" w:cstheme="majorBidi"/>
          <w:sz w:val="24"/>
          <w:szCs w:val="24"/>
          <w:lang w:val="en-US"/>
        </w:rPr>
        <w:t xml:space="preserve">changes to </w:t>
      </w:r>
      <w:r w:rsidR="0038050B">
        <w:rPr>
          <w:rFonts w:asciiTheme="majorBidi" w:hAnsiTheme="majorBidi" w:cstheme="majorBidi"/>
          <w:sz w:val="24"/>
          <w:szCs w:val="24"/>
          <w:lang w:val="en-US"/>
        </w:rPr>
        <w:t>6</w:t>
      </w:r>
      <w:r w:rsidRPr="008061AD">
        <w:rPr>
          <w:rFonts w:asciiTheme="majorBidi" w:hAnsiTheme="majorBidi" w:cstheme="majorBidi"/>
          <w:sz w:val="24"/>
          <w:szCs w:val="24"/>
          <w:lang w:val="en-US"/>
        </w:rPr>
        <w:t xml:space="preserve"> optimization models of the following form:</w:t>
      </w:r>
    </w:p>
    <w:p w14:paraId="77F26204" w14:textId="77777777" w:rsidR="00DB6A2F" w:rsidRPr="008061AD" w:rsidRDefault="00FD76B3" w:rsidP="009379CE">
      <w:pPr>
        <w:spacing w:after="0" w:line="360" w:lineRule="auto"/>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 xml:space="preserve"> </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lang w:val="en-US"/>
                        </w:rPr>
                        <m:t>U</m:t>
                      </m:r>
                    </m:e>
                  </m:acc>
                </m:e>
                <m:sub>
                  <m:r>
                    <w:rPr>
                      <w:rFonts w:ascii="Cambria Math" w:hAnsi="Cambria Math" w:cstheme="majorBidi"/>
                      <w:sz w:val="24"/>
                      <w:szCs w:val="24"/>
                    </w:rPr>
                    <m:t>i</m:t>
                  </m:r>
                </m:sub>
              </m:sSub>
            </m:e>
          </m:d>
          <m:r>
            <w:rPr>
              <w:rFonts w:ascii="Cambria Math" w:hAnsi="Cambria Math" w:cstheme="majorBidi"/>
              <w:sz w:val="24"/>
              <w:szCs w:val="24"/>
            </w:rPr>
            <m:t xml:space="preserve">= </m:t>
          </m:r>
          <m:nary>
            <m:naryPr>
              <m:chr m:val="∏"/>
              <m:limLoc m:val="undOvr"/>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=1</m:t>
              </m:r>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i</m:t>
                  </m:r>
                </m:sub>
              </m:sSub>
            </m:sup>
            <m:e>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Ξ</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 U</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e>
                      </m:d>
                    </m:e>
                  </m:d>
                </m:e>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sup>
              </m:sSup>
            </m:e>
          </m:nary>
          <m:r>
            <w:rPr>
              <w:rFonts w:ascii="Cambria Math" w:eastAsiaTheme="minorEastAsia" w:hAnsi="Cambria Math" w:cstheme="majorBidi"/>
              <w:sz w:val="24"/>
              <w:szCs w:val="24"/>
            </w:rPr>
            <m:t xml:space="preserve"> →max,</m:t>
          </m:r>
        </m:oMath>
      </m:oMathPara>
    </w:p>
    <w:p w14:paraId="28A73010" w14:textId="77777777" w:rsidR="00DB6A2F" w:rsidRPr="00D233A1" w:rsidRDefault="00FD76B3" w:rsidP="009379CE">
      <w:pPr>
        <w:spacing w:after="0" w:line="360" w:lineRule="auto"/>
        <w:jc w:val="center"/>
        <w:rPr>
          <w:rFonts w:asciiTheme="majorBidi" w:eastAsiaTheme="minorEastAsia" w:hAnsiTheme="majorBidi" w:cstheme="majorBidi"/>
          <w:sz w:val="24"/>
          <w:szCs w:val="24"/>
          <w:lang w:val="en-US"/>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;min</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max</m:t>
                  </m:r>
                </m:fName>
                <m:e>
                  <m:r>
                    <w:rPr>
                      <w:rFonts w:ascii="Cambria Math" w:eastAsiaTheme="minorEastAsia" w:hAnsi="Cambria Math" w:cstheme="majorBidi"/>
                      <w:sz w:val="24"/>
                      <w:szCs w:val="24"/>
                    </w:rPr>
                    <m:t xml:space="preserve">- </m:t>
                  </m:r>
                </m:e>
              </m:func>
            </m:sub>
          </m:sSub>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 </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w:rPr>
              <w:rFonts w:ascii="Cambria Math" w:eastAsiaTheme="minorEastAsia" w:hAnsi="Cambria Math" w:cstheme="majorBidi"/>
              <w:sz w:val="24"/>
              <w:szCs w:val="24"/>
            </w:rPr>
            <m:t>∈1÷</m:t>
          </m:r>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 xml:space="preserve">i </m:t>
              </m:r>
            </m:sub>
          </m:sSub>
          <m:r>
            <w:rPr>
              <w:rFonts w:ascii="Cambria Math" w:eastAsiaTheme="minorEastAsia" w:hAnsi="Cambria Math" w:cstheme="majorBidi"/>
              <w:sz w:val="24"/>
              <w:szCs w:val="24"/>
              <w:lang w:val="en-US"/>
            </w:rPr>
            <m:t>,        (4)</m:t>
          </m:r>
        </m:oMath>
      </m:oMathPara>
    </w:p>
    <w:p w14:paraId="30EB8BFD" w14:textId="77777777" w:rsidR="00DB6A2F" w:rsidRPr="00D233A1" w:rsidRDefault="00FD76B3" w:rsidP="009379CE">
      <w:pPr>
        <w:spacing w:after="0" w:line="360" w:lineRule="auto"/>
        <w:jc w:val="center"/>
        <w:rPr>
          <w:rFonts w:asciiTheme="majorBidi" w:eastAsiaTheme="minorEastAsia" w:hAnsiTheme="majorBidi" w:cstheme="majorBidi"/>
          <w:sz w:val="24"/>
          <w:szCs w:val="24"/>
          <w:lang w:val="en-US"/>
        </w:rPr>
      </w:pPr>
      <m:oMathPara>
        <m:oMath>
          <m:nary>
            <m:naryPr>
              <m:chr m:val="∑"/>
              <m:limLoc m:val="undOvr"/>
              <m:ctrlPr>
                <w:rPr>
                  <w:rFonts w:ascii="Cambria Math" w:hAnsi="Cambria Math" w:cstheme="majorBidi"/>
                  <w:sz w:val="24"/>
                  <w:szCs w:val="24"/>
                  <w:lang w:val="en-US"/>
                </w:rPr>
              </m:ctrlPr>
            </m:naryPr>
            <m:sub>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=1</m:t>
              </m:r>
            </m:sub>
            <m:sup>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sup>
            <m:e>
              <m:sSub>
                <m:sSubPr>
                  <m:ctrlPr>
                    <w:rPr>
                      <w:rFonts w:ascii="Cambria Math" w:hAnsi="Cambria Math" w:cstheme="majorBid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U</m:t>
                  </m:r>
                </m:e>
                <m:sub>
                  <m:r>
                    <w:rPr>
                      <w:rFonts w:ascii="Cambria Math" w:hAnsi="Cambria Math" w:cstheme="majorBidi"/>
                      <w:sz w:val="24"/>
                      <w:szCs w:val="24"/>
                      <w:lang w:val="en-US"/>
                    </w:rPr>
                    <m:t>i;</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 xml:space="preserve">i </m:t>
                  </m:r>
                </m:sub>
              </m:sSub>
              <m:r>
                <w:rPr>
                  <w:rFonts w:ascii="Cambria Math" w:hAnsi="Cambria Math" w:cstheme="majorBidi"/>
                  <w:sz w:val="24"/>
                  <w:szCs w:val="24"/>
                  <w:lang w:val="en-US"/>
                </w:rPr>
                <m:t>,</m:t>
              </m:r>
            </m:e>
          </m:nary>
        </m:oMath>
      </m:oMathPara>
    </w:p>
    <w:p w14:paraId="576628E6" w14:textId="77777777" w:rsidR="00DB6A2F" w:rsidRDefault="00DB6A2F" w:rsidP="004F2D38">
      <w:pPr>
        <w:spacing w:line="360" w:lineRule="auto"/>
        <w:ind w:firstLine="567"/>
        <w:jc w:val="both"/>
        <w:rPr>
          <w:rFonts w:asciiTheme="majorBidi" w:hAnsiTheme="majorBidi" w:cstheme="majorBidi"/>
          <w:sz w:val="24"/>
          <w:szCs w:val="24"/>
          <w:lang w:val="en-US"/>
        </w:rPr>
      </w:pPr>
      <w:r w:rsidRPr="00602B18">
        <w:rPr>
          <w:rFonts w:asciiTheme="majorBidi" w:hAnsiTheme="majorBidi" w:cstheme="majorBidi"/>
          <w:sz w:val="24"/>
          <w:szCs w:val="24"/>
          <w:lang w:val="en-US"/>
        </w:rPr>
        <w:t xml:space="preserve">In this case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Q</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r>
              <w:rPr>
                <w:rFonts w:ascii="Cambria Math" w:hAnsi="Cambria Math" w:cstheme="majorBidi"/>
                <w:sz w:val="24"/>
                <w:szCs w:val="24"/>
                <w:lang w:val="en-US"/>
              </w:rPr>
              <m:t>min</m:t>
            </m:r>
          </m:sub>
        </m:sSub>
      </m:oMath>
      <w:r w:rsidRPr="00602B18">
        <w:rPr>
          <w:rFonts w:asciiTheme="majorBidi" w:hAnsiTheme="majorBidi" w:cstheme="majorBidi"/>
          <w:sz w:val="24"/>
          <w:szCs w:val="24"/>
          <w:lang w:val="en-US"/>
        </w:rPr>
        <w:t xml:space="preserve"> and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Q</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func>
              <m:funcPr>
                <m:ctrlPr>
                  <w:rPr>
                    <w:rFonts w:ascii="Cambria Math" w:hAnsi="Cambria Math" w:cstheme="majorBidi"/>
                    <w:sz w:val="24"/>
                    <w:szCs w:val="24"/>
                    <w:lang w:val="en-US"/>
                  </w:rPr>
                </m:ctrlPr>
              </m:funcPr>
              <m:fName>
                <m:r>
                  <m:rPr>
                    <m:sty m:val="p"/>
                  </m:rPr>
                  <w:rPr>
                    <w:rFonts w:ascii="Cambria Math" w:hAnsi="Cambria Math" w:cstheme="majorBidi"/>
                    <w:sz w:val="24"/>
                    <w:szCs w:val="24"/>
                    <w:lang w:val="en-US"/>
                  </w:rPr>
                  <m:t>max</m:t>
                </m:r>
              </m:fName>
              <m:e>
                <m:r>
                  <m:rPr>
                    <m:sty m:val="p"/>
                  </m:rPr>
                  <w:rPr>
                    <w:rFonts w:ascii="Cambria Math" w:hAnsi="Cambria Math" w:cstheme="majorBidi"/>
                    <w:sz w:val="24"/>
                    <w:szCs w:val="24"/>
                    <w:lang w:val="en-US"/>
                  </w:rPr>
                  <m:t xml:space="preserve"> </m:t>
                </m:r>
              </m:e>
            </m:func>
          </m:sub>
        </m:sSub>
      </m:oMath>
      <w:r w:rsidRPr="00602B18">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602B18">
        <w:rPr>
          <w:rFonts w:asciiTheme="majorBidi" w:hAnsiTheme="majorBidi" w:cstheme="majorBidi"/>
          <w:sz w:val="24"/>
          <w:szCs w:val="24"/>
          <w:lang w:val="en-US"/>
        </w:rPr>
        <w:t xml:space="preserve"> are values identical to the components with the number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oMath>
      <w:r w:rsidRPr="00602B18">
        <w:rPr>
          <w:rFonts w:asciiTheme="majorBidi" w:hAnsiTheme="majorBidi" w:cstheme="majorBidi"/>
          <w:sz w:val="24"/>
          <w:szCs w:val="24"/>
          <w:lang w:val="en-US"/>
        </w:rPr>
        <w:t xml:space="preserve"> + </w:t>
      </w:r>
      <m:oMath>
        <m:nary>
          <m:naryPr>
            <m:chr m:val="∑"/>
            <m:limLoc m:val="undOvr"/>
            <m:ctrlPr>
              <w:rPr>
                <w:rFonts w:ascii="Cambria Math" w:hAnsi="Cambria Math" w:cstheme="majorBidi"/>
                <w:sz w:val="24"/>
                <w:szCs w:val="24"/>
                <w:lang w:val="en-US"/>
              </w:rPr>
            </m:ctrlPr>
          </m:naryPr>
          <m:sub>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=1</m:t>
            </m:r>
          </m:sub>
          <m:sup>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sup>
          <m:e>
            <m:sSub>
              <m:sSubPr>
                <m:ctrlPr>
                  <w:rPr>
                    <w:rFonts w:ascii="Cambria Math" w:hAnsi="Cambria Math" w:cstheme="majorBidi"/>
                    <w: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j</m:t>
                </m:r>
              </m:sub>
            </m:sSub>
          </m:e>
        </m:nary>
      </m:oMath>
      <w:r>
        <w:rPr>
          <w:rFonts w:asciiTheme="majorBidi" w:eastAsiaTheme="minorEastAsia" w:hAnsiTheme="majorBidi" w:cstheme="majorBidi"/>
          <w:sz w:val="24"/>
          <w:szCs w:val="24"/>
          <w:lang w:val="en-US"/>
        </w:rPr>
        <w:t xml:space="preserve"> </w:t>
      </w:r>
      <w:r w:rsidRPr="003F00EC">
        <w:rPr>
          <w:rFonts w:asciiTheme="majorBidi" w:eastAsiaTheme="minorEastAsia" w:hAnsiTheme="majorBidi" w:cstheme="majorBidi"/>
          <w:sz w:val="24"/>
          <w:szCs w:val="24"/>
          <w:lang w:val="en-US"/>
        </w:rPr>
        <w:t>of the vectors</w:t>
      </w:r>
      <w:r>
        <w:rPr>
          <w:rFonts w:asciiTheme="majorBidi" w:eastAsiaTheme="minorEastAsia" w:hAnsiTheme="majorBidi" w:cstheme="majorBidi"/>
          <w:sz w:val="24"/>
          <w:szCs w:val="24"/>
          <w:lang w:val="en-US"/>
        </w:rPr>
        <w:t xml:space="preserv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min</m:t>
            </m:r>
          </m:sub>
        </m:sSub>
      </m:oMath>
      <w:r w:rsidRPr="003F00EC">
        <w:rPr>
          <w:rFonts w:asciiTheme="majorBidi" w:hAnsiTheme="majorBidi" w:cstheme="majorBidi"/>
          <w:sz w:val="24"/>
          <w:szCs w:val="24"/>
          <w:lang w:val="en-US"/>
        </w:rPr>
        <w:t xml:space="preserve"> </w:t>
      </w:r>
      <w:r>
        <w:rPr>
          <w:rFonts w:asciiTheme="majorBidi" w:hAnsiTheme="majorBidi" w:cstheme="majorBidi"/>
          <w:sz w:val="24"/>
          <w:szCs w:val="24"/>
          <w:lang w:val="en-US"/>
        </w:rPr>
        <w:t>and</w:t>
      </w:r>
      <w:r w:rsidRPr="003F00EC">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acc>
              <m:accPr>
                <m:chr m:val="⃗"/>
                <m:ctrlPr>
                  <w:rPr>
                    <w:rFonts w:ascii="Cambria Math" w:hAnsi="Cambria Math" w:cstheme="majorBidi"/>
                    <w:sz w:val="24"/>
                    <w:szCs w:val="24"/>
                    <w:lang w:val="en-US"/>
                  </w:rPr>
                </m:ctrlPr>
              </m:accPr>
              <m:e>
                <m:r>
                  <w:rPr>
                    <w:rFonts w:ascii="Cambria Math" w:hAnsi="Cambria Math" w:cstheme="majorBidi"/>
                    <w:sz w:val="24"/>
                    <w:szCs w:val="24"/>
                    <w:lang w:val="en-US"/>
                  </w:rPr>
                  <m:t>Q</m:t>
                </m:r>
              </m:e>
            </m:acc>
          </m:e>
          <m:sub>
            <m:r>
              <w:rPr>
                <w:rFonts w:ascii="Cambria Math" w:hAnsi="Cambria Math" w:cstheme="majorBidi"/>
                <w:sz w:val="24"/>
                <w:szCs w:val="24"/>
                <w:lang w:val="en-US"/>
              </w:rPr>
              <m:t>max</m:t>
            </m:r>
          </m:sub>
        </m:sSub>
      </m:oMath>
      <w:r>
        <w:rPr>
          <w:rFonts w:asciiTheme="majorBidi" w:eastAsiaTheme="minorEastAsia" w:hAnsiTheme="majorBidi" w:cstheme="majorBidi"/>
          <w:sz w:val="24"/>
          <w:szCs w:val="24"/>
          <w:lang w:val="en-US"/>
        </w:rPr>
        <w:t xml:space="preserve"> </w:t>
      </w:r>
      <w:r w:rsidRPr="003F00EC">
        <w:rPr>
          <w:rFonts w:asciiTheme="majorBidi" w:eastAsiaTheme="minorEastAsia" w:hAnsiTheme="majorBidi" w:cstheme="majorBidi"/>
          <w:sz w:val="24"/>
          <w:szCs w:val="24"/>
          <w:lang w:val="en-US"/>
        </w:rPr>
        <w:t>respective</w:t>
      </w:r>
      <w:r>
        <w:rPr>
          <w:rFonts w:asciiTheme="majorBidi" w:eastAsiaTheme="minorEastAsia" w:hAnsiTheme="majorBidi" w:cstheme="majorBidi"/>
          <w:sz w:val="24"/>
          <w:szCs w:val="24"/>
          <w:lang w:val="en-US"/>
        </w:rPr>
        <w:t>l</w:t>
      </w:r>
      <w:r w:rsidRPr="003F00EC">
        <w:rPr>
          <w:rFonts w:asciiTheme="majorBidi" w:eastAsiaTheme="minorEastAsia" w:hAnsiTheme="majorBidi" w:cstheme="majorBidi"/>
          <w:sz w:val="24"/>
          <w:szCs w:val="24"/>
          <w:lang w:val="en-US"/>
        </w:rPr>
        <w:t>y,</w:t>
      </w:r>
      <w:r>
        <w:rPr>
          <w:rFonts w:asciiTheme="majorBidi" w:eastAsiaTheme="minorEastAsia" w:hAnsiTheme="majorBidi" w:cstheme="majorBidi"/>
          <w:sz w:val="24"/>
          <w:szCs w:val="24"/>
          <w:lang w:val="en-US"/>
        </w:rPr>
        <w:t xml:space="preserve"> </w:t>
      </w:r>
      <w:r w:rsidRPr="003F00EC">
        <w:rPr>
          <w:rFonts w:asciiTheme="majorBidi" w:eastAsiaTheme="minorEastAsia" w:hAnsiTheme="majorBidi" w:cstheme="majorBidi"/>
          <w:sz w:val="24"/>
          <w:szCs w:val="24"/>
          <w:lang w:val="en-US"/>
        </w:rPr>
        <w:t>and showing acceptable intervals of change</w:t>
      </w:r>
      <w:r>
        <w:rPr>
          <w:rFonts w:asciiTheme="majorBidi" w:eastAsiaTheme="minorEastAsia" w:hAnsiTheme="majorBidi" w:cstheme="majorBidi"/>
          <w:sz w:val="24"/>
          <w:szCs w:val="24"/>
          <w:lang w:val="en-US"/>
        </w:rPr>
        <w:t xml:space="preserve"> of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oMath>
      <w:r>
        <w:rPr>
          <w:rFonts w:asciiTheme="majorBidi" w:eastAsiaTheme="minorEastAsia" w:hAnsiTheme="majorBidi" w:cstheme="majorBidi"/>
          <w:sz w:val="24"/>
          <w:szCs w:val="24"/>
          <w:lang w:val="en-US"/>
        </w:rPr>
        <w:t xml:space="preserve"> </w:t>
      </w:r>
      <w:r w:rsidRPr="003F00EC">
        <w:rPr>
          <w:rFonts w:asciiTheme="majorBidi" w:eastAsiaTheme="minorEastAsia" w:hAnsiTheme="majorBidi" w:cstheme="majorBidi"/>
          <w:sz w:val="24"/>
          <w:szCs w:val="24"/>
          <w:lang w:val="en-US"/>
        </w:rPr>
        <w:t>indicator of group</w:t>
      </w:r>
      <w:r>
        <w:rPr>
          <w:rFonts w:asciiTheme="majorBidi" w:eastAsiaTheme="minorEastAsia" w:hAnsiTheme="majorBidi" w:cstheme="majorBidi"/>
          <w:sz w:val="24"/>
          <w:szCs w:val="24"/>
          <w:lang w:val="en-US"/>
        </w:rPr>
        <w:t xml:space="preserve"> </w:t>
      </w:r>
      <m:oMath>
        <m:r>
          <w:rPr>
            <w:rFonts w:ascii="Cambria Math" w:hAnsi="Cambria Math" w:cstheme="majorBidi"/>
            <w:sz w:val="24"/>
            <w:szCs w:val="24"/>
            <w:lang w:val="en-US"/>
          </w:rPr>
          <m:t>i</m:t>
        </m:r>
      </m:oMath>
      <w:r>
        <w:rPr>
          <w:rFonts w:asciiTheme="majorBidi" w:eastAsiaTheme="minorEastAsia"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oMath>
      <w:r>
        <w:rPr>
          <w:rFonts w:asciiTheme="majorBidi" w:hAnsiTheme="majorBidi" w:cstheme="majorBidi"/>
          <w:sz w:val="24"/>
          <w:szCs w:val="24"/>
          <w:lang w:val="en-US"/>
        </w:rPr>
        <w:t>-</w:t>
      </w:r>
      <w:r w:rsidRPr="003F00EC">
        <w:rPr>
          <w:rFonts w:asciiTheme="majorBidi" w:hAnsiTheme="majorBidi" w:cstheme="majorBidi"/>
          <w:sz w:val="24"/>
          <w:szCs w:val="24"/>
          <w:lang w:val="en-US"/>
        </w:rPr>
        <w:t xml:space="preserve"> coefficients that reflect the cost of changing the</w:t>
      </w:r>
      <w:r>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oMath>
      <w:r w:rsidRPr="003F00EC">
        <w:rPr>
          <w:rFonts w:asciiTheme="majorBidi" w:hAnsiTheme="majorBidi" w:cstheme="majorBidi"/>
          <w:sz w:val="24"/>
          <w:szCs w:val="24"/>
          <w:lang w:val="en-US"/>
        </w:rPr>
        <w:t xml:space="preserve"> indicator of group</w:t>
      </w:r>
      <w:r>
        <w:rPr>
          <w:rFonts w:asciiTheme="majorBidi" w:hAnsiTheme="majorBidi" w:cstheme="majorBidi"/>
          <w:sz w:val="24"/>
          <w:szCs w:val="24"/>
          <w:lang w:val="en-US"/>
        </w:rPr>
        <w:t xml:space="preserve"> </w:t>
      </w:r>
      <m:oMath>
        <m:r>
          <w:rPr>
            <w:rFonts w:ascii="Cambria Math" w:hAnsi="Cambria Math" w:cstheme="majorBidi"/>
            <w:sz w:val="24"/>
            <w:szCs w:val="24"/>
            <w:lang w:val="en-US"/>
          </w:rPr>
          <m:t>i</m:t>
        </m:r>
      </m:oMath>
      <w:r w:rsidRPr="003F00EC">
        <w:rPr>
          <w:rFonts w:asciiTheme="majorBidi" w:hAnsiTheme="majorBidi" w:cstheme="majorBidi"/>
          <w:sz w:val="24"/>
          <w:szCs w:val="24"/>
          <w:lang w:val="en-US"/>
        </w:rPr>
        <w:t xml:space="preserve"> , and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i</m:t>
            </m:r>
          </m:sub>
        </m:sSub>
      </m:oMath>
      <w:r w:rsidRPr="003F00E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3F00EC">
        <w:rPr>
          <w:rFonts w:asciiTheme="majorBidi" w:hAnsiTheme="majorBidi" w:cstheme="majorBidi"/>
          <w:sz w:val="24"/>
          <w:szCs w:val="24"/>
          <w:lang w:val="en-US"/>
        </w:rPr>
        <w:t xml:space="preserve">budget for group </w:t>
      </w:r>
      <m:oMath>
        <m:r>
          <w:rPr>
            <w:rFonts w:ascii="Cambria Math" w:hAnsi="Cambria Math" w:cstheme="majorBidi"/>
            <w:sz w:val="24"/>
            <w:szCs w:val="24"/>
            <w:lang w:val="en-US"/>
          </w:rPr>
          <m:t>i</m:t>
        </m:r>
      </m:oMath>
      <w:r w:rsidRPr="003F00EC">
        <w:rPr>
          <w:rFonts w:asciiTheme="majorBidi" w:hAnsiTheme="majorBidi" w:cstheme="majorBidi"/>
          <w:sz w:val="24"/>
          <w:szCs w:val="24"/>
          <w:lang w:val="en-US"/>
        </w:rPr>
        <w:t xml:space="preserve"> allocated for these changes.</w:t>
      </w:r>
    </w:p>
    <w:p w14:paraId="053BDE0B" w14:textId="25811CAD" w:rsidR="00DB6A2F" w:rsidRDefault="00DB6A2F" w:rsidP="007039D3">
      <w:pPr>
        <w:suppressAutoHyphens/>
        <w:spacing w:line="360" w:lineRule="auto"/>
        <w:ind w:firstLine="567"/>
        <w:jc w:val="both"/>
        <w:rPr>
          <w:rFonts w:asciiTheme="majorBidi" w:hAnsiTheme="majorBidi" w:cstheme="majorBidi"/>
          <w:sz w:val="24"/>
          <w:szCs w:val="24"/>
          <w:lang w:val="en-US"/>
        </w:rPr>
      </w:pPr>
      <w:r w:rsidRPr="00376845">
        <w:rPr>
          <w:rFonts w:asciiTheme="majorBidi" w:hAnsiTheme="majorBidi" w:cstheme="majorBidi"/>
          <w:sz w:val="24"/>
          <w:szCs w:val="24"/>
          <w:lang w:val="en-US"/>
        </w:rPr>
        <w:lastRenderedPageBreak/>
        <w:t>In this case, it is assumed that each block of indicators has its own task and budget.</w:t>
      </w:r>
      <w:r>
        <w:rPr>
          <w:rFonts w:asciiTheme="majorBidi" w:hAnsiTheme="majorBidi" w:cstheme="majorBidi"/>
          <w:sz w:val="24"/>
          <w:szCs w:val="24"/>
          <w:lang w:val="en-US"/>
        </w:rPr>
        <w:t xml:space="preserve"> </w:t>
      </w:r>
      <w:r w:rsidRPr="00376845">
        <w:rPr>
          <w:rFonts w:asciiTheme="majorBidi" w:hAnsiTheme="majorBidi" w:cstheme="majorBidi"/>
          <w:sz w:val="24"/>
          <w:szCs w:val="24"/>
          <w:lang w:val="en-US"/>
        </w:rPr>
        <w:t xml:space="preserve">From an economic point of view, this version of the mathematical formulation can be explained by the fact that </w:t>
      </w:r>
      <w:r>
        <w:rPr>
          <w:rFonts w:asciiTheme="majorBidi" w:hAnsiTheme="majorBidi" w:cstheme="majorBidi"/>
          <w:sz w:val="24"/>
          <w:szCs w:val="24"/>
          <w:lang w:val="en-US"/>
        </w:rPr>
        <w:t xml:space="preserve">the </w:t>
      </w:r>
      <w:r w:rsidRPr="00376845">
        <w:rPr>
          <w:rFonts w:asciiTheme="majorBidi" w:hAnsiTheme="majorBidi" w:cstheme="majorBidi"/>
          <w:sz w:val="24"/>
          <w:szCs w:val="24"/>
          <w:lang w:val="en-US"/>
        </w:rPr>
        <w:t>control and examination of blocks are carried out separately by various departments</w:t>
      </w:r>
      <w:r w:rsidR="000143F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376845">
        <w:rPr>
          <w:rFonts w:asciiTheme="majorBidi" w:hAnsiTheme="majorBidi" w:cstheme="majorBidi"/>
          <w:sz w:val="24"/>
          <w:szCs w:val="24"/>
          <w:lang w:val="en-US"/>
        </w:rPr>
        <w:t>accordingly, the financing of corrective changes in each block is carried out at the expense of a separate amount allocated by a specific agency and having a strictly targeted purpose.</w:t>
      </w:r>
    </w:p>
    <w:p w14:paraId="64C20158" w14:textId="31477A55" w:rsidR="00DB6A2F" w:rsidRDefault="00DB6A2F" w:rsidP="007039D3">
      <w:pPr>
        <w:suppressAutoHyphens/>
        <w:spacing w:line="360" w:lineRule="auto"/>
        <w:ind w:firstLine="567"/>
        <w:jc w:val="both"/>
        <w:rPr>
          <w:rFonts w:asciiTheme="majorBidi" w:hAnsiTheme="majorBidi" w:cstheme="majorBidi"/>
          <w:sz w:val="24"/>
          <w:szCs w:val="24"/>
          <w:lang w:val="en-US"/>
        </w:rPr>
      </w:pPr>
      <w:r w:rsidRPr="00376845">
        <w:rPr>
          <w:rFonts w:asciiTheme="majorBidi" w:hAnsiTheme="majorBidi" w:cstheme="majorBidi"/>
          <w:sz w:val="24"/>
          <w:szCs w:val="24"/>
          <w:lang w:val="en-US"/>
        </w:rPr>
        <w:t xml:space="preserve">We can assume the opposite: in the course of financing these changes, a single budget </w:t>
      </w:r>
      <m:oMath>
        <m:r>
          <w:rPr>
            <w:rFonts w:ascii="Cambria Math" w:hAnsi="Cambria Math" w:cstheme="majorBidi"/>
            <w:sz w:val="24"/>
            <w:szCs w:val="24"/>
            <w:lang w:val="en-US"/>
          </w:rPr>
          <m:t>W</m:t>
        </m:r>
      </m:oMath>
      <w:r w:rsidRPr="00376845">
        <w:rPr>
          <w:rFonts w:asciiTheme="majorBidi" w:hAnsiTheme="majorBidi" w:cstheme="majorBidi"/>
          <w:sz w:val="24"/>
          <w:szCs w:val="24"/>
          <w:lang w:val="en-US"/>
        </w:rPr>
        <w:t xml:space="preserve"> is formed, the funds of which can be used to correct a particular indicator.</w:t>
      </w:r>
      <w:r>
        <w:rPr>
          <w:rFonts w:asciiTheme="majorBidi" w:hAnsiTheme="majorBidi" w:cstheme="majorBidi"/>
          <w:sz w:val="24"/>
          <w:szCs w:val="24"/>
          <w:lang w:val="en-US"/>
        </w:rPr>
        <w:t xml:space="preserve"> </w:t>
      </w:r>
      <w:r w:rsidRPr="00376845">
        <w:rPr>
          <w:rFonts w:asciiTheme="majorBidi" w:hAnsiTheme="majorBidi" w:cstheme="majorBidi"/>
          <w:sz w:val="24"/>
          <w:szCs w:val="24"/>
          <w:lang w:val="en-US"/>
        </w:rPr>
        <w:t>Such a statement of the problem looks more logical from the point of view of economic feasibility, but,</w:t>
      </w:r>
      <w:r>
        <w:rPr>
          <w:rFonts w:asciiTheme="majorBidi" w:hAnsiTheme="majorBidi" w:cstheme="majorBidi"/>
          <w:sz w:val="24"/>
          <w:szCs w:val="24"/>
          <w:lang w:val="en-US"/>
        </w:rPr>
        <w:t xml:space="preserve"> </w:t>
      </w:r>
      <w:r w:rsidRPr="00376845">
        <w:rPr>
          <w:rFonts w:asciiTheme="majorBidi" w:hAnsiTheme="majorBidi" w:cstheme="majorBidi"/>
          <w:sz w:val="24"/>
          <w:szCs w:val="24"/>
          <w:lang w:val="en-US"/>
        </w:rPr>
        <w:t>firstly, its implementation may be difficult due to the corresponding administrative and bureaucratic barriers,</w:t>
      </w:r>
      <w:r>
        <w:rPr>
          <w:rFonts w:asciiTheme="majorBidi" w:hAnsiTheme="majorBidi" w:cstheme="majorBidi"/>
          <w:sz w:val="24"/>
          <w:szCs w:val="24"/>
          <w:lang w:val="en-US"/>
        </w:rPr>
        <w:t xml:space="preserve"> </w:t>
      </w:r>
      <w:r w:rsidRPr="00376845">
        <w:rPr>
          <w:rFonts w:asciiTheme="majorBidi" w:hAnsiTheme="majorBidi" w:cstheme="majorBidi"/>
          <w:sz w:val="24"/>
          <w:szCs w:val="24"/>
          <w:lang w:val="en-US"/>
        </w:rPr>
        <w:t xml:space="preserve">secondly, in this case, </w:t>
      </w:r>
      <w:r w:rsidR="00DA6AC5">
        <w:rPr>
          <w:rFonts w:asciiTheme="majorBidi" w:hAnsiTheme="majorBidi" w:cstheme="majorBidi"/>
          <w:sz w:val="24"/>
          <w:szCs w:val="24"/>
          <w:lang w:val="en-US"/>
        </w:rPr>
        <w:t>six</w:t>
      </w:r>
      <w:r w:rsidRPr="00376845">
        <w:rPr>
          <w:rFonts w:asciiTheme="majorBidi" w:hAnsiTheme="majorBidi" w:cstheme="majorBidi"/>
          <w:sz w:val="24"/>
          <w:szCs w:val="24"/>
          <w:lang w:val="en-US"/>
        </w:rPr>
        <w:t xml:space="preserve"> optimization problems turn into one task involving multicriteria optimization.</w:t>
      </w:r>
    </w:p>
    <w:p w14:paraId="01BA7366" w14:textId="17D306D4" w:rsidR="00DB6A2F" w:rsidRPr="008061AD" w:rsidRDefault="00FD76B3" w:rsidP="00DB6A2F">
      <w:pPr>
        <w:spacing w:line="360" w:lineRule="auto"/>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 xml:space="preserve"> </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lang w:val="en-US"/>
                        </w:rPr>
                        <m:t>U</m:t>
                      </m:r>
                    </m:e>
                  </m:acc>
                </m:e>
                <m:sub>
                  <m:r>
                    <w:rPr>
                      <w:rFonts w:ascii="Cambria Math" w:hAnsi="Cambria Math" w:cstheme="majorBidi"/>
                      <w:sz w:val="24"/>
                      <w:szCs w:val="24"/>
                    </w:rPr>
                    <m:t>i</m:t>
                  </m:r>
                </m:sub>
              </m:sSub>
            </m:e>
          </m:d>
          <m:r>
            <w:rPr>
              <w:rFonts w:ascii="Cambria Math" w:hAnsi="Cambria Math" w:cstheme="majorBidi"/>
              <w:sz w:val="24"/>
              <w:szCs w:val="24"/>
            </w:rPr>
            <m:t xml:space="preserve">= </m:t>
          </m:r>
          <m:nary>
            <m:naryPr>
              <m:chr m:val="∏"/>
              <m:limLoc m:val="undOvr"/>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=1</m:t>
              </m:r>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i</m:t>
                  </m:r>
                </m:sub>
              </m:sSub>
            </m:sup>
            <m:e>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Ξ</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 U</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e>
                      </m:d>
                    </m:e>
                  </m:d>
                </m:e>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sup>
              </m:sSup>
            </m:e>
          </m:nary>
          <m:r>
            <w:rPr>
              <w:rFonts w:ascii="Cambria Math" w:eastAsiaTheme="minorEastAsia" w:hAnsi="Cambria Math" w:cstheme="majorBidi"/>
              <w:sz w:val="24"/>
              <w:szCs w:val="24"/>
            </w:rPr>
            <m:t xml:space="preserve"> →max, i ∈1÷6 ,</m:t>
          </m:r>
        </m:oMath>
      </m:oMathPara>
    </w:p>
    <w:p w14:paraId="68E9CF24" w14:textId="11B0195B" w:rsidR="00DB6A2F" w:rsidRPr="00D233A1" w:rsidRDefault="00FD76B3" w:rsidP="00DB6A2F">
      <w:pPr>
        <w:spacing w:line="360" w:lineRule="auto"/>
        <w:jc w:val="center"/>
        <w:rPr>
          <w:rFonts w:asciiTheme="majorBidi" w:eastAsiaTheme="minorEastAsia" w:hAnsiTheme="majorBidi" w:cstheme="majorBidi"/>
          <w:sz w:val="24"/>
          <w:szCs w:val="24"/>
          <w:lang w:val="en-US"/>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;min</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max</m:t>
                  </m:r>
                </m:fName>
                <m:e>
                  <m:r>
                    <w:rPr>
                      <w:rFonts w:ascii="Cambria Math" w:eastAsiaTheme="minorEastAsia" w:hAnsi="Cambria Math" w:cstheme="majorBidi"/>
                      <w:sz w:val="24"/>
                      <w:szCs w:val="24"/>
                    </w:rPr>
                    <m:t xml:space="preserve">- </m:t>
                  </m:r>
                </m:e>
              </m:func>
            </m:sub>
          </m:sSub>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Q</m:t>
                  </m:r>
                </m:e>
              </m:acc>
            </m:e>
            <m:sub>
              <m:r>
                <w:rPr>
                  <w:rFonts w:ascii="Cambria Math" w:eastAsiaTheme="minorEastAsia" w:hAnsi="Cambria Math" w:cstheme="majorBidi"/>
                  <w:sz w:val="24"/>
                  <w:szCs w:val="24"/>
                </w:rPr>
                <m:t>i;</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sub>
          </m:sSub>
          <m:r>
            <w:rPr>
              <w:rFonts w:ascii="Cambria Math" w:eastAsiaTheme="minorEastAsia" w:hAnsi="Cambria Math" w:cstheme="majorBidi"/>
              <w:sz w:val="24"/>
              <w:szCs w:val="24"/>
            </w:rPr>
            <m:t xml:space="preserve"> , </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w:rPr>
              <w:rFonts w:ascii="Cambria Math" w:eastAsiaTheme="minorEastAsia" w:hAnsi="Cambria Math" w:cstheme="majorBidi"/>
              <w:sz w:val="24"/>
              <w:szCs w:val="24"/>
            </w:rPr>
            <m:t>∈1÷</m:t>
          </m:r>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r>
            <w:rPr>
              <w:rFonts w:ascii="Cambria Math" w:hAnsi="Cambria Math" w:cstheme="majorBidi"/>
              <w:sz w:val="24"/>
              <w:szCs w:val="24"/>
              <w:lang w:val="en-US"/>
            </w:rPr>
            <m:t xml:space="preserve"> </m:t>
          </m:r>
          <m:r>
            <w:rPr>
              <w:rFonts w:ascii="Cambria Math" w:eastAsiaTheme="minorEastAsia" w:hAnsi="Cambria Math" w:cstheme="majorBidi"/>
              <w:sz w:val="24"/>
              <w:szCs w:val="24"/>
            </w:rPr>
            <m:t>, i ∈1÷6 ,</m:t>
          </m:r>
          <m:r>
            <w:rPr>
              <w:rFonts w:ascii="Cambria Math" w:eastAsiaTheme="minorEastAsia" w:hAnsi="Cambria Math" w:cstheme="majorBidi"/>
              <w:sz w:val="24"/>
              <w:szCs w:val="24"/>
              <w:lang w:val="en-US"/>
            </w:rPr>
            <m:t xml:space="preserve">       (5)</m:t>
          </m:r>
        </m:oMath>
      </m:oMathPara>
    </w:p>
    <w:p w14:paraId="6CBC9608" w14:textId="6D230AEB" w:rsidR="00DB6A2F" w:rsidRPr="00D233A1" w:rsidRDefault="00FD76B3" w:rsidP="00DB6A2F">
      <w:pPr>
        <w:spacing w:line="360" w:lineRule="auto"/>
        <w:jc w:val="center"/>
        <w:rPr>
          <w:rFonts w:asciiTheme="majorBidi" w:eastAsiaTheme="minorEastAsia" w:hAnsiTheme="majorBidi" w:cstheme="majorBidi"/>
          <w:sz w:val="24"/>
          <w:szCs w:val="24"/>
          <w:lang w:val="en-US"/>
        </w:rPr>
      </w:pPr>
      <m:oMathPara>
        <m:oMath>
          <m:nary>
            <m:naryPr>
              <m:chr m:val="∑"/>
              <m:limLoc m:val="undOvr"/>
              <m:ctrlPr>
                <w:rPr>
                  <w:rFonts w:ascii="Cambria Math" w:hAnsi="Cambria Math" w:cstheme="majorBidi"/>
                  <w:i/>
                  <w:sz w:val="24"/>
                  <w:szCs w:val="24"/>
                  <w:lang w:val="en-US"/>
                </w:rPr>
              </m:ctrlPr>
            </m:naryPr>
            <m:sub>
              <m:r>
                <w:rPr>
                  <w:rFonts w:ascii="Cambria Math" w:hAnsi="Cambria Math" w:cstheme="majorBidi"/>
                  <w:sz w:val="24"/>
                  <w:szCs w:val="24"/>
                  <w:lang w:val="en-US"/>
                </w:rPr>
                <m:t>i=1</m:t>
              </m:r>
            </m:sub>
            <m:sup>
              <m:r>
                <w:rPr>
                  <w:rFonts w:ascii="Cambria Math" w:hAnsi="Cambria Math" w:cstheme="majorBidi"/>
                  <w:sz w:val="24"/>
                  <w:szCs w:val="24"/>
                  <w:lang w:val="en-US"/>
                </w:rPr>
                <m:t>6</m:t>
              </m:r>
            </m:sup>
            <m:e>
              <m:nary>
                <m:naryPr>
                  <m:chr m:val="∑"/>
                  <m:limLoc m:val="undOvr"/>
                  <m:ctrlPr>
                    <w:rPr>
                      <w:rFonts w:ascii="Cambria Math" w:hAnsi="Cambria Math" w:cstheme="majorBidi"/>
                      <w:sz w:val="24"/>
                      <w:szCs w:val="24"/>
                      <w:lang w:val="en-US"/>
                    </w:rPr>
                  </m:ctrlPr>
                </m:naryPr>
                <m:sub>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=1</m:t>
                  </m:r>
                </m:sub>
                <m:sup>
                  <m:sSub>
                    <m:sSubPr>
                      <m:ctrlPr>
                        <w:rPr>
                          <w:rFonts w:ascii="Cambria Math" w:hAnsi="Cambria Math" w:cstheme="majorBidi"/>
                          <w:sz w:val="24"/>
                          <w:szCs w:val="24"/>
                          <w:lang w:val="en-US"/>
                        </w:rPr>
                      </m:ctrlPr>
                    </m:sSubPr>
                    <m:e>
                      <m:r>
                        <w:rPr>
                          <w:rFonts w:ascii="Cambria Math" w:hAnsi="Cambria Math" w:cstheme="majorBidi"/>
                          <w:sz w:val="24"/>
                          <w:szCs w:val="24"/>
                          <w:lang w:val="en-US"/>
                        </w:rPr>
                        <m:t>m</m:t>
                      </m:r>
                    </m:e>
                    <m:sub>
                      <m:r>
                        <w:rPr>
                          <w:rFonts w:ascii="Cambria Math" w:hAnsi="Cambria Math" w:cstheme="majorBidi"/>
                          <w:sz w:val="24"/>
                          <w:szCs w:val="24"/>
                          <w:lang w:val="en-US"/>
                        </w:rPr>
                        <m:t>i</m:t>
                      </m:r>
                    </m:sub>
                  </m:sSub>
                </m:sup>
                <m:e>
                  <m:sSub>
                    <m:sSubPr>
                      <m:ctrlPr>
                        <w:rPr>
                          <w:rFonts w:ascii="Cambria Math" w:hAnsi="Cambria Math" w:cstheme="majorBidi"/>
                          <w:sz w:val="24"/>
                          <w:szCs w:val="24"/>
                          <w:lang w:val="en-US"/>
                        </w:rPr>
                      </m:ctrlPr>
                    </m:sSubPr>
                    <m:e>
                      <m:r>
                        <w:rPr>
                          <w:rFonts w:ascii="Cambria Math" w:hAnsi="Cambria Math" w:cstheme="majorBidi"/>
                          <w:sz w:val="24"/>
                          <w:szCs w:val="24"/>
                          <w:lang w:val="en-US"/>
                        </w:rPr>
                        <m:t>w</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U</m:t>
                      </m:r>
                    </m:e>
                    <m:sub>
                      <m:r>
                        <w:rPr>
                          <w:rFonts w:ascii="Cambria Math" w:hAnsi="Cambria Math" w:cstheme="majorBidi"/>
                          <w:sz w:val="24"/>
                          <w:szCs w:val="24"/>
                          <w:lang w:val="en-US"/>
                        </w:rPr>
                        <m:t>i;</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i</m:t>
                          </m:r>
                        </m:sub>
                      </m:sSub>
                    </m:sub>
                  </m:sSub>
                  <m:r>
                    <w:rPr>
                      <w:rFonts w:ascii="Cambria Math" w:hAnsi="Cambria Math" w:cstheme="majorBidi"/>
                      <w:sz w:val="24"/>
                      <w:szCs w:val="24"/>
                      <w:lang w:val="en-US"/>
                    </w:rPr>
                    <m:t>= W .</m:t>
                  </m:r>
                </m:e>
              </m:nary>
            </m:e>
          </m:nary>
        </m:oMath>
      </m:oMathPara>
    </w:p>
    <w:p w14:paraId="19D4AEB7" w14:textId="77777777" w:rsidR="00DB6A2F" w:rsidRDefault="00DB6A2F" w:rsidP="007039D3">
      <w:pPr>
        <w:suppressAutoHyphens/>
        <w:spacing w:line="360" w:lineRule="auto"/>
        <w:ind w:firstLine="567"/>
        <w:jc w:val="both"/>
        <w:rPr>
          <w:rFonts w:asciiTheme="majorBidi" w:hAnsiTheme="majorBidi" w:cstheme="majorBidi"/>
          <w:sz w:val="24"/>
          <w:szCs w:val="24"/>
          <w:lang w:val="en-US"/>
        </w:rPr>
      </w:pPr>
      <w:r w:rsidRPr="00C302C7">
        <w:rPr>
          <w:rFonts w:asciiTheme="majorBidi" w:hAnsiTheme="majorBidi" w:cstheme="majorBidi"/>
          <w:sz w:val="24"/>
          <w:szCs w:val="24"/>
          <w:lang w:val="en-US"/>
        </w:rPr>
        <w:t>When deciding on the assessment of the quality of an investment project, it is necessary to proceed from a multi-step nature, due to the following factors:</w:t>
      </w:r>
    </w:p>
    <w:p w14:paraId="0F3F550F" w14:textId="6C1C303B" w:rsidR="00DB6A2F" w:rsidRDefault="00DB6A2F" w:rsidP="007039D3">
      <w:pPr>
        <w:pStyle w:val="ListParagraph"/>
        <w:numPr>
          <w:ilvl w:val="0"/>
          <w:numId w:val="37"/>
        </w:numPr>
        <w:suppressAutoHyphens/>
        <w:autoSpaceDN/>
        <w:spacing w:line="360" w:lineRule="auto"/>
        <w:ind w:left="567" w:hanging="357"/>
        <w:contextualSpacing/>
        <w:jc w:val="both"/>
        <w:textAlignment w:val="auto"/>
        <w:rPr>
          <w:rFonts w:asciiTheme="majorBidi" w:hAnsiTheme="majorBidi" w:cstheme="majorBidi"/>
          <w:sz w:val="24"/>
          <w:szCs w:val="24"/>
          <w:lang w:val="en-US"/>
        </w:rPr>
      </w:pPr>
      <w:r w:rsidRPr="00C302C7">
        <w:rPr>
          <w:rFonts w:asciiTheme="majorBidi" w:hAnsiTheme="majorBidi" w:cstheme="majorBidi"/>
          <w:sz w:val="24"/>
          <w:szCs w:val="24"/>
          <w:lang w:val="en-US"/>
        </w:rPr>
        <w:t>The availability of priorities when choosing the quality of individual elements of an investment project</w:t>
      </w:r>
      <w:r w:rsidR="003A1750">
        <w:rPr>
          <w:rFonts w:asciiTheme="majorBidi" w:hAnsiTheme="majorBidi" w:cstheme="majorBidi"/>
          <w:sz w:val="24"/>
          <w:szCs w:val="24"/>
          <w:lang w:val="en-US"/>
        </w:rPr>
        <w:t>.</w:t>
      </w:r>
    </w:p>
    <w:p w14:paraId="0BAEEB3B" w14:textId="5F9707BF" w:rsidR="00DB6A2F" w:rsidRDefault="00DB6A2F" w:rsidP="007039D3">
      <w:pPr>
        <w:pStyle w:val="ListParagraph"/>
        <w:numPr>
          <w:ilvl w:val="0"/>
          <w:numId w:val="37"/>
        </w:numPr>
        <w:suppressAutoHyphens/>
        <w:autoSpaceDN/>
        <w:spacing w:line="360" w:lineRule="auto"/>
        <w:ind w:left="567" w:hanging="357"/>
        <w:contextualSpacing/>
        <w:jc w:val="both"/>
        <w:textAlignment w:val="auto"/>
        <w:rPr>
          <w:rFonts w:asciiTheme="majorBidi" w:hAnsiTheme="majorBidi" w:cstheme="majorBidi"/>
          <w:sz w:val="24"/>
          <w:szCs w:val="24"/>
          <w:lang w:val="en-US"/>
        </w:rPr>
      </w:pPr>
      <w:r>
        <w:rPr>
          <w:rFonts w:asciiTheme="majorBidi" w:hAnsiTheme="majorBidi" w:cstheme="majorBidi"/>
          <w:sz w:val="24"/>
          <w:szCs w:val="24"/>
          <w:lang w:val="en-US"/>
        </w:rPr>
        <w:t>S</w:t>
      </w:r>
      <w:r w:rsidRPr="00C302C7">
        <w:rPr>
          <w:rFonts w:asciiTheme="majorBidi" w:hAnsiTheme="majorBidi" w:cstheme="majorBidi"/>
          <w:sz w:val="24"/>
          <w:szCs w:val="24"/>
          <w:lang w:val="en-US"/>
        </w:rPr>
        <w:t>olving the problem of quality optimization</w:t>
      </w:r>
      <w:r w:rsidR="007E31BD">
        <w:rPr>
          <w:rFonts w:asciiTheme="majorBidi" w:hAnsiTheme="majorBidi" w:cstheme="majorBidi"/>
          <w:sz w:val="24"/>
          <w:szCs w:val="24"/>
          <w:lang w:val="en-US"/>
        </w:rPr>
        <w:t>,</w:t>
      </w:r>
      <w:r w:rsidRPr="00C302C7">
        <w:rPr>
          <w:rFonts w:asciiTheme="majorBidi" w:hAnsiTheme="majorBidi" w:cstheme="majorBidi"/>
          <w:sz w:val="24"/>
          <w:szCs w:val="24"/>
          <w:lang w:val="en-US"/>
        </w:rPr>
        <w:t xml:space="preserve"> taking into account the initial information on the project</w:t>
      </w:r>
      <w:r w:rsidR="003A1750">
        <w:rPr>
          <w:rFonts w:asciiTheme="majorBidi" w:hAnsiTheme="majorBidi" w:cstheme="majorBidi"/>
          <w:sz w:val="24"/>
          <w:szCs w:val="24"/>
          <w:lang w:val="en-US"/>
        </w:rPr>
        <w:t>.</w:t>
      </w:r>
    </w:p>
    <w:p w14:paraId="5082F48C" w14:textId="77777777" w:rsidR="00DB6A2F" w:rsidRPr="00C302C7" w:rsidRDefault="00DB6A2F" w:rsidP="007039D3">
      <w:pPr>
        <w:pStyle w:val="ListParagraph"/>
        <w:numPr>
          <w:ilvl w:val="0"/>
          <w:numId w:val="37"/>
        </w:numPr>
        <w:suppressAutoHyphens/>
        <w:autoSpaceDN/>
        <w:spacing w:line="360" w:lineRule="auto"/>
        <w:ind w:left="567" w:hanging="357"/>
        <w:contextualSpacing/>
        <w:jc w:val="both"/>
        <w:textAlignment w:val="auto"/>
        <w:rPr>
          <w:rFonts w:asciiTheme="majorBidi" w:hAnsiTheme="majorBidi" w:cstheme="majorBidi"/>
          <w:sz w:val="24"/>
          <w:szCs w:val="24"/>
          <w:lang w:val="en-US"/>
        </w:rPr>
      </w:pPr>
      <w:r>
        <w:rPr>
          <w:rFonts w:asciiTheme="majorBidi" w:hAnsiTheme="majorBidi" w:cstheme="majorBidi"/>
          <w:sz w:val="24"/>
          <w:szCs w:val="24"/>
          <w:lang w:val="en-US"/>
        </w:rPr>
        <w:t>M</w:t>
      </w:r>
      <w:r w:rsidRPr="00C302C7">
        <w:rPr>
          <w:rFonts w:asciiTheme="majorBidi" w:hAnsiTheme="majorBidi" w:cstheme="majorBidi"/>
          <w:sz w:val="24"/>
          <w:szCs w:val="24"/>
          <w:lang w:val="en-US"/>
        </w:rPr>
        <w:t>onitoring of project parameters so that they do not go beyond established limits.</w:t>
      </w:r>
    </w:p>
    <w:p w14:paraId="4AEC8EF4" w14:textId="77777777" w:rsidR="00DB6A2F" w:rsidRDefault="00DB6A2F" w:rsidP="007039D3">
      <w:pPr>
        <w:suppressAutoHyphens/>
        <w:spacing w:line="360" w:lineRule="auto"/>
        <w:ind w:firstLine="567"/>
        <w:jc w:val="both"/>
        <w:rPr>
          <w:rFonts w:asciiTheme="majorBidi" w:hAnsiTheme="majorBidi" w:cstheme="majorBidi"/>
          <w:sz w:val="24"/>
          <w:szCs w:val="24"/>
          <w:lang w:val="en-US"/>
        </w:rPr>
      </w:pPr>
      <w:r w:rsidRPr="003D37CD">
        <w:rPr>
          <w:rFonts w:asciiTheme="majorBidi" w:hAnsiTheme="majorBidi" w:cstheme="majorBidi"/>
          <w:sz w:val="24"/>
          <w:szCs w:val="24"/>
          <w:lang w:val="en-US"/>
        </w:rPr>
        <w:t>In this regard, the multi-criteria formulation of the problem of evaluating the quality of an investment project deserves consideration.</w:t>
      </w:r>
      <w:r>
        <w:rPr>
          <w:rFonts w:asciiTheme="majorBidi" w:hAnsiTheme="majorBidi" w:cstheme="majorBidi"/>
          <w:sz w:val="24"/>
          <w:szCs w:val="24"/>
          <w:lang w:val="en-US"/>
        </w:rPr>
        <w:t xml:space="preserve"> </w:t>
      </w:r>
      <w:r w:rsidRPr="003D37CD">
        <w:rPr>
          <w:rFonts w:asciiTheme="majorBidi" w:hAnsiTheme="majorBidi" w:cstheme="majorBidi"/>
          <w:sz w:val="24"/>
          <w:szCs w:val="24"/>
          <w:lang w:val="en-US"/>
        </w:rPr>
        <w:t>However, it is obvious that from a mathematical point of view, the solution of problem (</w:t>
      </w:r>
      <w:r>
        <w:rPr>
          <w:rFonts w:asciiTheme="majorBidi" w:hAnsiTheme="majorBidi" w:cstheme="majorBidi"/>
          <w:sz w:val="24"/>
          <w:szCs w:val="24"/>
          <w:lang w:val="en-US"/>
        </w:rPr>
        <w:t>5</w:t>
      </w:r>
      <w:r w:rsidRPr="003D37CD">
        <w:rPr>
          <w:rFonts w:asciiTheme="majorBidi" w:hAnsiTheme="majorBidi" w:cstheme="majorBidi"/>
          <w:sz w:val="24"/>
          <w:szCs w:val="24"/>
          <w:lang w:val="en-US"/>
        </w:rPr>
        <w:t>), even at the conceptual level, is a separate serious problem of measuring the value of different blocks.</w:t>
      </w:r>
      <w:r>
        <w:rPr>
          <w:rFonts w:asciiTheme="majorBidi" w:hAnsiTheme="majorBidi" w:cstheme="majorBidi"/>
          <w:sz w:val="24"/>
          <w:szCs w:val="24"/>
          <w:lang w:val="en-US"/>
        </w:rPr>
        <w:t xml:space="preserve"> </w:t>
      </w:r>
    </w:p>
    <w:p w14:paraId="7034F649" w14:textId="48E13B4D" w:rsidR="00DB6A2F" w:rsidRDefault="000136C6" w:rsidP="007039D3">
      <w:pPr>
        <w:suppressAutoHyphens/>
        <w:spacing w:line="360" w:lineRule="auto"/>
        <w:ind w:firstLine="567"/>
        <w:jc w:val="both"/>
        <w:rPr>
          <w:rFonts w:asciiTheme="majorBidi" w:hAnsiTheme="majorBidi" w:cstheme="majorBidi"/>
          <w:sz w:val="24"/>
          <w:szCs w:val="24"/>
          <w:lang w:val="en-US"/>
        </w:rPr>
      </w:pPr>
      <w:r w:rsidRPr="000136C6">
        <w:rPr>
          <w:rFonts w:asciiTheme="majorBidi" w:hAnsiTheme="majorBidi" w:cstheme="majorBidi"/>
          <w:sz w:val="24"/>
          <w:szCs w:val="24"/>
          <w:lang w:val="en-US"/>
        </w:rPr>
        <w:t>Such an assessment of the quality of the investment project is comprehensive. It allows you to optimize the values of the project parameters and optimize the risks associated with the implementation of the project, as well as choose the most attractive general contractor</w:t>
      </w:r>
      <w:r w:rsidR="00DB6A2F" w:rsidRPr="0065041A">
        <w:rPr>
          <w:rFonts w:asciiTheme="majorBidi" w:hAnsiTheme="majorBidi" w:cstheme="majorBidi"/>
          <w:sz w:val="24"/>
          <w:szCs w:val="24"/>
          <w:lang w:val="en-US"/>
        </w:rPr>
        <w:t>.</w:t>
      </w:r>
      <w:r w:rsidR="00DB6A2F" w:rsidRPr="00C36608">
        <w:rPr>
          <w:rFonts w:asciiTheme="majorBidi" w:hAnsiTheme="majorBidi" w:cstheme="majorBidi"/>
          <w:sz w:val="24"/>
          <w:szCs w:val="24"/>
          <w:highlight w:val="yellow"/>
          <w:lang w:val="en-US"/>
        </w:rPr>
        <w:t xml:space="preserve"> </w:t>
      </w:r>
    </w:p>
    <w:p w14:paraId="718DDC6F" w14:textId="54E134B7" w:rsidR="005453D2" w:rsidRPr="004F2D38" w:rsidRDefault="004F2D38" w:rsidP="00864289">
      <w:pPr>
        <w:autoSpaceDE w:val="0"/>
        <w:spacing w:line="360" w:lineRule="auto"/>
        <w:jc w:val="center"/>
        <w:rPr>
          <w:rFonts w:asciiTheme="majorBidi" w:hAnsiTheme="majorBidi" w:cstheme="majorBidi"/>
          <w:b/>
          <w:bCs/>
          <w:sz w:val="28"/>
          <w:szCs w:val="28"/>
        </w:rPr>
      </w:pPr>
      <w:r w:rsidRPr="004F2D38">
        <w:rPr>
          <w:rFonts w:asciiTheme="majorBidi" w:hAnsiTheme="majorBidi" w:cstheme="majorBidi"/>
          <w:sz w:val="28"/>
          <w:szCs w:val="28"/>
        </w:rPr>
        <w:lastRenderedPageBreak/>
        <w:t>CONCLUSION</w:t>
      </w:r>
    </w:p>
    <w:p w14:paraId="283034C6" w14:textId="384355F1" w:rsidR="00864289" w:rsidRDefault="004C1F17" w:rsidP="007039D3">
      <w:pPr>
        <w:suppressAutoHyphens/>
        <w:autoSpaceDE w:val="0"/>
        <w:adjustRightInd w:val="0"/>
        <w:spacing w:before="240" w:line="360" w:lineRule="auto"/>
        <w:ind w:firstLine="567"/>
        <w:jc w:val="both"/>
        <w:rPr>
          <w:rFonts w:asciiTheme="majorBidi" w:hAnsiTheme="majorBidi" w:cstheme="majorBidi"/>
          <w:sz w:val="24"/>
          <w:szCs w:val="24"/>
          <w:lang w:bidi="ar-SY"/>
        </w:rPr>
      </w:pPr>
      <w:r w:rsidRPr="004C1F17">
        <w:rPr>
          <w:rFonts w:asciiTheme="majorBidi" w:hAnsiTheme="majorBidi" w:cstheme="majorBidi"/>
          <w:sz w:val="24"/>
          <w:szCs w:val="24"/>
          <w:lang w:bidi="ar-SY"/>
        </w:rPr>
        <w:t>This thesis has presented the concept of project finance as</w:t>
      </w:r>
      <w:r w:rsidR="005A45A2">
        <w:rPr>
          <w:rFonts w:asciiTheme="majorBidi" w:hAnsiTheme="majorBidi" w:cstheme="majorBidi"/>
          <w:sz w:val="24"/>
          <w:szCs w:val="24"/>
          <w:lang w:bidi="ar-SY"/>
        </w:rPr>
        <w:t xml:space="preserve"> </w:t>
      </w:r>
      <w:r w:rsidR="005A45A2" w:rsidRPr="005A45A2">
        <w:rPr>
          <w:rFonts w:asciiTheme="majorBidi" w:hAnsiTheme="majorBidi" w:cstheme="majorBidi"/>
          <w:sz w:val="24"/>
          <w:szCs w:val="24"/>
          <w:lang w:bidi="ar-SY"/>
        </w:rPr>
        <w:t>one of the methods of financing a project</w:t>
      </w:r>
      <w:r w:rsidR="005A45A2">
        <w:rPr>
          <w:rFonts w:asciiTheme="majorBidi" w:hAnsiTheme="majorBidi" w:cstheme="majorBidi"/>
          <w:sz w:val="24"/>
          <w:szCs w:val="24"/>
          <w:lang w:bidi="ar-SY"/>
        </w:rPr>
        <w:t xml:space="preserve">, </w:t>
      </w:r>
      <w:r w:rsidRPr="004C1F17">
        <w:rPr>
          <w:rFonts w:asciiTheme="majorBidi" w:hAnsiTheme="majorBidi" w:cstheme="majorBidi"/>
          <w:sz w:val="24"/>
          <w:szCs w:val="24"/>
          <w:lang w:bidi="ar-SY"/>
        </w:rPr>
        <w:t>a financing mechanism that aims to get the project off the sponsor's balance sheet; thus, the funding required will be repaid from the revenues of the project only</w:t>
      </w:r>
      <w:r w:rsidR="00DA6AC5">
        <w:rPr>
          <w:rFonts w:asciiTheme="majorBidi" w:hAnsiTheme="majorBidi" w:cstheme="majorBidi"/>
          <w:sz w:val="24"/>
          <w:szCs w:val="24"/>
          <w:lang w:bidi="ar-SY"/>
        </w:rPr>
        <w:t>.</w:t>
      </w:r>
    </w:p>
    <w:p w14:paraId="643364BC" w14:textId="497526D7" w:rsidR="0080717E" w:rsidRDefault="0080717E" w:rsidP="007039D3">
      <w:pPr>
        <w:suppressAutoHyphens/>
        <w:autoSpaceDE w:val="0"/>
        <w:adjustRightInd w:val="0"/>
        <w:spacing w:before="240" w:line="360" w:lineRule="auto"/>
        <w:ind w:firstLine="567"/>
        <w:jc w:val="both"/>
        <w:rPr>
          <w:rFonts w:asciiTheme="majorBidi" w:hAnsiTheme="majorBidi" w:cstheme="majorBidi"/>
          <w:sz w:val="24"/>
          <w:szCs w:val="24"/>
          <w:lang w:bidi="ar-SY"/>
        </w:rPr>
      </w:pPr>
      <w:r w:rsidRPr="0080717E">
        <w:rPr>
          <w:rFonts w:asciiTheme="majorBidi" w:hAnsiTheme="majorBidi" w:cstheme="majorBidi"/>
          <w:sz w:val="24"/>
          <w:szCs w:val="24"/>
          <w:lang w:bidi="ar-SY"/>
        </w:rPr>
        <w:t>Financing structure must be designed to achieve a successful financing project, that structure should be embodied in a set of contracts which will enable each of the parties to gain from the arrangement. There is a wide range of funding sources for P</w:t>
      </w:r>
      <w:r w:rsidR="005A45A2">
        <w:rPr>
          <w:rFonts w:asciiTheme="majorBidi" w:hAnsiTheme="majorBidi" w:cstheme="majorBidi"/>
          <w:sz w:val="24"/>
          <w:szCs w:val="24"/>
          <w:lang w:bidi="ar-SY"/>
        </w:rPr>
        <w:t>roject finance</w:t>
      </w:r>
      <w:r w:rsidRPr="0080717E">
        <w:rPr>
          <w:rFonts w:asciiTheme="majorBidi" w:hAnsiTheme="majorBidi" w:cstheme="majorBidi"/>
          <w:sz w:val="24"/>
          <w:szCs w:val="24"/>
          <w:lang w:bidi="ar-SY"/>
        </w:rPr>
        <w:t xml:space="preserve"> in both public and private markets available to a project.</w:t>
      </w:r>
    </w:p>
    <w:p w14:paraId="4991B00F" w14:textId="5007D6A2" w:rsidR="005A45A2" w:rsidRPr="00713C30" w:rsidRDefault="0080717E" w:rsidP="005A45A2">
      <w:pPr>
        <w:suppressAutoHyphens/>
        <w:autoSpaceDE w:val="0"/>
        <w:adjustRightInd w:val="0"/>
        <w:spacing w:before="240" w:line="360" w:lineRule="auto"/>
        <w:ind w:firstLine="567"/>
        <w:jc w:val="both"/>
        <w:rPr>
          <w:rFonts w:asciiTheme="majorBidi" w:hAnsiTheme="majorBidi" w:cstheme="majorBidi"/>
          <w:sz w:val="24"/>
          <w:szCs w:val="24"/>
          <w:lang w:bidi="ar-SY"/>
        </w:rPr>
      </w:pPr>
      <w:r w:rsidRPr="0080717E">
        <w:rPr>
          <w:rFonts w:asciiTheme="majorBidi" w:hAnsiTheme="majorBidi" w:cstheme="majorBidi"/>
          <w:sz w:val="24"/>
          <w:szCs w:val="24"/>
          <w:lang w:bidi="ar-SY"/>
        </w:rPr>
        <w:t>Project finance differs from other financial structures in several aspects, it is more efficient in allocating the risk and the revenue compared; it is also accompanied by higher transaction costs than conventional financing. Project finance as a financing model is appropriate for large projects like infrastructure projects, as it is possible to earn enough returns to cover necessary expenses and the higher transaction costs in this mechanism compared to conventional financing.</w:t>
      </w:r>
      <w:r w:rsidR="005A45A2">
        <w:rPr>
          <w:rFonts w:asciiTheme="majorBidi" w:hAnsiTheme="majorBidi" w:cstheme="majorBidi"/>
          <w:sz w:val="24"/>
          <w:szCs w:val="24"/>
          <w:lang w:bidi="ar-SY"/>
        </w:rPr>
        <w:t xml:space="preserve"> </w:t>
      </w:r>
      <w:r w:rsidR="005A45A2" w:rsidRPr="005A45A2">
        <w:rPr>
          <w:rFonts w:asciiTheme="majorBidi" w:hAnsiTheme="majorBidi" w:cstheme="majorBidi"/>
          <w:sz w:val="24"/>
          <w:szCs w:val="24"/>
          <w:lang w:bidi="ar-SY"/>
        </w:rPr>
        <w:t>Project financ</w:t>
      </w:r>
      <w:r w:rsidR="00BC10BA">
        <w:rPr>
          <w:rFonts w:asciiTheme="majorBidi" w:hAnsiTheme="majorBidi" w:cstheme="majorBidi"/>
          <w:sz w:val="24"/>
          <w:szCs w:val="24"/>
          <w:lang w:bidi="ar-SY"/>
        </w:rPr>
        <w:t>e</w:t>
      </w:r>
      <w:r w:rsidR="005A45A2" w:rsidRPr="005A45A2">
        <w:rPr>
          <w:rFonts w:asciiTheme="majorBidi" w:hAnsiTheme="majorBidi" w:cstheme="majorBidi"/>
          <w:sz w:val="24"/>
          <w:szCs w:val="24"/>
          <w:lang w:bidi="ar-SY"/>
        </w:rPr>
        <w:t xml:space="preserve"> </w:t>
      </w:r>
      <w:r w:rsidR="00D95F25">
        <w:rPr>
          <w:rFonts w:asciiTheme="majorBidi" w:hAnsiTheme="majorBidi" w:cstheme="majorBidi"/>
          <w:sz w:val="24"/>
          <w:szCs w:val="24"/>
          <w:lang w:bidi="ar-SY"/>
        </w:rPr>
        <w:t>advantages</w:t>
      </w:r>
      <w:r w:rsidR="00D95F25" w:rsidRPr="005A45A2">
        <w:rPr>
          <w:rFonts w:asciiTheme="majorBidi" w:hAnsiTheme="majorBidi" w:cstheme="majorBidi"/>
          <w:sz w:val="24"/>
          <w:szCs w:val="24"/>
          <w:lang w:bidi="ar-SY"/>
        </w:rPr>
        <w:t xml:space="preserve"> and disadvantages </w:t>
      </w:r>
      <w:r w:rsidR="00BC10BA">
        <w:rPr>
          <w:rFonts w:asciiTheme="majorBidi" w:hAnsiTheme="majorBidi" w:cstheme="majorBidi"/>
          <w:sz w:val="24"/>
          <w:szCs w:val="24"/>
          <w:lang w:bidi="ar-SY"/>
        </w:rPr>
        <w:t>are</w:t>
      </w:r>
      <w:r w:rsidR="00D95F25">
        <w:rPr>
          <w:rFonts w:asciiTheme="majorBidi" w:hAnsiTheme="majorBidi" w:cstheme="majorBidi"/>
          <w:sz w:val="24"/>
          <w:szCs w:val="24"/>
          <w:lang w:bidi="ar-SY"/>
        </w:rPr>
        <w:t xml:space="preserve"> discussed</w:t>
      </w:r>
      <w:r w:rsidR="00BC10BA">
        <w:rPr>
          <w:rFonts w:asciiTheme="majorBidi" w:hAnsiTheme="majorBidi" w:cstheme="majorBidi"/>
          <w:sz w:val="24"/>
          <w:szCs w:val="24"/>
          <w:lang w:bidi="ar-SY"/>
        </w:rPr>
        <w:t xml:space="preserve"> in depth in Chapter 1</w:t>
      </w:r>
      <w:r w:rsidR="00D95F25">
        <w:rPr>
          <w:rFonts w:asciiTheme="majorBidi" w:hAnsiTheme="majorBidi" w:cstheme="majorBidi"/>
          <w:sz w:val="24"/>
          <w:szCs w:val="24"/>
          <w:lang w:bidi="ar-SY"/>
        </w:rPr>
        <w:t>.</w:t>
      </w:r>
    </w:p>
    <w:p w14:paraId="1EC0DADA" w14:textId="715E8F65" w:rsidR="005A45A2" w:rsidRDefault="00864289" w:rsidP="00350D62">
      <w:pPr>
        <w:suppressAutoHyphens/>
        <w:autoSpaceDE w:val="0"/>
        <w:adjustRightInd w:val="0"/>
        <w:spacing w:line="360" w:lineRule="auto"/>
        <w:ind w:firstLine="567"/>
        <w:jc w:val="both"/>
        <w:rPr>
          <w:rFonts w:asciiTheme="majorBidi" w:hAnsiTheme="majorBidi" w:cstheme="majorBidi"/>
          <w:sz w:val="24"/>
          <w:szCs w:val="24"/>
          <w:lang w:bidi="ar-SY"/>
        </w:rPr>
      </w:pPr>
      <w:r w:rsidRPr="00713C30">
        <w:rPr>
          <w:rFonts w:asciiTheme="majorBidi" w:hAnsiTheme="majorBidi" w:cstheme="majorBidi"/>
          <w:sz w:val="24"/>
          <w:szCs w:val="24"/>
          <w:lang w:bidi="ar-SY"/>
        </w:rPr>
        <w:t xml:space="preserve">Based on the </w:t>
      </w:r>
      <w:r w:rsidR="00842B12">
        <w:rPr>
          <w:rFonts w:asciiTheme="majorBidi" w:hAnsiTheme="majorBidi" w:cstheme="majorBidi"/>
          <w:sz w:val="24"/>
          <w:szCs w:val="24"/>
          <w:lang w:bidi="ar-SY"/>
        </w:rPr>
        <w:t>findings</w:t>
      </w:r>
      <w:r w:rsidRPr="00713C30">
        <w:rPr>
          <w:rFonts w:asciiTheme="majorBidi" w:hAnsiTheme="majorBidi" w:cstheme="majorBidi"/>
          <w:sz w:val="24"/>
          <w:szCs w:val="24"/>
          <w:lang w:bidi="ar-SY"/>
        </w:rPr>
        <w:t xml:space="preserve"> of the study, the world market reflects wide variations in the field of project financing. The thesis sheds light on the Arabic experience in the project finance market. </w:t>
      </w:r>
      <w:r w:rsidR="00B83172" w:rsidRPr="00B83172">
        <w:rPr>
          <w:rFonts w:asciiTheme="majorBidi" w:hAnsiTheme="majorBidi" w:cstheme="majorBidi"/>
          <w:sz w:val="24"/>
          <w:szCs w:val="24"/>
          <w:lang w:bidi="ar-SY"/>
        </w:rPr>
        <w:t>This mechanism has been used in 18 Arab countries. The member states of the Gulf Cooperation Council (GCC), given its extensive energy resources, actively engaged in project finance transactions, enhancing their role in the global economy</w:t>
      </w:r>
      <w:r w:rsidRPr="00713C30">
        <w:rPr>
          <w:rFonts w:asciiTheme="majorBidi" w:hAnsiTheme="majorBidi" w:cstheme="majorBidi"/>
          <w:sz w:val="24"/>
          <w:szCs w:val="24"/>
          <w:lang w:bidi="ar-SY"/>
        </w:rPr>
        <w:t>. The transactions have primarily been used in three areas: energy and water supply, petrochemicals, and the oil and gas industry, with a growing tendency to use Islamic project finance structure.</w:t>
      </w:r>
      <w:r w:rsidR="00350D62">
        <w:rPr>
          <w:rFonts w:asciiTheme="majorBidi" w:hAnsiTheme="majorBidi" w:cstheme="majorBidi"/>
          <w:sz w:val="24"/>
          <w:szCs w:val="24"/>
          <w:lang w:bidi="ar-SY"/>
        </w:rPr>
        <w:t xml:space="preserve"> </w:t>
      </w:r>
      <w:r w:rsidR="005A45A2" w:rsidRPr="005A45A2">
        <w:rPr>
          <w:rFonts w:asciiTheme="majorBidi" w:hAnsiTheme="majorBidi" w:cstheme="majorBidi"/>
          <w:sz w:val="24"/>
          <w:szCs w:val="24"/>
          <w:lang w:bidi="ar-SY"/>
        </w:rPr>
        <w:t xml:space="preserve">Some </w:t>
      </w:r>
      <w:r w:rsidR="005A45A2">
        <w:rPr>
          <w:rFonts w:asciiTheme="majorBidi" w:hAnsiTheme="majorBidi" w:cstheme="majorBidi"/>
          <w:sz w:val="24"/>
          <w:szCs w:val="24"/>
          <w:lang w:bidi="ar-SY"/>
        </w:rPr>
        <w:t>projects</w:t>
      </w:r>
      <w:r w:rsidR="005A45A2" w:rsidRPr="005A45A2">
        <w:rPr>
          <w:rFonts w:asciiTheme="majorBidi" w:hAnsiTheme="majorBidi" w:cstheme="majorBidi"/>
          <w:sz w:val="24"/>
          <w:szCs w:val="24"/>
          <w:lang w:bidi="ar-SY"/>
        </w:rPr>
        <w:t xml:space="preserve"> </w:t>
      </w:r>
      <w:r w:rsidR="005A45A2">
        <w:rPr>
          <w:rFonts w:asciiTheme="majorBidi" w:hAnsiTheme="majorBidi" w:cstheme="majorBidi"/>
          <w:sz w:val="24"/>
          <w:szCs w:val="24"/>
          <w:lang w:bidi="ar-SY"/>
        </w:rPr>
        <w:t>that demonstrate the application of</w:t>
      </w:r>
      <w:r w:rsidR="005A45A2" w:rsidRPr="005A45A2">
        <w:rPr>
          <w:rFonts w:asciiTheme="majorBidi" w:hAnsiTheme="majorBidi" w:cstheme="majorBidi"/>
          <w:sz w:val="24"/>
          <w:szCs w:val="24"/>
          <w:lang w:bidi="ar-SY"/>
        </w:rPr>
        <w:t xml:space="preserve"> </w:t>
      </w:r>
      <w:r w:rsidR="005A45A2">
        <w:rPr>
          <w:rFonts w:asciiTheme="majorBidi" w:hAnsiTheme="majorBidi" w:cstheme="majorBidi"/>
          <w:sz w:val="24"/>
          <w:szCs w:val="24"/>
          <w:lang w:bidi="ar-SY"/>
        </w:rPr>
        <w:t>project finance technique</w:t>
      </w:r>
      <w:r w:rsidR="005A45A2" w:rsidRPr="005A45A2">
        <w:rPr>
          <w:rFonts w:asciiTheme="majorBidi" w:hAnsiTheme="majorBidi" w:cstheme="majorBidi"/>
          <w:sz w:val="24"/>
          <w:szCs w:val="24"/>
          <w:lang w:bidi="ar-SY"/>
        </w:rPr>
        <w:t xml:space="preserve"> in different sectors</w:t>
      </w:r>
      <w:r w:rsidR="005A45A2">
        <w:rPr>
          <w:rFonts w:asciiTheme="majorBidi" w:hAnsiTheme="majorBidi" w:cstheme="majorBidi"/>
          <w:sz w:val="24"/>
          <w:szCs w:val="24"/>
          <w:lang w:bidi="ar-SY"/>
        </w:rPr>
        <w:t xml:space="preserve"> in the GCC countries</w:t>
      </w:r>
      <w:r w:rsidR="005A45A2" w:rsidRPr="005A45A2">
        <w:rPr>
          <w:rFonts w:asciiTheme="majorBidi" w:hAnsiTheme="majorBidi" w:cstheme="majorBidi"/>
          <w:sz w:val="24"/>
          <w:szCs w:val="24"/>
          <w:lang w:bidi="ar-SY"/>
        </w:rPr>
        <w:t xml:space="preserve"> were analysed</w:t>
      </w:r>
      <w:r w:rsidR="005A45A2">
        <w:rPr>
          <w:rFonts w:asciiTheme="majorBidi" w:hAnsiTheme="majorBidi" w:cstheme="majorBidi"/>
          <w:sz w:val="24"/>
          <w:szCs w:val="24"/>
          <w:lang w:bidi="ar-SY"/>
        </w:rPr>
        <w:t xml:space="preserve">. These cases highlight some of the principles of Islamic project finance. </w:t>
      </w:r>
    </w:p>
    <w:p w14:paraId="1E949D9D" w14:textId="63DBBDAE" w:rsidR="00E1443E" w:rsidRDefault="00E1443E" w:rsidP="007039D3">
      <w:pPr>
        <w:suppressAutoHyphens/>
        <w:autoSpaceDE w:val="0"/>
        <w:adjustRightInd w:val="0"/>
        <w:spacing w:line="360" w:lineRule="auto"/>
        <w:ind w:firstLine="567"/>
        <w:jc w:val="both"/>
        <w:rPr>
          <w:rFonts w:asciiTheme="majorBidi" w:hAnsiTheme="majorBidi" w:cstheme="majorBidi"/>
          <w:sz w:val="24"/>
          <w:szCs w:val="24"/>
          <w:rtl/>
          <w:lang w:bidi="ar-SY"/>
        </w:rPr>
      </w:pPr>
      <w:r w:rsidRPr="00E1443E">
        <w:rPr>
          <w:rFonts w:asciiTheme="majorBidi" w:hAnsiTheme="majorBidi" w:cstheme="majorBidi"/>
          <w:sz w:val="24"/>
          <w:szCs w:val="24"/>
          <w:lang w:bidi="ar-SY"/>
        </w:rPr>
        <w:t xml:space="preserve">Given the violence suffered by Syria and the destruction that afflicted the various economic and service sectors, </w:t>
      </w:r>
      <w:r w:rsidR="005A45A2" w:rsidRPr="00E1443E">
        <w:rPr>
          <w:rFonts w:asciiTheme="majorBidi" w:hAnsiTheme="majorBidi" w:cstheme="majorBidi"/>
          <w:sz w:val="24"/>
          <w:szCs w:val="24"/>
          <w:lang w:bidi="ar-SY"/>
        </w:rPr>
        <w:t>there</w:t>
      </w:r>
      <w:r w:rsidRPr="00E1443E">
        <w:rPr>
          <w:rFonts w:asciiTheme="majorBidi" w:hAnsiTheme="majorBidi" w:cstheme="majorBidi"/>
          <w:sz w:val="24"/>
          <w:szCs w:val="24"/>
          <w:lang w:bidi="ar-SY"/>
        </w:rPr>
        <w:t xml:space="preserve"> is an urgent need to rebuild what was destroyed to stimulate the Syrian economy.</w:t>
      </w:r>
    </w:p>
    <w:p w14:paraId="37D7106A" w14:textId="1B5A2718" w:rsidR="00864289" w:rsidRDefault="00864289" w:rsidP="007039D3">
      <w:pPr>
        <w:suppressAutoHyphens/>
        <w:autoSpaceDE w:val="0"/>
        <w:adjustRightInd w:val="0"/>
        <w:spacing w:line="360" w:lineRule="auto"/>
        <w:ind w:firstLine="567"/>
        <w:jc w:val="both"/>
        <w:rPr>
          <w:rFonts w:asciiTheme="majorBidi" w:hAnsiTheme="majorBidi" w:cstheme="majorBidi"/>
          <w:sz w:val="24"/>
          <w:szCs w:val="24"/>
          <w:lang w:bidi="ar-SY"/>
        </w:rPr>
      </w:pPr>
      <w:r w:rsidRPr="007C2D36">
        <w:rPr>
          <w:rFonts w:asciiTheme="majorBidi" w:hAnsiTheme="majorBidi" w:cstheme="majorBidi"/>
          <w:sz w:val="24"/>
          <w:szCs w:val="24"/>
          <w:lang w:bidi="ar-SY"/>
        </w:rPr>
        <w:t xml:space="preserve">The scale of the damage and losses suffered by the Syrian economy during the war years was reviewed, </w:t>
      </w:r>
      <w:r w:rsidR="00BE4734" w:rsidRPr="00BE4734">
        <w:rPr>
          <w:rFonts w:asciiTheme="majorBidi" w:hAnsiTheme="majorBidi" w:cstheme="majorBidi"/>
          <w:sz w:val="24"/>
          <w:szCs w:val="24"/>
          <w:lang w:bidi="ar-SY"/>
        </w:rPr>
        <w:t xml:space="preserve">ranging </w:t>
      </w:r>
      <w:r w:rsidRPr="007C2D36">
        <w:rPr>
          <w:rFonts w:asciiTheme="majorBidi" w:hAnsiTheme="majorBidi" w:cstheme="majorBidi"/>
          <w:sz w:val="24"/>
          <w:szCs w:val="24"/>
          <w:lang w:bidi="ar-SY"/>
        </w:rPr>
        <w:t xml:space="preserve">between 200-388 billion dollars. </w:t>
      </w:r>
      <w:r w:rsidR="00BE4734" w:rsidRPr="00BE4734">
        <w:rPr>
          <w:rFonts w:asciiTheme="majorBidi" w:hAnsiTheme="majorBidi" w:cstheme="majorBidi"/>
          <w:sz w:val="24"/>
          <w:szCs w:val="24"/>
          <w:lang w:bidi="ar-SY"/>
        </w:rPr>
        <w:t>According to the researcher's estimates, the largest part of the losses was for the gross domestic product, as these accumulated annual losses amounted to $131.25 bn at the end of 2017</w:t>
      </w:r>
      <w:r w:rsidRPr="007C2D36">
        <w:rPr>
          <w:rFonts w:asciiTheme="majorBidi" w:hAnsiTheme="majorBidi" w:cstheme="majorBidi"/>
          <w:sz w:val="24"/>
          <w:szCs w:val="24"/>
          <w:lang w:bidi="ar-SY"/>
        </w:rPr>
        <w:t>.</w:t>
      </w:r>
      <w:r>
        <w:rPr>
          <w:rFonts w:asciiTheme="majorBidi" w:hAnsiTheme="majorBidi" w:cstheme="majorBidi"/>
          <w:sz w:val="24"/>
          <w:szCs w:val="24"/>
          <w:lang w:bidi="ar-SY"/>
        </w:rPr>
        <w:t xml:space="preserve"> </w:t>
      </w:r>
      <w:r w:rsidR="001108C5" w:rsidRPr="001108C5">
        <w:rPr>
          <w:rFonts w:asciiTheme="majorBidi" w:hAnsiTheme="majorBidi" w:cstheme="majorBidi"/>
          <w:sz w:val="24"/>
          <w:szCs w:val="24"/>
          <w:lang w:bidi="ar-SY"/>
        </w:rPr>
        <w:t>Thus, the need to search for funding sources is evident during the reconstruction phase, to compensate for infrastructure damage, halt the decline in the gross domestic product, and achieve positive growth rates</w:t>
      </w:r>
      <w:r w:rsidRPr="007C2D36">
        <w:rPr>
          <w:rFonts w:asciiTheme="majorBidi" w:hAnsiTheme="majorBidi" w:cstheme="majorBidi"/>
          <w:sz w:val="24"/>
          <w:szCs w:val="24"/>
          <w:lang w:bidi="ar-SY"/>
        </w:rPr>
        <w:t>.</w:t>
      </w:r>
    </w:p>
    <w:p w14:paraId="509D829B" w14:textId="42ACC17E" w:rsidR="00864289" w:rsidRDefault="001108C5" w:rsidP="007039D3">
      <w:pPr>
        <w:suppressAutoHyphens/>
        <w:autoSpaceDE w:val="0"/>
        <w:adjustRightInd w:val="0"/>
        <w:spacing w:line="360" w:lineRule="auto"/>
        <w:ind w:firstLine="567"/>
        <w:jc w:val="both"/>
        <w:rPr>
          <w:rFonts w:asciiTheme="majorBidi" w:hAnsiTheme="majorBidi" w:cstheme="majorBidi"/>
          <w:sz w:val="24"/>
          <w:szCs w:val="24"/>
          <w:lang w:bidi="ar-SY"/>
        </w:rPr>
      </w:pPr>
      <w:r w:rsidRPr="001108C5">
        <w:rPr>
          <w:rFonts w:asciiTheme="majorBidi" w:hAnsiTheme="majorBidi" w:cstheme="majorBidi"/>
          <w:sz w:val="24"/>
          <w:szCs w:val="24"/>
          <w:lang w:bidi="ar-SY"/>
        </w:rPr>
        <w:lastRenderedPageBreak/>
        <w:t>The Syrian economy's potential to contribute to the reconstruction financing was analysed from the available sources, and it was found that</w:t>
      </w:r>
      <w:r w:rsidR="00864289" w:rsidRPr="007C2D36">
        <w:rPr>
          <w:rFonts w:asciiTheme="majorBidi" w:hAnsiTheme="majorBidi" w:cstheme="majorBidi"/>
          <w:sz w:val="24"/>
          <w:szCs w:val="24"/>
          <w:lang w:bidi="ar-SY"/>
        </w:rPr>
        <w:t>:</w:t>
      </w:r>
    </w:p>
    <w:p w14:paraId="45A854D1" w14:textId="77777777" w:rsidR="00864289" w:rsidRDefault="00864289" w:rsidP="007039D3">
      <w:pPr>
        <w:pStyle w:val="ListParagraph"/>
        <w:numPr>
          <w:ilvl w:val="0"/>
          <w:numId w:val="35"/>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bidi="ar-SY"/>
        </w:rPr>
      </w:pPr>
      <w:r w:rsidRPr="007C2D36">
        <w:rPr>
          <w:rFonts w:asciiTheme="majorBidi" w:hAnsiTheme="majorBidi" w:cstheme="majorBidi"/>
          <w:sz w:val="24"/>
          <w:szCs w:val="24"/>
          <w:lang w:bidi="ar-SY"/>
        </w:rPr>
        <w:t xml:space="preserve">Public revenues declined from $8 </w:t>
      </w:r>
      <w:r>
        <w:rPr>
          <w:rFonts w:asciiTheme="majorBidi" w:hAnsiTheme="majorBidi" w:cstheme="majorBidi"/>
          <w:sz w:val="24"/>
          <w:szCs w:val="24"/>
          <w:lang w:bidi="ar-SY"/>
        </w:rPr>
        <w:t>bn</w:t>
      </w:r>
      <w:r w:rsidRPr="007C2D36">
        <w:rPr>
          <w:rFonts w:asciiTheme="majorBidi" w:hAnsiTheme="majorBidi" w:cstheme="majorBidi"/>
          <w:sz w:val="24"/>
          <w:szCs w:val="24"/>
          <w:lang w:bidi="ar-SY"/>
        </w:rPr>
        <w:t xml:space="preserve"> in 2010 to $3.78 </w:t>
      </w:r>
      <w:r>
        <w:rPr>
          <w:rFonts w:asciiTheme="majorBidi" w:hAnsiTheme="majorBidi" w:cstheme="majorBidi"/>
          <w:sz w:val="24"/>
          <w:szCs w:val="24"/>
          <w:lang w:bidi="ar-SY"/>
        </w:rPr>
        <w:t>bn</w:t>
      </w:r>
      <w:r w:rsidRPr="007C2D36">
        <w:rPr>
          <w:rFonts w:asciiTheme="majorBidi" w:hAnsiTheme="majorBidi" w:cstheme="majorBidi"/>
          <w:sz w:val="24"/>
          <w:szCs w:val="24"/>
          <w:lang w:bidi="ar-SY"/>
        </w:rPr>
        <w:t xml:space="preserve"> in 2019</w:t>
      </w:r>
      <w:r>
        <w:rPr>
          <w:rFonts w:asciiTheme="majorBidi" w:hAnsiTheme="majorBidi" w:cstheme="majorBidi"/>
          <w:sz w:val="24"/>
          <w:szCs w:val="24"/>
          <w:lang w:bidi="ar-SY"/>
        </w:rPr>
        <w:t>.</w:t>
      </w:r>
      <w:r w:rsidRPr="007C2D36">
        <w:rPr>
          <w:rFonts w:asciiTheme="majorBidi" w:hAnsiTheme="majorBidi" w:cstheme="majorBidi"/>
          <w:sz w:val="24"/>
          <w:szCs w:val="24"/>
          <w:lang w:bidi="ar-SY"/>
        </w:rPr>
        <w:t xml:space="preserve"> </w:t>
      </w:r>
    </w:p>
    <w:p w14:paraId="65CAADF7" w14:textId="70407EE0" w:rsidR="00864289" w:rsidRDefault="00864289" w:rsidP="007039D3">
      <w:pPr>
        <w:pStyle w:val="ListParagraph"/>
        <w:numPr>
          <w:ilvl w:val="0"/>
          <w:numId w:val="35"/>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bidi="ar-SY"/>
        </w:rPr>
      </w:pPr>
      <w:r w:rsidRPr="007C2D36">
        <w:rPr>
          <w:rFonts w:asciiTheme="majorBidi" w:hAnsiTheme="majorBidi" w:cstheme="majorBidi"/>
          <w:sz w:val="24"/>
          <w:szCs w:val="24"/>
          <w:lang w:bidi="ar-SY"/>
        </w:rPr>
        <w:t>The budget deficit continued to increase, constituting in 2019</w:t>
      </w:r>
      <w:r w:rsidR="002809BE">
        <w:rPr>
          <w:rFonts w:asciiTheme="majorBidi" w:hAnsiTheme="majorBidi" w:cstheme="majorBidi"/>
          <w:sz w:val="24"/>
          <w:szCs w:val="24"/>
          <w:lang w:bidi="ar-SY"/>
        </w:rPr>
        <w:t>,</w:t>
      </w:r>
      <w:r w:rsidRPr="007C2D36">
        <w:rPr>
          <w:rFonts w:asciiTheme="majorBidi" w:hAnsiTheme="majorBidi" w:cstheme="majorBidi"/>
          <w:sz w:val="24"/>
          <w:szCs w:val="24"/>
          <w:lang w:bidi="ar-SY"/>
        </w:rPr>
        <w:t xml:space="preserve"> about 44% of the budget.</w:t>
      </w:r>
    </w:p>
    <w:p w14:paraId="2B80C6FB" w14:textId="5A51C1B7" w:rsidR="00864289" w:rsidRDefault="00864289" w:rsidP="007039D3">
      <w:pPr>
        <w:pStyle w:val="ListParagraph"/>
        <w:numPr>
          <w:ilvl w:val="0"/>
          <w:numId w:val="35"/>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bidi="ar-SY"/>
        </w:rPr>
      </w:pPr>
      <w:r w:rsidRPr="007C2D36">
        <w:rPr>
          <w:rFonts w:asciiTheme="majorBidi" w:hAnsiTheme="majorBidi" w:cstheme="majorBidi"/>
          <w:sz w:val="24"/>
          <w:szCs w:val="24"/>
          <w:lang w:bidi="ar-SY"/>
        </w:rPr>
        <w:t xml:space="preserve">The savings </w:t>
      </w:r>
      <w:r>
        <w:rPr>
          <w:rFonts w:asciiTheme="majorBidi" w:hAnsiTheme="majorBidi" w:cstheme="majorBidi"/>
          <w:sz w:val="24"/>
          <w:szCs w:val="24"/>
          <w:lang w:bidi="ar-SY"/>
        </w:rPr>
        <w:t>have been consumed</w:t>
      </w:r>
      <w:r w:rsidRPr="007C2D36">
        <w:rPr>
          <w:rFonts w:asciiTheme="majorBidi" w:hAnsiTheme="majorBidi" w:cstheme="majorBidi"/>
          <w:sz w:val="24"/>
          <w:szCs w:val="24"/>
          <w:lang w:bidi="ar-SY"/>
        </w:rPr>
        <w:t xml:space="preserve"> almost </w:t>
      </w:r>
      <w:r>
        <w:rPr>
          <w:rFonts w:asciiTheme="majorBidi" w:hAnsiTheme="majorBidi" w:cstheme="majorBidi"/>
          <w:sz w:val="24"/>
          <w:szCs w:val="24"/>
          <w:lang w:bidi="ar-SY"/>
        </w:rPr>
        <w:t>completely</w:t>
      </w:r>
      <w:r w:rsidRPr="007C2D36">
        <w:rPr>
          <w:rFonts w:asciiTheme="majorBidi" w:hAnsiTheme="majorBidi" w:cstheme="majorBidi"/>
          <w:sz w:val="24"/>
          <w:szCs w:val="24"/>
          <w:lang w:bidi="ar-SY"/>
        </w:rPr>
        <w:t xml:space="preserve"> by society due to the </w:t>
      </w:r>
      <w:r>
        <w:rPr>
          <w:rFonts w:asciiTheme="majorBidi" w:hAnsiTheme="majorBidi" w:cstheme="majorBidi"/>
          <w:sz w:val="24"/>
          <w:szCs w:val="24"/>
          <w:lang w:bidi="ar-SY"/>
        </w:rPr>
        <w:t>consequences</w:t>
      </w:r>
      <w:r w:rsidRPr="007C2D36">
        <w:rPr>
          <w:rFonts w:asciiTheme="majorBidi" w:hAnsiTheme="majorBidi" w:cstheme="majorBidi"/>
          <w:sz w:val="24"/>
          <w:szCs w:val="24"/>
          <w:lang w:bidi="ar-SY"/>
        </w:rPr>
        <w:t xml:space="preserve"> of the crisis.</w:t>
      </w:r>
    </w:p>
    <w:p w14:paraId="065E5464" w14:textId="4443235C" w:rsidR="00864289" w:rsidRDefault="00864289" w:rsidP="007039D3">
      <w:pPr>
        <w:pStyle w:val="ListParagraph"/>
        <w:numPr>
          <w:ilvl w:val="0"/>
          <w:numId w:val="35"/>
        </w:numPr>
        <w:suppressAutoHyphens/>
        <w:autoSpaceDE w:val="0"/>
        <w:adjustRightInd w:val="0"/>
        <w:spacing w:line="360" w:lineRule="auto"/>
        <w:ind w:left="567" w:hanging="357"/>
        <w:contextualSpacing/>
        <w:jc w:val="both"/>
        <w:textAlignment w:val="auto"/>
        <w:rPr>
          <w:rFonts w:asciiTheme="majorBidi" w:hAnsiTheme="majorBidi" w:cstheme="majorBidi"/>
          <w:sz w:val="24"/>
          <w:szCs w:val="24"/>
          <w:lang w:bidi="ar-SY"/>
        </w:rPr>
      </w:pPr>
      <w:r w:rsidRPr="001F16C5">
        <w:rPr>
          <w:rFonts w:asciiTheme="majorBidi" w:hAnsiTheme="majorBidi" w:cstheme="majorBidi"/>
          <w:sz w:val="24"/>
          <w:szCs w:val="24"/>
          <w:lang w:bidi="ar-SY"/>
        </w:rPr>
        <w:t>Deposits in the banking sector decreased significantly</w:t>
      </w:r>
      <w:r>
        <w:rPr>
          <w:rFonts w:asciiTheme="majorBidi" w:hAnsiTheme="majorBidi" w:cstheme="majorBidi"/>
          <w:sz w:val="24"/>
          <w:szCs w:val="24"/>
          <w:lang w:bidi="ar-SY"/>
        </w:rPr>
        <w:t>, a</w:t>
      </w:r>
      <w:r w:rsidRPr="001F16C5">
        <w:rPr>
          <w:rFonts w:asciiTheme="majorBidi" w:hAnsiTheme="majorBidi" w:cstheme="majorBidi"/>
          <w:sz w:val="24"/>
          <w:szCs w:val="24"/>
          <w:lang w:bidi="ar-SY"/>
        </w:rPr>
        <w:t xml:space="preserve">nd </w:t>
      </w:r>
      <w:r>
        <w:rPr>
          <w:rFonts w:asciiTheme="majorBidi" w:hAnsiTheme="majorBidi" w:cstheme="majorBidi"/>
          <w:sz w:val="24"/>
          <w:szCs w:val="24"/>
          <w:lang w:bidi="ar-SY"/>
        </w:rPr>
        <w:t>idle</w:t>
      </w:r>
      <w:r w:rsidRPr="001F16C5">
        <w:rPr>
          <w:rFonts w:asciiTheme="majorBidi" w:hAnsiTheme="majorBidi" w:cstheme="majorBidi"/>
          <w:sz w:val="24"/>
          <w:szCs w:val="24"/>
          <w:lang w:bidi="ar-SY"/>
        </w:rPr>
        <w:t xml:space="preserve"> funds in the Syrian banking sector is estimated at $3.48 </w:t>
      </w:r>
      <w:r>
        <w:rPr>
          <w:rFonts w:asciiTheme="majorBidi" w:hAnsiTheme="majorBidi" w:cstheme="majorBidi"/>
          <w:sz w:val="24"/>
          <w:szCs w:val="24"/>
          <w:lang w:bidi="ar-SY"/>
        </w:rPr>
        <w:t>bn</w:t>
      </w:r>
      <w:r w:rsidRPr="001F16C5">
        <w:rPr>
          <w:rFonts w:asciiTheme="majorBidi" w:hAnsiTheme="majorBidi" w:cstheme="majorBidi"/>
          <w:sz w:val="24"/>
          <w:szCs w:val="24"/>
          <w:lang w:bidi="ar-SY"/>
        </w:rPr>
        <w:t xml:space="preserve"> at the end of 2018</w:t>
      </w:r>
      <w:r>
        <w:rPr>
          <w:rFonts w:asciiTheme="majorBidi" w:hAnsiTheme="majorBidi" w:cstheme="majorBidi"/>
          <w:sz w:val="24"/>
          <w:szCs w:val="24"/>
          <w:lang w:bidi="ar-SY"/>
        </w:rPr>
        <w:t>.</w:t>
      </w:r>
    </w:p>
    <w:p w14:paraId="6BD8458F" w14:textId="0C18F16F" w:rsidR="00864289" w:rsidRDefault="00864289" w:rsidP="007039D3">
      <w:pPr>
        <w:suppressAutoHyphens/>
        <w:autoSpaceDE w:val="0"/>
        <w:adjustRightInd w:val="0"/>
        <w:spacing w:line="360" w:lineRule="auto"/>
        <w:ind w:firstLine="567"/>
        <w:jc w:val="both"/>
        <w:rPr>
          <w:rFonts w:asciiTheme="majorBidi" w:hAnsiTheme="majorBidi" w:cstheme="majorBidi"/>
          <w:sz w:val="24"/>
          <w:szCs w:val="24"/>
          <w:lang w:bidi="ar-SY"/>
        </w:rPr>
      </w:pPr>
      <w:r w:rsidRPr="00993655">
        <w:rPr>
          <w:rFonts w:asciiTheme="majorBidi" w:hAnsiTheme="majorBidi" w:cstheme="majorBidi"/>
          <w:sz w:val="24"/>
          <w:szCs w:val="24"/>
          <w:lang w:bidi="ar-SY"/>
        </w:rPr>
        <w:t xml:space="preserve">In light of these levels of </w:t>
      </w:r>
      <w:r w:rsidR="00D1343F">
        <w:rPr>
          <w:rFonts w:asciiTheme="majorBidi" w:hAnsiTheme="majorBidi" w:cstheme="majorBidi"/>
          <w:sz w:val="24"/>
          <w:szCs w:val="24"/>
          <w:lang w:bidi="ar-SY"/>
        </w:rPr>
        <w:t>resources</w:t>
      </w:r>
      <w:r w:rsidRPr="00993655">
        <w:rPr>
          <w:rFonts w:asciiTheme="majorBidi" w:hAnsiTheme="majorBidi" w:cstheme="majorBidi"/>
          <w:sz w:val="24"/>
          <w:szCs w:val="24"/>
          <w:lang w:bidi="ar-SY"/>
        </w:rPr>
        <w:t xml:space="preserve"> and their inability to cover the required needs </w:t>
      </w:r>
      <w:r w:rsidR="00D1343F">
        <w:rPr>
          <w:rFonts w:asciiTheme="majorBidi" w:hAnsiTheme="majorBidi" w:cstheme="majorBidi"/>
          <w:sz w:val="24"/>
          <w:szCs w:val="24"/>
          <w:lang w:bidi="ar-SY"/>
        </w:rPr>
        <w:t>or the</w:t>
      </w:r>
      <w:r w:rsidRPr="00993655">
        <w:rPr>
          <w:rFonts w:asciiTheme="majorBidi" w:hAnsiTheme="majorBidi" w:cstheme="majorBidi"/>
          <w:sz w:val="24"/>
          <w:szCs w:val="24"/>
          <w:lang w:bidi="ar-SY"/>
        </w:rPr>
        <w:t xml:space="preserve"> effective contribution to</w:t>
      </w:r>
      <w:r w:rsidR="00D1343F">
        <w:rPr>
          <w:rFonts w:asciiTheme="majorBidi" w:hAnsiTheme="majorBidi" w:cstheme="majorBidi"/>
          <w:sz w:val="24"/>
          <w:szCs w:val="24"/>
          <w:lang w:bidi="ar-SY"/>
        </w:rPr>
        <w:t xml:space="preserve"> </w:t>
      </w:r>
      <w:r w:rsidRPr="00993655">
        <w:rPr>
          <w:rFonts w:asciiTheme="majorBidi" w:hAnsiTheme="majorBidi" w:cstheme="majorBidi"/>
          <w:sz w:val="24"/>
          <w:szCs w:val="24"/>
          <w:lang w:bidi="ar-SY"/>
        </w:rPr>
        <w:t>reconstruction financing</w:t>
      </w:r>
      <w:r w:rsidR="00D1343F">
        <w:rPr>
          <w:rFonts w:asciiTheme="majorBidi" w:hAnsiTheme="majorBidi" w:cstheme="majorBidi"/>
          <w:sz w:val="24"/>
          <w:szCs w:val="24"/>
          <w:lang w:bidi="ar-SY"/>
        </w:rPr>
        <w:t xml:space="preserve">. </w:t>
      </w:r>
      <w:r w:rsidR="00D1343F" w:rsidRPr="006D6970">
        <w:rPr>
          <w:rFonts w:asciiTheme="majorBidi" w:hAnsiTheme="majorBidi" w:cstheme="majorBidi"/>
          <w:sz w:val="24"/>
          <w:szCs w:val="24"/>
          <w:lang w:bidi="ar-SY"/>
        </w:rPr>
        <w:t xml:space="preserve">In the case of improving the laws and regulations governing banking </w:t>
      </w:r>
      <w:r w:rsidR="00D1343F">
        <w:rPr>
          <w:rFonts w:asciiTheme="majorBidi" w:hAnsiTheme="majorBidi" w:cstheme="majorBidi"/>
          <w:sz w:val="24"/>
          <w:szCs w:val="24"/>
          <w:lang w:bidi="ar-SY"/>
        </w:rPr>
        <w:t>work, i</w:t>
      </w:r>
      <w:r w:rsidRPr="006D6970">
        <w:rPr>
          <w:rFonts w:asciiTheme="majorBidi" w:hAnsiTheme="majorBidi" w:cstheme="majorBidi"/>
          <w:sz w:val="24"/>
          <w:szCs w:val="24"/>
          <w:lang w:bidi="ar-SY"/>
        </w:rPr>
        <w:t>nvest</w:t>
      </w:r>
      <w:r>
        <w:rPr>
          <w:rFonts w:asciiTheme="majorBidi" w:hAnsiTheme="majorBidi" w:cstheme="majorBidi"/>
          <w:sz w:val="24"/>
          <w:szCs w:val="24"/>
          <w:lang w:bidi="ar-SY"/>
        </w:rPr>
        <w:t>ing</w:t>
      </w:r>
      <w:r w:rsidRPr="006D6970">
        <w:rPr>
          <w:rFonts w:asciiTheme="majorBidi" w:hAnsiTheme="majorBidi" w:cstheme="majorBidi"/>
          <w:sz w:val="24"/>
          <w:szCs w:val="24"/>
          <w:lang w:bidi="ar-SY"/>
        </w:rPr>
        <w:t xml:space="preserve"> idle funds</w:t>
      </w:r>
      <w:r w:rsidR="00D1343F">
        <w:rPr>
          <w:rFonts w:asciiTheme="majorBidi" w:hAnsiTheme="majorBidi" w:cstheme="majorBidi"/>
          <w:sz w:val="24"/>
          <w:szCs w:val="24"/>
          <w:lang w:bidi="ar-SY"/>
        </w:rPr>
        <w:t xml:space="preserve"> of the Syrian banking sector</w:t>
      </w:r>
      <w:r w:rsidRPr="006D6970">
        <w:rPr>
          <w:rFonts w:asciiTheme="majorBidi" w:hAnsiTheme="majorBidi" w:cstheme="majorBidi"/>
          <w:sz w:val="24"/>
          <w:szCs w:val="24"/>
          <w:lang w:bidi="ar-SY"/>
        </w:rPr>
        <w:t xml:space="preserve"> in projects in the reconstruction phase</w:t>
      </w:r>
      <w:r w:rsidR="00D1343F">
        <w:rPr>
          <w:rFonts w:asciiTheme="majorBidi" w:hAnsiTheme="majorBidi" w:cstheme="majorBidi"/>
          <w:sz w:val="24"/>
          <w:szCs w:val="24"/>
          <w:lang w:bidi="ar-SY"/>
        </w:rPr>
        <w:t>,</w:t>
      </w:r>
      <w:r w:rsidRPr="006D6970">
        <w:rPr>
          <w:rFonts w:asciiTheme="majorBidi" w:hAnsiTheme="majorBidi" w:cstheme="majorBidi"/>
          <w:sz w:val="24"/>
          <w:szCs w:val="24"/>
          <w:lang w:bidi="ar-SY"/>
        </w:rPr>
        <w:t xml:space="preserve"> it can contribute to the financing of part of the </w:t>
      </w:r>
      <w:r>
        <w:rPr>
          <w:rFonts w:asciiTheme="majorBidi" w:hAnsiTheme="majorBidi" w:cstheme="majorBidi"/>
          <w:sz w:val="24"/>
          <w:szCs w:val="24"/>
          <w:lang w:bidi="ar-SY"/>
        </w:rPr>
        <w:t>investment needs</w:t>
      </w:r>
      <w:r w:rsidRPr="006D6970">
        <w:rPr>
          <w:rFonts w:asciiTheme="majorBidi" w:hAnsiTheme="majorBidi" w:cstheme="majorBidi"/>
          <w:sz w:val="24"/>
          <w:szCs w:val="24"/>
          <w:lang w:bidi="ar-SY"/>
        </w:rPr>
        <w:t xml:space="preserve"> in the future.</w:t>
      </w:r>
    </w:p>
    <w:p w14:paraId="62F178DB" w14:textId="4BA7BC71" w:rsidR="00864289" w:rsidRDefault="003700D3" w:rsidP="007039D3">
      <w:pPr>
        <w:suppressAutoHyphens/>
        <w:autoSpaceDE w:val="0"/>
        <w:adjustRightInd w:val="0"/>
        <w:spacing w:line="360" w:lineRule="auto"/>
        <w:ind w:firstLine="567"/>
        <w:jc w:val="both"/>
        <w:rPr>
          <w:rFonts w:asciiTheme="majorBidi" w:hAnsiTheme="majorBidi" w:cstheme="majorBidi"/>
          <w:sz w:val="24"/>
          <w:szCs w:val="24"/>
        </w:rPr>
      </w:pPr>
      <w:r w:rsidRPr="003700D3">
        <w:rPr>
          <w:rFonts w:asciiTheme="majorBidi" w:hAnsiTheme="majorBidi" w:cstheme="majorBidi"/>
          <w:sz w:val="24"/>
          <w:szCs w:val="24"/>
        </w:rPr>
        <w:t>Consequently, we conclude the necessity of applying the mechanism of project finance. This is due to the increasing need to invest in infrastructure and investment projects, as the state's public alone cannot cover these needs in the early stages of reconstruction</w:t>
      </w:r>
      <w:r w:rsidR="00864289" w:rsidRPr="006D6970">
        <w:rPr>
          <w:rFonts w:asciiTheme="majorBidi" w:hAnsiTheme="majorBidi" w:cstheme="majorBidi"/>
          <w:sz w:val="24"/>
          <w:szCs w:val="24"/>
        </w:rPr>
        <w:t>.</w:t>
      </w:r>
      <w:r w:rsidR="00864289">
        <w:rPr>
          <w:rFonts w:asciiTheme="majorBidi" w:hAnsiTheme="majorBidi" w:cstheme="majorBidi"/>
          <w:sz w:val="24"/>
          <w:szCs w:val="24"/>
        </w:rPr>
        <w:t xml:space="preserve"> </w:t>
      </w:r>
      <w:r w:rsidR="00D1343F">
        <w:rPr>
          <w:rFonts w:asciiTheme="majorBidi" w:hAnsiTheme="majorBidi" w:cstheme="majorBidi"/>
          <w:sz w:val="24"/>
          <w:szCs w:val="24"/>
        </w:rPr>
        <w:t>We found that</w:t>
      </w:r>
      <w:r w:rsidR="00864289" w:rsidRPr="006D6970">
        <w:rPr>
          <w:rFonts w:asciiTheme="majorBidi" w:hAnsiTheme="majorBidi" w:cstheme="majorBidi"/>
          <w:sz w:val="24"/>
          <w:szCs w:val="24"/>
        </w:rPr>
        <w:t xml:space="preserve"> the private sector can </w:t>
      </w:r>
      <w:r w:rsidR="00864289">
        <w:rPr>
          <w:rFonts w:asciiTheme="majorBidi" w:hAnsiTheme="majorBidi" w:cstheme="majorBidi"/>
          <w:sz w:val="24"/>
          <w:szCs w:val="24"/>
        </w:rPr>
        <w:t>participate in</w:t>
      </w:r>
      <w:r w:rsidR="00864289" w:rsidRPr="006D6970">
        <w:rPr>
          <w:rFonts w:asciiTheme="majorBidi" w:hAnsiTheme="majorBidi" w:cstheme="majorBidi"/>
          <w:sz w:val="24"/>
          <w:szCs w:val="24"/>
        </w:rPr>
        <w:t xml:space="preserve"> projects owned by the public sector, as Participatory Law No. / 5 / has allowed the private sector to enter the infrastructures</w:t>
      </w:r>
      <w:r w:rsidR="00864289">
        <w:rPr>
          <w:rFonts w:asciiTheme="majorBidi" w:hAnsiTheme="majorBidi" w:cstheme="majorBidi"/>
          <w:sz w:val="24"/>
          <w:szCs w:val="24"/>
        </w:rPr>
        <w:t xml:space="preserve">, </w:t>
      </w:r>
      <w:r w:rsidR="00864289" w:rsidRPr="006D6970">
        <w:rPr>
          <w:rFonts w:asciiTheme="majorBidi" w:hAnsiTheme="majorBidi" w:cstheme="majorBidi"/>
          <w:sz w:val="24"/>
          <w:szCs w:val="24"/>
        </w:rPr>
        <w:t>public utilities</w:t>
      </w:r>
      <w:r w:rsidR="00864289">
        <w:rPr>
          <w:rFonts w:asciiTheme="majorBidi" w:hAnsiTheme="majorBidi" w:cstheme="majorBidi"/>
          <w:sz w:val="24"/>
          <w:szCs w:val="24"/>
        </w:rPr>
        <w:t>,</w:t>
      </w:r>
      <w:r w:rsidR="00864289" w:rsidRPr="006D6970">
        <w:rPr>
          <w:rFonts w:asciiTheme="majorBidi" w:hAnsiTheme="majorBidi" w:cstheme="majorBidi"/>
          <w:sz w:val="24"/>
          <w:szCs w:val="24"/>
        </w:rPr>
        <w:t xml:space="preserve"> and projects owned by the public sector.</w:t>
      </w:r>
    </w:p>
    <w:p w14:paraId="64B657C7" w14:textId="612E0D04" w:rsidR="00864289" w:rsidRDefault="00864289" w:rsidP="007039D3">
      <w:pPr>
        <w:suppressAutoHyphens/>
        <w:autoSpaceDE w:val="0"/>
        <w:adjustRightInd w:val="0"/>
        <w:spacing w:line="360" w:lineRule="auto"/>
        <w:ind w:firstLine="567"/>
        <w:jc w:val="both"/>
        <w:rPr>
          <w:rFonts w:asciiTheme="majorBidi" w:hAnsiTheme="majorBidi" w:cstheme="majorBidi"/>
          <w:sz w:val="24"/>
          <w:szCs w:val="24"/>
        </w:rPr>
      </w:pPr>
      <w:r w:rsidRPr="006D6970">
        <w:rPr>
          <w:rFonts w:asciiTheme="majorBidi" w:hAnsiTheme="majorBidi" w:cstheme="majorBidi"/>
          <w:sz w:val="24"/>
          <w:szCs w:val="24"/>
        </w:rPr>
        <w:t xml:space="preserve">This mechanism should not be considered as a magic solution and an ideal recipe that is </w:t>
      </w:r>
      <w:r w:rsidR="002809BE" w:rsidRPr="002809BE">
        <w:rPr>
          <w:rFonts w:asciiTheme="majorBidi" w:hAnsiTheme="majorBidi" w:cstheme="majorBidi"/>
          <w:sz w:val="24"/>
          <w:szCs w:val="24"/>
        </w:rPr>
        <w:t xml:space="preserve">entirely </w:t>
      </w:r>
      <w:r w:rsidRPr="006D6970">
        <w:rPr>
          <w:rFonts w:asciiTheme="majorBidi" w:hAnsiTheme="majorBidi" w:cstheme="majorBidi"/>
          <w:sz w:val="24"/>
          <w:szCs w:val="24"/>
        </w:rPr>
        <w:t>risk-free. Rather, it should be seen as a means and not a goal, as it falls within a comprehensive economic reform program</w:t>
      </w:r>
      <w:r>
        <w:rPr>
          <w:rFonts w:asciiTheme="majorBidi" w:hAnsiTheme="majorBidi" w:cstheme="majorBidi"/>
          <w:sz w:val="24"/>
          <w:szCs w:val="24"/>
        </w:rPr>
        <w:t>.</w:t>
      </w:r>
    </w:p>
    <w:p w14:paraId="42524E8D" w14:textId="77777777" w:rsidR="00864289" w:rsidRDefault="00864289" w:rsidP="007039D3">
      <w:pPr>
        <w:suppressAutoHyphens/>
        <w:autoSpaceDE w:val="0"/>
        <w:adjustRightInd w:val="0"/>
        <w:spacing w:line="360" w:lineRule="auto"/>
        <w:ind w:firstLine="567"/>
        <w:jc w:val="both"/>
        <w:rPr>
          <w:rFonts w:asciiTheme="majorBidi" w:hAnsiTheme="majorBidi" w:cstheme="majorBidi"/>
          <w:sz w:val="24"/>
          <w:szCs w:val="24"/>
        </w:rPr>
      </w:pPr>
      <w:r>
        <w:rPr>
          <w:rFonts w:asciiTheme="majorBidi" w:hAnsiTheme="majorBidi" w:cstheme="majorBidi"/>
          <w:sz w:val="24"/>
          <w:szCs w:val="24"/>
        </w:rPr>
        <w:t>However</w:t>
      </w:r>
      <w:r w:rsidRPr="006D6970">
        <w:rPr>
          <w:rFonts w:asciiTheme="majorBidi" w:hAnsiTheme="majorBidi" w:cstheme="majorBidi"/>
          <w:sz w:val="24"/>
          <w:szCs w:val="24"/>
        </w:rPr>
        <w:t xml:space="preserve">, Syria is still not prepared to apply </w:t>
      </w:r>
      <w:r>
        <w:rPr>
          <w:rFonts w:asciiTheme="majorBidi" w:hAnsiTheme="majorBidi" w:cstheme="majorBidi"/>
          <w:sz w:val="24"/>
          <w:szCs w:val="24"/>
        </w:rPr>
        <w:t xml:space="preserve">project finance </w:t>
      </w:r>
      <w:r w:rsidRPr="006D6970">
        <w:rPr>
          <w:rFonts w:asciiTheme="majorBidi" w:hAnsiTheme="majorBidi" w:cstheme="majorBidi"/>
          <w:sz w:val="24"/>
          <w:szCs w:val="24"/>
        </w:rPr>
        <w:t xml:space="preserve">mechanism, </w:t>
      </w:r>
      <w:r w:rsidRPr="00F96B7F">
        <w:rPr>
          <w:rFonts w:asciiTheme="majorBidi" w:hAnsiTheme="majorBidi" w:cstheme="majorBidi"/>
          <w:sz w:val="24"/>
          <w:szCs w:val="24"/>
        </w:rPr>
        <w:t>as it has not completed the updating of some laws and legislations that include financial, banking</w:t>
      </w:r>
      <w:r>
        <w:rPr>
          <w:rFonts w:asciiTheme="majorBidi" w:hAnsiTheme="majorBidi" w:cstheme="majorBidi"/>
          <w:sz w:val="24"/>
          <w:szCs w:val="24"/>
        </w:rPr>
        <w:t>,</w:t>
      </w:r>
      <w:r w:rsidRPr="00F96B7F">
        <w:rPr>
          <w:rFonts w:asciiTheme="majorBidi" w:hAnsiTheme="majorBidi" w:cstheme="majorBidi"/>
          <w:sz w:val="24"/>
          <w:szCs w:val="24"/>
        </w:rPr>
        <w:t xml:space="preserve"> insurance</w:t>
      </w:r>
      <w:r>
        <w:rPr>
          <w:rFonts w:asciiTheme="majorBidi" w:hAnsiTheme="majorBidi" w:cstheme="majorBidi"/>
          <w:sz w:val="24"/>
          <w:szCs w:val="24"/>
        </w:rPr>
        <w:t xml:space="preserve">, </w:t>
      </w:r>
      <w:r w:rsidRPr="00F96B7F">
        <w:rPr>
          <w:rFonts w:asciiTheme="majorBidi" w:hAnsiTheme="majorBidi" w:cstheme="majorBidi"/>
          <w:sz w:val="24"/>
          <w:szCs w:val="24"/>
        </w:rPr>
        <w:t>tax</w:t>
      </w:r>
      <w:r>
        <w:rPr>
          <w:rFonts w:asciiTheme="majorBidi" w:hAnsiTheme="majorBidi" w:cstheme="majorBidi"/>
          <w:sz w:val="24"/>
          <w:szCs w:val="24"/>
        </w:rPr>
        <w:t>,</w:t>
      </w:r>
      <w:r w:rsidRPr="00F96B7F">
        <w:rPr>
          <w:rFonts w:asciiTheme="majorBidi" w:hAnsiTheme="majorBidi" w:cstheme="majorBidi"/>
          <w:sz w:val="24"/>
          <w:szCs w:val="24"/>
        </w:rPr>
        <w:t xml:space="preserve"> and accounting treatment of these projects, in addition to the lack of sufficient experience in dealing with these contracts, and the failure to create a cultural and public environment.</w:t>
      </w:r>
    </w:p>
    <w:p w14:paraId="6A9C4838" w14:textId="1F992FB7" w:rsidR="00864289" w:rsidRPr="00F96B7F" w:rsidRDefault="00864289" w:rsidP="007039D3">
      <w:pPr>
        <w:suppressAutoHyphens/>
        <w:autoSpaceDE w:val="0"/>
        <w:adjustRightInd w:val="0"/>
        <w:spacing w:line="360" w:lineRule="auto"/>
        <w:ind w:firstLine="567"/>
        <w:jc w:val="both"/>
        <w:rPr>
          <w:rFonts w:asciiTheme="majorBidi" w:hAnsiTheme="majorBidi" w:cstheme="majorBidi"/>
          <w:sz w:val="24"/>
          <w:szCs w:val="24"/>
          <w:rtl/>
        </w:rPr>
      </w:pPr>
      <w:r w:rsidRPr="00F96B7F">
        <w:rPr>
          <w:rFonts w:asciiTheme="majorBidi" w:hAnsiTheme="majorBidi" w:cstheme="majorBidi"/>
          <w:sz w:val="24"/>
          <w:szCs w:val="24"/>
        </w:rPr>
        <w:t xml:space="preserve">Therefore, necessary laws must be issued, especially </w:t>
      </w:r>
      <w:r w:rsidR="00DB2A2D" w:rsidRPr="00DB2A2D">
        <w:rPr>
          <w:rFonts w:asciiTheme="majorBidi" w:hAnsiTheme="majorBidi" w:cstheme="majorBidi"/>
          <w:sz w:val="24"/>
          <w:szCs w:val="24"/>
        </w:rPr>
        <w:t xml:space="preserve">concerning </w:t>
      </w:r>
      <w:r w:rsidRPr="00F96B7F">
        <w:rPr>
          <w:rFonts w:asciiTheme="majorBidi" w:hAnsiTheme="majorBidi" w:cstheme="majorBidi"/>
          <w:sz w:val="24"/>
          <w:szCs w:val="24"/>
        </w:rPr>
        <w:t>foreign ownership and their share of ownership. A comprehensive plan for the reconstruction process must also be developed</w:t>
      </w:r>
      <w:r w:rsidR="00D1343F">
        <w:rPr>
          <w:rFonts w:asciiTheme="majorBidi" w:hAnsiTheme="majorBidi" w:cstheme="majorBidi"/>
          <w:sz w:val="24"/>
          <w:szCs w:val="24"/>
        </w:rPr>
        <w:t>,</w:t>
      </w:r>
      <w:r w:rsidRPr="00F96B7F">
        <w:rPr>
          <w:rFonts w:asciiTheme="majorBidi" w:hAnsiTheme="majorBidi" w:cstheme="majorBidi"/>
          <w:sz w:val="24"/>
          <w:szCs w:val="24"/>
        </w:rPr>
        <w:t xml:space="preserve"> </w:t>
      </w:r>
      <w:r w:rsidR="00D1343F">
        <w:rPr>
          <w:rFonts w:asciiTheme="majorBidi" w:hAnsiTheme="majorBidi" w:cstheme="majorBidi"/>
          <w:sz w:val="24"/>
          <w:szCs w:val="24"/>
        </w:rPr>
        <w:t>which</w:t>
      </w:r>
      <w:r w:rsidRPr="00F96B7F">
        <w:rPr>
          <w:rFonts w:asciiTheme="majorBidi" w:hAnsiTheme="majorBidi" w:cstheme="majorBidi"/>
          <w:sz w:val="24"/>
          <w:szCs w:val="24"/>
        </w:rPr>
        <w:t xml:space="preserve"> includes an accurate estimate of the extent of the damage to the infrastructure, the prioritization of sectoral and regional priorities</w:t>
      </w:r>
      <w:r w:rsidR="00D1343F">
        <w:rPr>
          <w:rFonts w:asciiTheme="majorBidi" w:hAnsiTheme="majorBidi" w:cstheme="majorBidi"/>
          <w:sz w:val="24"/>
          <w:szCs w:val="24"/>
        </w:rPr>
        <w:t>,</w:t>
      </w:r>
      <w:r w:rsidRPr="00F96B7F">
        <w:rPr>
          <w:rFonts w:asciiTheme="majorBidi" w:hAnsiTheme="majorBidi" w:cstheme="majorBidi"/>
          <w:sz w:val="24"/>
          <w:szCs w:val="24"/>
        </w:rPr>
        <w:t xml:space="preserve"> and a timetable for implementation.</w:t>
      </w:r>
    </w:p>
    <w:p w14:paraId="088B73C0" w14:textId="41C517A5" w:rsidR="00864289" w:rsidRDefault="00864289" w:rsidP="007039D3">
      <w:pPr>
        <w:suppressAutoHyphens/>
        <w:autoSpaceDE w:val="0"/>
        <w:adjustRightInd w:val="0"/>
        <w:spacing w:line="360" w:lineRule="auto"/>
        <w:ind w:firstLine="567"/>
        <w:jc w:val="both"/>
        <w:rPr>
          <w:rFonts w:asciiTheme="majorBidi" w:hAnsiTheme="majorBidi" w:cstheme="majorBidi"/>
          <w:sz w:val="24"/>
          <w:szCs w:val="24"/>
        </w:rPr>
      </w:pPr>
      <w:r w:rsidRPr="00F96B7F">
        <w:rPr>
          <w:rFonts w:asciiTheme="majorBidi" w:hAnsiTheme="majorBidi" w:cstheme="majorBidi"/>
          <w:sz w:val="24"/>
          <w:szCs w:val="24"/>
        </w:rPr>
        <w:t xml:space="preserve">The next stage also requires a high ability to manage the resources allocated for the implementation of projects, to monitor </w:t>
      </w:r>
      <w:r w:rsidR="002809BE" w:rsidRPr="002809BE">
        <w:rPr>
          <w:rFonts w:asciiTheme="majorBidi" w:hAnsiTheme="majorBidi" w:cstheme="majorBidi"/>
          <w:sz w:val="24"/>
          <w:szCs w:val="24"/>
        </w:rPr>
        <w:t>performance</w:t>
      </w:r>
      <w:r w:rsidRPr="00F96B7F">
        <w:rPr>
          <w:rFonts w:asciiTheme="majorBidi" w:hAnsiTheme="majorBidi" w:cstheme="majorBidi"/>
          <w:sz w:val="24"/>
          <w:szCs w:val="24"/>
        </w:rPr>
        <w:t>, and to end with accountability and strict penalties for corruption offenders.</w:t>
      </w:r>
      <w:r>
        <w:rPr>
          <w:rFonts w:asciiTheme="majorBidi" w:hAnsiTheme="majorBidi" w:cstheme="majorBidi"/>
          <w:sz w:val="24"/>
          <w:szCs w:val="24"/>
        </w:rPr>
        <w:t xml:space="preserve"> Also, i</w:t>
      </w:r>
      <w:r w:rsidRPr="00F96B7F">
        <w:rPr>
          <w:rFonts w:asciiTheme="majorBidi" w:hAnsiTheme="majorBidi" w:cstheme="majorBidi"/>
          <w:sz w:val="24"/>
          <w:szCs w:val="24"/>
        </w:rPr>
        <w:t xml:space="preserve">t is necessary to work on developing the Damascus Stock Exchange, so that the Syrian government can attract and direct </w:t>
      </w:r>
      <w:r w:rsidR="00D1343F">
        <w:rPr>
          <w:rFonts w:asciiTheme="majorBidi" w:hAnsiTheme="majorBidi" w:cstheme="majorBidi"/>
          <w:sz w:val="24"/>
          <w:szCs w:val="24"/>
        </w:rPr>
        <w:t xml:space="preserve">the </w:t>
      </w:r>
      <w:r w:rsidRPr="00F96B7F">
        <w:rPr>
          <w:rFonts w:asciiTheme="majorBidi" w:hAnsiTheme="majorBidi" w:cstheme="majorBidi"/>
          <w:sz w:val="24"/>
          <w:szCs w:val="24"/>
        </w:rPr>
        <w:t xml:space="preserve">capitals to serve the needs of the </w:t>
      </w:r>
      <w:r w:rsidRPr="00F96B7F">
        <w:rPr>
          <w:rFonts w:asciiTheme="majorBidi" w:hAnsiTheme="majorBidi" w:cstheme="majorBidi"/>
          <w:sz w:val="24"/>
          <w:szCs w:val="24"/>
        </w:rPr>
        <w:lastRenderedPageBreak/>
        <w:t>economy</w:t>
      </w:r>
      <w:r>
        <w:rPr>
          <w:rFonts w:asciiTheme="majorBidi" w:hAnsiTheme="majorBidi" w:cstheme="majorBidi"/>
          <w:sz w:val="24"/>
          <w:szCs w:val="24"/>
        </w:rPr>
        <w:t>, and to increase</w:t>
      </w:r>
      <w:r w:rsidRPr="00F96B7F">
        <w:rPr>
          <w:rFonts w:asciiTheme="majorBidi" w:hAnsiTheme="majorBidi" w:cstheme="majorBidi"/>
          <w:sz w:val="24"/>
          <w:szCs w:val="24"/>
        </w:rPr>
        <w:t xml:space="preserve"> the </w:t>
      </w:r>
      <w:r>
        <w:rPr>
          <w:rFonts w:asciiTheme="majorBidi" w:hAnsiTheme="majorBidi" w:cstheme="majorBidi"/>
          <w:sz w:val="24"/>
          <w:szCs w:val="24"/>
        </w:rPr>
        <w:t xml:space="preserve">issuance of </w:t>
      </w:r>
      <w:r w:rsidRPr="00F96B7F">
        <w:rPr>
          <w:rFonts w:asciiTheme="majorBidi" w:hAnsiTheme="majorBidi" w:cstheme="majorBidi"/>
          <w:sz w:val="24"/>
          <w:szCs w:val="24"/>
        </w:rPr>
        <w:t>treasury bonds (in the local and foreign currency)</w:t>
      </w:r>
      <w:r w:rsidR="004C61D8">
        <w:rPr>
          <w:rFonts w:asciiTheme="majorBidi" w:hAnsiTheme="majorBidi" w:cstheme="majorBidi"/>
          <w:sz w:val="24"/>
          <w:szCs w:val="24"/>
        </w:rPr>
        <w:t>,</w:t>
      </w:r>
      <w:r w:rsidRPr="00F96B7F">
        <w:rPr>
          <w:rFonts w:asciiTheme="majorBidi" w:hAnsiTheme="majorBidi" w:cstheme="majorBidi"/>
          <w:sz w:val="24"/>
          <w:szCs w:val="24"/>
        </w:rPr>
        <w:t xml:space="preserve"> although there were some </w:t>
      </w:r>
      <w:r w:rsidR="002809BE" w:rsidRPr="00DB2A2D">
        <w:rPr>
          <w:rFonts w:asciiTheme="majorBidi" w:hAnsiTheme="majorBidi" w:cstheme="majorBidi"/>
          <w:sz w:val="24"/>
          <w:szCs w:val="24"/>
        </w:rPr>
        <w:t>modest</w:t>
      </w:r>
      <w:r w:rsidR="002809BE" w:rsidRPr="00F96B7F">
        <w:rPr>
          <w:rFonts w:asciiTheme="majorBidi" w:hAnsiTheme="majorBidi" w:cstheme="majorBidi"/>
          <w:sz w:val="24"/>
          <w:szCs w:val="24"/>
        </w:rPr>
        <w:t xml:space="preserve"> </w:t>
      </w:r>
      <w:r w:rsidRPr="00F96B7F">
        <w:rPr>
          <w:rFonts w:asciiTheme="majorBidi" w:hAnsiTheme="majorBidi" w:cstheme="majorBidi"/>
          <w:sz w:val="24"/>
          <w:szCs w:val="24"/>
        </w:rPr>
        <w:t>attempts</w:t>
      </w:r>
      <w:r w:rsidR="00D1343F">
        <w:rPr>
          <w:rFonts w:asciiTheme="majorBidi" w:hAnsiTheme="majorBidi" w:cstheme="majorBidi"/>
          <w:sz w:val="24"/>
          <w:szCs w:val="24"/>
        </w:rPr>
        <w:t xml:space="preserve"> before</w:t>
      </w:r>
      <w:r>
        <w:rPr>
          <w:rFonts w:asciiTheme="majorBidi" w:hAnsiTheme="majorBidi" w:cstheme="majorBidi"/>
          <w:sz w:val="24"/>
          <w:szCs w:val="24"/>
        </w:rPr>
        <w:t>.</w:t>
      </w:r>
    </w:p>
    <w:p w14:paraId="68E43356" w14:textId="62BD668D" w:rsidR="00864289" w:rsidRPr="00F96B7F" w:rsidRDefault="00864289" w:rsidP="007039D3">
      <w:pPr>
        <w:suppressAutoHyphens/>
        <w:autoSpaceDE w:val="0"/>
        <w:adjustRightInd w:val="0"/>
        <w:spacing w:line="360" w:lineRule="auto"/>
        <w:ind w:firstLine="567"/>
        <w:jc w:val="both"/>
        <w:rPr>
          <w:rFonts w:asciiTheme="majorBidi" w:hAnsiTheme="majorBidi" w:cstheme="majorBidi"/>
          <w:sz w:val="24"/>
          <w:szCs w:val="24"/>
          <w:rtl/>
        </w:rPr>
      </w:pPr>
      <w:r w:rsidRPr="00C97B8D">
        <w:rPr>
          <w:rFonts w:asciiTheme="majorBidi" w:hAnsiTheme="majorBidi" w:cstheme="majorBidi"/>
          <w:sz w:val="24"/>
          <w:szCs w:val="24"/>
        </w:rPr>
        <w:t xml:space="preserve">Finally, conditions must be created for the return of national capital from abroad, by reviewing the laws and regulations that hinder bureaucracy, </w:t>
      </w:r>
      <w:r w:rsidR="00B0578D">
        <w:rPr>
          <w:rFonts w:asciiTheme="majorBidi" w:hAnsiTheme="majorBidi" w:cstheme="majorBidi"/>
          <w:sz w:val="24"/>
          <w:szCs w:val="24"/>
        </w:rPr>
        <w:t xml:space="preserve">achieve </w:t>
      </w:r>
      <w:r w:rsidRPr="00C97B8D">
        <w:rPr>
          <w:rFonts w:asciiTheme="majorBidi" w:hAnsiTheme="majorBidi" w:cstheme="majorBidi"/>
          <w:sz w:val="24"/>
          <w:szCs w:val="24"/>
        </w:rPr>
        <w:t>equal opportunities between investors</w:t>
      </w:r>
      <w:r>
        <w:rPr>
          <w:rFonts w:asciiTheme="majorBidi" w:hAnsiTheme="majorBidi" w:cstheme="majorBidi"/>
          <w:sz w:val="24"/>
          <w:szCs w:val="24"/>
        </w:rPr>
        <w:t>, and</w:t>
      </w:r>
      <w:r w:rsidRPr="00C97B8D">
        <w:rPr>
          <w:rFonts w:asciiTheme="majorBidi" w:hAnsiTheme="majorBidi" w:cstheme="majorBidi"/>
          <w:sz w:val="24"/>
          <w:szCs w:val="24"/>
        </w:rPr>
        <w:t xml:space="preserve"> </w:t>
      </w:r>
      <w:r w:rsidR="00B0578D">
        <w:rPr>
          <w:rFonts w:asciiTheme="majorBidi" w:hAnsiTheme="majorBidi" w:cstheme="majorBidi"/>
          <w:sz w:val="24"/>
          <w:szCs w:val="24"/>
        </w:rPr>
        <w:t>eliminate</w:t>
      </w:r>
      <w:r w:rsidRPr="00C97B8D">
        <w:rPr>
          <w:rFonts w:asciiTheme="majorBidi" w:hAnsiTheme="majorBidi" w:cstheme="majorBidi"/>
          <w:sz w:val="24"/>
          <w:szCs w:val="24"/>
        </w:rPr>
        <w:t xml:space="preserve"> corruption</w:t>
      </w:r>
      <w:r>
        <w:rPr>
          <w:rFonts w:asciiTheme="majorBidi" w:hAnsiTheme="majorBidi" w:cstheme="majorBidi"/>
          <w:sz w:val="24"/>
          <w:szCs w:val="24"/>
        </w:rPr>
        <w:t>.</w:t>
      </w:r>
    </w:p>
    <w:p w14:paraId="2C756CEE" w14:textId="7933C59A" w:rsidR="00D014BA" w:rsidRPr="002A1541" w:rsidRDefault="00D014BA" w:rsidP="007039D3">
      <w:pPr>
        <w:suppressAutoHyphens/>
        <w:autoSpaceDE w:val="0"/>
        <w:adjustRightInd w:val="0"/>
        <w:spacing w:line="360" w:lineRule="auto"/>
        <w:ind w:firstLine="567"/>
        <w:jc w:val="both"/>
        <w:rPr>
          <w:rFonts w:asciiTheme="majorBidi" w:hAnsiTheme="majorBidi" w:cstheme="majorBidi"/>
          <w:sz w:val="24"/>
          <w:szCs w:val="24"/>
        </w:rPr>
      </w:pPr>
      <w:r w:rsidRPr="002A1541">
        <w:rPr>
          <w:rFonts w:asciiTheme="majorBidi" w:hAnsiTheme="majorBidi" w:cstheme="majorBidi"/>
          <w:sz w:val="24"/>
          <w:szCs w:val="24"/>
        </w:rPr>
        <w:t xml:space="preserve">A multifactor optimization model for evaluating projects was developed to identify the most promising project, taking into account risk and uncertainty factors </w:t>
      </w:r>
      <w:r w:rsidR="000136C6">
        <w:rPr>
          <w:rFonts w:asciiTheme="majorBidi" w:hAnsiTheme="majorBidi" w:cstheme="majorBidi"/>
          <w:sz w:val="24"/>
          <w:szCs w:val="24"/>
        </w:rPr>
        <w:t xml:space="preserve">that </w:t>
      </w:r>
      <w:r w:rsidRPr="002A1541">
        <w:rPr>
          <w:rFonts w:asciiTheme="majorBidi" w:hAnsiTheme="majorBidi" w:cstheme="majorBidi"/>
          <w:sz w:val="24"/>
          <w:szCs w:val="24"/>
        </w:rPr>
        <w:t xml:space="preserve">allow the selection of one project, as well as a comprehensive assessment of the quality of this project. </w:t>
      </w:r>
    </w:p>
    <w:p w14:paraId="60A94AA2" w14:textId="50A219AB" w:rsidR="00D014BA" w:rsidRPr="002A1541" w:rsidRDefault="00D014BA" w:rsidP="007039D3">
      <w:pPr>
        <w:suppressAutoHyphens/>
        <w:autoSpaceDE w:val="0"/>
        <w:adjustRightInd w:val="0"/>
        <w:spacing w:line="360" w:lineRule="auto"/>
        <w:ind w:firstLine="567"/>
        <w:jc w:val="both"/>
        <w:rPr>
          <w:rFonts w:asciiTheme="majorBidi" w:hAnsiTheme="majorBidi" w:cstheme="majorBidi"/>
          <w:sz w:val="24"/>
          <w:szCs w:val="24"/>
        </w:rPr>
      </w:pPr>
      <w:r w:rsidRPr="002A1541">
        <w:rPr>
          <w:rFonts w:asciiTheme="majorBidi" w:hAnsiTheme="majorBidi" w:cstheme="majorBidi"/>
          <w:sz w:val="24"/>
          <w:szCs w:val="24"/>
        </w:rPr>
        <w:t>Six groups of indicators were selected that characterize a project from various angles. These groups were designated in the form of vectors consisting of two elements: the aggregate of the average value and the standard deviation of each indicator of each group</w:t>
      </w:r>
      <w:r w:rsidR="000136C6">
        <w:rPr>
          <w:rFonts w:asciiTheme="majorBidi" w:hAnsiTheme="majorBidi" w:cstheme="majorBidi"/>
          <w:sz w:val="24"/>
          <w:szCs w:val="24"/>
        </w:rPr>
        <w:t>;</w:t>
      </w:r>
      <w:r w:rsidRPr="002A1541">
        <w:rPr>
          <w:rFonts w:asciiTheme="majorBidi" w:hAnsiTheme="majorBidi" w:cstheme="majorBidi"/>
          <w:sz w:val="24"/>
          <w:szCs w:val="24"/>
        </w:rPr>
        <w:t xml:space="preserve"> the latter characterizes the range of opinions of experts, with determining the minimum and maximum acceptable values for each indicator.</w:t>
      </w:r>
      <w:r w:rsidR="00246247" w:rsidRPr="002A1541">
        <w:rPr>
          <w:rFonts w:asciiTheme="majorBidi" w:hAnsiTheme="majorBidi" w:cstheme="majorBidi"/>
          <w:sz w:val="24"/>
          <w:szCs w:val="24"/>
        </w:rPr>
        <w:t xml:space="preserve"> </w:t>
      </w:r>
      <w:r w:rsidR="00B07323" w:rsidRPr="00B07323">
        <w:rPr>
          <w:rFonts w:asciiTheme="majorBidi" w:hAnsiTheme="majorBidi" w:cstheme="majorBidi"/>
          <w:sz w:val="24"/>
          <w:szCs w:val="24"/>
        </w:rPr>
        <w:t>The choice of the function built to solve the problem, which allows you to evaluate each indicator's block, was justified</w:t>
      </w:r>
      <w:r w:rsidR="00246247" w:rsidRPr="002A1541">
        <w:rPr>
          <w:rFonts w:asciiTheme="majorBidi" w:hAnsiTheme="majorBidi" w:cstheme="majorBidi"/>
          <w:sz w:val="24"/>
          <w:szCs w:val="24"/>
        </w:rPr>
        <w:t>.</w:t>
      </w:r>
    </w:p>
    <w:p w14:paraId="72C968DA" w14:textId="7D332CA7" w:rsidR="00246247" w:rsidRPr="002A1541" w:rsidRDefault="00246247" w:rsidP="007039D3">
      <w:pPr>
        <w:suppressAutoHyphens/>
        <w:autoSpaceDE w:val="0"/>
        <w:adjustRightInd w:val="0"/>
        <w:spacing w:line="360" w:lineRule="auto"/>
        <w:ind w:firstLine="567"/>
        <w:jc w:val="both"/>
        <w:rPr>
          <w:rFonts w:asciiTheme="majorBidi" w:hAnsiTheme="majorBidi" w:cstheme="majorBidi"/>
          <w:sz w:val="24"/>
          <w:szCs w:val="24"/>
        </w:rPr>
      </w:pPr>
      <w:r w:rsidRPr="002A1541">
        <w:rPr>
          <w:rFonts w:asciiTheme="majorBidi" w:hAnsiTheme="majorBidi" w:cstheme="majorBidi"/>
          <w:sz w:val="24"/>
          <w:szCs w:val="24"/>
        </w:rPr>
        <w:t>The calculation result was a balance model, in which the result for each block of indicators of different nature, should not fall below the minimum acceptable value, and the product of the standard deviation by its significance for all indicators in the block, should be less than the maximum acceptable indicator characterizing the risk from expert estimates.</w:t>
      </w:r>
    </w:p>
    <w:p w14:paraId="2F44F935" w14:textId="41E751EE" w:rsidR="00246247" w:rsidRPr="002A1541" w:rsidRDefault="004B3AC8" w:rsidP="007039D3">
      <w:pPr>
        <w:suppressAutoHyphens/>
        <w:autoSpaceDE w:val="0"/>
        <w:adjustRightInd w:val="0"/>
        <w:spacing w:line="360" w:lineRule="auto"/>
        <w:ind w:firstLine="567"/>
        <w:jc w:val="both"/>
        <w:rPr>
          <w:rFonts w:asciiTheme="majorBidi" w:hAnsiTheme="majorBidi" w:cstheme="majorBidi"/>
          <w:sz w:val="24"/>
          <w:szCs w:val="24"/>
        </w:rPr>
      </w:pPr>
      <w:r w:rsidRPr="004B3AC8">
        <w:rPr>
          <w:rFonts w:asciiTheme="majorBidi" w:hAnsiTheme="majorBidi" w:cstheme="majorBidi"/>
          <w:sz w:val="24"/>
          <w:szCs w:val="24"/>
        </w:rPr>
        <w:t>A number of recommendations were proposed in case of violation of inequalities. Also, when there is no question of evaluating the feasibility of the project (for example, a socially significant project), additional version for the implementation of the model was, if it is possible to manage the change in indicators</w:t>
      </w:r>
      <w:r w:rsidR="00246247" w:rsidRPr="002A1541">
        <w:rPr>
          <w:rFonts w:asciiTheme="majorBidi" w:hAnsiTheme="majorBidi" w:cstheme="majorBidi"/>
          <w:sz w:val="24"/>
          <w:szCs w:val="24"/>
        </w:rPr>
        <w:t>.</w:t>
      </w:r>
    </w:p>
    <w:p w14:paraId="46C357AD" w14:textId="22FF5077" w:rsidR="002A1541" w:rsidRDefault="002A1541" w:rsidP="007039D3">
      <w:pPr>
        <w:suppressAutoHyphens/>
        <w:autoSpaceDE w:val="0"/>
        <w:adjustRightInd w:val="0"/>
        <w:spacing w:line="360" w:lineRule="auto"/>
        <w:ind w:firstLine="567"/>
        <w:jc w:val="both"/>
        <w:rPr>
          <w:rFonts w:asciiTheme="majorBidi" w:hAnsiTheme="majorBidi" w:cstheme="majorBidi"/>
          <w:sz w:val="24"/>
          <w:szCs w:val="24"/>
        </w:rPr>
      </w:pPr>
      <w:r w:rsidRPr="002A1541">
        <w:rPr>
          <w:rFonts w:asciiTheme="majorBidi" w:hAnsiTheme="majorBidi" w:cstheme="majorBidi"/>
          <w:sz w:val="24"/>
          <w:szCs w:val="24"/>
        </w:rPr>
        <w:t>Change can be carried out using the budget allocated for each block of indicators, or a single budget, the funds of which can be used to correct a particular indicator. Such an assessment of the quality of the investment project is comprehensive</w:t>
      </w:r>
      <w:r w:rsidR="00FD70EF">
        <w:rPr>
          <w:rFonts w:asciiTheme="majorBidi" w:hAnsiTheme="majorBidi" w:cstheme="majorBidi"/>
          <w:sz w:val="24"/>
          <w:szCs w:val="24"/>
        </w:rPr>
        <w:t>.</w:t>
      </w:r>
      <w:r w:rsidRPr="002A1541">
        <w:rPr>
          <w:rFonts w:asciiTheme="majorBidi" w:hAnsiTheme="majorBidi" w:cstheme="majorBidi"/>
          <w:sz w:val="24"/>
          <w:szCs w:val="24"/>
        </w:rPr>
        <w:t xml:space="preserve"> </w:t>
      </w:r>
      <w:r w:rsidR="00FD70EF">
        <w:rPr>
          <w:rFonts w:asciiTheme="majorBidi" w:hAnsiTheme="majorBidi" w:cstheme="majorBidi"/>
          <w:sz w:val="24"/>
          <w:szCs w:val="24"/>
        </w:rPr>
        <w:t>It</w:t>
      </w:r>
      <w:r w:rsidRPr="002A1541">
        <w:rPr>
          <w:rFonts w:asciiTheme="majorBidi" w:hAnsiTheme="majorBidi" w:cstheme="majorBidi"/>
          <w:sz w:val="24"/>
          <w:szCs w:val="24"/>
        </w:rPr>
        <w:t xml:space="preserve"> allows you to optimize not only the values of the project parameters but also the risks associated with the implementation of the project, as well as choose the single most attractive project.</w:t>
      </w:r>
    </w:p>
    <w:p w14:paraId="5E3BB4C1" w14:textId="29C29A09" w:rsidR="00031265" w:rsidRPr="002A1541" w:rsidRDefault="00B07323" w:rsidP="007039D3">
      <w:pPr>
        <w:suppressAutoHyphens/>
        <w:autoSpaceDE w:val="0"/>
        <w:adjustRightInd w:val="0"/>
        <w:spacing w:line="360" w:lineRule="auto"/>
        <w:ind w:firstLine="567"/>
        <w:jc w:val="both"/>
        <w:rPr>
          <w:rFonts w:asciiTheme="majorBidi" w:hAnsiTheme="majorBidi" w:cstheme="majorBidi"/>
          <w:sz w:val="24"/>
          <w:szCs w:val="24"/>
        </w:rPr>
      </w:pPr>
      <w:r w:rsidRPr="00B07323">
        <w:rPr>
          <w:rFonts w:asciiTheme="majorBidi" w:hAnsiTheme="majorBidi" w:cstheme="majorBidi"/>
          <w:sz w:val="24"/>
          <w:szCs w:val="24"/>
        </w:rPr>
        <w:t>As a result of this model's implementation, an optimal investment program that meets the requirements could be chosen</w:t>
      </w:r>
      <w:r w:rsidR="00031265">
        <w:rPr>
          <w:rFonts w:asciiTheme="majorBidi" w:hAnsiTheme="majorBidi" w:cstheme="majorBidi"/>
          <w:sz w:val="24"/>
          <w:szCs w:val="24"/>
        </w:rPr>
        <w:t>.</w:t>
      </w:r>
    </w:p>
    <w:p w14:paraId="19566C72" w14:textId="238B0365" w:rsidR="005453D2" w:rsidRPr="00031265" w:rsidRDefault="005453D2" w:rsidP="007039D3">
      <w:pPr>
        <w:suppressAutoHyphens/>
        <w:autoSpaceDE w:val="0"/>
        <w:spacing w:line="240" w:lineRule="auto"/>
        <w:jc w:val="center"/>
        <w:rPr>
          <w:rFonts w:asciiTheme="majorBidi" w:hAnsiTheme="majorBidi" w:cstheme="majorBidi"/>
          <w:b/>
          <w:bCs/>
          <w:sz w:val="24"/>
          <w:szCs w:val="24"/>
          <w:lang w:val="en-US"/>
        </w:rPr>
      </w:pPr>
    </w:p>
    <w:p w14:paraId="270DF317" w14:textId="4BDF9171" w:rsidR="005453D2" w:rsidRPr="00031265" w:rsidRDefault="005453D2" w:rsidP="007039D3">
      <w:pPr>
        <w:suppressAutoHyphens/>
        <w:autoSpaceDE w:val="0"/>
        <w:spacing w:line="240" w:lineRule="auto"/>
        <w:jc w:val="center"/>
        <w:rPr>
          <w:rFonts w:asciiTheme="majorBidi" w:hAnsiTheme="majorBidi" w:cstheme="majorBidi"/>
          <w:b/>
          <w:bCs/>
          <w:sz w:val="24"/>
          <w:szCs w:val="24"/>
          <w:lang w:val="en-US"/>
        </w:rPr>
      </w:pPr>
    </w:p>
    <w:p w14:paraId="5ADB7ECE" w14:textId="40531A8B" w:rsidR="004C61D8" w:rsidRDefault="004C61D8" w:rsidP="007039D3">
      <w:pPr>
        <w:suppressAutoHyphens/>
        <w:autoSpaceDE w:val="0"/>
        <w:spacing w:line="240" w:lineRule="auto"/>
        <w:jc w:val="center"/>
        <w:rPr>
          <w:rFonts w:asciiTheme="majorBidi" w:hAnsiTheme="majorBidi" w:cstheme="majorBidi"/>
          <w:b/>
          <w:bCs/>
          <w:sz w:val="24"/>
          <w:szCs w:val="24"/>
          <w:lang w:val="en-US"/>
        </w:rPr>
      </w:pPr>
    </w:p>
    <w:p w14:paraId="4270F7F5" w14:textId="26F8ACF5" w:rsidR="00CD169E" w:rsidRPr="004F2D38" w:rsidRDefault="004F2D38" w:rsidP="007039D3">
      <w:pPr>
        <w:suppressAutoHyphens/>
        <w:autoSpaceDE w:val="0"/>
        <w:spacing w:line="360" w:lineRule="auto"/>
        <w:jc w:val="center"/>
        <w:rPr>
          <w:rFonts w:asciiTheme="majorBidi" w:hAnsiTheme="majorBidi" w:cstheme="majorBidi"/>
          <w:b/>
          <w:bCs/>
          <w:sz w:val="28"/>
          <w:szCs w:val="28"/>
        </w:rPr>
      </w:pPr>
      <w:r w:rsidRPr="004F2D38">
        <w:rPr>
          <w:rFonts w:asciiTheme="majorBidi" w:hAnsiTheme="majorBidi" w:cstheme="majorBidi"/>
          <w:sz w:val="28"/>
          <w:szCs w:val="28"/>
        </w:rPr>
        <w:lastRenderedPageBreak/>
        <w:t>LIST OF REFERENCES</w:t>
      </w:r>
    </w:p>
    <w:p w14:paraId="54C07743" w14:textId="77777777" w:rsidR="00AC6ECD" w:rsidRPr="009A472B" w:rsidRDefault="00AC6ECD"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t>Laws and Legislations</w:t>
      </w:r>
    </w:p>
    <w:p w14:paraId="76AC1822"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القانون رقم /5/ لعام 2016، قانون التشاركية بين الجهات العامة والخاصة.</w:t>
      </w:r>
    </w:p>
    <w:p w14:paraId="4326C58A"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القانون رقم /10/ لعام 1991، قانون تشجيع الاستثمار.</w:t>
      </w:r>
    </w:p>
    <w:p w14:paraId="41751C45"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المرسوم التشريعي رقم /8/ لعام 2007، قانون الاستثمار.</w:t>
      </w:r>
    </w:p>
    <w:p w14:paraId="44CA5470"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المرسوم التشريعي رقم /56/ لعام 2010، إحداث مصارف الاستثمار في سورية.</w:t>
      </w:r>
    </w:p>
    <w:p w14:paraId="21163092"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المرسوم التشريعي رقم /172/ لعام 2017، تخفيض الرسوم الجمركية بنسبة 50% على المواد الأولية ومدخلات الإنتاج اللازمة للصناعات المحاية.</w:t>
      </w:r>
    </w:p>
    <w:p w14:paraId="6B520962"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المرسوم التشريعي رقم /3/ للعام 2020، القاضي بتعديل المادة الثانية من المرسوم التشريعي رقم /54/ للعام 2013، منع التعامل بغير الليرة السورية كوسيلة للمدفوعات.</w:t>
      </w:r>
    </w:p>
    <w:p w14:paraId="453EE538"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 xml:space="preserve">قرار مجلس الوزراء رقم /5938/ </w:t>
      </w:r>
      <w:r w:rsidRPr="009A472B">
        <w:rPr>
          <w:rFonts w:asciiTheme="majorBidi" w:hAnsiTheme="majorBidi" w:cstheme="majorBidi"/>
          <w:sz w:val="24"/>
          <w:szCs w:val="24"/>
          <w:rtl/>
          <w:lang w:val="en-US" w:bidi="ar-SY"/>
        </w:rPr>
        <w:t>لعام</w:t>
      </w:r>
      <w:r w:rsidRPr="009A472B">
        <w:rPr>
          <w:rFonts w:asciiTheme="majorBidi" w:hAnsiTheme="majorBidi" w:cstheme="majorBidi"/>
          <w:sz w:val="24"/>
          <w:szCs w:val="24"/>
          <w:rtl/>
          <w:lang w:val="ru-RU"/>
        </w:rPr>
        <w:t xml:space="preserve"> </w:t>
      </w:r>
      <w:r w:rsidRPr="009A472B">
        <w:rPr>
          <w:rFonts w:asciiTheme="majorBidi" w:hAnsiTheme="majorBidi" w:cstheme="majorBidi"/>
          <w:sz w:val="24"/>
          <w:szCs w:val="24"/>
          <w:lang w:val="en-US"/>
        </w:rPr>
        <w:t>2011</w:t>
      </w:r>
      <w:r w:rsidRPr="009A472B">
        <w:rPr>
          <w:rFonts w:asciiTheme="majorBidi" w:hAnsiTheme="majorBidi" w:cstheme="majorBidi"/>
          <w:sz w:val="24"/>
          <w:szCs w:val="24"/>
          <w:rtl/>
          <w:lang w:val="ru-RU"/>
        </w:rPr>
        <w:t>، نسبة الاحتياطي الإلزامي.</w:t>
      </w:r>
    </w:p>
    <w:p w14:paraId="18EC6F7C"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 xml:space="preserve">قرار مجلس الوزراء رقم /1763/ </w:t>
      </w:r>
      <w:r w:rsidRPr="009A472B">
        <w:rPr>
          <w:rFonts w:asciiTheme="majorBidi" w:hAnsiTheme="majorBidi" w:cstheme="majorBidi"/>
          <w:sz w:val="24"/>
          <w:szCs w:val="24"/>
          <w:rtl/>
          <w:lang w:val="en-US" w:bidi="ar-SY"/>
        </w:rPr>
        <w:t>لعام</w:t>
      </w:r>
      <w:r w:rsidRPr="009A472B">
        <w:rPr>
          <w:rFonts w:asciiTheme="majorBidi" w:hAnsiTheme="majorBidi" w:cstheme="majorBidi"/>
          <w:sz w:val="24"/>
          <w:szCs w:val="24"/>
          <w:rtl/>
          <w:lang w:val="ru-RU"/>
        </w:rPr>
        <w:t xml:space="preserve"> 2016، تحديد أسعار الكهرباء المنتجة من مشاريع وأنظمة الطاقات المتجددة.</w:t>
      </w:r>
    </w:p>
    <w:p w14:paraId="417DAF3B" w14:textId="77777777" w:rsidR="00AC6ECD" w:rsidRPr="009A472B" w:rsidRDefault="00AC6ECD"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القرار رقم /364/ لعام 2012، السماح باستثمار المشاريع المنفذة بمدة أقل.</w:t>
      </w:r>
    </w:p>
    <w:p w14:paraId="02E55BF5" w14:textId="0C5BC1F8" w:rsidR="00CD169E" w:rsidRPr="009A472B" w:rsidRDefault="00CD169E" w:rsidP="007039D3">
      <w:pPr>
        <w:suppressAutoHyphens/>
        <w:autoSpaceDE w:val="0"/>
        <w:spacing w:line="240" w:lineRule="auto"/>
        <w:jc w:val="center"/>
        <w:rPr>
          <w:rFonts w:asciiTheme="majorBidi" w:hAnsiTheme="majorBidi" w:cstheme="majorBidi"/>
          <w:sz w:val="24"/>
          <w:szCs w:val="24"/>
          <w:lang w:val="ru-RU"/>
        </w:rPr>
      </w:pPr>
      <w:r w:rsidRPr="009A472B">
        <w:rPr>
          <w:rFonts w:asciiTheme="majorBidi" w:hAnsiTheme="majorBidi" w:cstheme="majorBidi"/>
          <w:sz w:val="24"/>
          <w:szCs w:val="24"/>
        </w:rPr>
        <w:t>Books</w:t>
      </w:r>
    </w:p>
    <w:p w14:paraId="34057356"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Ahmed P.A., Fang X. Project finance in developing countries. World Bank Publications, 1999. 102 p. </w:t>
      </w:r>
    </w:p>
    <w:p w14:paraId="50267FF6"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Alfen</w:t>
      </w:r>
      <w:proofErr w:type="spellEnd"/>
      <w:r w:rsidRPr="009A472B">
        <w:rPr>
          <w:rFonts w:asciiTheme="majorBidi" w:hAnsiTheme="majorBidi" w:cstheme="majorBidi"/>
          <w:sz w:val="24"/>
          <w:szCs w:val="24"/>
        </w:rPr>
        <w:t xml:space="preserve"> H.W., Weber B. Infrastructure as an Asset Class: Investment Strategies, Project Finance and PPP. 2010. 286 p.</w:t>
      </w:r>
    </w:p>
    <w:p w14:paraId="7007E96A"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Benoit P. Project finance at the World Bank: an overview of policies and instruments. The World Bank, 1996. 110 p.</w:t>
      </w:r>
    </w:p>
    <w:p w14:paraId="7A927AAB" w14:textId="365F134E"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Bernstein P.L., Bernstein PL. Against the </w:t>
      </w:r>
      <w:r w:rsidR="003E6755">
        <w:rPr>
          <w:rFonts w:asciiTheme="majorBidi" w:hAnsiTheme="majorBidi" w:cstheme="majorBidi"/>
          <w:sz w:val="24"/>
          <w:szCs w:val="24"/>
        </w:rPr>
        <w:t>G</w:t>
      </w:r>
      <w:r w:rsidRPr="009A472B">
        <w:rPr>
          <w:rFonts w:asciiTheme="majorBidi" w:hAnsiTheme="majorBidi" w:cstheme="majorBidi"/>
          <w:sz w:val="24"/>
          <w:szCs w:val="24"/>
        </w:rPr>
        <w:t>ods: The remarkable story of risk. New York: Wiley, 1996. 364 p.</w:t>
      </w:r>
    </w:p>
    <w:p w14:paraId="6078F95D"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Caselli S., Gatti S., editors. Structured finance: Techniques, products and market. Springer, 2017. 1456 p.</w:t>
      </w:r>
    </w:p>
    <w:p w14:paraId="1C035FBF"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Çakmak</w:t>
      </w:r>
      <w:proofErr w:type="spellEnd"/>
      <w:r w:rsidRPr="009A472B">
        <w:rPr>
          <w:rFonts w:asciiTheme="majorBidi" w:hAnsiTheme="majorBidi" w:cstheme="majorBidi"/>
          <w:sz w:val="24"/>
          <w:szCs w:val="24"/>
        </w:rPr>
        <w:t xml:space="preserve"> C., </w:t>
      </w:r>
      <w:proofErr w:type="spellStart"/>
      <w:r w:rsidRPr="009A472B">
        <w:rPr>
          <w:rFonts w:asciiTheme="majorBidi" w:hAnsiTheme="majorBidi" w:cstheme="majorBidi"/>
          <w:sz w:val="24"/>
          <w:szCs w:val="24"/>
        </w:rPr>
        <w:t>Ustaoglu</w:t>
      </w:r>
      <w:proofErr w:type="spellEnd"/>
      <w:r w:rsidRPr="009A472B">
        <w:rPr>
          <w:rFonts w:asciiTheme="majorBidi" w:hAnsiTheme="majorBidi" w:cstheme="majorBidi"/>
          <w:sz w:val="24"/>
          <w:szCs w:val="24"/>
        </w:rPr>
        <w:t xml:space="preserve"> M. Post-conflict Syrian state and nation building: Economic and political development. Springer, 2015. 128 p.</w:t>
      </w:r>
    </w:p>
    <w:p w14:paraId="487CD8A2"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Clews R. Project finance for the international petroleum industry. Academic Press, 2016. 416 p.</w:t>
      </w:r>
    </w:p>
    <w:p w14:paraId="788FAC2B"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Davis H.A. Project finance: Practical case studies. London: Euromoney Publications, 1996. 252 p.</w:t>
      </w:r>
    </w:p>
    <w:p w14:paraId="3ACCEE59"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Sapte</w:t>
      </w:r>
      <w:proofErr w:type="spellEnd"/>
      <w:r w:rsidRPr="009A472B">
        <w:rPr>
          <w:rFonts w:asciiTheme="majorBidi" w:hAnsiTheme="majorBidi" w:cstheme="majorBidi"/>
          <w:sz w:val="24"/>
          <w:szCs w:val="24"/>
        </w:rPr>
        <w:t xml:space="preserve"> D.W. A guide to Project Finance. London: Denton Wilde </w:t>
      </w:r>
      <w:proofErr w:type="spellStart"/>
      <w:r w:rsidRPr="009A472B">
        <w:rPr>
          <w:rFonts w:asciiTheme="majorBidi" w:hAnsiTheme="majorBidi" w:cstheme="majorBidi"/>
          <w:sz w:val="24"/>
          <w:szCs w:val="24"/>
        </w:rPr>
        <w:t>Sapte</w:t>
      </w:r>
      <w:proofErr w:type="spellEnd"/>
      <w:r w:rsidRPr="009A472B">
        <w:rPr>
          <w:rFonts w:asciiTheme="majorBidi" w:hAnsiTheme="majorBidi" w:cstheme="majorBidi"/>
          <w:sz w:val="24"/>
          <w:szCs w:val="24"/>
        </w:rPr>
        <w:t>, 2004. 80 p.</w:t>
      </w:r>
    </w:p>
    <w:p w14:paraId="62E0A891"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Dewar J., editor. International project finance: law and practice. Oxford University Press, 2011. 559 p.</w:t>
      </w:r>
    </w:p>
    <w:p w14:paraId="5FAFB384"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Elbashir</w:t>
      </w:r>
      <w:proofErr w:type="spellEnd"/>
      <w:r w:rsidRPr="009A472B">
        <w:rPr>
          <w:rFonts w:asciiTheme="majorBidi" w:hAnsiTheme="majorBidi" w:cstheme="majorBidi"/>
          <w:sz w:val="24"/>
          <w:szCs w:val="24"/>
        </w:rPr>
        <w:t xml:space="preserve"> N.O., El-</w:t>
      </w:r>
      <w:proofErr w:type="spellStart"/>
      <w:r w:rsidRPr="009A472B">
        <w:rPr>
          <w:rFonts w:asciiTheme="majorBidi" w:hAnsiTheme="majorBidi" w:cstheme="majorBidi"/>
          <w:sz w:val="24"/>
          <w:szCs w:val="24"/>
        </w:rPr>
        <w:t>Halwagi</w:t>
      </w:r>
      <w:proofErr w:type="spellEnd"/>
      <w:r w:rsidRPr="009A472B">
        <w:rPr>
          <w:rFonts w:asciiTheme="majorBidi" w:hAnsiTheme="majorBidi" w:cstheme="majorBidi"/>
          <w:sz w:val="24"/>
          <w:szCs w:val="24"/>
        </w:rPr>
        <w:t xml:space="preserve"> M.M., Economou I.G., Hall, K.R. Natural Gas Processing from Midstream to Downstream. John Wiley &amp; Sons, 2019. 584 p.</w:t>
      </w:r>
    </w:p>
    <w:p w14:paraId="7286BDEB"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Fabozzi F.J., de </w:t>
      </w:r>
      <w:proofErr w:type="spellStart"/>
      <w:r w:rsidRPr="009A472B">
        <w:rPr>
          <w:rFonts w:asciiTheme="majorBidi" w:hAnsiTheme="majorBidi" w:cstheme="majorBidi"/>
          <w:sz w:val="24"/>
          <w:szCs w:val="24"/>
        </w:rPr>
        <w:t>Nahlik</w:t>
      </w:r>
      <w:proofErr w:type="spellEnd"/>
      <w:r w:rsidRPr="009A472B">
        <w:rPr>
          <w:rFonts w:asciiTheme="majorBidi" w:hAnsiTheme="majorBidi" w:cstheme="majorBidi"/>
          <w:sz w:val="24"/>
          <w:szCs w:val="24"/>
        </w:rPr>
        <w:t xml:space="preserve"> C. Project financing 8th edition. 2012. 550 p.</w:t>
      </w:r>
    </w:p>
    <w:p w14:paraId="3630E0F3"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Fight A. Introduction to project finance. Elsevier, 2005. 205 p.</w:t>
      </w:r>
    </w:p>
    <w:p w14:paraId="0C32986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Finnerty J.D. Project financing. Asset-based financial engineering. Wiley &amp; Sons, 2013. 560 p.</w:t>
      </w:r>
    </w:p>
    <w:p w14:paraId="0C0E78C0"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lastRenderedPageBreak/>
        <w:t>Gatti S. Project Finance in Theory and Practice: Designing, Structuring, and Financing Private and Public Projects. Academic Press, 2012. 496 p.</w:t>
      </w:r>
    </w:p>
    <w:p w14:paraId="223B077D"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Hoffman S.L. The law and business of international project finance: a resource for governments, sponsors, lawyers, and project participants. Cambridge University Press, 2007. 474 p.</w:t>
      </w:r>
    </w:p>
    <w:p w14:paraId="4D9B008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Khan M.F., Parra R.J. Financing large projects: using project finance techniques and practices. Singapore: Pearson Prentice Hall, 2003. 672 p.</w:t>
      </w:r>
    </w:p>
    <w:p w14:paraId="4E711FA0"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Lynch P. Financial modelling for project finance. Euromoney Publications, 2010. 212 p.</w:t>
      </w:r>
    </w:p>
    <w:p w14:paraId="64D7275F"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Megginson W.L., Smart S.B. Introduction to corporate finance. Nelson Education, 2008. 886 p.</w:t>
      </w:r>
    </w:p>
    <w:p w14:paraId="2D0E5715"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Morrison M.R., editor. The Principles of Project Finance. Gower Publishing, Ltd., 2012. 528 p.</w:t>
      </w:r>
    </w:p>
    <w:p w14:paraId="1A2F85D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Nevitt P.K., Fabozzi F.J. Project financing. London, U.K.: Euromoney Books, 7th edition, 2000. 498 p.</w:t>
      </w:r>
    </w:p>
    <w:p w14:paraId="2C2F42D5"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Tan W. Principles of project and infrastructure finance. Routledge, 2007. 280 p.</w:t>
      </w:r>
    </w:p>
    <w:p w14:paraId="2C23AD29"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Tinsley R. Advanced project financing: Structuring risk. Euromoney Books, 2000. 436 p. </w:t>
      </w:r>
    </w:p>
    <w:p w14:paraId="6FB6D82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Triantis J.R. Project finance for business development. John Wiley &amp; Sons, 2018. 400 p.</w:t>
      </w:r>
    </w:p>
    <w:p w14:paraId="54905831"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Merna T., Chu Y., Al-Thani F.F. Project finance in construction: A structured guide to assessment. John Wiley &amp; Sons, 2010. 174 p.</w:t>
      </w:r>
    </w:p>
    <w:p w14:paraId="409436D4"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Yescombe E.R. Principles of project finance. Academic Press, 2013. 560 p.</w:t>
      </w:r>
    </w:p>
    <w:p w14:paraId="1108337E" w14:textId="153F50DA"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Yescombe E.R. Public-Private Partnerships: principles of policy and finance. Elsevier, Springer-Verlag, 2008. 368 p.</w:t>
      </w:r>
    </w:p>
    <w:p w14:paraId="414FC65C"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lang w:val="ru-RU"/>
        </w:rPr>
        <w:t>Калмыкова Г.С. Проектное финансирование: мировой опыт и перспективы для России. Экономические и социальные проблемы глобальной мировой финансовой системы, 2012. 312 с.</w:t>
      </w:r>
    </w:p>
    <w:p w14:paraId="4CCF7FA5"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lang w:val="ru-RU"/>
        </w:rPr>
        <w:t xml:space="preserve">Катасонов В.Ю., Морозов Д.С. Проектное финансирование: организация, управление риском, страхование. М.: </w:t>
      </w:r>
      <w:proofErr w:type="spellStart"/>
      <w:r w:rsidRPr="009A472B">
        <w:rPr>
          <w:rFonts w:asciiTheme="majorBidi" w:hAnsiTheme="majorBidi" w:cstheme="majorBidi"/>
          <w:sz w:val="24"/>
          <w:szCs w:val="24"/>
          <w:lang w:val="ru-RU"/>
        </w:rPr>
        <w:t>Анкил</w:t>
      </w:r>
      <w:proofErr w:type="spellEnd"/>
      <w:r w:rsidRPr="009A472B">
        <w:rPr>
          <w:rFonts w:asciiTheme="majorBidi" w:hAnsiTheme="majorBidi" w:cstheme="majorBidi"/>
          <w:sz w:val="24"/>
          <w:szCs w:val="24"/>
          <w:lang w:val="ru-RU"/>
        </w:rPr>
        <w:t>, 2000. 270 с.</w:t>
      </w:r>
    </w:p>
    <w:p w14:paraId="4F60AE9D"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lang w:val="ru-RU"/>
        </w:rPr>
        <w:t xml:space="preserve">Никонова И.А., Смирнов А.Л. Проектное финансирование в России. Проблемы и направления развития. М.: </w:t>
      </w:r>
      <w:proofErr w:type="spellStart"/>
      <w:r w:rsidRPr="009A472B">
        <w:rPr>
          <w:rFonts w:asciiTheme="majorBidi" w:hAnsiTheme="majorBidi" w:cstheme="majorBidi"/>
          <w:sz w:val="24"/>
          <w:szCs w:val="24"/>
          <w:lang w:val="ru-RU"/>
        </w:rPr>
        <w:t>Консалтбанкир</w:t>
      </w:r>
      <w:proofErr w:type="spellEnd"/>
      <w:r w:rsidRPr="009A472B">
        <w:rPr>
          <w:rFonts w:asciiTheme="majorBidi" w:hAnsiTheme="majorBidi" w:cstheme="majorBidi"/>
          <w:sz w:val="24"/>
          <w:szCs w:val="24"/>
          <w:lang w:val="ru-RU"/>
        </w:rPr>
        <w:t xml:space="preserve">, 2016. </w:t>
      </w:r>
      <w:r w:rsidRPr="009A472B">
        <w:rPr>
          <w:rFonts w:asciiTheme="majorBidi" w:hAnsiTheme="majorBidi" w:cstheme="majorBidi"/>
          <w:sz w:val="24"/>
          <w:szCs w:val="24"/>
        </w:rPr>
        <w:t xml:space="preserve">216 с. </w:t>
      </w:r>
    </w:p>
    <w:p w14:paraId="4B17966D"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lang w:val="ru-RU"/>
        </w:rPr>
        <w:t xml:space="preserve">Никонова И.А. Проектный анализ и проектное финансирование. </w:t>
      </w:r>
      <w:r w:rsidRPr="009A472B">
        <w:rPr>
          <w:rFonts w:asciiTheme="majorBidi" w:hAnsiTheme="majorBidi" w:cstheme="majorBidi"/>
          <w:sz w:val="24"/>
          <w:szCs w:val="24"/>
        </w:rPr>
        <w:t xml:space="preserve">M.: </w:t>
      </w:r>
      <w:proofErr w:type="spellStart"/>
      <w:r w:rsidRPr="009A472B">
        <w:rPr>
          <w:rFonts w:asciiTheme="majorBidi" w:hAnsiTheme="majorBidi" w:cstheme="majorBidi"/>
          <w:sz w:val="24"/>
          <w:szCs w:val="24"/>
        </w:rPr>
        <w:t>Альпина</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Паблишер</w:t>
      </w:r>
      <w:proofErr w:type="spellEnd"/>
      <w:r w:rsidRPr="009A472B">
        <w:rPr>
          <w:rFonts w:asciiTheme="majorBidi" w:hAnsiTheme="majorBidi" w:cstheme="majorBidi"/>
          <w:sz w:val="24"/>
          <w:szCs w:val="24"/>
        </w:rPr>
        <w:t xml:space="preserve">, 2012. - 153 с. </w:t>
      </w:r>
    </w:p>
    <w:p w14:paraId="62F2A1D2"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lang w:val="ru-RU"/>
        </w:rPr>
        <w:t xml:space="preserve">Родионов И.И., Божья-Воля Р.Н. Проектное финансирование. </w:t>
      </w:r>
      <w:proofErr w:type="spellStart"/>
      <w:r w:rsidRPr="009A472B">
        <w:rPr>
          <w:rFonts w:asciiTheme="majorBidi" w:hAnsiTheme="majorBidi" w:cstheme="majorBidi"/>
          <w:sz w:val="24"/>
          <w:szCs w:val="24"/>
        </w:rPr>
        <w:t>СПб</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Алетейя</w:t>
      </w:r>
      <w:proofErr w:type="spellEnd"/>
      <w:r w:rsidRPr="009A472B">
        <w:rPr>
          <w:rFonts w:asciiTheme="majorBidi" w:hAnsiTheme="majorBidi" w:cstheme="majorBidi"/>
          <w:sz w:val="24"/>
          <w:szCs w:val="24"/>
        </w:rPr>
        <w:t xml:space="preserve">, 2015. 345 с. </w:t>
      </w:r>
    </w:p>
    <w:p w14:paraId="1136E768"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lang w:val="ru-RU"/>
        </w:rPr>
        <w:t xml:space="preserve">Смирнов А.Л. Проектное финансирование: инструменты и технологии: Монография. </w:t>
      </w:r>
      <w:r w:rsidRPr="009A472B">
        <w:rPr>
          <w:rFonts w:asciiTheme="majorBidi" w:hAnsiTheme="majorBidi" w:cstheme="majorBidi"/>
          <w:sz w:val="24"/>
          <w:szCs w:val="24"/>
        </w:rPr>
        <w:t xml:space="preserve">М.: МАКС </w:t>
      </w:r>
      <w:proofErr w:type="spellStart"/>
      <w:r w:rsidRPr="009A472B">
        <w:rPr>
          <w:rFonts w:asciiTheme="majorBidi" w:hAnsiTheme="majorBidi" w:cstheme="majorBidi"/>
          <w:sz w:val="24"/>
          <w:szCs w:val="24"/>
        </w:rPr>
        <w:t>Пресс</w:t>
      </w:r>
      <w:proofErr w:type="spellEnd"/>
      <w:r w:rsidRPr="009A472B">
        <w:rPr>
          <w:rFonts w:asciiTheme="majorBidi" w:hAnsiTheme="majorBidi" w:cstheme="majorBidi"/>
          <w:sz w:val="24"/>
          <w:szCs w:val="24"/>
        </w:rPr>
        <w:t xml:space="preserve">, 2013. 457 с. </w:t>
      </w:r>
    </w:p>
    <w:p w14:paraId="6ED990F1" w14:textId="4E6A2CC9"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lang w:val="ru-RU"/>
        </w:rPr>
        <w:t xml:space="preserve">Федотова М.А., Никонова И.А., Лысова Н.А. Проектное финансирование и анализ. М.: </w:t>
      </w:r>
      <w:proofErr w:type="spellStart"/>
      <w:r w:rsidRPr="009A472B">
        <w:rPr>
          <w:rFonts w:asciiTheme="majorBidi" w:hAnsiTheme="majorBidi" w:cstheme="majorBidi"/>
          <w:sz w:val="24"/>
          <w:szCs w:val="24"/>
          <w:lang w:val="ru-RU"/>
        </w:rPr>
        <w:t>Юрайт</w:t>
      </w:r>
      <w:proofErr w:type="spellEnd"/>
      <w:r w:rsidRPr="009A472B">
        <w:rPr>
          <w:rFonts w:asciiTheme="majorBidi" w:hAnsiTheme="majorBidi" w:cstheme="majorBidi"/>
          <w:sz w:val="24"/>
          <w:szCs w:val="24"/>
          <w:lang w:val="ru-RU"/>
        </w:rPr>
        <w:t>, 2014. 144 с.</w:t>
      </w:r>
    </w:p>
    <w:p w14:paraId="252FCE0A" w14:textId="77777777" w:rsidR="000E4247" w:rsidRPr="009A472B" w:rsidRDefault="000E4247"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t>Thesis and Dissertations</w:t>
      </w:r>
    </w:p>
    <w:p w14:paraId="3EE2555F"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Busse J. Forfaiting: an alternative financing model to project finance for PPPs? Doctoral dissertation, </w:t>
      </w:r>
      <w:proofErr w:type="spellStart"/>
      <w:r w:rsidRPr="009A472B">
        <w:rPr>
          <w:rFonts w:asciiTheme="majorBidi" w:hAnsiTheme="majorBidi" w:cstheme="majorBidi"/>
          <w:sz w:val="24"/>
          <w:szCs w:val="24"/>
        </w:rPr>
        <w:t>Universidade</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Católica</w:t>
      </w:r>
      <w:proofErr w:type="spellEnd"/>
      <w:r w:rsidRPr="009A472B">
        <w:rPr>
          <w:rFonts w:asciiTheme="majorBidi" w:hAnsiTheme="majorBidi" w:cstheme="majorBidi"/>
          <w:sz w:val="24"/>
          <w:szCs w:val="24"/>
        </w:rPr>
        <w:t xml:space="preserve"> Portuguesa, 2014.</w:t>
      </w:r>
    </w:p>
    <w:p w14:paraId="0BF20058"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Morgan R.S. Project finance: analysis and cases. Doctoral dissertation, Massachusetts Institute of Technology, 1976.</w:t>
      </w:r>
    </w:p>
    <w:p w14:paraId="5994D76B" w14:textId="179D09E6" w:rsidR="000E4247"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bookmarkStart w:id="3" w:name="_Hlk9533065"/>
      <w:r w:rsidRPr="009A472B">
        <w:rPr>
          <w:rFonts w:asciiTheme="majorBidi" w:hAnsiTheme="majorBidi" w:cstheme="majorBidi"/>
          <w:sz w:val="24"/>
          <w:szCs w:val="24"/>
        </w:rPr>
        <w:lastRenderedPageBreak/>
        <w:t xml:space="preserve">Wang S. Project Investment and Project Financing: A study on Business Case and Financing Models. Master thesis, </w:t>
      </w:r>
      <w:proofErr w:type="spellStart"/>
      <w:r w:rsidRPr="009A472B">
        <w:rPr>
          <w:rFonts w:asciiTheme="majorBidi" w:hAnsiTheme="majorBidi" w:cstheme="majorBidi"/>
          <w:sz w:val="24"/>
          <w:szCs w:val="24"/>
        </w:rPr>
        <w:t>Institutt</w:t>
      </w:r>
      <w:proofErr w:type="spellEnd"/>
      <w:r w:rsidRPr="009A472B">
        <w:rPr>
          <w:rFonts w:asciiTheme="majorBidi" w:hAnsiTheme="majorBidi" w:cstheme="majorBidi"/>
          <w:sz w:val="24"/>
          <w:szCs w:val="24"/>
        </w:rPr>
        <w:t xml:space="preserve"> for </w:t>
      </w:r>
      <w:proofErr w:type="spellStart"/>
      <w:r w:rsidRPr="009A472B">
        <w:rPr>
          <w:rFonts w:asciiTheme="majorBidi" w:hAnsiTheme="majorBidi" w:cstheme="majorBidi"/>
          <w:sz w:val="24"/>
          <w:szCs w:val="24"/>
        </w:rPr>
        <w:t>produksjons-og</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kvalitetsteknikk</w:t>
      </w:r>
      <w:proofErr w:type="spellEnd"/>
      <w:r w:rsidRPr="009A472B">
        <w:rPr>
          <w:rFonts w:asciiTheme="majorBidi" w:hAnsiTheme="majorBidi" w:cstheme="majorBidi"/>
          <w:sz w:val="24"/>
          <w:szCs w:val="24"/>
        </w:rPr>
        <w:t>, 2012</w:t>
      </w:r>
      <w:bookmarkEnd w:id="3"/>
      <w:r w:rsidRPr="009A472B">
        <w:rPr>
          <w:rFonts w:asciiTheme="majorBidi" w:hAnsiTheme="majorBidi" w:cstheme="majorBidi"/>
          <w:sz w:val="24"/>
          <w:szCs w:val="24"/>
        </w:rPr>
        <w:t>.</w:t>
      </w:r>
    </w:p>
    <w:p w14:paraId="7E916B28" w14:textId="5DAB264F" w:rsidR="00354DC4" w:rsidRPr="00354DC4" w:rsidRDefault="00354DC4" w:rsidP="007039D3">
      <w:pPr>
        <w:pStyle w:val="ListParagraph"/>
        <w:numPr>
          <w:ilvl w:val="0"/>
          <w:numId w:val="40"/>
        </w:numPr>
        <w:suppressAutoHyphens/>
        <w:autoSpaceDE w:val="0"/>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lang w:val="ru-RU"/>
        </w:rPr>
        <w:t>Титов В.О. Проектное финансирование инновационных инвестиционных проектов. Докторская диссертация, Санкт-Петербург, 2014. 194 с.</w:t>
      </w:r>
    </w:p>
    <w:p w14:paraId="02AC1F66" w14:textId="77777777" w:rsidR="00CD169E" w:rsidRPr="009A472B" w:rsidRDefault="00CD169E"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t>Journals</w:t>
      </w:r>
    </w:p>
    <w:p w14:paraId="203D4F7E" w14:textId="3317297C"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Alexander A.J. Shifting title and risk: Islamic project finance with western partners. Mich. J. Int'l L. </w:t>
      </w:r>
      <w:proofErr w:type="gramStart"/>
      <w:r w:rsidRPr="009A472B">
        <w:rPr>
          <w:rFonts w:asciiTheme="majorBidi" w:hAnsiTheme="majorBidi" w:cstheme="majorBidi"/>
          <w:sz w:val="24"/>
          <w:szCs w:val="24"/>
        </w:rPr>
        <w:t>2010;32:571</w:t>
      </w:r>
      <w:proofErr w:type="gramEnd"/>
      <w:r w:rsidR="00F5219E">
        <w:rPr>
          <w:rFonts w:asciiTheme="majorBidi" w:hAnsiTheme="majorBidi" w:cstheme="majorBidi"/>
          <w:sz w:val="24"/>
          <w:szCs w:val="24"/>
        </w:rPr>
        <w:t>-612</w:t>
      </w:r>
      <w:r w:rsidRPr="009A472B">
        <w:rPr>
          <w:rFonts w:asciiTheme="majorBidi" w:hAnsiTheme="majorBidi" w:cstheme="majorBidi"/>
          <w:sz w:val="24"/>
          <w:szCs w:val="24"/>
        </w:rPr>
        <w:t xml:space="preserve">. </w:t>
      </w:r>
    </w:p>
    <w:p w14:paraId="6B1F5A88" w14:textId="096C5FC6"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Atalla T., </w:t>
      </w:r>
      <w:proofErr w:type="spellStart"/>
      <w:r w:rsidRPr="009A472B">
        <w:rPr>
          <w:rFonts w:asciiTheme="majorBidi" w:hAnsiTheme="majorBidi" w:cstheme="majorBidi"/>
          <w:sz w:val="24"/>
          <w:szCs w:val="24"/>
        </w:rPr>
        <w:t>D</w:t>
      </w:r>
      <w:r w:rsidR="00E20029" w:rsidRPr="009A472B">
        <w:rPr>
          <w:rFonts w:asciiTheme="majorBidi" w:hAnsiTheme="majorBidi" w:cstheme="majorBidi"/>
          <w:sz w:val="24"/>
          <w:szCs w:val="24"/>
        </w:rPr>
        <w:t>'</w:t>
      </w:r>
      <w:r w:rsidRPr="009A472B">
        <w:rPr>
          <w:rFonts w:asciiTheme="majorBidi" w:hAnsiTheme="majorBidi" w:cstheme="majorBidi"/>
          <w:sz w:val="24"/>
          <w:szCs w:val="24"/>
        </w:rPr>
        <w:t>Errico</w:t>
      </w:r>
      <w:proofErr w:type="spellEnd"/>
      <w:r w:rsidRPr="009A472B">
        <w:rPr>
          <w:rFonts w:asciiTheme="majorBidi" w:hAnsiTheme="majorBidi" w:cstheme="majorBidi"/>
          <w:sz w:val="24"/>
          <w:szCs w:val="24"/>
        </w:rPr>
        <w:t xml:space="preserve"> M.C. Energy project financing in the GCC region: An empirical investigation. Energy Transitions. 2019;3(1–2):13–30.</w:t>
      </w:r>
    </w:p>
    <w:p w14:paraId="2CE1085F"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Baghdadi A., </w:t>
      </w:r>
      <w:proofErr w:type="spellStart"/>
      <w:r w:rsidRPr="009A472B">
        <w:rPr>
          <w:rFonts w:asciiTheme="majorBidi" w:hAnsiTheme="majorBidi" w:cstheme="majorBidi"/>
          <w:sz w:val="24"/>
          <w:szCs w:val="24"/>
        </w:rPr>
        <w:t>Kishk</w:t>
      </w:r>
      <w:proofErr w:type="spellEnd"/>
      <w:r w:rsidRPr="009A472B">
        <w:rPr>
          <w:rFonts w:asciiTheme="majorBidi" w:hAnsiTheme="majorBidi" w:cstheme="majorBidi"/>
          <w:sz w:val="24"/>
          <w:szCs w:val="24"/>
        </w:rPr>
        <w:t xml:space="preserve"> M. Saudi Arabian aviation construction projects: Identification of risks and their consequences. Procedia Engineering. 2015 Jan </w:t>
      </w:r>
      <w:proofErr w:type="gramStart"/>
      <w:r w:rsidRPr="009A472B">
        <w:rPr>
          <w:rFonts w:asciiTheme="majorBidi" w:hAnsiTheme="majorBidi" w:cstheme="majorBidi"/>
          <w:sz w:val="24"/>
          <w:szCs w:val="24"/>
        </w:rPr>
        <w:t>1;123:32</w:t>
      </w:r>
      <w:proofErr w:type="gramEnd"/>
      <w:r w:rsidRPr="009A472B">
        <w:rPr>
          <w:rFonts w:asciiTheme="majorBidi" w:hAnsiTheme="majorBidi" w:cstheme="majorBidi"/>
          <w:sz w:val="24"/>
          <w:szCs w:val="24"/>
        </w:rPr>
        <w:t xml:space="preserve">-40. </w:t>
      </w:r>
    </w:p>
    <w:p w14:paraId="500AECD1"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Benkovic</w:t>
      </w:r>
      <w:proofErr w:type="spellEnd"/>
      <w:r w:rsidRPr="009A472B">
        <w:rPr>
          <w:rFonts w:asciiTheme="majorBidi" w:hAnsiTheme="majorBidi" w:cstheme="majorBidi"/>
          <w:sz w:val="24"/>
          <w:szCs w:val="24"/>
        </w:rPr>
        <w:t xml:space="preserve"> S., Milosavljevic M. Advantages and disadvantages of project financing. Manage. </w:t>
      </w:r>
      <w:proofErr w:type="gramStart"/>
      <w:r w:rsidRPr="009A472B">
        <w:rPr>
          <w:rFonts w:asciiTheme="majorBidi" w:hAnsiTheme="majorBidi" w:cstheme="majorBidi"/>
          <w:sz w:val="24"/>
          <w:szCs w:val="24"/>
        </w:rPr>
        <w:t>2009;52:31</w:t>
      </w:r>
      <w:proofErr w:type="gramEnd"/>
      <w:r w:rsidRPr="009A472B">
        <w:rPr>
          <w:rFonts w:asciiTheme="majorBidi" w:hAnsiTheme="majorBidi" w:cstheme="majorBidi"/>
          <w:sz w:val="24"/>
          <w:szCs w:val="24"/>
        </w:rPr>
        <w:t>-9.</w:t>
      </w:r>
    </w:p>
    <w:p w14:paraId="4E2BF2A1" w14:textId="789AD190"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Daher J. The political economic context of Syria's reconstruction: a prospective in light of a legacy of unequal development. Middle East Directions (MED)</w:t>
      </w:r>
      <w:r w:rsidR="003A1750" w:rsidRPr="009A472B">
        <w:rPr>
          <w:rFonts w:asciiTheme="majorBidi" w:hAnsiTheme="majorBidi" w:cstheme="majorBidi"/>
          <w:sz w:val="24"/>
          <w:szCs w:val="24"/>
        </w:rPr>
        <w:t>,</w:t>
      </w:r>
      <w:r w:rsidRPr="009A472B">
        <w:rPr>
          <w:rFonts w:asciiTheme="majorBidi" w:hAnsiTheme="majorBidi" w:cstheme="majorBidi"/>
          <w:sz w:val="24"/>
          <w:szCs w:val="24"/>
        </w:rPr>
        <w:t xml:space="preserve"> Wartime and Post-Conflict in Syria, European University Institute. 2018.</w:t>
      </w:r>
    </w:p>
    <w:p w14:paraId="0707E920"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Farooq M.O., Selim M. Conceptualization of the real economy and Islamic finance: Transformation beyond the asset</w:t>
      </w:r>
      <w:r w:rsidRPr="009A472B">
        <w:rPr>
          <w:rFonts w:ascii="Cambria Math" w:hAnsi="Cambria Math" w:cs="Cambria Math"/>
          <w:sz w:val="24"/>
          <w:szCs w:val="24"/>
        </w:rPr>
        <w:t>‐</w:t>
      </w:r>
      <w:r w:rsidRPr="009A472B">
        <w:rPr>
          <w:rFonts w:asciiTheme="majorBidi" w:hAnsiTheme="majorBidi" w:cstheme="majorBidi"/>
          <w:sz w:val="24"/>
          <w:szCs w:val="24"/>
        </w:rPr>
        <w:t>link rhetoric. Thunderbird International Business Review. 2019 Sep;61(5):685-96.</w:t>
      </w:r>
    </w:p>
    <w:p w14:paraId="3EDF4FD4" w14:textId="686A655F"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Karol R.S. The Separatist Period in Syria, 1961-1963. Asian and African Studies, 2009.75(2):145-68. </w:t>
      </w:r>
    </w:p>
    <w:p w14:paraId="47595AE4"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Kleimeier S., Megginson W.L. Are project finance loans different from other syndicated credits? Journal of Applied Corporate Finance, 2000.13(1):75-87.  </w:t>
      </w:r>
    </w:p>
    <w:p w14:paraId="4A00C0C8"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Kleimeier S., Versteeg R. Project finance as a driver of economic growth in low-income countries. Review of Financial Economics. 2010 Apr 1;19(2):49-59.</w:t>
      </w:r>
    </w:p>
    <w:p w14:paraId="3EF70F60"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Lee K.H., Son S. H. Trends and implications of Islamic Project finance: A study on the GCC region. SSRN Electronic Journal. 2013. DOI: 10.2139/ssrn.2320959</w:t>
      </w:r>
    </w:p>
    <w:p w14:paraId="0619D01F" w14:textId="17058051"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Megginson W</w:t>
      </w:r>
      <w:r w:rsidR="00350AAF" w:rsidRPr="009A472B">
        <w:rPr>
          <w:rFonts w:asciiTheme="majorBidi" w:hAnsiTheme="majorBidi" w:cstheme="majorBidi"/>
          <w:sz w:val="24"/>
          <w:szCs w:val="24"/>
        </w:rPr>
        <w:t>.</w:t>
      </w:r>
      <w:r w:rsidRPr="009A472B">
        <w:rPr>
          <w:rFonts w:asciiTheme="majorBidi" w:hAnsiTheme="majorBidi" w:cstheme="majorBidi"/>
          <w:sz w:val="24"/>
          <w:szCs w:val="24"/>
        </w:rPr>
        <w:t>L. Introduction to the special issue on project finance. Review of Financial Economics. 2010 Apr;19(2):47-8.</w:t>
      </w:r>
    </w:p>
    <w:p w14:paraId="491853D4" w14:textId="3DA75B42" w:rsidR="00137C9D" w:rsidRPr="009A472B" w:rsidRDefault="00137C9D"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Mohammadia M</w:t>
      </w:r>
      <w:r w:rsidR="00BB2BF0" w:rsidRPr="009A472B">
        <w:rPr>
          <w:rFonts w:asciiTheme="majorBidi" w:hAnsiTheme="majorBidi" w:cstheme="majorBidi"/>
          <w:sz w:val="24"/>
          <w:szCs w:val="24"/>
        </w:rPr>
        <w:t>.</w:t>
      </w:r>
      <w:r w:rsidRPr="009A472B">
        <w:rPr>
          <w:rFonts w:asciiTheme="majorBidi" w:hAnsiTheme="majorBidi" w:cstheme="majorBidi"/>
          <w:sz w:val="24"/>
          <w:szCs w:val="24"/>
        </w:rPr>
        <w:t xml:space="preserve">K. Trends of Project Finance in the World Market and in Arab Countries. </w:t>
      </w:r>
      <w:r w:rsidR="00BB2BF0" w:rsidRPr="009A472B">
        <w:rPr>
          <w:rFonts w:asciiTheme="majorBidi" w:hAnsiTheme="majorBidi" w:cstheme="majorBidi"/>
          <w:sz w:val="24"/>
          <w:szCs w:val="24"/>
        </w:rPr>
        <w:t>Finance: Theory and Practice, </w:t>
      </w:r>
      <w:r w:rsidRPr="009A472B">
        <w:rPr>
          <w:rFonts w:asciiTheme="majorBidi" w:hAnsiTheme="majorBidi" w:cstheme="majorBidi"/>
          <w:sz w:val="24"/>
          <w:szCs w:val="24"/>
        </w:rPr>
        <w:t>2020;24(1):24-33.</w:t>
      </w:r>
    </w:p>
    <w:p w14:paraId="2751EDAF" w14:textId="28EAAB36"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Negasi</w:t>
      </w:r>
      <w:proofErr w:type="spellEnd"/>
      <w:r w:rsidRPr="009A472B">
        <w:rPr>
          <w:rFonts w:asciiTheme="majorBidi" w:hAnsiTheme="majorBidi" w:cstheme="majorBidi"/>
          <w:sz w:val="24"/>
          <w:szCs w:val="24"/>
        </w:rPr>
        <w:t xml:space="preserve"> M.I. Financing Higher Education in the Islamic World Through Waqf (Endowment). European Journal of Multidisciplinary Studies. 2017 May 19;2(5):136-42.</w:t>
      </w:r>
    </w:p>
    <w:p w14:paraId="000E0C10"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lang w:val="ru-RU"/>
        </w:rPr>
      </w:pPr>
      <w:proofErr w:type="spellStart"/>
      <w:r w:rsidRPr="009A472B">
        <w:rPr>
          <w:rFonts w:asciiTheme="majorBidi" w:hAnsiTheme="majorBidi" w:cstheme="majorBidi"/>
          <w:sz w:val="24"/>
          <w:szCs w:val="24"/>
          <w:lang w:val="ru-RU"/>
        </w:rPr>
        <w:t>Езангина</w:t>
      </w:r>
      <w:proofErr w:type="spellEnd"/>
      <w:r w:rsidRPr="009A472B">
        <w:rPr>
          <w:rFonts w:asciiTheme="majorBidi" w:hAnsiTheme="majorBidi" w:cstheme="majorBidi"/>
          <w:sz w:val="24"/>
          <w:szCs w:val="24"/>
          <w:lang w:val="ru-RU"/>
        </w:rPr>
        <w:t xml:space="preserve"> И.А., </w:t>
      </w:r>
      <w:proofErr w:type="spellStart"/>
      <w:r w:rsidRPr="009A472B">
        <w:rPr>
          <w:rFonts w:asciiTheme="majorBidi" w:hAnsiTheme="majorBidi" w:cstheme="majorBidi"/>
          <w:sz w:val="24"/>
          <w:szCs w:val="24"/>
          <w:lang w:val="ru-RU"/>
        </w:rPr>
        <w:t>Сторожилов</w:t>
      </w:r>
      <w:proofErr w:type="spellEnd"/>
      <w:r w:rsidRPr="009A472B">
        <w:rPr>
          <w:rFonts w:asciiTheme="majorBidi" w:hAnsiTheme="majorBidi" w:cstheme="majorBidi"/>
          <w:sz w:val="24"/>
          <w:szCs w:val="24"/>
          <w:lang w:val="ru-RU"/>
        </w:rPr>
        <w:t xml:space="preserve"> Н.А. Усиление роли институтов развития в механизме банковского проектного финансирования. Финансы: теория и практика. 2017;21(6).</w:t>
      </w:r>
    </w:p>
    <w:p w14:paraId="0BF0E0C4"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lang w:val="ru-RU"/>
        </w:rPr>
        <w:t xml:space="preserve">Карпов А.С., Карпова К.В. Современное состояние экономики Сирийской Арабской Республики. </w:t>
      </w:r>
      <w:proofErr w:type="spellStart"/>
      <w:r w:rsidRPr="009A472B">
        <w:rPr>
          <w:rFonts w:asciiTheme="majorBidi" w:hAnsiTheme="majorBidi" w:cstheme="majorBidi"/>
          <w:sz w:val="24"/>
          <w:szCs w:val="24"/>
        </w:rPr>
        <w:t>Вестник</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Московского</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гуманитарно-экономического</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института</w:t>
      </w:r>
      <w:proofErr w:type="spellEnd"/>
      <w:r w:rsidRPr="009A472B">
        <w:rPr>
          <w:rFonts w:asciiTheme="majorBidi" w:hAnsiTheme="majorBidi" w:cstheme="majorBidi"/>
          <w:sz w:val="24"/>
          <w:szCs w:val="24"/>
        </w:rPr>
        <w:t xml:space="preserve">. 2018; 3:39. </w:t>
      </w:r>
    </w:p>
    <w:p w14:paraId="0DD4CC4D"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lang w:val="ru-RU"/>
        </w:rPr>
        <w:t>Фаузер</w:t>
      </w:r>
      <w:proofErr w:type="spellEnd"/>
      <w:r w:rsidRPr="009A472B">
        <w:rPr>
          <w:rFonts w:asciiTheme="majorBidi" w:hAnsiTheme="majorBidi" w:cstheme="majorBidi"/>
          <w:sz w:val="24"/>
          <w:szCs w:val="24"/>
          <w:lang w:val="ru-RU"/>
        </w:rPr>
        <w:t xml:space="preserve"> В.В. Проектное финансирование: мировой опыт и российская практика. </w:t>
      </w:r>
      <w:proofErr w:type="spellStart"/>
      <w:r w:rsidRPr="009A472B">
        <w:rPr>
          <w:rFonts w:asciiTheme="majorBidi" w:hAnsiTheme="majorBidi" w:cstheme="majorBidi"/>
          <w:sz w:val="24"/>
          <w:szCs w:val="24"/>
        </w:rPr>
        <w:t>Корпоративное</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управление</w:t>
      </w:r>
      <w:proofErr w:type="spellEnd"/>
      <w:r w:rsidRPr="009A472B">
        <w:rPr>
          <w:rFonts w:asciiTheme="majorBidi" w:hAnsiTheme="majorBidi" w:cstheme="majorBidi"/>
          <w:sz w:val="24"/>
          <w:szCs w:val="24"/>
        </w:rPr>
        <w:t xml:space="preserve"> и </w:t>
      </w:r>
      <w:proofErr w:type="spellStart"/>
      <w:r w:rsidRPr="009A472B">
        <w:rPr>
          <w:rFonts w:asciiTheme="majorBidi" w:hAnsiTheme="majorBidi" w:cstheme="majorBidi"/>
          <w:sz w:val="24"/>
          <w:szCs w:val="24"/>
        </w:rPr>
        <w:t>инновационное</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развитие</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экономики</w:t>
      </w:r>
      <w:proofErr w:type="spellEnd"/>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Севера</w:t>
      </w:r>
      <w:proofErr w:type="spellEnd"/>
      <w:r w:rsidRPr="009A472B">
        <w:rPr>
          <w:rFonts w:asciiTheme="majorBidi" w:hAnsiTheme="majorBidi" w:cstheme="majorBidi"/>
          <w:sz w:val="24"/>
          <w:szCs w:val="24"/>
        </w:rPr>
        <w:t xml:space="preserve">. </w:t>
      </w:r>
      <w:proofErr w:type="gramStart"/>
      <w:r w:rsidRPr="009A472B">
        <w:rPr>
          <w:rFonts w:asciiTheme="majorBidi" w:hAnsiTheme="majorBidi" w:cstheme="majorBidi"/>
          <w:sz w:val="24"/>
          <w:szCs w:val="24"/>
        </w:rPr>
        <w:t>2007;8:69</w:t>
      </w:r>
      <w:proofErr w:type="gramEnd"/>
      <w:r w:rsidRPr="009A472B">
        <w:rPr>
          <w:rFonts w:asciiTheme="majorBidi" w:hAnsiTheme="majorBidi" w:cstheme="majorBidi"/>
          <w:sz w:val="24"/>
          <w:szCs w:val="24"/>
        </w:rPr>
        <w:t>.</w:t>
      </w:r>
    </w:p>
    <w:p w14:paraId="35BEAD0E" w14:textId="77777777" w:rsidR="000E4247" w:rsidRPr="009A472B" w:rsidRDefault="000E4247"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lang w:val="ru-RU"/>
        </w:rPr>
        <w:t>Шиукашвили</w:t>
      </w:r>
      <w:proofErr w:type="spellEnd"/>
      <w:r w:rsidRPr="009A472B">
        <w:rPr>
          <w:rFonts w:asciiTheme="majorBidi" w:hAnsiTheme="majorBidi" w:cstheme="majorBidi"/>
          <w:sz w:val="24"/>
          <w:szCs w:val="24"/>
          <w:lang w:val="ru-RU"/>
        </w:rPr>
        <w:t xml:space="preserve"> Т.Т., Кравченко М.А. Преимущества и недостатки проектного финансирования. </w:t>
      </w:r>
      <w:proofErr w:type="spellStart"/>
      <w:r w:rsidRPr="009A472B">
        <w:rPr>
          <w:rFonts w:asciiTheme="majorBidi" w:hAnsiTheme="majorBidi" w:cstheme="majorBidi"/>
          <w:sz w:val="24"/>
          <w:szCs w:val="24"/>
        </w:rPr>
        <w:t>Экономика</w:t>
      </w:r>
      <w:proofErr w:type="spellEnd"/>
      <w:r w:rsidRPr="009A472B">
        <w:rPr>
          <w:rFonts w:asciiTheme="majorBidi" w:hAnsiTheme="majorBidi" w:cstheme="majorBidi"/>
          <w:sz w:val="24"/>
          <w:szCs w:val="24"/>
        </w:rPr>
        <w:t xml:space="preserve"> и </w:t>
      </w:r>
      <w:proofErr w:type="spellStart"/>
      <w:r w:rsidRPr="009A472B">
        <w:rPr>
          <w:rFonts w:asciiTheme="majorBidi" w:hAnsiTheme="majorBidi" w:cstheme="majorBidi"/>
          <w:sz w:val="24"/>
          <w:szCs w:val="24"/>
        </w:rPr>
        <w:t>социум</w:t>
      </w:r>
      <w:proofErr w:type="spellEnd"/>
      <w:r w:rsidRPr="009A472B">
        <w:rPr>
          <w:rFonts w:asciiTheme="majorBidi" w:hAnsiTheme="majorBidi" w:cstheme="majorBidi"/>
          <w:sz w:val="24"/>
          <w:szCs w:val="24"/>
        </w:rPr>
        <w:t>. 2016(7):383-5.</w:t>
      </w:r>
    </w:p>
    <w:p w14:paraId="220E1CAD" w14:textId="2B8F78F5" w:rsidR="00CD169E" w:rsidRPr="009A472B" w:rsidRDefault="00CD169E"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lastRenderedPageBreak/>
        <w:t xml:space="preserve">Researches and </w:t>
      </w:r>
      <w:r w:rsidR="009A472B">
        <w:rPr>
          <w:rFonts w:asciiTheme="majorBidi" w:hAnsiTheme="majorBidi" w:cstheme="majorBidi"/>
          <w:sz w:val="24"/>
          <w:szCs w:val="24"/>
        </w:rPr>
        <w:t>w</w:t>
      </w:r>
      <w:r w:rsidRPr="009A472B">
        <w:rPr>
          <w:rFonts w:asciiTheme="majorBidi" w:hAnsiTheme="majorBidi" w:cstheme="majorBidi"/>
          <w:sz w:val="24"/>
          <w:szCs w:val="24"/>
        </w:rPr>
        <w:t>orkings papers</w:t>
      </w:r>
    </w:p>
    <w:p w14:paraId="126EE281"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Abdul-</w:t>
      </w:r>
      <w:proofErr w:type="spellStart"/>
      <w:r w:rsidRPr="009A472B">
        <w:rPr>
          <w:rFonts w:asciiTheme="majorBidi" w:hAnsiTheme="majorBidi" w:cstheme="majorBidi"/>
          <w:sz w:val="24"/>
          <w:szCs w:val="24"/>
        </w:rPr>
        <w:t>Latheef</w:t>
      </w:r>
      <w:proofErr w:type="spellEnd"/>
      <w:r w:rsidRPr="009A472B">
        <w:rPr>
          <w:rFonts w:asciiTheme="majorBidi" w:hAnsiTheme="majorBidi" w:cstheme="majorBidi"/>
          <w:sz w:val="24"/>
          <w:szCs w:val="24"/>
        </w:rPr>
        <w:t xml:space="preserve"> A.V. Critical success factors for public and private project partnership in Saudi Arabia. 2019.</w:t>
      </w:r>
    </w:p>
    <w:p w14:paraId="42F4378B"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Adelekan</w:t>
      </w:r>
      <w:proofErr w:type="spellEnd"/>
      <w:r w:rsidRPr="009A472B">
        <w:rPr>
          <w:rFonts w:asciiTheme="majorBidi" w:hAnsiTheme="majorBidi" w:cstheme="majorBidi"/>
          <w:sz w:val="24"/>
          <w:szCs w:val="24"/>
        </w:rPr>
        <w:t xml:space="preserve"> S., </w:t>
      </w:r>
      <w:proofErr w:type="spellStart"/>
      <w:r w:rsidRPr="009A472B">
        <w:rPr>
          <w:rFonts w:asciiTheme="majorBidi" w:hAnsiTheme="majorBidi" w:cstheme="majorBidi"/>
          <w:sz w:val="24"/>
          <w:szCs w:val="24"/>
        </w:rPr>
        <w:t>Wamuziri</w:t>
      </w:r>
      <w:proofErr w:type="spellEnd"/>
      <w:r w:rsidRPr="009A472B">
        <w:rPr>
          <w:rFonts w:asciiTheme="majorBidi" w:hAnsiTheme="majorBidi" w:cstheme="majorBidi"/>
          <w:sz w:val="24"/>
          <w:szCs w:val="24"/>
        </w:rPr>
        <w:t xml:space="preserve"> S., </w:t>
      </w:r>
      <w:proofErr w:type="spellStart"/>
      <w:r w:rsidRPr="009A472B">
        <w:rPr>
          <w:rFonts w:asciiTheme="majorBidi" w:hAnsiTheme="majorBidi" w:cstheme="majorBidi"/>
          <w:sz w:val="24"/>
          <w:szCs w:val="24"/>
        </w:rPr>
        <w:t>Binsardi</w:t>
      </w:r>
      <w:proofErr w:type="spellEnd"/>
      <w:r w:rsidRPr="009A472B">
        <w:rPr>
          <w:rFonts w:asciiTheme="majorBidi" w:hAnsiTheme="majorBidi" w:cstheme="majorBidi"/>
          <w:sz w:val="24"/>
          <w:szCs w:val="24"/>
        </w:rPr>
        <w:t xml:space="preserve"> B. Evaluation of Islamic financing products for housing and infrastructure development. Procs of 29th Annual ARCOM Conference, 2-4 September 2013.  Reading, UK, Association of Researchers in Construction Management, 191-200. 2013.</w:t>
      </w:r>
    </w:p>
    <w:p w14:paraId="2E03B0A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Aloadah</w:t>
      </w:r>
      <w:proofErr w:type="spellEnd"/>
      <w:r w:rsidRPr="009A472B">
        <w:rPr>
          <w:rFonts w:asciiTheme="majorBidi" w:hAnsiTheme="majorBidi" w:cstheme="majorBidi"/>
          <w:sz w:val="24"/>
          <w:szCs w:val="24"/>
        </w:rPr>
        <w:t xml:space="preserve"> Y., </w:t>
      </w:r>
      <w:proofErr w:type="spellStart"/>
      <w:r w:rsidRPr="009A472B">
        <w:rPr>
          <w:rFonts w:asciiTheme="majorBidi" w:hAnsiTheme="majorBidi" w:cstheme="majorBidi"/>
          <w:sz w:val="24"/>
          <w:szCs w:val="24"/>
        </w:rPr>
        <w:t>ElKhoury</w:t>
      </w:r>
      <w:proofErr w:type="spellEnd"/>
      <w:r w:rsidRPr="009A472B">
        <w:rPr>
          <w:rFonts w:asciiTheme="majorBidi" w:hAnsiTheme="majorBidi" w:cstheme="majorBidi"/>
          <w:sz w:val="24"/>
          <w:szCs w:val="24"/>
        </w:rPr>
        <w:t xml:space="preserve"> G., Bashir F. Upgrading the Saudi chemical cluster. </w:t>
      </w:r>
    </w:p>
    <w:p w14:paraId="5E9DCD3D"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Chaouk</w:t>
      </w:r>
      <w:proofErr w:type="spellEnd"/>
      <w:r w:rsidRPr="009A472B">
        <w:rPr>
          <w:rFonts w:asciiTheme="majorBidi" w:hAnsiTheme="majorBidi" w:cstheme="majorBidi"/>
          <w:sz w:val="24"/>
          <w:szCs w:val="24"/>
        </w:rPr>
        <w:t xml:space="preserve"> M., </w:t>
      </w:r>
      <w:proofErr w:type="spellStart"/>
      <w:r w:rsidRPr="009A472B">
        <w:rPr>
          <w:rFonts w:asciiTheme="majorBidi" w:hAnsiTheme="majorBidi" w:cstheme="majorBidi"/>
          <w:sz w:val="24"/>
          <w:szCs w:val="24"/>
        </w:rPr>
        <w:t>Pagliari</w:t>
      </w:r>
      <w:proofErr w:type="spellEnd"/>
      <w:r w:rsidRPr="009A472B">
        <w:rPr>
          <w:rFonts w:asciiTheme="majorBidi" w:hAnsiTheme="majorBidi" w:cstheme="majorBidi"/>
          <w:sz w:val="24"/>
          <w:szCs w:val="24"/>
        </w:rPr>
        <w:t xml:space="preserve"> R., Miyoshi C. A critical review of airport privatisation in the Kingdom of Saudi Arabia: Case study of Medina Airport. Case Studies on Transport Policy. 2019 Jun 1;7(2):433-42. </w:t>
      </w:r>
    </w:p>
    <w:p w14:paraId="66D788A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Comer B. Project Finance teaching note. Retrieved July. </w:t>
      </w:r>
      <w:proofErr w:type="gramStart"/>
      <w:r w:rsidRPr="009A472B">
        <w:rPr>
          <w:rFonts w:asciiTheme="majorBidi" w:hAnsiTheme="majorBidi" w:cstheme="majorBidi"/>
          <w:sz w:val="24"/>
          <w:szCs w:val="24"/>
        </w:rPr>
        <w:t>1996;5:2011</w:t>
      </w:r>
      <w:proofErr w:type="gramEnd"/>
      <w:r w:rsidRPr="009A472B">
        <w:rPr>
          <w:rFonts w:asciiTheme="majorBidi" w:hAnsiTheme="majorBidi" w:cstheme="majorBidi"/>
          <w:sz w:val="24"/>
          <w:szCs w:val="24"/>
        </w:rPr>
        <w:t>.</w:t>
      </w:r>
    </w:p>
    <w:p w14:paraId="19C59A13" w14:textId="6F205C0B"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Dhingra</w:t>
      </w:r>
      <w:r w:rsidR="00350AAF" w:rsidRPr="009A472B">
        <w:rPr>
          <w:rFonts w:asciiTheme="majorBidi" w:hAnsiTheme="majorBidi" w:cstheme="majorBidi"/>
          <w:sz w:val="24"/>
          <w:szCs w:val="24"/>
        </w:rPr>
        <w:t xml:space="preserve"> </w:t>
      </w:r>
      <w:r w:rsidRPr="009A472B">
        <w:rPr>
          <w:rFonts w:asciiTheme="majorBidi" w:hAnsiTheme="majorBidi" w:cstheme="majorBidi"/>
          <w:sz w:val="24"/>
          <w:szCs w:val="24"/>
        </w:rPr>
        <w:t>R. Syrian Refugees and the Jordanian Economy, Muftah. 2014. URL://http://muftah.org/syrian-refugees-jordanian-economy/.</w:t>
      </w:r>
    </w:p>
    <w:p w14:paraId="4CB47E87"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Esty B.C. The economic motivations for using project finance. Harvard Business School. 2003 </w:t>
      </w:r>
      <w:proofErr w:type="gramStart"/>
      <w:r w:rsidRPr="009A472B">
        <w:rPr>
          <w:rFonts w:asciiTheme="majorBidi" w:hAnsiTheme="majorBidi" w:cstheme="majorBidi"/>
          <w:sz w:val="24"/>
          <w:szCs w:val="24"/>
        </w:rPr>
        <w:t>Feb;28:1</w:t>
      </w:r>
      <w:proofErr w:type="gramEnd"/>
      <w:r w:rsidRPr="009A472B">
        <w:rPr>
          <w:rFonts w:asciiTheme="majorBidi" w:hAnsiTheme="majorBidi" w:cstheme="majorBidi"/>
          <w:sz w:val="24"/>
          <w:szCs w:val="24"/>
        </w:rPr>
        <w:t>-42.</w:t>
      </w:r>
    </w:p>
    <w:p w14:paraId="4366E0A7" w14:textId="0A32391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Gobat J., </w:t>
      </w:r>
      <w:proofErr w:type="spellStart"/>
      <w:r w:rsidRPr="009A472B">
        <w:rPr>
          <w:rFonts w:asciiTheme="majorBidi" w:hAnsiTheme="majorBidi" w:cstheme="majorBidi"/>
          <w:sz w:val="24"/>
          <w:szCs w:val="24"/>
        </w:rPr>
        <w:t>Kostial</w:t>
      </w:r>
      <w:proofErr w:type="spellEnd"/>
      <w:r w:rsidRPr="009A472B">
        <w:rPr>
          <w:rFonts w:asciiTheme="majorBidi" w:hAnsiTheme="majorBidi" w:cstheme="majorBidi"/>
          <w:sz w:val="24"/>
          <w:szCs w:val="24"/>
        </w:rPr>
        <w:t xml:space="preserve"> M.K. Syria</w:t>
      </w:r>
      <w:r w:rsidR="00E20029" w:rsidRPr="009A472B">
        <w:rPr>
          <w:rFonts w:asciiTheme="majorBidi" w:hAnsiTheme="majorBidi" w:cstheme="majorBidi"/>
          <w:sz w:val="24"/>
          <w:szCs w:val="24"/>
        </w:rPr>
        <w:t>'</w:t>
      </w:r>
      <w:r w:rsidRPr="009A472B">
        <w:rPr>
          <w:rFonts w:asciiTheme="majorBidi" w:hAnsiTheme="majorBidi" w:cstheme="majorBidi"/>
          <w:sz w:val="24"/>
          <w:szCs w:val="24"/>
        </w:rPr>
        <w:t xml:space="preserve">s conflict economy. International Monetary Fund; 2016. </w:t>
      </w:r>
    </w:p>
    <w:p w14:paraId="5CC537D0"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Hamdi H., </w:t>
      </w:r>
      <w:proofErr w:type="spellStart"/>
      <w:r w:rsidRPr="009A472B">
        <w:rPr>
          <w:rFonts w:asciiTheme="majorBidi" w:hAnsiTheme="majorBidi" w:cstheme="majorBidi"/>
          <w:sz w:val="24"/>
          <w:szCs w:val="24"/>
        </w:rPr>
        <w:t>Sbia</w:t>
      </w:r>
      <w:proofErr w:type="spellEnd"/>
      <w:r w:rsidRPr="009A472B">
        <w:rPr>
          <w:rFonts w:asciiTheme="majorBidi" w:hAnsiTheme="majorBidi" w:cstheme="majorBidi"/>
          <w:sz w:val="24"/>
          <w:szCs w:val="24"/>
        </w:rPr>
        <w:t xml:space="preserve"> R. Short-run and Long-run causality between electricity consumption and economic growth in a small open economy. 2013. </w:t>
      </w:r>
    </w:p>
    <w:p w14:paraId="14FB1BE7" w14:textId="59573EF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Hassan M., </w:t>
      </w:r>
      <w:proofErr w:type="spellStart"/>
      <w:r w:rsidRPr="009A472B">
        <w:rPr>
          <w:rFonts w:asciiTheme="majorBidi" w:hAnsiTheme="majorBidi" w:cstheme="majorBidi"/>
          <w:sz w:val="24"/>
          <w:szCs w:val="24"/>
        </w:rPr>
        <w:t>Dridi</w:t>
      </w:r>
      <w:proofErr w:type="spellEnd"/>
      <w:r w:rsidRPr="009A472B">
        <w:rPr>
          <w:rFonts w:asciiTheme="majorBidi" w:hAnsiTheme="majorBidi" w:cstheme="majorBidi"/>
          <w:sz w:val="24"/>
          <w:szCs w:val="24"/>
        </w:rPr>
        <w:t xml:space="preserve"> J. The effects of the global financial crisis on Islamic and conventional banks: A comparative study. IMF Working Paper WP/10201</w:t>
      </w:r>
      <w:r w:rsidR="00172678" w:rsidRPr="009A472B">
        <w:rPr>
          <w:rFonts w:asciiTheme="majorBidi" w:hAnsiTheme="majorBidi" w:cstheme="majorBidi"/>
          <w:sz w:val="24"/>
          <w:szCs w:val="24"/>
        </w:rPr>
        <w:t>,</w:t>
      </w:r>
      <w:r w:rsidRPr="009A472B">
        <w:rPr>
          <w:rFonts w:asciiTheme="majorBidi" w:hAnsiTheme="majorBidi" w:cstheme="majorBidi"/>
          <w:sz w:val="24"/>
          <w:szCs w:val="24"/>
        </w:rPr>
        <w:t xml:space="preserve"> 2010.</w:t>
      </w:r>
    </w:p>
    <w:p w14:paraId="006A31A2" w14:textId="73EBF973"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Hamoud, al-Mahmoud. The War Economy in the Syrian Conflict: The Government</w:t>
      </w:r>
      <w:r w:rsidR="00E20029" w:rsidRPr="009A472B">
        <w:rPr>
          <w:rFonts w:asciiTheme="majorBidi" w:hAnsiTheme="majorBidi" w:cstheme="majorBidi"/>
          <w:sz w:val="24"/>
          <w:szCs w:val="24"/>
        </w:rPr>
        <w:t>'</w:t>
      </w:r>
      <w:r w:rsidRPr="009A472B">
        <w:rPr>
          <w:rFonts w:asciiTheme="majorBidi" w:hAnsiTheme="majorBidi" w:cstheme="majorBidi"/>
          <w:sz w:val="24"/>
          <w:szCs w:val="24"/>
        </w:rPr>
        <w:t>s Hands-Off Tactics. Carnegie Endowment for International Peace. 15 December 2015. URL://https://carnegieendowment.org/2015/12/15/war-economy-in-syrian-conflict-government-s-hands-off-tactics/in4s</w:t>
      </w:r>
    </w:p>
    <w:p w14:paraId="04FEB69F"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Lim J.J., </w:t>
      </w:r>
      <w:proofErr w:type="spellStart"/>
      <w:r w:rsidRPr="009A472B">
        <w:rPr>
          <w:rFonts w:asciiTheme="majorBidi" w:hAnsiTheme="majorBidi" w:cstheme="majorBidi"/>
          <w:sz w:val="24"/>
          <w:szCs w:val="24"/>
        </w:rPr>
        <w:t>Saborowski</w:t>
      </w:r>
      <w:proofErr w:type="spellEnd"/>
      <w:r w:rsidRPr="009A472B">
        <w:rPr>
          <w:rFonts w:asciiTheme="majorBidi" w:hAnsiTheme="majorBidi" w:cstheme="majorBidi"/>
          <w:sz w:val="24"/>
          <w:szCs w:val="24"/>
        </w:rPr>
        <w:t xml:space="preserve"> C. Export diversification in a transitioning economy: the case of Syria. The World Bank; 2011.</w:t>
      </w:r>
    </w:p>
    <w:p w14:paraId="3AB0B007" w14:textId="74533B9F"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t>Raphaeli</w:t>
      </w:r>
      <w:proofErr w:type="spellEnd"/>
      <w:r w:rsidRPr="009A472B">
        <w:rPr>
          <w:rFonts w:asciiTheme="majorBidi" w:hAnsiTheme="majorBidi" w:cstheme="majorBidi"/>
          <w:sz w:val="24"/>
          <w:szCs w:val="24"/>
        </w:rPr>
        <w:t xml:space="preserve"> N. Syria</w:t>
      </w:r>
      <w:r w:rsidR="00E20029" w:rsidRPr="009A472B">
        <w:rPr>
          <w:rFonts w:asciiTheme="majorBidi" w:hAnsiTheme="majorBidi" w:cstheme="majorBidi"/>
          <w:sz w:val="24"/>
          <w:szCs w:val="24"/>
        </w:rPr>
        <w:t>'</w:t>
      </w:r>
      <w:r w:rsidRPr="009A472B">
        <w:rPr>
          <w:rFonts w:asciiTheme="majorBidi" w:hAnsiTheme="majorBidi" w:cstheme="majorBidi"/>
          <w:sz w:val="24"/>
          <w:szCs w:val="24"/>
        </w:rPr>
        <w:t xml:space="preserve">s fragile economy. Middle East Review of International Affairs. 2007 Jun;11(2):34-51.  </w:t>
      </w:r>
    </w:p>
    <w:p w14:paraId="275DDFB5"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Sengupta V. Project Finance Transactions in the Middle East: Focus on Islamic Project Finance. Available at SSRN 2293595. 2013 Jun 7. </w:t>
      </w:r>
    </w:p>
    <w:p w14:paraId="7D41388B" w14:textId="77777777" w:rsidR="00CD169E" w:rsidRPr="009A472B" w:rsidRDefault="00CD169E"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t>Statistical compilations and reports</w:t>
      </w:r>
    </w:p>
    <w:p w14:paraId="4A2338D6"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Aijaz A., Abayomi A. Mobilizing Islamic finance for infrastructure public-private partnerships. World Bank Group.  Washington D.C., USA, 2017.</w:t>
      </w:r>
    </w:p>
    <w:p w14:paraId="44484BD3" w14:textId="37CA9DB9"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Chan-Lau J</w:t>
      </w:r>
      <w:r w:rsidR="00350AAF" w:rsidRPr="009A472B">
        <w:rPr>
          <w:rFonts w:asciiTheme="majorBidi" w:hAnsiTheme="majorBidi" w:cstheme="majorBidi"/>
          <w:sz w:val="24"/>
          <w:szCs w:val="24"/>
        </w:rPr>
        <w:t>.</w:t>
      </w:r>
      <w:r w:rsidRPr="009A472B">
        <w:rPr>
          <w:rFonts w:asciiTheme="majorBidi" w:hAnsiTheme="majorBidi" w:cstheme="majorBidi"/>
          <w:sz w:val="24"/>
          <w:szCs w:val="24"/>
        </w:rPr>
        <w:t>A</w:t>
      </w:r>
      <w:r w:rsidR="00350AAF" w:rsidRPr="009A472B">
        <w:rPr>
          <w:rFonts w:asciiTheme="majorBidi" w:hAnsiTheme="majorBidi" w:cstheme="majorBidi"/>
          <w:sz w:val="24"/>
          <w:szCs w:val="24"/>
        </w:rPr>
        <w:t>.</w:t>
      </w:r>
      <w:r w:rsidRPr="009A472B">
        <w:rPr>
          <w:rFonts w:asciiTheme="majorBidi" w:hAnsiTheme="majorBidi" w:cstheme="majorBidi"/>
          <w:sz w:val="24"/>
          <w:szCs w:val="24"/>
        </w:rPr>
        <w:t xml:space="preserve">, </w:t>
      </w:r>
      <w:proofErr w:type="spellStart"/>
      <w:r w:rsidRPr="009A472B">
        <w:rPr>
          <w:rFonts w:asciiTheme="majorBidi" w:hAnsiTheme="majorBidi" w:cstheme="majorBidi"/>
          <w:sz w:val="24"/>
          <w:szCs w:val="24"/>
        </w:rPr>
        <w:t>Kelhoffer</w:t>
      </w:r>
      <w:proofErr w:type="spellEnd"/>
      <w:r w:rsidRPr="009A472B">
        <w:rPr>
          <w:rFonts w:asciiTheme="majorBidi" w:hAnsiTheme="majorBidi" w:cstheme="majorBidi"/>
          <w:sz w:val="24"/>
          <w:szCs w:val="24"/>
        </w:rPr>
        <w:t xml:space="preserve"> K</w:t>
      </w:r>
      <w:r w:rsidR="00350AAF" w:rsidRPr="009A472B">
        <w:rPr>
          <w:rFonts w:asciiTheme="majorBidi" w:hAnsiTheme="majorBidi" w:cstheme="majorBidi"/>
          <w:sz w:val="24"/>
          <w:szCs w:val="24"/>
        </w:rPr>
        <w:t>.</w:t>
      </w:r>
      <w:r w:rsidRPr="009A472B">
        <w:rPr>
          <w:rFonts w:asciiTheme="majorBidi" w:hAnsiTheme="majorBidi" w:cstheme="majorBidi"/>
          <w:sz w:val="24"/>
          <w:szCs w:val="24"/>
        </w:rPr>
        <w:t>, Zhang J. Long-Run Economic Growth: Does Project Finance Matter. Moody</w:t>
      </w:r>
      <w:r w:rsidR="00E20029" w:rsidRPr="009A472B">
        <w:rPr>
          <w:rFonts w:asciiTheme="majorBidi" w:hAnsiTheme="majorBidi" w:cstheme="majorBidi"/>
          <w:sz w:val="24"/>
          <w:szCs w:val="24"/>
        </w:rPr>
        <w:t>'</w:t>
      </w:r>
      <w:r w:rsidRPr="009A472B">
        <w:rPr>
          <w:rFonts w:asciiTheme="majorBidi" w:hAnsiTheme="majorBidi" w:cstheme="majorBidi"/>
          <w:sz w:val="24"/>
          <w:szCs w:val="24"/>
        </w:rPr>
        <w:t>s Analytics, 2016 Jul.</w:t>
      </w:r>
    </w:p>
    <w:p w14:paraId="2491AE94"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Daher J. The deep roots of the depreciation of the Syrian pound. Middle East Directions (MED), European University Institute. 2019. </w:t>
      </w:r>
    </w:p>
    <w:p w14:paraId="03E31DD7"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Islamic financial policy. In: Dar H., Azmi S., Bushra Shafique B., eds. Global Islamic financial report 2016. Berlin, London: Gerlach Press; 2016:259-278.  </w:t>
      </w:r>
    </w:p>
    <w:p w14:paraId="3AFC6BD1" w14:textId="413B899A"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proofErr w:type="spellStart"/>
      <w:r w:rsidRPr="009A472B">
        <w:rPr>
          <w:rFonts w:asciiTheme="majorBidi" w:hAnsiTheme="majorBidi" w:cstheme="majorBidi"/>
          <w:sz w:val="24"/>
          <w:szCs w:val="24"/>
        </w:rPr>
        <w:lastRenderedPageBreak/>
        <w:t>Memişoğlu</w:t>
      </w:r>
      <w:proofErr w:type="spellEnd"/>
      <w:r w:rsidRPr="009A472B">
        <w:rPr>
          <w:rFonts w:asciiTheme="majorBidi" w:hAnsiTheme="majorBidi" w:cstheme="majorBidi"/>
          <w:sz w:val="24"/>
          <w:szCs w:val="24"/>
        </w:rPr>
        <w:t xml:space="preserve"> F. The Syrian Community in Turkey: Perspectives, Prospects, and Policies. Public Policy and Democracy Studies (PODEM) Report. 2018 </w:t>
      </w:r>
      <w:r w:rsidR="004C1BEC" w:rsidRPr="009A472B">
        <w:rPr>
          <w:rFonts w:asciiTheme="majorBidi" w:hAnsiTheme="majorBidi" w:cstheme="majorBidi"/>
          <w:sz w:val="24"/>
          <w:szCs w:val="24"/>
        </w:rPr>
        <w:t>URL://http://podem.org.tr/en/researches/the-syrian-community-in-turkey-perspectives-prospects-and-policies/</w:t>
      </w:r>
    </w:p>
    <w:p w14:paraId="33EDD6EE" w14:textId="6964CE01" w:rsidR="004C1BEC" w:rsidRDefault="004C1BEC"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Project Finance International PFI. Annual League Tables. 1995-2018.</w:t>
      </w:r>
    </w:p>
    <w:p w14:paraId="5B3FEFD4" w14:textId="16DC0AF7" w:rsidR="00B23FFF" w:rsidRPr="00B23FFF" w:rsidRDefault="00B23FFF"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9A472B">
        <w:rPr>
          <w:rFonts w:asciiTheme="majorBidi" w:hAnsiTheme="majorBidi" w:cstheme="majorBidi"/>
          <w:sz w:val="24"/>
          <w:szCs w:val="24"/>
        </w:rPr>
        <w:t>Syrian Arab Republic, Central Bureau of Statistics. Annual statistical group. 2000-2017.</w:t>
      </w:r>
    </w:p>
    <w:p w14:paraId="00C0F8F0"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Transparency International. Corruption Perceptions Index. 2019.</w:t>
      </w:r>
    </w:p>
    <w:p w14:paraId="491E42CA" w14:textId="39C05992"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World Bank. World Development Report 1994: Infrastructure for Development: Executive Summary. World Bank</w:t>
      </w:r>
      <w:r w:rsidR="00786A61" w:rsidRPr="009A472B">
        <w:rPr>
          <w:rFonts w:asciiTheme="majorBidi" w:hAnsiTheme="majorBidi" w:cstheme="majorBidi"/>
          <w:sz w:val="24"/>
          <w:szCs w:val="24"/>
        </w:rPr>
        <w:t>,</w:t>
      </w:r>
      <w:r w:rsidRPr="009A472B">
        <w:rPr>
          <w:rFonts w:asciiTheme="majorBidi" w:hAnsiTheme="majorBidi" w:cstheme="majorBidi"/>
          <w:sz w:val="24"/>
          <w:szCs w:val="24"/>
        </w:rPr>
        <w:t xml:space="preserve"> 1994.</w:t>
      </w:r>
    </w:p>
    <w:p w14:paraId="3AB2BBAC" w14:textId="77777777" w:rsidR="00CD169E" w:rsidRPr="009A472B" w:rsidRDefault="00CD169E"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t>References in the Arabic language</w:t>
      </w:r>
    </w:p>
    <w:p w14:paraId="75D688E0" w14:textId="2A62F6AF"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lang w:val="ru-RU"/>
        </w:rPr>
        <w:t xml:space="preserve">اقتصاديات إعادة الإعمار بعد انتهاء الصراع في منطقة الشرق الأوسط وشمال </w:t>
      </w:r>
      <w:r w:rsidR="00350AAF" w:rsidRPr="009A472B">
        <w:rPr>
          <w:rFonts w:asciiTheme="majorBidi" w:hAnsiTheme="majorBidi" w:cstheme="majorBidi"/>
          <w:sz w:val="24"/>
          <w:szCs w:val="24"/>
          <w:rtl/>
          <w:lang w:val="ru-RU"/>
        </w:rPr>
        <w:t>افريقيا</w:t>
      </w:r>
      <w:r w:rsidRPr="009A472B">
        <w:rPr>
          <w:rFonts w:asciiTheme="majorBidi" w:hAnsiTheme="majorBidi" w:cstheme="majorBidi"/>
          <w:sz w:val="24"/>
          <w:szCs w:val="24"/>
          <w:rtl/>
          <w:lang w:val="ru-RU"/>
        </w:rPr>
        <w:t xml:space="preserve">، المرصد الاقتصادي لمنطقة الشرق الأوسط وشمال </w:t>
      </w:r>
      <w:r w:rsidR="00350AAF" w:rsidRPr="009A472B">
        <w:rPr>
          <w:rFonts w:asciiTheme="majorBidi" w:hAnsiTheme="majorBidi" w:cstheme="majorBidi"/>
          <w:sz w:val="24"/>
          <w:szCs w:val="24"/>
          <w:rtl/>
          <w:lang w:val="ru-RU"/>
        </w:rPr>
        <w:t>افريقيا</w:t>
      </w:r>
      <w:r w:rsidRPr="009A472B">
        <w:rPr>
          <w:rFonts w:asciiTheme="majorBidi" w:hAnsiTheme="majorBidi" w:cstheme="majorBidi"/>
          <w:sz w:val="24"/>
          <w:szCs w:val="24"/>
          <w:rtl/>
          <w:lang w:val="ru-RU"/>
        </w:rPr>
        <w:t>، 2017.</w:t>
      </w:r>
    </w:p>
    <w:p w14:paraId="424DFFF2"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rPr>
        <w:t>الأزمة السورية الجذور والآثار الاقتصادية والاجتماعية، المركز السوري لبحوث السياسات في الجمعية السورية للثقافة والمعرفة، 2013.</w:t>
      </w:r>
    </w:p>
    <w:p w14:paraId="4560C972"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lang w:val="ru-RU"/>
        </w:rPr>
        <w:t>تأثيرات الأزمة في الاقتصاد السوري 2011-2015، مركز دمشق للأبحاث والدراسات، 2016.</w:t>
      </w:r>
    </w:p>
    <w:p w14:paraId="2D1CEEC9"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lang w:val="ru-RU"/>
        </w:rPr>
        <w:t>تمويل إعادة الإعمار الحاجات والمصادر المحتملة، مركز دمشق للأبحاث والدراسات، 2017.</w:t>
      </w:r>
    </w:p>
    <w:p w14:paraId="4A015CBA"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lang w:val="ru-RU"/>
        </w:rPr>
        <w:t>سيرو</w:t>
      </w:r>
      <w:r w:rsidRPr="009A472B">
        <w:rPr>
          <w:rFonts w:asciiTheme="majorBidi" w:hAnsiTheme="majorBidi" w:cstheme="majorBidi"/>
          <w:sz w:val="24"/>
          <w:szCs w:val="24"/>
          <w:rtl/>
          <w:lang w:val="ru-RU" w:bidi="ar-SY"/>
        </w:rPr>
        <w:t xml:space="preserve">ب، </w:t>
      </w:r>
      <w:r w:rsidRPr="009A472B">
        <w:rPr>
          <w:rFonts w:asciiTheme="majorBidi" w:hAnsiTheme="majorBidi" w:cstheme="majorBidi"/>
          <w:sz w:val="24"/>
          <w:szCs w:val="24"/>
          <w:rtl/>
          <w:lang w:val="ru-RU"/>
        </w:rPr>
        <w:t>رشا. مجالات تطبيق المشاريع التشاركية بين القطاعين العام والخاص وآفاقها في سورية، مركز دمشق للأبحاث والدراسات، 2017.</w:t>
      </w:r>
    </w:p>
    <w:p w14:paraId="314F1EE4"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سيروب، رشا. التشاركية بين القطاعين العام والخاص في سورية (دراسة تحليلية مقارنة لبدائل التمويل)، رسالة دكتوراة، كلية الاقتصاد، جامعة دمشق، 2012.</w:t>
      </w:r>
    </w:p>
    <w:p w14:paraId="4360EA11"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الشعار، جيلان. أثر المتغيرات السلوكية في الأزمة الراهنة لصرف الليرة السورية، رسالة ماجستير، كلية الاقتصاد، جامعة دمشق. 2018.</w:t>
      </w:r>
    </w:p>
    <w:p w14:paraId="780074D3"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lang w:val="ru-RU"/>
        </w:rPr>
        <w:t>فضلية، عابد. واقع الاستثمار في ظل قانون الاستثمار رقم 10 لعام 1991 ، مجلة جامعة دمشق للعلوم الاقتصادية والقانونية ، المجلد 17 ، العدد 2 ، 2001.</w:t>
      </w:r>
    </w:p>
    <w:p w14:paraId="448EBD03"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rPr>
      </w:pPr>
      <w:r w:rsidRPr="009A472B">
        <w:rPr>
          <w:rFonts w:asciiTheme="majorBidi" w:hAnsiTheme="majorBidi" w:cstheme="majorBidi"/>
          <w:sz w:val="24"/>
          <w:szCs w:val="24"/>
          <w:rtl/>
          <w:lang w:val="ru-RU"/>
        </w:rPr>
        <w:t>فضلية، عابد. تحديات تمويل عملية إعادة الإعمار في سوريا. ورقة عمل مقدمة لمؤتمر إعادة البناء والتنمية في سورية. جامعة دمشق، كلية الإقتصاد. دمشق. 2014.</w:t>
      </w:r>
    </w:p>
    <w:p w14:paraId="32F5E765"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rPr>
        <w:t>الكفري، مصطفى. تقرير مناخ الاستثمار في الجمهورية العربية السورية، 2003.</w:t>
      </w:r>
    </w:p>
    <w:p w14:paraId="1EBAD639"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اسماعيل، عصام. انعكاس الأزمة على أرقام العجز في الموازنة العامة في سوريا، مجلة جامعة تشرين للبحوث والدراسات العلمية، سلسلة العلوم الاقتصادية والقانونية، المجلد 40، العدد 4، 2018.</w:t>
      </w:r>
    </w:p>
    <w:p w14:paraId="00B91BF5"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عثمان، سلمان. عباس، غادة. عفراء، خضور. أهم محددات التضخم في سورية خلال الفترة (1990-2010)، مجلة جامعة تشرين للبحوث والدراسات العلمية، سلسلة العلوم الاقتصادية والقانونية، المجلد 37، العدد 2، 2015.</w:t>
      </w:r>
    </w:p>
    <w:p w14:paraId="587231E9"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حساني، عبد الرزاق. تطور سعر صرف الليرة السورية وعلاقته بالرقم القياسي لأسعار المستهلك خلال الأزمة الراهنة، مجلة جامعة دمشق للعلوم الاقتصادية والقانونية، المجلد 31، العدد 2، 2015.</w:t>
      </w:r>
    </w:p>
    <w:p w14:paraId="2FF1A26B"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الجندي، خزامى. الاستثمار في الجمهورية العربية السورية، مجلة جامعة دمشق للعلوم الاقتصادية والقانونية، المجلد 26، العدد 2، 2010.</w:t>
      </w:r>
    </w:p>
    <w:p w14:paraId="63F0C1F4"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جميل، قدري. محاضرات حول التخطيط الاقتصادي في سوريا ، معهد التخطيط والتنمية الاقتصادية والاجتماعية بدمشق.</w:t>
      </w:r>
    </w:p>
    <w:p w14:paraId="264D9ABD" w14:textId="77777777" w:rsidR="00CD169E" w:rsidRPr="009A472B"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حاج يحيى، فراس. السوريون في مصر: استثمارات كبيرة في جو متقلب. مبادرة الاصلاح العربي، أوراق بحثية. 2018.</w:t>
      </w:r>
    </w:p>
    <w:p w14:paraId="0A360A1F" w14:textId="0637F31E" w:rsidR="00CD169E" w:rsidRDefault="00CD169E" w:rsidP="007039D3">
      <w:pPr>
        <w:pStyle w:val="ListParagraph"/>
        <w:numPr>
          <w:ilvl w:val="0"/>
          <w:numId w:val="40"/>
        </w:numPr>
        <w:suppressAutoHyphens/>
        <w:autoSpaceDE w:val="0"/>
        <w:bidi/>
        <w:spacing w:line="240" w:lineRule="auto"/>
        <w:jc w:val="both"/>
        <w:rPr>
          <w:rFonts w:asciiTheme="majorBidi" w:hAnsiTheme="majorBidi" w:cstheme="majorBidi"/>
          <w:sz w:val="24"/>
          <w:szCs w:val="24"/>
          <w:lang w:val="ru-RU"/>
        </w:rPr>
      </w:pPr>
      <w:r w:rsidRPr="009A472B">
        <w:rPr>
          <w:rFonts w:asciiTheme="majorBidi" w:hAnsiTheme="majorBidi" w:cstheme="majorBidi"/>
          <w:sz w:val="24"/>
          <w:szCs w:val="24"/>
          <w:rtl/>
          <w:lang w:val="ru-RU"/>
        </w:rPr>
        <w:t>الجنيدي، ماهر. دول الخليج وجهة رؤوس الأموال السورية: دولة الإمارات العربية مثالاً. مبادرة الاصلاح العربي، أوراق بحثية. 2018.</w:t>
      </w:r>
    </w:p>
    <w:p w14:paraId="29A0FE93" w14:textId="77777777" w:rsidR="00CD169E" w:rsidRPr="009A472B" w:rsidRDefault="00CD169E" w:rsidP="007039D3">
      <w:pPr>
        <w:suppressAutoHyphens/>
        <w:autoSpaceDE w:val="0"/>
        <w:spacing w:line="240" w:lineRule="auto"/>
        <w:jc w:val="center"/>
        <w:rPr>
          <w:rFonts w:asciiTheme="majorBidi" w:hAnsiTheme="majorBidi" w:cstheme="majorBidi"/>
          <w:sz w:val="24"/>
          <w:szCs w:val="24"/>
        </w:rPr>
      </w:pPr>
      <w:r w:rsidRPr="009A472B">
        <w:rPr>
          <w:rFonts w:asciiTheme="majorBidi" w:hAnsiTheme="majorBidi" w:cstheme="majorBidi"/>
          <w:sz w:val="24"/>
          <w:szCs w:val="24"/>
        </w:rPr>
        <w:lastRenderedPageBreak/>
        <w:t>Internet resources and electronic databases</w:t>
      </w:r>
    </w:p>
    <w:p w14:paraId="205315B6"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URL://http://www.cb.gov.sy/ar/ - Central Bank of Syria</w:t>
      </w:r>
    </w:p>
    <w:p w14:paraId="2E74A575"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URL://http://cbssyr.sy/ - Central Bureau of Statistics in Syria</w:t>
      </w:r>
    </w:p>
    <w:p w14:paraId="4BFC5823"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 xml:space="preserve">URL://https://gaca.gov.sa/web/en-gb/page/home - General Authority of Civil Aviation in Saudi </w:t>
      </w:r>
      <w:proofErr w:type="spellStart"/>
      <w:r w:rsidRPr="009A472B">
        <w:rPr>
          <w:rFonts w:asciiTheme="majorBidi" w:hAnsiTheme="majorBidi" w:cstheme="majorBidi"/>
          <w:sz w:val="24"/>
          <w:szCs w:val="24"/>
        </w:rPr>
        <w:t>Arbia</w:t>
      </w:r>
      <w:proofErr w:type="spellEnd"/>
    </w:p>
    <w:p w14:paraId="2ACE205E"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URL://http://sia.gov.sy/ - Syrian Investment Agency</w:t>
      </w:r>
    </w:p>
    <w:p w14:paraId="40BC6DF8"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URL://http://ir.tav.aero/ - TAV Airports</w:t>
      </w:r>
    </w:p>
    <w:p w14:paraId="17D3A94C"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URL://http://www.pfie.com/ - Thomson Reuters Project Finance International</w:t>
      </w:r>
    </w:p>
    <w:p w14:paraId="2E129929"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URL://https://www.unescwa.org/ - United Nations, ESCWA</w:t>
      </w:r>
    </w:p>
    <w:p w14:paraId="1A8A777D" w14:textId="77777777" w:rsidR="00CD169E" w:rsidRPr="009A472B" w:rsidRDefault="00CD169E" w:rsidP="007039D3">
      <w:pPr>
        <w:pStyle w:val="ListParagraph"/>
        <w:numPr>
          <w:ilvl w:val="0"/>
          <w:numId w:val="40"/>
        </w:numPr>
        <w:suppressAutoHyphens/>
        <w:autoSpaceDE w:val="0"/>
        <w:spacing w:line="240" w:lineRule="auto"/>
        <w:jc w:val="both"/>
        <w:rPr>
          <w:rFonts w:asciiTheme="majorBidi" w:hAnsiTheme="majorBidi" w:cstheme="majorBidi"/>
          <w:sz w:val="24"/>
          <w:szCs w:val="24"/>
        </w:rPr>
      </w:pPr>
      <w:r w:rsidRPr="009A472B">
        <w:rPr>
          <w:rFonts w:asciiTheme="majorBidi" w:hAnsiTheme="majorBidi" w:cstheme="majorBidi"/>
          <w:sz w:val="24"/>
          <w:szCs w:val="24"/>
        </w:rPr>
        <w:t>URL://https://www.worldbank.org/ - World Bank</w:t>
      </w:r>
    </w:p>
    <w:p w14:paraId="34FA5B44" w14:textId="77777777" w:rsidR="00066892" w:rsidRDefault="00066892" w:rsidP="00137C9D">
      <w:pPr>
        <w:autoSpaceDE w:val="0"/>
        <w:adjustRightInd w:val="0"/>
        <w:spacing w:after="0" w:line="360" w:lineRule="auto"/>
        <w:textAlignment w:val="auto"/>
        <w:rPr>
          <w:rFonts w:asciiTheme="majorBidi" w:hAnsiTheme="majorBidi" w:cstheme="majorBidi"/>
          <w:sz w:val="24"/>
          <w:szCs w:val="24"/>
          <w:lang w:val="en-US"/>
        </w:rPr>
        <w:sectPr w:rsidR="00066892" w:rsidSect="00017986">
          <w:headerReference w:type="default" r:id="rId22"/>
          <w:pgSz w:w="11906" w:h="16838"/>
          <w:pgMar w:top="1134" w:right="567" w:bottom="1134" w:left="1701" w:header="720" w:footer="720" w:gutter="0"/>
          <w:cols w:space="720"/>
          <w:titlePg/>
          <w:docGrid w:linePitch="299"/>
        </w:sectPr>
      </w:pPr>
    </w:p>
    <w:p w14:paraId="4AA76EF1" w14:textId="7CBA538D" w:rsidR="00555190" w:rsidRPr="00555190" w:rsidRDefault="00555190" w:rsidP="00555190">
      <w:pPr>
        <w:autoSpaceDE w:val="0"/>
        <w:adjustRightInd w:val="0"/>
        <w:spacing w:after="0" w:line="360" w:lineRule="auto"/>
        <w:jc w:val="center"/>
        <w:textAlignment w:val="auto"/>
        <w:rPr>
          <w:rFonts w:asciiTheme="majorBidi" w:hAnsiTheme="majorBidi" w:cstheme="majorBidi"/>
          <w:sz w:val="28"/>
          <w:szCs w:val="28"/>
          <w:lang w:val="en-US"/>
        </w:rPr>
      </w:pPr>
      <w:r w:rsidRPr="00555190">
        <w:rPr>
          <w:rFonts w:asciiTheme="majorBidi" w:hAnsiTheme="majorBidi" w:cstheme="majorBidi"/>
          <w:sz w:val="24"/>
          <w:szCs w:val="24"/>
        </w:rPr>
        <w:lastRenderedPageBreak/>
        <w:t>APPENDICES</w:t>
      </w:r>
    </w:p>
    <w:p w14:paraId="7B2C2CCA" w14:textId="10634053" w:rsidR="00555190" w:rsidRDefault="00066892" w:rsidP="00555190">
      <w:pPr>
        <w:autoSpaceDE w:val="0"/>
        <w:adjustRightInd w:val="0"/>
        <w:spacing w:after="0" w:line="360" w:lineRule="auto"/>
        <w:jc w:val="right"/>
        <w:textAlignment w:val="auto"/>
        <w:rPr>
          <w:rFonts w:asciiTheme="majorBidi" w:hAnsiTheme="majorBidi" w:cstheme="majorBidi"/>
          <w:sz w:val="24"/>
          <w:szCs w:val="24"/>
          <w:lang w:val="en-US"/>
        </w:rPr>
      </w:pPr>
      <w:r>
        <w:rPr>
          <w:rFonts w:asciiTheme="majorBidi" w:hAnsiTheme="majorBidi" w:cstheme="majorBidi"/>
          <w:sz w:val="24"/>
          <w:szCs w:val="24"/>
          <w:lang w:val="en-US"/>
        </w:rPr>
        <w:t>Appendix 1</w:t>
      </w:r>
    </w:p>
    <w:p w14:paraId="09AC7D8D" w14:textId="68BF4E66" w:rsidR="00066892" w:rsidRDefault="0073057E" w:rsidP="00555190">
      <w:pPr>
        <w:autoSpaceDE w:val="0"/>
        <w:adjustRightInd w:val="0"/>
        <w:spacing w:line="360" w:lineRule="auto"/>
        <w:jc w:val="center"/>
        <w:textAlignment w:val="auto"/>
        <w:rPr>
          <w:rFonts w:asciiTheme="majorBidi" w:hAnsiTheme="majorBidi" w:cstheme="majorBidi"/>
          <w:sz w:val="24"/>
          <w:szCs w:val="24"/>
          <w:lang w:val="en-US"/>
        </w:rPr>
      </w:pPr>
      <w:r>
        <w:rPr>
          <w:rFonts w:asciiTheme="majorBidi" w:hAnsiTheme="majorBidi" w:cstheme="majorBidi"/>
          <w:sz w:val="24"/>
          <w:szCs w:val="24"/>
          <w:lang w:val="en-US"/>
        </w:rPr>
        <w:t>Total l</w:t>
      </w:r>
      <w:r w:rsidR="00127361">
        <w:rPr>
          <w:rFonts w:asciiTheme="majorBidi" w:hAnsiTheme="majorBidi" w:cstheme="majorBidi"/>
          <w:sz w:val="24"/>
          <w:szCs w:val="24"/>
          <w:lang w:val="en-US"/>
        </w:rPr>
        <w:t>oans of project finance in Arab world</w:t>
      </w:r>
      <w:r>
        <w:rPr>
          <w:rFonts w:asciiTheme="majorBidi" w:hAnsiTheme="majorBidi" w:cstheme="majorBidi"/>
          <w:sz w:val="24"/>
          <w:szCs w:val="24"/>
          <w:lang w:val="en-US"/>
        </w:rPr>
        <w:t xml:space="preserve"> ($ bn)</w:t>
      </w:r>
    </w:p>
    <w:tbl>
      <w:tblPr>
        <w:tblStyle w:val="TableGrid"/>
        <w:tblW w:w="0" w:type="auto"/>
        <w:jc w:val="center"/>
        <w:tblInd w:w="0" w:type="dxa"/>
        <w:tblLook w:val="04A0" w:firstRow="1" w:lastRow="0" w:firstColumn="1" w:lastColumn="0" w:noHBand="0" w:noVBand="1"/>
      </w:tblPr>
      <w:tblGrid>
        <w:gridCol w:w="695"/>
        <w:gridCol w:w="822"/>
        <w:gridCol w:w="715"/>
        <w:gridCol w:w="715"/>
        <w:gridCol w:w="734"/>
        <w:gridCol w:w="719"/>
        <w:gridCol w:w="779"/>
        <w:gridCol w:w="826"/>
        <w:gridCol w:w="891"/>
        <w:gridCol w:w="737"/>
        <w:gridCol w:w="821"/>
        <w:gridCol w:w="753"/>
        <w:gridCol w:w="758"/>
        <w:gridCol w:w="688"/>
        <w:gridCol w:w="853"/>
        <w:gridCol w:w="708"/>
        <w:gridCol w:w="910"/>
        <w:gridCol w:w="823"/>
        <w:gridCol w:w="705"/>
        <w:gridCol w:w="971"/>
      </w:tblGrid>
      <w:tr w:rsidR="00B606A8" w:rsidRPr="002434D9" w14:paraId="19139940" w14:textId="77777777" w:rsidTr="00B606A8">
        <w:trPr>
          <w:trHeight w:val="894"/>
          <w:jc w:val="center"/>
        </w:trPr>
        <w:tc>
          <w:tcPr>
            <w:tcW w:w="695" w:type="dxa"/>
            <w:vAlign w:val="center"/>
          </w:tcPr>
          <w:p w14:paraId="089BA054" w14:textId="5031C42D" w:rsidR="00066892" w:rsidRPr="00A07231" w:rsidRDefault="00066892" w:rsidP="004466F2">
            <w:pPr>
              <w:jc w:val="center"/>
              <w:rPr>
                <w:rFonts w:asciiTheme="majorBidi" w:hAnsiTheme="majorBidi" w:cstheme="majorBidi"/>
                <w:sz w:val="19"/>
                <w:szCs w:val="19"/>
              </w:rPr>
            </w:pPr>
          </w:p>
        </w:tc>
        <w:tc>
          <w:tcPr>
            <w:tcW w:w="822" w:type="dxa"/>
            <w:vAlign w:val="center"/>
          </w:tcPr>
          <w:p w14:paraId="556267F8"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Saudi Arabia</w:t>
            </w:r>
          </w:p>
        </w:tc>
        <w:tc>
          <w:tcPr>
            <w:tcW w:w="715" w:type="dxa"/>
            <w:vAlign w:val="center"/>
          </w:tcPr>
          <w:p w14:paraId="3B3B6A70"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Qatar</w:t>
            </w:r>
          </w:p>
        </w:tc>
        <w:tc>
          <w:tcPr>
            <w:tcW w:w="715" w:type="dxa"/>
            <w:vAlign w:val="center"/>
          </w:tcPr>
          <w:p w14:paraId="716F2041"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UAE</w:t>
            </w:r>
          </w:p>
        </w:tc>
        <w:tc>
          <w:tcPr>
            <w:tcW w:w="734" w:type="dxa"/>
            <w:vAlign w:val="center"/>
          </w:tcPr>
          <w:p w14:paraId="4F354816"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Oman</w:t>
            </w:r>
          </w:p>
        </w:tc>
        <w:tc>
          <w:tcPr>
            <w:tcW w:w="719" w:type="dxa"/>
            <w:vAlign w:val="center"/>
          </w:tcPr>
          <w:p w14:paraId="4A1B522D"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Egypt</w:t>
            </w:r>
          </w:p>
        </w:tc>
        <w:tc>
          <w:tcPr>
            <w:tcW w:w="779" w:type="dxa"/>
            <w:vAlign w:val="center"/>
          </w:tcPr>
          <w:p w14:paraId="152C6E8E"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Kuwait</w:t>
            </w:r>
          </w:p>
        </w:tc>
        <w:tc>
          <w:tcPr>
            <w:tcW w:w="826" w:type="dxa"/>
            <w:vAlign w:val="center"/>
          </w:tcPr>
          <w:p w14:paraId="6499E7C5"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Bahrain</w:t>
            </w:r>
          </w:p>
        </w:tc>
        <w:tc>
          <w:tcPr>
            <w:tcW w:w="891" w:type="dxa"/>
            <w:vAlign w:val="center"/>
          </w:tcPr>
          <w:p w14:paraId="7F5D5484" w14:textId="77777777" w:rsidR="00066892" w:rsidRPr="00B606A8" w:rsidRDefault="00066892" w:rsidP="004466F2">
            <w:pPr>
              <w:jc w:val="center"/>
              <w:rPr>
                <w:rFonts w:asciiTheme="majorBidi" w:hAnsiTheme="majorBidi" w:cstheme="majorBidi"/>
                <w:sz w:val="18"/>
                <w:szCs w:val="18"/>
              </w:rPr>
            </w:pPr>
            <w:r w:rsidRPr="00B606A8">
              <w:rPr>
                <w:rFonts w:asciiTheme="majorBidi" w:hAnsiTheme="majorBidi" w:cstheme="majorBidi"/>
                <w:color w:val="000000"/>
                <w:sz w:val="18"/>
                <w:szCs w:val="18"/>
              </w:rPr>
              <w:t>Morocco</w:t>
            </w:r>
          </w:p>
        </w:tc>
        <w:tc>
          <w:tcPr>
            <w:tcW w:w="737" w:type="dxa"/>
            <w:vAlign w:val="center"/>
          </w:tcPr>
          <w:p w14:paraId="3A8057FF"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Jordan</w:t>
            </w:r>
          </w:p>
        </w:tc>
        <w:tc>
          <w:tcPr>
            <w:tcW w:w="821" w:type="dxa"/>
            <w:vAlign w:val="center"/>
          </w:tcPr>
          <w:p w14:paraId="68BC97D8"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Yemen</w:t>
            </w:r>
          </w:p>
        </w:tc>
        <w:tc>
          <w:tcPr>
            <w:tcW w:w="753" w:type="dxa"/>
            <w:vAlign w:val="center"/>
          </w:tcPr>
          <w:p w14:paraId="261A1AE1" w14:textId="77777777" w:rsidR="00066892" w:rsidRPr="00B606A8" w:rsidRDefault="00066892" w:rsidP="00B606A8">
            <w:pPr>
              <w:jc w:val="center"/>
              <w:rPr>
                <w:rFonts w:asciiTheme="majorBidi" w:hAnsiTheme="majorBidi" w:cstheme="majorBidi"/>
                <w:sz w:val="17"/>
                <w:szCs w:val="17"/>
              </w:rPr>
            </w:pPr>
            <w:r w:rsidRPr="00B606A8">
              <w:rPr>
                <w:rFonts w:asciiTheme="majorBidi" w:hAnsiTheme="majorBidi" w:cstheme="majorBidi"/>
                <w:color w:val="000000"/>
                <w:sz w:val="17"/>
                <w:szCs w:val="17"/>
              </w:rPr>
              <w:t>Algeria</w:t>
            </w:r>
          </w:p>
        </w:tc>
        <w:tc>
          <w:tcPr>
            <w:tcW w:w="758" w:type="dxa"/>
            <w:vAlign w:val="center"/>
          </w:tcPr>
          <w:p w14:paraId="5285E24F" w14:textId="77777777" w:rsidR="00066892" w:rsidRPr="00B606A8" w:rsidRDefault="00066892" w:rsidP="004466F2">
            <w:pPr>
              <w:jc w:val="center"/>
              <w:rPr>
                <w:rFonts w:asciiTheme="majorBidi" w:hAnsiTheme="majorBidi" w:cstheme="majorBidi"/>
                <w:sz w:val="18"/>
                <w:szCs w:val="18"/>
              </w:rPr>
            </w:pPr>
            <w:r w:rsidRPr="00B606A8">
              <w:rPr>
                <w:rFonts w:asciiTheme="majorBidi" w:hAnsiTheme="majorBidi" w:cstheme="majorBidi"/>
                <w:color w:val="000000"/>
                <w:sz w:val="18"/>
                <w:szCs w:val="18"/>
              </w:rPr>
              <w:t>Tunisia</w:t>
            </w:r>
          </w:p>
        </w:tc>
        <w:tc>
          <w:tcPr>
            <w:tcW w:w="688" w:type="dxa"/>
            <w:vAlign w:val="center"/>
          </w:tcPr>
          <w:p w14:paraId="7547CFDB"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Syria</w:t>
            </w:r>
          </w:p>
        </w:tc>
        <w:tc>
          <w:tcPr>
            <w:tcW w:w="853" w:type="dxa"/>
            <w:vAlign w:val="center"/>
          </w:tcPr>
          <w:p w14:paraId="5EFDF89F" w14:textId="77777777" w:rsidR="00066892" w:rsidRPr="00B606A8" w:rsidRDefault="00066892" w:rsidP="004466F2">
            <w:pPr>
              <w:jc w:val="center"/>
              <w:rPr>
                <w:rFonts w:asciiTheme="majorBidi" w:hAnsiTheme="majorBidi" w:cstheme="majorBidi"/>
                <w:sz w:val="18"/>
                <w:szCs w:val="18"/>
              </w:rPr>
            </w:pPr>
            <w:r w:rsidRPr="00B606A8">
              <w:rPr>
                <w:rFonts w:asciiTheme="majorBidi" w:hAnsiTheme="majorBidi" w:cstheme="majorBidi"/>
                <w:color w:val="000000"/>
                <w:sz w:val="18"/>
                <w:szCs w:val="18"/>
              </w:rPr>
              <w:t>Lebanon</w:t>
            </w:r>
          </w:p>
        </w:tc>
        <w:tc>
          <w:tcPr>
            <w:tcW w:w="708" w:type="dxa"/>
            <w:vAlign w:val="center"/>
          </w:tcPr>
          <w:p w14:paraId="5037D389"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Libya</w:t>
            </w:r>
          </w:p>
        </w:tc>
        <w:tc>
          <w:tcPr>
            <w:tcW w:w="910" w:type="dxa"/>
            <w:vAlign w:val="center"/>
          </w:tcPr>
          <w:p w14:paraId="08BB1E91"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Palestine</w:t>
            </w:r>
          </w:p>
        </w:tc>
        <w:tc>
          <w:tcPr>
            <w:tcW w:w="823" w:type="dxa"/>
            <w:vAlign w:val="center"/>
          </w:tcPr>
          <w:p w14:paraId="0D905474" w14:textId="77777777" w:rsidR="00066892" w:rsidRPr="00B606A8" w:rsidRDefault="00066892" w:rsidP="004466F2">
            <w:pPr>
              <w:jc w:val="center"/>
              <w:rPr>
                <w:rFonts w:asciiTheme="majorBidi" w:hAnsiTheme="majorBidi" w:cstheme="majorBidi"/>
                <w:sz w:val="18"/>
                <w:szCs w:val="18"/>
              </w:rPr>
            </w:pPr>
            <w:r w:rsidRPr="00B606A8">
              <w:rPr>
                <w:rFonts w:asciiTheme="majorBidi" w:hAnsiTheme="majorBidi" w:cstheme="majorBidi"/>
                <w:color w:val="000000"/>
                <w:sz w:val="18"/>
                <w:szCs w:val="18"/>
              </w:rPr>
              <w:t>Djibouti</w:t>
            </w:r>
          </w:p>
        </w:tc>
        <w:tc>
          <w:tcPr>
            <w:tcW w:w="705" w:type="dxa"/>
            <w:vAlign w:val="center"/>
          </w:tcPr>
          <w:p w14:paraId="7504AD52"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Sudan</w:t>
            </w:r>
          </w:p>
        </w:tc>
        <w:tc>
          <w:tcPr>
            <w:tcW w:w="971" w:type="dxa"/>
            <w:vAlign w:val="center"/>
          </w:tcPr>
          <w:p w14:paraId="4F7A120F" w14:textId="77777777" w:rsidR="00066892" w:rsidRPr="00A07231" w:rsidRDefault="00066892" w:rsidP="004466F2">
            <w:pPr>
              <w:jc w:val="center"/>
              <w:rPr>
                <w:rFonts w:asciiTheme="majorBidi" w:hAnsiTheme="majorBidi" w:cstheme="majorBidi"/>
                <w:sz w:val="19"/>
                <w:szCs w:val="19"/>
              </w:rPr>
            </w:pPr>
            <w:r w:rsidRPr="00A07231">
              <w:rPr>
                <w:rFonts w:asciiTheme="majorBidi" w:hAnsiTheme="majorBidi" w:cstheme="majorBidi"/>
                <w:color w:val="000000"/>
                <w:sz w:val="19"/>
                <w:szCs w:val="19"/>
              </w:rPr>
              <w:t>Total Arab Countries</w:t>
            </w:r>
          </w:p>
        </w:tc>
      </w:tr>
      <w:tr w:rsidR="00B606A8" w:rsidRPr="002434D9" w14:paraId="0B0A4EBA" w14:textId="77777777" w:rsidTr="00B606A8">
        <w:trPr>
          <w:trHeight w:val="232"/>
          <w:jc w:val="center"/>
        </w:trPr>
        <w:tc>
          <w:tcPr>
            <w:tcW w:w="695" w:type="dxa"/>
            <w:vAlign w:val="center"/>
          </w:tcPr>
          <w:p w14:paraId="1FEAF0E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1995</w:t>
            </w:r>
          </w:p>
        </w:tc>
        <w:tc>
          <w:tcPr>
            <w:tcW w:w="822" w:type="dxa"/>
            <w:vAlign w:val="center"/>
          </w:tcPr>
          <w:p w14:paraId="1327F6A1"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0.10</w:t>
            </w:r>
          </w:p>
        </w:tc>
        <w:tc>
          <w:tcPr>
            <w:tcW w:w="715" w:type="dxa"/>
          </w:tcPr>
          <w:p w14:paraId="7F2D40DF"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tcPr>
          <w:p w14:paraId="061EA8AC"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4" w:type="dxa"/>
          </w:tcPr>
          <w:p w14:paraId="6139731F"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9" w:type="dxa"/>
            <w:vAlign w:val="center"/>
          </w:tcPr>
          <w:p w14:paraId="740265A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tcPr>
          <w:p w14:paraId="1B024EAC"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tcPr>
          <w:p w14:paraId="4290ED5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4CEDAF58"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556C9829"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42164AE4"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6C43D92D"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01EF971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5F8373F7"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vAlign w:val="center"/>
          </w:tcPr>
          <w:p w14:paraId="5104B02F"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3BE7E9A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4AFC22D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45D20E50"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267BFC57"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7D8C50F2"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0.10</w:t>
            </w:r>
          </w:p>
        </w:tc>
      </w:tr>
      <w:tr w:rsidR="00B606A8" w:rsidRPr="002434D9" w14:paraId="24741F92" w14:textId="77777777" w:rsidTr="00B606A8">
        <w:trPr>
          <w:trHeight w:val="232"/>
          <w:jc w:val="center"/>
        </w:trPr>
        <w:tc>
          <w:tcPr>
            <w:tcW w:w="695" w:type="dxa"/>
            <w:vAlign w:val="center"/>
          </w:tcPr>
          <w:p w14:paraId="257ADDF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1996</w:t>
            </w:r>
          </w:p>
        </w:tc>
        <w:tc>
          <w:tcPr>
            <w:tcW w:w="822" w:type="dxa"/>
            <w:vAlign w:val="center"/>
          </w:tcPr>
          <w:p w14:paraId="75A1D62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1.81</w:t>
            </w:r>
          </w:p>
        </w:tc>
        <w:tc>
          <w:tcPr>
            <w:tcW w:w="715" w:type="dxa"/>
            <w:vAlign w:val="center"/>
          </w:tcPr>
          <w:p w14:paraId="5CA22B7A"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1.91</w:t>
            </w:r>
          </w:p>
        </w:tc>
        <w:tc>
          <w:tcPr>
            <w:tcW w:w="715" w:type="dxa"/>
          </w:tcPr>
          <w:p w14:paraId="546ACAE6"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4" w:type="dxa"/>
            <w:vAlign w:val="center"/>
          </w:tcPr>
          <w:p w14:paraId="1FF6C2C2"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w:t>
            </w:r>
          </w:p>
        </w:tc>
        <w:tc>
          <w:tcPr>
            <w:tcW w:w="719" w:type="dxa"/>
            <w:vAlign w:val="center"/>
          </w:tcPr>
          <w:p w14:paraId="589A40DA"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vAlign w:val="center"/>
          </w:tcPr>
          <w:p w14:paraId="30B6C3C3" w14:textId="091AFB5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w:t>
            </w:r>
            <w:r w:rsidR="006046F3">
              <w:rPr>
                <w:rFonts w:asciiTheme="majorBidi" w:hAnsiTheme="majorBidi" w:cstheme="majorBidi"/>
                <w:color w:val="000000"/>
                <w:sz w:val="20"/>
                <w:szCs w:val="20"/>
              </w:rPr>
              <w:t>9</w:t>
            </w:r>
          </w:p>
        </w:tc>
        <w:tc>
          <w:tcPr>
            <w:tcW w:w="826" w:type="dxa"/>
          </w:tcPr>
          <w:p w14:paraId="6E80DE2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60D6DDCC"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2E07C95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7BC37CC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159688EE"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4B0FD39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3934825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vAlign w:val="center"/>
          </w:tcPr>
          <w:p w14:paraId="2E786E6A"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5D309E31"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2D3194C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6226052A"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67A0F8C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25756A1A"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4.92</w:t>
            </w:r>
          </w:p>
        </w:tc>
      </w:tr>
      <w:tr w:rsidR="00B606A8" w:rsidRPr="002434D9" w14:paraId="4DF60B55" w14:textId="77777777" w:rsidTr="00B606A8">
        <w:trPr>
          <w:trHeight w:val="232"/>
          <w:jc w:val="center"/>
        </w:trPr>
        <w:tc>
          <w:tcPr>
            <w:tcW w:w="695" w:type="dxa"/>
            <w:vAlign w:val="center"/>
          </w:tcPr>
          <w:p w14:paraId="15EBD964"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1997</w:t>
            </w:r>
          </w:p>
        </w:tc>
        <w:tc>
          <w:tcPr>
            <w:tcW w:w="822" w:type="dxa"/>
            <w:vAlign w:val="center"/>
          </w:tcPr>
          <w:p w14:paraId="13FF9165" w14:textId="365F8DCB"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2.2</w:t>
            </w:r>
            <w:r w:rsidR="006046F3">
              <w:rPr>
                <w:rFonts w:asciiTheme="majorBidi" w:hAnsiTheme="majorBidi" w:cstheme="majorBidi"/>
                <w:color w:val="000000"/>
                <w:sz w:val="20"/>
                <w:szCs w:val="20"/>
              </w:rPr>
              <w:t>0</w:t>
            </w:r>
          </w:p>
        </w:tc>
        <w:tc>
          <w:tcPr>
            <w:tcW w:w="715" w:type="dxa"/>
            <w:vAlign w:val="center"/>
          </w:tcPr>
          <w:p w14:paraId="4E798EC8"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0.35</w:t>
            </w:r>
          </w:p>
        </w:tc>
        <w:tc>
          <w:tcPr>
            <w:tcW w:w="715" w:type="dxa"/>
          </w:tcPr>
          <w:p w14:paraId="28676640"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4" w:type="dxa"/>
            <w:vAlign w:val="center"/>
          </w:tcPr>
          <w:p w14:paraId="21CA65B1" w14:textId="0ACF66C3"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2.07</w:t>
            </w:r>
          </w:p>
        </w:tc>
        <w:tc>
          <w:tcPr>
            <w:tcW w:w="719" w:type="dxa"/>
            <w:vAlign w:val="center"/>
          </w:tcPr>
          <w:p w14:paraId="6CABF2DE"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0.25</w:t>
            </w:r>
          </w:p>
        </w:tc>
        <w:tc>
          <w:tcPr>
            <w:tcW w:w="779" w:type="dxa"/>
            <w:vAlign w:val="center"/>
          </w:tcPr>
          <w:p w14:paraId="1B911800"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1.2</w:t>
            </w:r>
          </w:p>
        </w:tc>
        <w:tc>
          <w:tcPr>
            <w:tcW w:w="826" w:type="dxa"/>
          </w:tcPr>
          <w:p w14:paraId="28527A77"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7F30DF20" w14:textId="1BB6296A"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w:t>
            </w:r>
            <w:r w:rsidR="006046F3">
              <w:rPr>
                <w:rFonts w:asciiTheme="majorBidi" w:hAnsiTheme="majorBidi" w:cstheme="majorBidi"/>
                <w:color w:val="000000"/>
                <w:sz w:val="20"/>
                <w:szCs w:val="20"/>
              </w:rPr>
              <w:t>0</w:t>
            </w:r>
          </w:p>
        </w:tc>
        <w:tc>
          <w:tcPr>
            <w:tcW w:w="737" w:type="dxa"/>
            <w:vAlign w:val="center"/>
          </w:tcPr>
          <w:p w14:paraId="10ECBBCC"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64ED4D9C"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7EC744F7"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3DADBC21"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4D171654"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vAlign w:val="center"/>
          </w:tcPr>
          <w:p w14:paraId="09C07447" w14:textId="51A5FB4A"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w:t>
            </w:r>
            <w:r w:rsidR="006046F3">
              <w:rPr>
                <w:rFonts w:asciiTheme="majorBidi" w:hAnsiTheme="majorBidi" w:cstheme="majorBidi"/>
                <w:color w:val="000000"/>
                <w:sz w:val="20"/>
                <w:szCs w:val="20"/>
              </w:rPr>
              <w:t>0</w:t>
            </w:r>
          </w:p>
        </w:tc>
        <w:tc>
          <w:tcPr>
            <w:tcW w:w="708" w:type="dxa"/>
            <w:vAlign w:val="center"/>
          </w:tcPr>
          <w:p w14:paraId="37398084"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34040EB0"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1AB43B66"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0F577A2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29F598DC"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7.07</w:t>
            </w:r>
          </w:p>
        </w:tc>
      </w:tr>
      <w:tr w:rsidR="00B606A8" w:rsidRPr="002434D9" w14:paraId="1038D0A5" w14:textId="77777777" w:rsidTr="00B606A8">
        <w:trPr>
          <w:trHeight w:val="232"/>
          <w:jc w:val="center"/>
        </w:trPr>
        <w:tc>
          <w:tcPr>
            <w:tcW w:w="695" w:type="dxa"/>
            <w:vAlign w:val="center"/>
          </w:tcPr>
          <w:p w14:paraId="731DACC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1998</w:t>
            </w:r>
          </w:p>
        </w:tc>
        <w:tc>
          <w:tcPr>
            <w:tcW w:w="822" w:type="dxa"/>
            <w:vAlign w:val="center"/>
          </w:tcPr>
          <w:p w14:paraId="547ADDAF"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0.85</w:t>
            </w:r>
          </w:p>
        </w:tc>
        <w:tc>
          <w:tcPr>
            <w:tcW w:w="715" w:type="dxa"/>
            <w:vAlign w:val="center"/>
          </w:tcPr>
          <w:p w14:paraId="089758D2"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1.11</w:t>
            </w:r>
          </w:p>
        </w:tc>
        <w:tc>
          <w:tcPr>
            <w:tcW w:w="715" w:type="dxa"/>
          </w:tcPr>
          <w:p w14:paraId="3137266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4" w:type="dxa"/>
            <w:vAlign w:val="center"/>
          </w:tcPr>
          <w:p w14:paraId="2BC8835A"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w:t>
            </w:r>
          </w:p>
        </w:tc>
        <w:tc>
          <w:tcPr>
            <w:tcW w:w="719" w:type="dxa"/>
            <w:vAlign w:val="center"/>
          </w:tcPr>
          <w:p w14:paraId="4663CFF0" w14:textId="4F2E6769"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1.19</w:t>
            </w:r>
          </w:p>
        </w:tc>
        <w:tc>
          <w:tcPr>
            <w:tcW w:w="779" w:type="dxa"/>
          </w:tcPr>
          <w:p w14:paraId="7E2D0586"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tcPr>
          <w:p w14:paraId="2039CFA1"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64DF2755" w14:textId="040700CB"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0.06</w:t>
            </w:r>
          </w:p>
        </w:tc>
        <w:tc>
          <w:tcPr>
            <w:tcW w:w="737" w:type="dxa"/>
            <w:vAlign w:val="center"/>
          </w:tcPr>
          <w:p w14:paraId="5FF4CB88"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4D311093"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6E55AE04"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6801CEC1"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2865B355"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vAlign w:val="center"/>
          </w:tcPr>
          <w:p w14:paraId="609D88F6"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169C3157"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011DA6A2"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698E4806"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126E10B6"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2383BEBB" w14:textId="77777777" w:rsidR="00066892" w:rsidRPr="00A07231" w:rsidRDefault="0006689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3.21</w:t>
            </w:r>
          </w:p>
        </w:tc>
      </w:tr>
      <w:tr w:rsidR="00B606A8" w:rsidRPr="002434D9" w14:paraId="065C483A" w14:textId="77777777" w:rsidTr="00B606A8">
        <w:trPr>
          <w:trHeight w:val="232"/>
          <w:jc w:val="center"/>
        </w:trPr>
        <w:tc>
          <w:tcPr>
            <w:tcW w:w="695" w:type="dxa"/>
            <w:vAlign w:val="center"/>
          </w:tcPr>
          <w:p w14:paraId="6EA9131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1999</w:t>
            </w:r>
          </w:p>
        </w:tc>
        <w:tc>
          <w:tcPr>
            <w:tcW w:w="822" w:type="dxa"/>
            <w:vAlign w:val="center"/>
          </w:tcPr>
          <w:p w14:paraId="674D7E2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0.60</w:t>
            </w:r>
          </w:p>
        </w:tc>
        <w:tc>
          <w:tcPr>
            <w:tcW w:w="715" w:type="dxa"/>
            <w:vAlign w:val="center"/>
          </w:tcPr>
          <w:p w14:paraId="22EE0F5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0.91</w:t>
            </w:r>
          </w:p>
        </w:tc>
        <w:tc>
          <w:tcPr>
            <w:tcW w:w="715" w:type="dxa"/>
            <w:vAlign w:val="center"/>
          </w:tcPr>
          <w:p w14:paraId="21D0312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1.18</w:t>
            </w:r>
          </w:p>
        </w:tc>
        <w:tc>
          <w:tcPr>
            <w:tcW w:w="734" w:type="dxa"/>
            <w:vAlign w:val="center"/>
          </w:tcPr>
          <w:p w14:paraId="4AFACB9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0.06</w:t>
            </w:r>
          </w:p>
        </w:tc>
        <w:tc>
          <w:tcPr>
            <w:tcW w:w="719" w:type="dxa"/>
            <w:vAlign w:val="center"/>
          </w:tcPr>
          <w:p w14:paraId="1260FD3B" w14:textId="4241F72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0.85</w:t>
            </w:r>
          </w:p>
        </w:tc>
        <w:tc>
          <w:tcPr>
            <w:tcW w:w="779" w:type="dxa"/>
          </w:tcPr>
          <w:p w14:paraId="2DDF7BB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tcPr>
          <w:p w14:paraId="719975D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274B9872" w14:textId="16BDA24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0.70</w:t>
            </w:r>
          </w:p>
        </w:tc>
        <w:tc>
          <w:tcPr>
            <w:tcW w:w="737" w:type="dxa"/>
            <w:vAlign w:val="center"/>
          </w:tcPr>
          <w:p w14:paraId="1A241C5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765F0D2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3788F7D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1C9A0A58" w14:textId="3A944B5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0.09</w:t>
            </w:r>
          </w:p>
        </w:tc>
        <w:tc>
          <w:tcPr>
            <w:tcW w:w="688" w:type="dxa"/>
            <w:vAlign w:val="center"/>
          </w:tcPr>
          <w:p w14:paraId="5C8B8DC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70CA49BA" w14:textId="336DADE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1B7B673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6834AD5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47EA80B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0A593A2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1C19018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4.40</w:t>
            </w:r>
          </w:p>
        </w:tc>
      </w:tr>
      <w:tr w:rsidR="00B606A8" w:rsidRPr="002434D9" w14:paraId="5BF51FFC" w14:textId="77777777" w:rsidTr="00B606A8">
        <w:trPr>
          <w:trHeight w:val="232"/>
          <w:jc w:val="center"/>
        </w:trPr>
        <w:tc>
          <w:tcPr>
            <w:tcW w:w="695" w:type="dxa"/>
            <w:vAlign w:val="center"/>
          </w:tcPr>
          <w:p w14:paraId="1D4B84A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2000</w:t>
            </w:r>
          </w:p>
        </w:tc>
        <w:tc>
          <w:tcPr>
            <w:tcW w:w="822" w:type="dxa"/>
            <w:vAlign w:val="center"/>
          </w:tcPr>
          <w:p w14:paraId="752DD61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0.85</w:t>
            </w:r>
          </w:p>
        </w:tc>
        <w:tc>
          <w:tcPr>
            <w:tcW w:w="715" w:type="dxa"/>
            <w:vAlign w:val="center"/>
          </w:tcPr>
          <w:p w14:paraId="7A7BD44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vAlign w:val="center"/>
          </w:tcPr>
          <w:p w14:paraId="7B8B750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1.10</w:t>
            </w:r>
          </w:p>
        </w:tc>
        <w:tc>
          <w:tcPr>
            <w:tcW w:w="734" w:type="dxa"/>
            <w:vAlign w:val="center"/>
          </w:tcPr>
          <w:p w14:paraId="30160B5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0.51</w:t>
            </w:r>
          </w:p>
        </w:tc>
        <w:tc>
          <w:tcPr>
            <w:tcW w:w="719" w:type="dxa"/>
            <w:vAlign w:val="center"/>
          </w:tcPr>
          <w:p w14:paraId="58BD516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tcPr>
          <w:p w14:paraId="71E7FB7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tcPr>
          <w:p w14:paraId="6BA6B60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75A32F58" w14:textId="3DA24F0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w:t>
            </w:r>
            <w:r w:rsidR="006046F3">
              <w:rPr>
                <w:rFonts w:asciiTheme="majorBidi" w:hAnsiTheme="majorBidi" w:cstheme="majorBidi"/>
                <w:color w:val="000000"/>
                <w:sz w:val="20"/>
                <w:szCs w:val="20"/>
              </w:rPr>
              <w:t>6</w:t>
            </w:r>
          </w:p>
        </w:tc>
        <w:tc>
          <w:tcPr>
            <w:tcW w:w="737" w:type="dxa"/>
            <w:vAlign w:val="center"/>
          </w:tcPr>
          <w:p w14:paraId="105C3157" w14:textId="6607C8C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0.11</w:t>
            </w:r>
          </w:p>
        </w:tc>
        <w:tc>
          <w:tcPr>
            <w:tcW w:w="821" w:type="dxa"/>
            <w:vAlign w:val="center"/>
          </w:tcPr>
          <w:p w14:paraId="3BDD9F8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403D345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070CC51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0FF1F00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4F911860" w14:textId="11B4FD7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0C60F5B1" w14:textId="67A6256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0.05</w:t>
            </w:r>
          </w:p>
        </w:tc>
        <w:tc>
          <w:tcPr>
            <w:tcW w:w="910" w:type="dxa"/>
            <w:vAlign w:val="center"/>
          </w:tcPr>
          <w:p w14:paraId="7EBE4078" w14:textId="619D79D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0.09</w:t>
            </w:r>
          </w:p>
        </w:tc>
        <w:tc>
          <w:tcPr>
            <w:tcW w:w="823" w:type="dxa"/>
            <w:vAlign w:val="center"/>
          </w:tcPr>
          <w:p w14:paraId="63BC2C2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44F60DF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2E8268A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3.67</w:t>
            </w:r>
          </w:p>
        </w:tc>
      </w:tr>
      <w:tr w:rsidR="00B606A8" w:rsidRPr="002434D9" w14:paraId="5EBA85FA" w14:textId="77777777" w:rsidTr="00B606A8">
        <w:trPr>
          <w:trHeight w:val="232"/>
          <w:jc w:val="center"/>
        </w:trPr>
        <w:tc>
          <w:tcPr>
            <w:tcW w:w="695" w:type="dxa"/>
            <w:vAlign w:val="center"/>
          </w:tcPr>
          <w:p w14:paraId="65D9008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2001</w:t>
            </w:r>
          </w:p>
        </w:tc>
        <w:tc>
          <w:tcPr>
            <w:tcW w:w="822" w:type="dxa"/>
            <w:vAlign w:val="center"/>
          </w:tcPr>
          <w:p w14:paraId="50F6302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2.18</w:t>
            </w:r>
          </w:p>
        </w:tc>
        <w:tc>
          <w:tcPr>
            <w:tcW w:w="715" w:type="dxa"/>
            <w:vAlign w:val="center"/>
          </w:tcPr>
          <w:p w14:paraId="0FA244B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1.13</w:t>
            </w:r>
          </w:p>
        </w:tc>
        <w:tc>
          <w:tcPr>
            <w:tcW w:w="715" w:type="dxa"/>
            <w:vAlign w:val="center"/>
          </w:tcPr>
          <w:p w14:paraId="5F325C8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1.64</w:t>
            </w:r>
          </w:p>
        </w:tc>
        <w:tc>
          <w:tcPr>
            <w:tcW w:w="734" w:type="dxa"/>
            <w:vAlign w:val="center"/>
          </w:tcPr>
          <w:p w14:paraId="2A143DD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2.03</w:t>
            </w:r>
          </w:p>
        </w:tc>
        <w:tc>
          <w:tcPr>
            <w:tcW w:w="719" w:type="dxa"/>
            <w:vAlign w:val="center"/>
          </w:tcPr>
          <w:p w14:paraId="65948385" w14:textId="77B40628"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0.65</w:t>
            </w:r>
          </w:p>
        </w:tc>
        <w:tc>
          <w:tcPr>
            <w:tcW w:w="779" w:type="dxa"/>
            <w:vAlign w:val="center"/>
          </w:tcPr>
          <w:p w14:paraId="0D86642E" w14:textId="7D585C5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0.90</w:t>
            </w:r>
          </w:p>
        </w:tc>
        <w:tc>
          <w:tcPr>
            <w:tcW w:w="826" w:type="dxa"/>
          </w:tcPr>
          <w:p w14:paraId="77BDEA8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4BDB81F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3F1554F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3069741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5896EFC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31791D8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0E6D958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1D0E810A" w14:textId="676B83F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50790F0F" w14:textId="6BF6440C"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0.05</w:t>
            </w:r>
          </w:p>
        </w:tc>
        <w:tc>
          <w:tcPr>
            <w:tcW w:w="910" w:type="dxa"/>
            <w:vAlign w:val="center"/>
          </w:tcPr>
          <w:p w14:paraId="4F4395A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6ED1146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6608094E" w14:textId="3964CD4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w:t>
            </w:r>
            <w:r w:rsidR="006046F3">
              <w:rPr>
                <w:rFonts w:asciiTheme="majorBidi" w:hAnsiTheme="majorBidi" w:cstheme="majorBidi"/>
                <w:color w:val="000000"/>
                <w:sz w:val="20"/>
                <w:szCs w:val="20"/>
              </w:rPr>
              <w:t>3</w:t>
            </w:r>
          </w:p>
        </w:tc>
        <w:tc>
          <w:tcPr>
            <w:tcW w:w="971" w:type="dxa"/>
            <w:vAlign w:val="center"/>
          </w:tcPr>
          <w:p w14:paraId="5D59F28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8.60</w:t>
            </w:r>
          </w:p>
        </w:tc>
      </w:tr>
      <w:tr w:rsidR="00B606A8" w:rsidRPr="002434D9" w14:paraId="018CCABB" w14:textId="77777777" w:rsidTr="00B606A8">
        <w:trPr>
          <w:trHeight w:val="232"/>
          <w:jc w:val="center"/>
        </w:trPr>
        <w:tc>
          <w:tcPr>
            <w:tcW w:w="695" w:type="dxa"/>
            <w:vAlign w:val="center"/>
          </w:tcPr>
          <w:p w14:paraId="34B2AC9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2002</w:t>
            </w:r>
          </w:p>
        </w:tc>
        <w:tc>
          <w:tcPr>
            <w:tcW w:w="822" w:type="dxa"/>
            <w:vAlign w:val="center"/>
          </w:tcPr>
          <w:p w14:paraId="45944F2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0.28</w:t>
            </w:r>
          </w:p>
        </w:tc>
        <w:tc>
          <w:tcPr>
            <w:tcW w:w="715" w:type="dxa"/>
            <w:vAlign w:val="center"/>
          </w:tcPr>
          <w:p w14:paraId="65AEA39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0.30</w:t>
            </w:r>
          </w:p>
        </w:tc>
        <w:tc>
          <w:tcPr>
            <w:tcW w:w="715" w:type="dxa"/>
            <w:vAlign w:val="center"/>
          </w:tcPr>
          <w:p w14:paraId="77C7298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4" w:type="dxa"/>
            <w:vAlign w:val="center"/>
          </w:tcPr>
          <w:p w14:paraId="2E901C8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0.68</w:t>
            </w:r>
          </w:p>
        </w:tc>
        <w:tc>
          <w:tcPr>
            <w:tcW w:w="719" w:type="dxa"/>
            <w:vAlign w:val="center"/>
          </w:tcPr>
          <w:p w14:paraId="69A3E2E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vAlign w:val="center"/>
          </w:tcPr>
          <w:p w14:paraId="4F43982C" w14:textId="1EC16BFC"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w:t>
            </w:r>
            <w:r w:rsidR="002D190A">
              <w:rPr>
                <w:rFonts w:asciiTheme="majorBidi" w:hAnsiTheme="majorBidi" w:cstheme="majorBidi"/>
                <w:color w:val="000000"/>
                <w:sz w:val="20"/>
                <w:szCs w:val="20"/>
              </w:rPr>
              <w:t>1</w:t>
            </w:r>
          </w:p>
        </w:tc>
        <w:tc>
          <w:tcPr>
            <w:tcW w:w="826" w:type="dxa"/>
            <w:vAlign w:val="center"/>
          </w:tcPr>
          <w:p w14:paraId="6F319FEE" w14:textId="6B28F87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0.25</w:t>
            </w:r>
          </w:p>
        </w:tc>
        <w:tc>
          <w:tcPr>
            <w:tcW w:w="891" w:type="dxa"/>
            <w:vAlign w:val="center"/>
          </w:tcPr>
          <w:p w14:paraId="5DD1666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4552112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7867C9B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40B1A009" w14:textId="2441ED1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w:t>
            </w:r>
            <w:r w:rsidR="006046F3">
              <w:rPr>
                <w:rFonts w:asciiTheme="majorBidi" w:hAnsiTheme="majorBidi" w:cstheme="majorBidi"/>
                <w:color w:val="000000"/>
                <w:sz w:val="20"/>
                <w:szCs w:val="20"/>
              </w:rPr>
              <w:t>7</w:t>
            </w:r>
          </w:p>
        </w:tc>
        <w:tc>
          <w:tcPr>
            <w:tcW w:w="758" w:type="dxa"/>
            <w:vAlign w:val="center"/>
          </w:tcPr>
          <w:p w14:paraId="7955422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56D8881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4BE8FE91" w14:textId="22B238C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vAlign w:val="center"/>
          </w:tcPr>
          <w:p w14:paraId="447AED5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3AEF4B2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0923651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vAlign w:val="center"/>
          </w:tcPr>
          <w:p w14:paraId="2DE9431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68BEFA1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2.39</w:t>
            </w:r>
          </w:p>
        </w:tc>
      </w:tr>
      <w:tr w:rsidR="00B606A8" w:rsidRPr="002434D9" w14:paraId="36BADB93" w14:textId="77777777" w:rsidTr="00B606A8">
        <w:trPr>
          <w:trHeight w:val="232"/>
          <w:jc w:val="center"/>
        </w:trPr>
        <w:tc>
          <w:tcPr>
            <w:tcW w:w="695" w:type="dxa"/>
            <w:vAlign w:val="center"/>
          </w:tcPr>
          <w:p w14:paraId="114A05E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2003</w:t>
            </w:r>
          </w:p>
        </w:tc>
        <w:tc>
          <w:tcPr>
            <w:tcW w:w="822" w:type="dxa"/>
            <w:vAlign w:val="center"/>
          </w:tcPr>
          <w:p w14:paraId="5FD161E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0.82</w:t>
            </w:r>
          </w:p>
        </w:tc>
        <w:tc>
          <w:tcPr>
            <w:tcW w:w="715" w:type="dxa"/>
            <w:vAlign w:val="center"/>
          </w:tcPr>
          <w:p w14:paraId="7EA6EC3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1.29</w:t>
            </w:r>
          </w:p>
        </w:tc>
        <w:tc>
          <w:tcPr>
            <w:tcW w:w="715" w:type="dxa"/>
            <w:vAlign w:val="center"/>
          </w:tcPr>
          <w:p w14:paraId="64C01E9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1.86</w:t>
            </w:r>
          </w:p>
        </w:tc>
        <w:tc>
          <w:tcPr>
            <w:tcW w:w="734" w:type="dxa"/>
            <w:vAlign w:val="center"/>
          </w:tcPr>
          <w:p w14:paraId="396189C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0.91</w:t>
            </w:r>
          </w:p>
        </w:tc>
        <w:tc>
          <w:tcPr>
            <w:tcW w:w="719" w:type="dxa"/>
            <w:vAlign w:val="center"/>
          </w:tcPr>
          <w:p w14:paraId="6DF0513D" w14:textId="505D2F0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0.95</w:t>
            </w:r>
          </w:p>
        </w:tc>
        <w:tc>
          <w:tcPr>
            <w:tcW w:w="779" w:type="dxa"/>
            <w:vAlign w:val="center"/>
          </w:tcPr>
          <w:p w14:paraId="3769943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6867A99E" w14:textId="1DCFFDF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1.35</w:t>
            </w:r>
          </w:p>
        </w:tc>
        <w:tc>
          <w:tcPr>
            <w:tcW w:w="891" w:type="dxa"/>
            <w:vAlign w:val="center"/>
          </w:tcPr>
          <w:p w14:paraId="6BE2EF9B" w14:textId="7515A20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w:t>
            </w:r>
            <w:r w:rsidR="006046F3">
              <w:rPr>
                <w:rFonts w:asciiTheme="majorBidi" w:hAnsiTheme="majorBidi" w:cstheme="majorBidi"/>
                <w:color w:val="000000"/>
                <w:sz w:val="20"/>
                <w:szCs w:val="20"/>
              </w:rPr>
              <w:t>3</w:t>
            </w:r>
          </w:p>
        </w:tc>
        <w:tc>
          <w:tcPr>
            <w:tcW w:w="737" w:type="dxa"/>
            <w:vAlign w:val="center"/>
          </w:tcPr>
          <w:p w14:paraId="7C0F0C0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684CAEE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60DF79DC" w14:textId="089437D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0.38</w:t>
            </w:r>
          </w:p>
        </w:tc>
        <w:tc>
          <w:tcPr>
            <w:tcW w:w="758" w:type="dxa"/>
            <w:vAlign w:val="center"/>
          </w:tcPr>
          <w:p w14:paraId="7852DCD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1DEFF25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193198CD" w14:textId="2A38FDE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1EBFC119" w14:textId="0776143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3D5FA0A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18A2952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30402639" w14:textId="21C5D46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28072FA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7.79</w:t>
            </w:r>
          </w:p>
        </w:tc>
      </w:tr>
      <w:tr w:rsidR="00B606A8" w:rsidRPr="002434D9" w14:paraId="26A67023" w14:textId="77777777" w:rsidTr="00B606A8">
        <w:trPr>
          <w:trHeight w:val="232"/>
          <w:jc w:val="center"/>
        </w:trPr>
        <w:tc>
          <w:tcPr>
            <w:tcW w:w="695" w:type="dxa"/>
            <w:vAlign w:val="center"/>
          </w:tcPr>
          <w:p w14:paraId="3986771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2004</w:t>
            </w:r>
          </w:p>
        </w:tc>
        <w:tc>
          <w:tcPr>
            <w:tcW w:w="822" w:type="dxa"/>
            <w:vAlign w:val="center"/>
          </w:tcPr>
          <w:p w14:paraId="7692606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3.73</w:t>
            </w:r>
          </w:p>
        </w:tc>
        <w:tc>
          <w:tcPr>
            <w:tcW w:w="715" w:type="dxa"/>
            <w:vAlign w:val="center"/>
          </w:tcPr>
          <w:p w14:paraId="688A179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6.11</w:t>
            </w:r>
          </w:p>
        </w:tc>
        <w:tc>
          <w:tcPr>
            <w:tcW w:w="715" w:type="dxa"/>
            <w:vAlign w:val="center"/>
          </w:tcPr>
          <w:p w14:paraId="14B85F4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1.80</w:t>
            </w:r>
          </w:p>
        </w:tc>
        <w:tc>
          <w:tcPr>
            <w:tcW w:w="734" w:type="dxa"/>
            <w:vAlign w:val="center"/>
          </w:tcPr>
          <w:p w14:paraId="002B71E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1.61</w:t>
            </w:r>
          </w:p>
        </w:tc>
        <w:tc>
          <w:tcPr>
            <w:tcW w:w="719" w:type="dxa"/>
            <w:vAlign w:val="center"/>
          </w:tcPr>
          <w:p w14:paraId="1DBD2EE4" w14:textId="21E3161D"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1.85</w:t>
            </w:r>
          </w:p>
        </w:tc>
        <w:tc>
          <w:tcPr>
            <w:tcW w:w="779" w:type="dxa"/>
            <w:vAlign w:val="center"/>
          </w:tcPr>
          <w:p w14:paraId="7DBCAC5B" w14:textId="0558F23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0.60</w:t>
            </w:r>
          </w:p>
        </w:tc>
        <w:tc>
          <w:tcPr>
            <w:tcW w:w="826" w:type="dxa"/>
            <w:vAlign w:val="center"/>
          </w:tcPr>
          <w:p w14:paraId="4A2D0AE1" w14:textId="4CCAB89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w:t>
            </w:r>
            <w:r w:rsidR="006046F3">
              <w:rPr>
                <w:rFonts w:asciiTheme="majorBidi" w:hAnsiTheme="majorBidi" w:cstheme="majorBidi"/>
                <w:color w:val="000000"/>
                <w:sz w:val="20"/>
                <w:szCs w:val="20"/>
              </w:rPr>
              <w:t>3</w:t>
            </w:r>
          </w:p>
        </w:tc>
        <w:tc>
          <w:tcPr>
            <w:tcW w:w="891" w:type="dxa"/>
            <w:vAlign w:val="center"/>
          </w:tcPr>
          <w:p w14:paraId="3D07424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5A85ED17" w14:textId="53AED3C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0.22</w:t>
            </w:r>
          </w:p>
        </w:tc>
        <w:tc>
          <w:tcPr>
            <w:tcW w:w="821" w:type="dxa"/>
            <w:vAlign w:val="center"/>
          </w:tcPr>
          <w:p w14:paraId="5EE562A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2106453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089ADADA" w14:textId="6B230C1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0.36</w:t>
            </w:r>
          </w:p>
        </w:tc>
        <w:tc>
          <w:tcPr>
            <w:tcW w:w="688" w:type="dxa"/>
            <w:vAlign w:val="center"/>
          </w:tcPr>
          <w:p w14:paraId="37CA9EA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73366FF8" w14:textId="6771C8C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0A72797A" w14:textId="57F1738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64AB04E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vAlign w:val="center"/>
          </w:tcPr>
          <w:p w14:paraId="0FE6F120" w14:textId="715731B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0.04</w:t>
            </w:r>
          </w:p>
        </w:tc>
        <w:tc>
          <w:tcPr>
            <w:tcW w:w="705" w:type="dxa"/>
          </w:tcPr>
          <w:p w14:paraId="29BD13BF" w14:textId="3D7183C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55AB45E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18.25</w:t>
            </w:r>
          </w:p>
        </w:tc>
      </w:tr>
      <w:tr w:rsidR="00B606A8" w:rsidRPr="002434D9" w14:paraId="45A00248" w14:textId="77777777" w:rsidTr="00B606A8">
        <w:trPr>
          <w:trHeight w:val="232"/>
          <w:jc w:val="center"/>
        </w:trPr>
        <w:tc>
          <w:tcPr>
            <w:tcW w:w="695" w:type="dxa"/>
            <w:vAlign w:val="center"/>
          </w:tcPr>
          <w:p w14:paraId="5A28BCC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2005</w:t>
            </w:r>
          </w:p>
        </w:tc>
        <w:tc>
          <w:tcPr>
            <w:tcW w:w="822" w:type="dxa"/>
            <w:vAlign w:val="center"/>
          </w:tcPr>
          <w:p w14:paraId="67DF758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2.47</w:t>
            </w:r>
          </w:p>
        </w:tc>
        <w:tc>
          <w:tcPr>
            <w:tcW w:w="715" w:type="dxa"/>
            <w:vAlign w:val="center"/>
          </w:tcPr>
          <w:p w14:paraId="02ADE98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14.08</w:t>
            </w:r>
          </w:p>
        </w:tc>
        <w:tc>
          <w:tcPr>
            <w:tcW w:w="715" w:type="dxa"/>
            <w:vAlign w:val="center"/>
          </w:tcPr>
          <w:p w14:paraId="64E4E68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2.37</w:t>
            </w:r>
          </w:p>
        </w:tc>
        <w:tc>
          <w:tcPr>
            <w:tcW w:w="734" w:type="dxa"/>
            <w:vAlign w:val="center"/>
          </w:tcPr>
          <w:p w14:paraId="3C6D17B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5.67</w:t>
            </w:r>
          </w:p>
        </w:tc>
        <w:tc>
          <w:tcPr>
            <w:tcW w:w="719" w:type="dxa"/>
            <w:vAlign w:val="center"/>
          </w:tcPr>
          <w:p w14:paraId="4032F728" w14:textId="1FD40AD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2.18</w:t>
            </w:r>
          </w:p>
        </w:tc>
        <w:tc>
          <w:tcPr>
            <w:tcW w:w="779" w:type="dxa"/>
            <w:vAlign w:val="center"/>
          </w:tcPr>
          <w:p w14:paraId="7E409E28" w14:textId="5C06A0F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0.75</w:t>
            </w:r>
          </w:p>
        </w:tc>
        <w:tc>
          <w:tcPr>
            <w:tcW w:w="826" w:type="dxa"/>
            <w:vAlign w:val="center"/>
          </w:tcPr>
          <w:p w14:paraId="10006290" w14:textId="1819603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0.15</w:t>
            </w:r>
          </w:p>
        </w:tc>
        <w:tc>
          <w:tcPr>
            <w:tcW w:w="891" w:type="dxa"/>
            <w:vAlign w:val="center"/>
          </w:tcPr>
          <w:p w14:paraId="79D1F5DE" w14:textId="218A795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w:t>
            </w:r>
            <w:r w:rsidR="006046F3">
              <w:rPr>
                <w:rFonts w:asciiTheme="majorBidi" w:hAnsiTheme="majorBidi" w:cstheme="majorBidi"/>
                <w:color w:val="000000"/>
                <w:sz w:val="20"/>
                <w:szCs w:val="20"/>
              </w:rPr>
              <w:t>1</w:t>
            </w:r>
          </w:p>
        </w:tc>
        <w:tc>
          <w:tcPr>
            <w:tcW w:w="737" w:type="dxa"/>
            <w:vAlign w:val="center"/>
          </w:tcPr>
          <w:p w14:paraId="06D2316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48BDD15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35142AA1" w14:textId="5BA29DF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0.79</w:t>
            </w:r>
          </w:p>
        </w:tc>
        <w:tc>
          <w:tcPr>
            <w:tcW w:w="758" w:type="dxa"/>
            <w:vAlign w:val="center"/>
          </w:tcPr>
          <w:p w14:paraId="61B4354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596D005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45B30D1B" w14:textId="132F90A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010A962F" w14:textId="64EA69D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0E30469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6D10ED90" w14:textId="44A6172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3D76A96F" w14:textId="46D92A68"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0C4EC9C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29.06</w:t>
            </w:r>
          </w:p>
        </w:tc>
      </w:tr>
      <w:tr w:rsidR="00B606A8" w:rsidRPr="002434D9" w14:paraId="4B25D829" w14:textId="77777777" w:rsidTr="00B606A8">
        <w:trPr>
          <w:trHeight w:val="232"/>
          <w:jc w:val="center"/>
        </w:trPr>
        <w:tc>
          <w:tcPr>
            <w:tcW w:w="695" w:type="dxa"/>
            <w:vAlign w:val="center"/>
          </w:tcPr>
          <w:p w14:paraId="26844AF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2006</w:t>
            </w:r>
          </w:p>
        </w:tc>
        <w:tc>
          <w:tcPr>
            <w:tcW w:w="822" w:type="dxa"/>
            <w:vAlign w:val="center"/>
          </w:tcPr>
          <w:p w14:paraId="3C3CB22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15.31</w:t>
            </w:r>
          </w:p>
        </w:tc>
        <w:tc>
          <w:tcPr>
            <w:tcW w:w="715" w:type="dxa"/>
            <w:vAlign w:val="center"/>
          </w:tcPr>
          <w:p w14:paraId="7F8B8CD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4.72</w:t>
            </w:r>
          </w:p>
        </w:tc>
        <w:tc>
          <w:tcPr>
            <w:tcW w:w="715" w:type="dxa"/>
            <w:vAlign w:val="center"/>
          </w:tcPr>
          <w:p w14:paraId="27A7B61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2.10</w:t>
            </w:r>
          </w:p>
        </w:tc>
        <w:tc>
          <w:tcPr>
            <w:tcW w:w="734" w:type="dxa"/>
            <w:vAlign w:val="center"/>
          </w:tcPr>
          <w:p w14:paraId="6800F54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3.15</w:t>
            </w:r>
          </w:p>
        </w:tc>
        <w:tc>
          <w:tcPr>
            <w:tcW w:w="719" w:type="dxa"/>
            <w:vAlign w:val="center"/>
          </w:tcPr>
          <w:p w14:paraId="07CF9B97" w14:textId="24B0855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1.58</w:t>
            </w:r>
          </w:p>
        </w:tc>
        <w:tc>
          <w:tcPr>
            <w:tcW w:w="779" w:type="dxa"/>
            <w:vAlign w:val="center"/>
          </w:tcPr>
          <w:p w14:paraId="429092B3" w14:textId="135FC49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2.50</w:t>
            </w:r>
          </w:p>
        </w:tc>
        <w:tc>
          <w:tcPr>
            <w:tcW w:w="826" w:type="dxa"/>
            <w:vAlign w:val="center"/>
          </w:tcPr>
          <w:p w14:paraId="3F58A243" w14:textId="208CD72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1.20</w:t>
            </w:r>
          </w:p>
        </w:tc>
        <w:tc>
          <w:tcPr>
            <w:tcW w:w="891" w:type="dxa"/>
            <w:vAlign w:val="center"/>
          </w:tcPr>
          <w:p w14:paraId="4655B7E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617C473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77C6162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054D917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0BD2694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221CD97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47CEEDC3" w14:textId="22CCDF7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68843BA3" w14:textId="0FEC69B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33F0C85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37426934" w14:textId="32D38CD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09CAC131" w14:textId="143CABB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42622B5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30.57</w:t>
            </w:r>
          </w:p>
        </w:tc>
      </w:tr>
      <w:tr w:rsidR="00B606A8" w:rsidRPr="002434D9" w14:paraId="3683EF10" w14:textId="77777777" w:rsidTr="00B606A8">
        <w:trPr>
          <w:trHeight w:val="232"/>
          <w:jc w:val="center"/>
        </w:trPr>
        <w:tc>
          <w:tcPr>
            <w:tcW w:w="695" w:type="dxa"/>
            <w:vAlign w:val="center"/>
          </w:tcPr>
          <w:p w14:paraId="05E28D2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2007</w:t>
            </w:r>
          </w:p>
        </w:tc>
        <w:tc>
          <w:tcPr>
            <w:tcW w:w="822" w:type="dxa"/>
            <w:vAlign w:val="center"/>
          </w:tcPr>
          <w:p w14:paraId="5F4D554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8.08</w:t>
            </w:r>
          </w:p>
        </w:tc>
        <w:tc>
          <w:tcPr>
            <w:tcW w:w="715" w:type="dxa"/>
            <w:vAlign w:val="center"/>
          </w:tcPr>
          <w:p w14:paraId="34CE3FC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9.55</w:t>
            </w:r>
          </w:p>
        </w:tc>
        <w:tc>
          <w:tcPr>
            <w:tcW w:w="715" w:type="dxa"/>
            <w:vAlign w:val="center"/>
          </w:tcPr>
          <w:p w14:paraId="677219E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11.72</w:t>
            </w:r>
          </w:p>
        </w:tc>
        <w:tc>
          <w:tcPr>
            <w:tcW w:w="734" w:type="dxa"/>
            <w:vAlign w:val="center"/>
          </w:tcPr>
          <w:p w14:paraId="1F586D8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3.32</w:t>
            </w:r>
          </w:p>
        </w:tc>
        <w:tc>
          <w:tcPr>
            <w:tcW w:w="719" w:type="dxa"/>
            <w:vAlign w:val="center"/>
          </w:tcPr>
          <w:p w14:paraId="1E6E1614" w14:textId="22F82D0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4.05</w:t>
            </w:r>
          </w:p>
        </w:tc>
        <w:tc>
          <w:tcPr>
            <w:tcW w:w="779" w:type="dxa"/>
            <w:vAlign w:val="center"/>
          </w:tcPr>
          <w:p w14:paraId="0051CECB" w14:textId="5C49B98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1.40</w:t>
            </w:r>
          </w:p>
        </w:tc>
        <w:tc>
          <w:tcPr>
            <w:tcW w:w="826" w:type="dxa"/>
            <w:vAlign w:val="center"/>
          </w:tcPr>
          <w:p w14:paraId="5D76E6D6" w14:textId="5626BD59"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0.64</w:t>
            </w:r>
          </w:p>
        </w:tc>
        <w:tc>
          <w:tcPr>
            <w:tcW w:w="891" w:type="dxa"/>
            <w:vAlign w:val="center"/>
          </w:tcPr>
          <w:p w14:paraId="3582763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68FDCF01" w14:textId="795D191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w:t>
            </w:r>
            <w:r w:rsidR="006046F3">
              <w:rPr>
                <w:rFonts w:asciiTheme="majorBidi" w:hAnsiTheme="majorBidi" w:cstheme="majorBidi"/>
                <w:color w:val="000000"/>
                <w:sz w:val="20"/>
                <w:szCs w:val="20"/>
              </w:rPr>
              <w:t>9</w:t>
            </w:r>
          </w:p>
        </w:tc>
        <w:tc>
          <w:tcPr>
            <w:tcW w:w="821" w:type="dxa"/>
            <w:vAlign w:val="center"/>
          </w:tcPr>
          <w:p w14:paraId="6BFB4DF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22EA5565" w14:textId="1031E9B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0.64</w:t>
            </w:r>
          </w:p>
        </w:tc>
        <w:tc>
          <w:tcPr>
            <w:tcW w:w="758" w:type="dxa"/>
            <w:vAlign w:val="center"/>
          </w:tcPr>
          <w:p w14:paraId="12DACFB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6F6093D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6715C8C5" w14:textId="28A488D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49C42A06" w14:textId="7B9FE21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058CF6B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0BE13F05" w14:textId="78CEBAC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5B3B5E4F" w14:textId="7693DCA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0F9DDF1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39.78</w:t>
            </w:r>
          </w:p>
        </w:tc>
      </w:tr>
      <w:tr w:rsidR="00B606A8" w:rsidRPr="002434D9" w14:paraId="29E2C235" w14:textId="77777777" w:rsidTr="00B606A8">
        <w:trPr>
          <w:trHeight w:val="232"/>
          <w:jc w:val="center"/>
        </w:trPr>
        <w:tc>
          <w:tcPr>
            <w:tcW w:w="695" w:type="dxa"/>
            <w:vAlign w:val="center"/>
          </w:tcPr>
          <w:p w14:paraId="7E7708C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2008</w:t>
            </w:r>
          </w:p>
        </w:tc>
        <w:tc>
          <w:tcPr>
            <w:tcW w:w="822" w:type="dxa"/>
            <w:vAlign w:val="center"/>
          </w:tcPr>
          <w:p w14:paraId="3797F36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10.31</w:t>
            </w:r>
          </w:p>
        </w:tc>
        <w:tc>
          <w:tcPr>
            <w:tcW w:w="715" w:type="dxa"/>
            <w:vAlign w:val="center"/>
          </w:tcPr>
          <w:p w14:paraId="5B61E39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4.40</w:t>
            </w:r>
          </w:p>
        </w:tc>
        <w:tc>
          <w:tcPr>
            <w:tcW w:w="715" w:type="dxa"/>
            <w:vAlign w:val="center"/>
          </w:tcPr>
          <w:p w14:paraId="556475D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4.21</w:t>
            </w:r>
          </w:p>
        </w:tc>
        <w:tc>
          <w:tcPr>
            <w:tcW w:w="734" w:type="dxa"/>
            <w:vAlign w:val="center"/>
          </w:tcPr>
          <w:p w14:paraId="0A09811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0.45</w:t>
            </w:r>
          </w:p>
        </w:tc>
        <w:tc>
          <w:tcPr>
            <w:tcW w:w="719" w:type="dxa"/>
            <w:vAlign w:val="center"/>
          </w:tcPr>
          <w:p w14:paraId="29AAFE5E" w14:textId="25E437E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2.11</w:t>
            </w:r>
          </w:p>
        </w:tc>
        <w:tc>
          <w:tcPr>
            <w:tcW w:w="779" w:type="dxa"/>
          </w:tcPr>
          <w:p w14:paraId="1FED24E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67AD9A1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09FC6A73" w14:textId="430564D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0.14</w:t>
            </w:r>
          </w:p>
        </w:tc>
        <w:tc>
          <w:tcPr>
            <w:tcW w:w="737" w:type="dxa"/>
            <w:vAlign w:val="center"/>
          </w:tcPr>
          <w:p w14:paraId="338C8350" w14:textId="039892F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0.12</w:t>
            </w:r>
          </w:p>
        </w:tc>
        <w:tc>
          <w:tcPr>
            <w:tcW w:w="821" w:type="dxa"/>
            <w:vAlign w:val="center"/>
          </w:tcPr>
          <w:p w14:paraId="30965D1E" w14:textId="750091A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2.78</w:t>
            </w:r>
          </w:p>
        </w:tc>
        <w:tc>
          <w:tcPr>
            <w:tcW w:w="753" w:type="dxa"/>
            <w:vAlign w:val="center"/>
          </w:tcPr>
          <w:p w14:paraId="137F2590" w14:textId="65E0FC0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0.28</w:t>
            </w:r>
          </w:p>
        </w:tc>
        <w:tc>
          <w:tcPr>
            <w:tcW w:w="758" w:type="dxa"/>
            <w:vAlign w:val="center"/>
          </w:tcPr>
          <w:p w14:paraId="0FD0BABD" w14:textId="1309021C"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0.62</w:t>
            </w:r>
          </w:p>
        </w:tc>
        <w:tc>
          <w:tcPr>
            <w:tcW w:w="688" w:type="dxa"/>
            <w:vAlign w:val="center"/>
          </w:tcPr>
          <w:p w14:paraId="5598ABB1" w14:textId="661A1E4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0.30</w:t>
            </w:r>
          </w:p>
        </w:tc>
        <w:tc>
          <w:tcPr>
            <w:tcW w:w="853" w:type="dxa"/>
          </w:tcPr>
          <w:p w14:paraId="5CFF86A2" w14:textId="4B220F3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51DCCCD1" w14:textId="3FB2C74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1EAA513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06FA2B95" w14:textId="2DDFE6E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4666B7FD" w14:textId="2184B85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6DAD3BF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25.72</w:t>
            </w:r>
          </w:p>
        </w:tc>
      </w:tr>
      <w:tr w:rsidR="00B606A8" w:rsidRPr="002434D9" w14:paraId="332059AC" w14:textId="77777777" w:rsidTr="00B606A8">
        <w:trPr>
          <w:trHeight w:val="232"/>
          <w:jc w:val="center"/>
        </w:trPr>
        <w:tc>
          <w:tcPr>
            <w:tcW w:w="695" w:type="dxa"/>
            <w:vAlign w:val="center"/>
          </w:tcPr>
          <w:p w14:paraId="7B4143B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2009</w:t>
            </w:r>
          </w:p>
        </w:tc>
        <w:tc>
          <w:tcPr>
            <w:tcW w:w="822" w:type="dxa"/>
            <w:vAlign w:val="center"/>
          </w:tcPr>
          <w:p w14:paraId="11D0BDB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1.90</w:t>
            </w:r>
          </w:p>
        </w:tc>
        <w:tc>
          <w:tcPr>
            <w:tcW w:w="715" w:type="dxa"/>
            <w:vAlign w:val="center"/>
          </w:tcPr>
          <w:p w14:paraId="100B12B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0.95</w:t>
            </w:r>
          </w:p>
        </w:tc>
        <w:tc>
          <w:tcPr>
            <w:tcW w:w="715" w:type="dxa"/>
            <w:vAlign w:val="center"/>
          </w:tcPr>
          <w:p w14:paraId="13D8B16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5.43</w:t>
            </w:r>
          </w:p>
        </w:tc>
        <w:tc>
          <w:tcPr>
            <w:tcW w:w="734" w:type="dxa"/>
            <w:vAlign w:val="center"/>
          </w:tcPr>
          <w:p w14:paraId="7B1B3AA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0.80</w:t>
            </w:r>
          </w:p>
        </w:tc>
        <w:tc>
          <w:tcPr>
            <w:tcW w:w="719" w:type="dxa"/>
            <w:vAlign w:val="center"/>
          </w:tcPr>
          <w:p w14:paraId="5EA5D7E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tcPr>
          <w:p w14:paraId="1B58C4D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378317C2" w14:textId="273AD26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1.34</w:t>
            </w:r>
          </w:p>
        </w:tc>
        <w:tc>
          <w:tcPr>
            <w:tcW w:w="891" w:type="dxa"/>
            <w:vAlign w:val="center"/>
          </w:tcPr>
          <w:p w14:paraId="3B335028" w14:textId="5144448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w:t>
            </w:r>
            <w:r w:rsidR="006046F3">
              <w:rPr>
                <w:rFonts w:asciiTheme="majorBidi" w:hAnsiTheme="majorBidi" w:cstheme="majorBidi"/>
                <w:color w:val="000000"/>
                <w:sz w:val="20"/>
                <w:szCs w:val="20"/>
              </w:rPr>
              <w:t>6</w:t>
            </w:r>
          </w:p>
        </w:tc>
        <w:tc>
          <w:tcPr>
            <w:tcW w:w="737" w:type="dxa"/>
            <w:vAlign w:val="center"/>
          </w:tcPr>
          <w:p w14:paraId="3A96F0D6" w14:textId="0F4A370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0.34</w:t>
            </w:r>
          </w:p>
        </w:tc>
        <w:tc>
          <w:tcPr>
            <w:tcW w:w="821" w:type="dxa"/>
            <w:vAlign w:val="center"/>
          </w:tcPr>
          <w:p w14:paraId="4BA2279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26D4E01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4FA6645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3D654DF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726C6161" w14:textId="74AFC2B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42E0BAFA" w14:textId="4892FC8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4271E2A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26113F11" w14:textId="01AA86A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7EAD4890" w14:textId="7BA12BD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58C5B0E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11.92</w:t>
            </w:r>
          </w:p>
        </w:tc>
      </w:tr>
      <w:tr w:rsidR="00B606A8" w:rsidRPr="002434D9" w14:paraId="23F157E2" w14:textId="77777777" w:rsidTr="00B606A8">
        <w:trPr>
          <w:trHeight w:val="232"/>
          <w:jc w:val="center"/>
        </w:trPr>
        <w:tc>
          <w:tcPr>
            <w:tcW w:w="695" w:type="dxa"/>
            <w:vAlign w:val="center"/>
          </w:tcPr>
          <w:p w14:paraId="7B1CE77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2010</w:t>
            </w:r>
          </w:p>
        </w:tc>
        <w:tc>
          <w:tcPr>
            <w:tcW w:w="822" w:type="dxa"/>
            <w:vAlign w:val="center"/>
          </w:tcPr>
          <w:p w14:paraId="1EE87AC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10.00</w:t>
            </w:r>
          </w:p>
        </w:tc>
        <w:tc>
          <w:tcPr>
            <w:tcW w:w="715" w:type="dxa"/>
            <w:vAlign w:val="center"/>
          </w:tcPr>
          <w:p w14:paraId="57B9EC5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vAlign w:val="center"/>
          </w:tcPr>
          <w:p w14:paraId="12ACC89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1.65</w:t>
            </w:r>
          </w:p>
        </w:tc>
        <w:tc>
          <w:tcPr>
            <w:tcW w:w="734" w:type="dxa"/>
            <w:vAlign w:val="center"/>
          </w:tcPr>
          <w:p w14:paraId="0997C31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1.36</w:t>
            </w:r>
          </w:p>
        </w:tc>
        <w:tc>
          <w:tcPr>
            <w:tcW w:w="719" w:type="dxa"/>
            <w:vAlign w:val="center"/>
          </w:tcPr>
          <w:p w14:paraId="1E23FD5C" w14:textId="3F40F13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1.01</w:t>
            </w:r>
          </w:p>
        </w:tc>
        <w:tc>
          <w:tcPr>
            <w:tcW w:w="779" w:type="dxa"/>
          </w:tcPr>
          <w:p w14:paraId="65BB682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61973658" w14:textId="16A78A4C"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0.60</w:t>
            </w:r>
          </w:p>
        </w:tc>
        <w:tc>
          <w:tcPr>
            <w:tcW w:w="891" w:type="dxa"/>
            <w:vAlign w:val="center"/>
          </w:tcPr>
          <w:p w14:paraId="010CC52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61F54F2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1" w:type="dxa"/>
            <w:vAlign w:val="center"/>
          </w:tcPr>
          <w:p w14:paraId="1AEB468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4EFE159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048F2C8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03AD103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2154C708" w14:textId="15CEF19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4C6453B3" w14:textId="49EEA0C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3FEBD30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550C1EBE" w14:textId="05FBD6B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4D043F61" w14:textId="711B9418"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37005CB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14.62</w:t>
            </w:r>
          </w:p>
        </w:tc>
      </w:tr>
      <w:tr w:rsidR="00B606A8" w:rsidRPr="002434D9" w14:paraId="263CDE74" w14:textId="77777777" w:rsidTr="00B606A8">
        <w:trPr>
          <w:trHeight w:val="232"/>
          <w:jc w:val="center"/>
        </w:trPr>
        <w:tc>
          <w:tcPr>
            <w:tcW w:w="695" w:type="dxa"/>
            <w:vAlign w:val="center"/>
          </w:tcPr>
          <w:p w14:paraId="7CC5418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2011</w:t>
            </w:r>
          </w:p>
        </w:tc>
        <w:tc>
          <w:tcPr>
            <w:tcW w:w="822" w:type="dxa"/>
            <w:vAlign w:val="center"/>
          </w:tcPr>
          <w:p w14:paraId="3670D73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3.28</w:t>
            </w:r>
          </w:p>
        </w:tc>
        <w:tc>
          <w:tcPr>
            <w:tcW w:w="715" w:type="dxa"/>
            <w:vAlign w:val="center"/>
          </w:tcPr>
          <w:p w14:paraId="21FDA29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4.18</w:t>
            </w:r>
          </w:p>
        </w:tc>
        <w:tc>
          <w:tcPr>
            <w:tcW w:w="715" w:type="dxa"/>
            <w:vAlign w:val="center"/>
          </w:tcPr>
          <w:p w14:paraId="1A54330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0.99</w:t>
            </w:r>
          </w:p>
        </w:tc>
        <w:tc>
          <w:tcPr>
            <w:tcW w:w="734" w:type="dxa"/>
            <w:vAlign w:val="center"/>
          </w:tcPr>
          <w:p w14:paraId="2B35A2A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1.50</w:t>
            </w:r>
          </w:p>
        </w:tc>
        <w:tc>
          <w:tcPr>
            <w:tcW w:w="719" w:type="dxa"/>
            <w:vAlign w:val="center"/>
          </w:tcPr>
          <w:p w14:paraId="43ACB83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vAlign w:val="center"/>
          </w:tcPr>
          <w:p w14:paraId="54247CAF" w14:textId="1D443248"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0.17</w:t>
            </w:r>
          </w:p>
        </w:tc>
        <w:tc>
          <w:tcPr>
            <w:tcW w:w="826" w:type="dxa"/>
            <w:vAlign w:val="center"/>
          </w:tcPr>
          <w:p w14:paraId="16D029D5" w14:textId="5BB49869"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w:t>
            </w:r>
            <w:r w:rsidR="006046F3">
              <w:rPr>
                <w:rFonts w:asciiTheme="majorBidi" w:hAnsiTheme="majorBidi" w:cstheme="majorBidi"/>
                <w:color w:val="000000"/>
                <w:sz w:val="20"/>
                <w:szCs w:val="20"/>
              </w:rPr>
              <w:t>8</w:t>
            </w:r>
          </w:p>
        </w:tc>
        <w:tc>
          <w:tcPr>
            <w:tcW w:w="891" w:type="dxa"/>
            <w:vAlign w:val="center"/>
          </w:tcPr>
          <w:p w14:paraId="4AE1853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48BFF7E7" w14:textId="2D2E4E6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0.09</w:t>
            </w:r>
          </w:p>
        </w:tc>
        <w:tc>
          <w:tcPr>
            <w:tcW w:w="821" w:type="dxa"/>
            <w:vAlign w:val="center"/>
          </w:tcPr>
          <w:p w14:paraId="079634D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28768A8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66AD362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1E028F1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63375B69" w14:textId="3F168CA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5DBABBFC" w14:textId="629BEFE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5FCAA18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7BA31F2A" w14:textId="2968C02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3BEF82C6" w14:textId="4A0D578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6E78AAC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10.49</w:t>
            </w:r>
          </w:p>
        </w:tc>
      </w:tr>
      <w:tr w:rsidR="00B606A8" w:rsidRPr="002434D9" w14:paraId="23CE1D1B" w14:textId="77777777" w:rsidTr="00B606A8">
        <w:trPr>
          <w:trHeight w:val="232"/>
          <w:jc w:val="center"/>
        </w:trPr>
        <w:tc>
          <w:tcPr>
            <w:tcW w:w="695" w:type="dxa"/>
            <w:vAlign w:val="center"/>
          </w:tcPr>
          <w:p w14:paraId="082EBE5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2012</w:t>
            </w:r>
          </w:p>
        </w:tc>
        <w:tc>
          <w:tcPr>
            <w:tcW w:w="822" w:type="dxa"/>
            <w:vAlign w:val="center"/>
          </w:tcPr>
          <w:p w14:paraId="0447E96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3.69</w:t>
            </w:r>
          </w:p>
        </w:tc>
        <w:tc>
          <w:tcPr>
            <w:tcW w:w="715" w:type="dxa"/>
            <w:vAlign w:val="center"/>
          </w:tcPr>
          <w:p w14:paraId="55D265F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vAlign w:val="center"/>
          </w:tcPr>
          <w:p w14:paraId="039F9CF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0.27</w:t>
            </w:r>
          </w:p>
        </w:tc>
        <w:tc>
          <w:tcPr>
            <w:tcW w:w="734" w:type="dxa"/>
            <w:vAlign w:val="center"/>
          </w:tcPr>
          <w:p w14:paraId="1D5655F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0.04</w:t>
            </w:r>
          </w:p>
        </w:tc>
        <w:tc>
          <w:tcPr>
            <w:tcW w:w="719" w:type="dxa"/>
            <w:vAlign w:val="center"/>
          </w:tcPr>
          <w:p w14:paraId="142D16EA" w14:textId="39724DC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2.60</w:t>
            </w:r>
          </w:p>
        </w:tc>
        <w:tc>
          <w:tcPr>
            <w:tcW w:w="779" w:type="dxa"/>
            <w:vAlign w:val="center"/>
          </w:tcPr>
          <w:p w14:paraId="20D4C03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1CDFA49A" w14:textId="0839FF9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w:t>
            </w:r>
            <w:r w:rsidR="006046F3">
              <w:rPr>
                <w:rFonts w:asciiTheme="majorBidi" w:hAnsiTheme="majorBidi" w:cstheme="majorBidi"/>
                <w:color w:val="000000"/>
                <w:sz w:val="20"/>
                <w:szCs w:val="20"/>
              </w:rPr>
              <w:t>5</w:t>
            </w:r>
          </w:p>
        </w:tc>
        <w:tc>
          <w:tcPr>
            <w:tcW w:w="891" w:type="dxa"/>
            <w:vAlign w:val="center"/>
          </w:tcPr>
          <w:p w14:paraId="4ABA6383" w14:textId="5C32C56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1.8</w:t>
            </w:r>
            <w:r w:rsidR="006046F3">
              <w:rPr>
                <w:rFonts w:asciiTheme="majorBidi" w:hAnsiTheme="majorBidi" w:cstheme="majorBidi"/>
                <w:color w:val="000000"/>
                <w:sz w:val="20"/>
                <w:szCs w:val="20"/>
              </w:rPr>
              <w:t>9</w:t>
            </w:r>
          </w:p>
        </w:tc>
        <w:tc>
          <w:tcPr>
            <w:tcW w:w="737" w:type="dxa"/>
            <w:vAlign w:val="center"/>
          </w:tcPr>
          <w:p w14:paraId="6B8881F0" w14:textId="2AA9098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w:t>
            </w:r>
            <w:r w:rsidR="006046F3">
              <w:rPr>
                <w:rFonts w:asciiTheme="majorBidi" w:hAnsiTheme="majorBidi" w:cstheme="majorBidi"/>
                <w:color w:val="000000"/>
                <w:sz w:val="20"/>
                <w:szCs w:val="20"/>
              </w:rPr>
              <w:t>5</w:t>
            </w:r>
          </w:p>
        </w:tc>
        <w:tc>
          <w:tcPr>
            <w:tcW w:w="821" w:type="dxa"/>
            <w:vAlign w:val="center"/>
          </w:tcPr>
          <w:p w14:paraId="6EEDBCD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31733AA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2C9F21A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6FDB6BA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4FBD8091" w14:textId="5F1F1DB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33FA1C9C" w14:textId="134F4E6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1D284FA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2E84C8B5" w14:textId="329FDC2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37149814" w14:textId="7CE3A4C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2C1B065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9.13</w:t>
            </w:r>
          </w:p>
        </w:tc>
      </w:tr>
      <w:tr w:rsidR="00B606A8" w:rsidRPr="002434D9" w14:paraId="5D160EEF" w14:textId="77777777" w:rsidTr="00B606A8">
        <w:trPr>
          <w:trHeight w:val="232"/>
          <w:jc w:val="center"/>
        </w:trPr>
        <w:tc>
          <w:tcPr>
            <w:tcW w:w="695" w:type="dxa"/>
            <w:vAlign w:val="center"/>
          </w:tcPr>
          <w:p w14:paraId="353F59D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2013</w:t>
            </w:r>
          </w:p>
        </w:tc>
        <w:tc>
          <w:tcPr>
            <w:tcW w:w="822" w:type="dxa"/>
            <w:vAlign w:val="center"/>
          </w:tcPr>
          <w:p w14:paraId="5A658BE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6.94</w:t>
            </w:r>
          </w:p>
        </w:tc>
        <w:tc>
          <w:tcPr>
            <w:tcW w:w="715" w:type="dxa"/>
            <w:vAlign w:val="center"/>
          </w:tcPr>
          <w:p w14:paraId="04B5FD9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1.77</w:t>
            </w:r>
          </w:p>
        </w:tc>
        <w:tc>
          <w:tcPr>
            <w:tcW w:w="715" w:type="dxa"/>
            <w:vAlign w:val="center"/>
          </w:tcPr>
          <w:p w14:paraId="54CEFC7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5.76</w:t>
            </w:r>
          </w:p>
        </w:tc>
        <w:tc>
          <w:tcPr>
            <w:tcW w:w="734" w:type="dxa"/>
            <w:vAlign w:val="center"/>
          </w:tcPr>
          <w:p w14:paraId="23B88DA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0.27</w:t>
            </w:r>
          </w:p>
        </w:tc>
        <w:tc>
          <w:tcPr>
            <w:tcW w:w="719" w:type="dxa"/>
            <w:vAlign w:val="center"/>
          </w:tcPr>
          <w:p w14:paraId="7A1EA4B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79" w:type="dxa"/>
            <w:vAlign w:val="center"/>
          </w:tcPr>
          <w:p w14:paraId="04A10B85" w14:textId="3DC3D80D"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w:t>
            </w:r>
            <w:r w:rsidR="002D190A">
              <w:rPr>
                <w:rFonts w:asciiTheme="majorBidi" w:hAnsiTheme="majorBidi" w:cstheme="majorBidi"/>
                <w:color w:val="000000"/>
                <w:sz w:val="20"/>
                <w:szCs w:val="20"/>
              </w:rPr>
              <w:t>9</w:t>
            </w:r>
          </w:p>
        </w:tc>
        <w:tc>
          <w:tcPr>
            <w:tcW w:w="826" w:type="dxa"/>
          </w:tcPr>
          <w:p w14:paraId="3143B27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0D22BEE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09024976" w14:textId="1ABA43D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w:t>
            </w:r>
            <w:r w:rsidR="006046F3">
              <w:rPr>
                <w:rFonts w:asciiTheme="majorBidi" w:hAnsiTheme="majorBidi" w:cstheme="majorBidi"/>
                <w:color w:val="000000"/>
                <w:sz w:val="20"/>
                <w:szCs w:val="20"/>
              </w:rPr>
              <w:t>1</w:t>
            </w:r>
          </w:p>
        </w:tc>
        <w:tc>
          <w:tcPr>
            <w:tcW w:w="821" w:type="dxa"/>
            <w:vAlign w:val="center"/>
          </w:tcPr>
          <w:p w14:paraId="37C8E76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3162CC8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364C92D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32AAD08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5E0E6CE9" w14:textId="47C2D12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6A750461" w14:textId="64809FC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2635DFF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7BDEFC8B" w14:textId="39CD2F1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348B6891" w14:textId="4435D5E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6337571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16.73</w:t>
            </w:r>
          </w:p>
        </w:tc>
      </w:tr>
      <w:tr w:rsidR="00B606A8" w:rsidRPr="002434D9" w14:paraId="7DF8DE5A" w14:textId="77777777" w:rsidTr="00B606A8">
        <w:trPr>
          <w:trHeight w:val="232"/>
          <w:jc w:val="center"/>
        </w:trPr>
        <w:tc>
          <w:tcPr>
            <w:tcW w:w="695" w:type="dxa"/>
            <w:vAlign w:val="center"/>
          </w:tcPr>
          <w:p w14:paraId="3247DC6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2014</w:t>
            </w:r>
          </w:p>
        </w:tc>
        <w:tc>
          <w:tcPr>
            <w:tcW w:w="822" w:type="dxa"/>
            <w:vAlign w:val="center"/>
          </w:tcPr>
          <w:p w14:paraId="09DE9B9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4.46</w:t>
            </w:r>
          </w:p>
        </w:tc>
        <w:tc>
          <w:tcPr>
            <w:tcW w:w="715" w:type="dxa"/>
            <w:vAlign w:val="center"/>
          </w:tcPr>
          <w:p w14:paraId="3C035FE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vAlign w:val="center"/>
          </w:tcPr>
          <w:p w14:paraId="6882B9F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2.84</w:t>
            </w:r>
          </w:p>
        </w:tc>
        <w:tc>
          <w:tcPr>
            <w:tcW w:w="734" w:type="dxa"/>
            <w:vAlign w:val="center"/>
          </w:tcPr>
          <w:p w14:paraId="7A24460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3.10</w:t>
            </w:r>
          </w:p>
        </w:tc>
        <w:tc>
          <w:tcPr>
            <w:tcW w:w="719" w:type="dxa"/>
            <w:vAlign w:val="center"/>
          </w:tcPr>
          <w:p w14:paraId="5C9EDDC5" w14:textId="1B985AC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0.6</w:t>
            </w:r>
            <w:r w:rsidR="002D190A">
              <w:rPr>
                <w:rFonts w:asciiTheme="majorBidi" w:hAnsiTheme="majorBidi" w:cstheme="majorBidi"/>
                <w:color w:val="000000"/>
                <w:sz w:val="20"/>
                <w:szCs w:val="20"/>
              </w:rPr>
              <w:t>2</w:t>
            </w:r>
          </w:p>
        </w:tc>
        <w:tc>
          <w:tcPr>
            <w:tcW w:w="779" w:type="dxa"/>
            <w:vAlign w:val="center"/>
          </w:tcPr>
          <w:p w14:paraId="55AEB1FF" w14:textId="15C9E6C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w:t>
            </w:r>
            <w:r w:rsidR="002D190A">
              <w:rPr>
                <w:rFonts w:asciiTheme="majorBidi" w:hAnsiTheme="majorBidi" w:cstheme="majorBidi"/>
                <w:color w:val="000000"/>
                <w:sz w:val="20"/>
                <w:szCs w:val="20"/>
              </w:rPr>
              <w:t>6</w:t>
            </w:r>
          </w:p>
        </w:tc>
        <w:tc>
          <w:tcPr>
            <w:tcW w:w="826" w:type="dxa"/>
          </w:tcPr>
          <w:p w14:paraId="29EF5EE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5F188089" w14:textId="73C1BD4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2.1</w:t>
            </w:r>
            <w:r w:rsidR="006046F3">
              <w:rPr>
                <w:rFonts w:asciiTheme="majorBidi" w:hAnsiTheme="majorBidi" w:cstheme="majorBidi"/>
                <w:color w:val="000000"/>
                <w:sz w:val="20"/>
                <w:szCs w:val="20"/>
              </w:rPr>
              <w:t>8</w:t>
            </w:r>
          </w:p>
        </w:tc>
        <w:tc>
          <w:tcPr>
            <w:tcW w:w="737" w:type="dxa"/>
            <w:vAlign w:val="center"/>
          </w:tcPr>
          <w:p w14:paraId="4A07DF96" w14:textId="76C9B811"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0.23</w:t>
            </w:r>
          </w:p>
        </w:tc>
        <w:tc>
          <w:tcPr>
            <w:tcW w:w="821" w:type="dxa"/>
            <w:vAlign w:val="center"/>
          </w:tcPr>
          <w:p w14:paraId="2B1952D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058BB15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5B1E0E2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2B128C1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019553F5" w14:textId="17DF052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58C28C4F" w14:textId="357FBDD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3A8D964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64CB1674" w14:textId="0F93D3D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5E295939" w14:textId="605C47A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7350CDE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13.48</w:t>
            </w:r>
          </w:p>
        </w:tc>
      </w:tr>
      <w:tr w:rsidR="00B606A8" w:rsidRPr="002434D9" w14:paraId="74A081AE" w14:textId="77777777" w:rsidTr="00B606A8">
        <w:trPr>
          <w:trHeight w:val="232"/>
          <w:jc w:val="center"/>
        </w:trPr>
        <w:tc>
          <w:tcPr>
            <w:tcW w:w="695" w:type="dxa"/>
            <w:vAlign w:val="center"/>
          </w:tcPr>
          <w:p w14:paraId="4F771A3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2015</w:t>
            </w:r>
          </w:p>
        </w:tc>
        <w:tc>
          <w:tcPr>
            <w:tcW w:w="822" w:type="dxa"/>
            <w:vAlign w:val="center"/>
          </w:tcPr>
          <w:p w14:paraId="2735324E"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13.08</w:t>
            </w:r>
          </w:p>
        </w:tc>
        <w:tc>
          <w:tcPr>
            <w:tcW w:w="715" w:type="dxa"/>
            <w:vAlign w:val="center"/>
          </w:tcPr>
          <w:p w14:paraId="3ED7A60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0.86</w:t>
            </w:r>
          </w:p>
        </w:tc>
        <w:tc>
          <w:tcPr>
            <w:tcW w:w="715" w:type="dxa"/>
            <w:vAlign w:val="center"/>
          </w:tcPr>
          <w:p w14:paraId="7208AC7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1.15</w:t>
            </w:r>
          </w:p>
        </w:tc>
        <w:tc>
          <w:tcPr>
            <w:tcW w:w="734" w:type="dxa"/>
            <w:vAlign w:val="center"/>
          </w:tcPr>
          <w:p w14:paraId="51CD0FD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0.91</w:t>
            </w:r>
          </w:p>
        </w:tc>
        <w:tc>
          <w:tcPr>
            <w:tcW w:w="719" w:type="dxa"/>
            <w:vAlign w:val="center"/>
          </w:tcPr>
          <w:p w14:paraId="42E6B228" w14:textId="3EE0782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0.20</w:t>
            </w:r>
          </w:p>
        </w:tc>
        <w:tc>
          <w:tcPr>
            <w:tcW w:w="779" w:type="dxa"/>
            <w:vAlign w:val="center"/>
          </w:tcPr>
          <w:p w14:paraId="274D81B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tcPr>
          <w:p w14:paraId="6375695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91" w:type="dxa"/>
            <w:vAlign w:val="center"/>
          </w:tcPr>
          <w:p w14:paraId="2A575373" w14:textId="6A87436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0.13</w:t>
            </w:r>
          </w:p>
        </w:tc>
        <w:tc>
          <w:tcPr>
            <w:tcW w:w="737" w:type="dxa"/>
            <w:vAlign w:val="center"/>
          </w:tcPr>
          <w:p w14:paraId="73292DA1" w14:textId="33A7550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0.16</w:t>
            </w:r>
          </w:p>
        </w:tc>
        <w:tc>
          <w:tcPr>
            <w:tcW w:w="821" w:type="dxa"/>
            <w:vAlign w:val="center"/>
          </w:tcPr>
          <w:p w14:paraId="0DC864F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5BD510F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17F7F1E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1E06EFA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0B257666" w14:textId="61D4D12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373BE386" w14:textId="00A29B54"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0F94559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48A32C89" w14:textId="3533B348"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36F05897" w14:textId="4F359CB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3D83640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16.49</w:t>
            </w:r>
          </w:p>
        </w:tc>
      </w:tr>
      <w:tr w:rsidR="00B606A8" w:rsidRPr="002434D9" w14:paraId="3B0A03EE" w14:textId="77777777" w:rsidTr="00B606A8">
        <w:trPr>
          <w:trHeight w:val="232"/>
          <w:jc w:val="center"/>
        </w:trPr>
        <w:tc>
          <w:tcPr>
            <w:tcW w:w="695" w:type="dxa"/>
            <w:vAlign w:val="center"/>
          </w:tcPr>
          <w:p w14:paraId="4C9BF210"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2016</w:t>
            </w:r>
          </w:p>
        </w:tc>
        <w:tc>
          <w:tcPr>
            <w:tcW w:w="822" w:type="dxa"/>
            <w:vAlign w:val="center"/>
          </w:tcPr>
          <w:p w14:paraId="15A2216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7.97</w:t>
            </w:r>
          </w:p>
        </w:tc>
        <w:tc>
          <w:tcPr>
            <w:tcW w:w="715" w:type="dxa"/>
            <w:vAlign w:val="center"/>
          </w:tcPr>
          <w:p w14:paraId="07E88B92"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2.97</w:t>
            </w:r>
          </w:p>
        </w:tc>
        <w:tc>
          <w:tcPr>
            <w:tcW w:w="715" w:type="dxa"/>
            <w:vAlign w:val="center"/>
          </w:tcPr>
          <w:p w14:paraId="7F3F0C0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3.13</w:t>
            </w:r>
          </w:p>
        </w:tc>
        <w:tc>
          <w:tcPr>
            <w:tcW w:w="734" w:type="dxa"/>
            <w:vAlign w:val="center"/>
          </w:tcPr>
          <w:p w14:paraId="30BD0D8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5.92</w:t>
            </w:r>
          </w:p>
        </w:tc>
        <w:tc>
          <w:tcPr>
            <w:tcW w:w="719" w:type="dxa"/>
            <w:vAlign w:val="center"/>
          </w:tcPr>
          <w:p w14:paraId="5FBDF699" w14:textId="446EA93E"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0.34</w:t>
            </w:r>
          </w:p>
        </w:tc>
        <w:tc>
          <w:tcPr>
            <w:tcW w:w="779" w:type="dxa"/>
            <w:vAlign w:val="center"/>
          </w:tcPr>
          <w:p w14:paraId="15AA28A5" w14:textId="4DAE6F5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3.98</w:t>
            </w:r>
          </w:p>
        </w:tc>
        <w:tc>
          <w:tcPr>
            <w:tcW w:w="826" w:type="dxa"/>
            <w:vAlign w:val="center"/>
          </w:tcPr>
          <w:p w14:paraId="3BE60C59" w14:textId="340E539D"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2.24</w:t>
            </w:r>
          </w:p>
        </w:tc>
        <w:tc>
          <w:tcPr>
            <w:tcW w:w="891" w:type="dxa"/>
            <w:vAlign w:val="center"/>
          </w:tcPr>
          <w:p w14:paraId="037473F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2591CF6E" w14:textId="1F4193B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0.9</w:t>
            </w:r>
            <w:r w:rsidR="006046F3">
              <w:rPr>
                <w:rFonts w:asciiTheme="majorBidi" w:hAnsiTheme="majorBidi" w:cstheme="majorBidi"/>
                <w:color w:val="000000"/>
                <w:sz w:val="20"/>
                <w:szCs w:val="20"/>
              </w:rPr>
              <w:t>7</w:t>
            </w:r>
          </w:p>
        </w:tc>
        <w:tc>
          <w:tcPr>
            <w:tcW w:w="821" w:type="dxa"/>
            <w:vAlign w:val="center"/>
          </w:tcPr>
          <w:p w14:paraId="65CF7CB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63F126F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3570B66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40139EF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4BC606A7" w14:textId="3C67A86B"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06FA12DB" w14:textId="792D9E29"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42B21B66"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45D1E89A" w14:textId="1B719D83"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20D53FE7" w14:textId="56CB2560"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3001403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27.51</w:t>
            </w:r>
          </w:p>
        </w:tc>
      </w:tr>
      <w:tr w:rsidR="00B606A8" w:rsidRPr="002434D9" w14:paraId="5B2EF891" w14:textId="77777777" w:rsidTr="00B606A8">
        <w:trPr>
          <w:trHeight w:val="232"/>
          <w:jc w:val="center"/>
        </w:trPr>
        <w:tc>
          <w:tcPr>
            <w:tcW w:w="695" w:type="dxa"/>
            <w:vAlign w:val="center"/>
          </w:tcPr>
          <w:p w14:paraId="0A459BE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2017</w:t>
            </w:r>
          </w:p>
        </w:tc>
        <w:tc>
          <w:tcPr>
            <w:tcW w:w="822" w:type="dxa"/>
            <w:vAlign w:val="center"/>
          </w:tcPr>
          <w:p w14:paraId="2B7AA99D"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2.49</w:t>
            </w:r>
          </w:p>
        </w:tc>
        <w:tc>
          <w:tcPr>
            <w:tcW w:w="715" w:type="dxa"/>
          </w:tcPr>
          <w:p w14:paraId="1BC9A475"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vAlign w:val="center"/>
          </w:tcPr>
          <w:p w14:paraId="21B6EDB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2.49</w:t>
            </w:r>
          </w:p>
        </w:tc>
        <w:tc>
          <w:tcPr>
            <w:tcW w:w="734" w:type="dxa"/>
            <w:vAlign w:val="center"/>
          </w:tcPr>
          <w:p w14:paraId="01CACE8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1.37</w:t>
            </w:r>
          </w:p>
        </w:tc>
        <w:tc>
          <w:tcPr>
            <w:tcW w:w="719" w:type="dxa"/>
            <w:vAlign w:val="center"/>
          </w:tcPr>
          <w:p w14:paraId="5C615E8A" w14:textId="645F7C0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2.48</w:t>
            </w:r>
          </w:p>
        </w:tc>
        <w:tc>
          <w:tcPr>
            <w:tcW w:w="779" w:type="dxa"/>
          </w:tcPr>
          <w:p w14:paraId="1E74C401"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00902C1D" w14:textId="3C68ED3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0.7</w:t>
            </w:r>
            <w:r w:rsidR="006046F3">
              <w:rPr>
                <w:rFonts w:asciiTheme="majorBidi" w:hAnsiTheme="majorBidi" w:cstheme="majorBidi"/>
                <w:color w:val="000000"/>
                <w:sz w:val="20"/>
                <w:szCs w:val="20"/>
              </w:rPr>
              <w:t>3</w:t>
            </w:r>
          </w:p>
        </w:tc>
        <w:tc>
          <w:tcPr>
            <w:tcW w:w="891" w:type="dxa"/>
            <w:vAlign w:val="center"/>
          </w:tcPr>
          <w:p w14:paraId="35F90E88"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2EAF4183" w14:textId="6617EA1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w:t>
            </w:r>
            <w:r w:rsidR="006046F3">
              <w:rPr>
                <w:rFonts w:asciiTheme="majorBidi" w:hAnsiTheme="majorBidi" w:cstheme="majorBidi"/>
                <w:color w:val="000000"/>
                <w:sz w:val="20"/>
                <w:szCs w:val="20"/>
              </w:rPr>
              <w:t>1</w:t>
            </w:r>
          </w:p>
        </w:tc>
        <w:tc>
          <w:tcPr>
            <w:tcW w:w="821" w:type="dxa"/>
            <w:vAlign w:val="center"/>
          </w:tcPr>
          <w:p w14:paraId="1471162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516CC98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557B8885" w14:textId="750F464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w:t>
            </w:r>
            <w:r w:rsidR="006046F3">
              <w:rPr>
                <w:rFonts w:asciiTheme="majorBidi" w:hAnsiTheme="majorBidi" w:cstheme="majorBidi"/>
                <w:color w:val="000000"/>
                <w:sz w:val="20"/>
                <w:szCs w:val="20"/>
              </w:rPr>
              <w:t>3</w:t>
            </w:r>
          </w:p>
        </w:tc>
        <w:tc>
          <w:tcPr>
            <w:tcW w:w="688" w:type="dxa"/>
            <w:vAlign w:val="center"/>
          </w:tcPr>
          <w:p w14:paraId="7F313FA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1F64456F" w14:textId="6FB4EB0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64C883B8" w14:textId="6619710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7B72263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3" w:type="dxa"/>
          </w:tcPr>
          <w:p w14:paraId="653146A0" w14:textId="70B4619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2E6F53F3" w14:textId="4A65B37C"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7FF4535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11.59</w:t>
            </w:r>
          </w:p>
        </w:tc>
      </w:tr>
      <w:tr w:rsidR="00B606A8" w:rsidRPr="002434D9" w14:paraId="60AE594F" w14:textId="77777777" w:rsidTr="00B606A8">
        <w:trPr>
          <w:trHeight w:val="232"/>
          <w:jc w:val="center"/>
        </w:trPr>
        <w:tc>
          <w:tcPr>
            <w:tcW w:w="695" w:type="dxa"/>
            <w:vAlign w:val="center"/>
          </w:tcPr>
          <w:p w14:paraId="3402AE2A"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2018</w:t>
            </w:r>
          </w:p>
        </w:tc>
        <w:tc>
          <w:tcPr>
            <w:tcW w:w="822" w:type="dxa"/>
            <w:vAlign w:val="center"/>
          </w:tcPr>
          <w:p w14:paraId="65E052C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1.09</w:t>
            </w:r>
          </w:p>
        </w:tc>
        <w:tc>
          <w:tcPr>
            <w:tcW w:w="715" w:type="dxa"/>
          </w:tcPr>
          <w:p w14:paraId="69D48E1B"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15" w:type="dxa"/>
            <w:vAlign w:val="center"/>
          </w:tcPr>
          <w:p w14:paraId="1A5C9EA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0.16</w:t>
            </w:r>
          </w:p>
        </w:tc>
        <w:tc>
          <w:tcPr>
            <w:tcW w:w="734" w:type="dxa"/>
            <w:vAlign w:val="center"/>
          </w:tcPr>
          <w:p w14:paraId="6E3EC49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4.87</w:t>
            </w:r>
          </w:p>
        </w:tc>
        <w:tc>
          <w:tcPr>
            <w:tcW w:w="719" w:type="dxa"/>
            <w:vAlign w:val="center"/>
          </w:tcPr>
          <w:p w14:paraId="79085B25" w14:textId="3E25DD7A"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1.72</w:t>
            </w:r>
          </w:p>
        </w:tc>
        <w:tc>
          <w:tcPr>
            <w:tcW w:w="779" w:type="dxa"/>
          </w:tcPr>
          <w:p w14:paraId="509DA489"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26" w:type="dxa"/>
            <w:vAlign w:val="center"/>
          </w:tcPr>
          <w:p w14:paraId="4ABDEC9E" w14:textId="206138D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1.54</w:t>
            </w:r>
          </w:p>
        </w:tc>
        <w:tc>
          <w:tcPr>
            <w:tcW w:w="891" w:type="dxa"/>
            <w:vAlign w:val="center"/>
          </w:tcPr>
          <w:p w14:paraId="732B42D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37" w:type="dxa"/>
            <w:vAlign w:val="center"/>
          </w:tcPr>
          <w:p w14:paraId="5DB0ED7A" w14:textId="3E7C411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0.19</w:t>
            </w:r>
          </w:p>
        </w:tc>
        <w:tc>
          <w:tcPr>
            <w:tcW w:w="821" w:type="dxa"/>
            <w:vAlign w:val="center"/>
          </w:tcPr>
          <w:p w14:paraId="67934F63"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3" w:type="dxa"/>
            <w:vAlign w:val="center"/>
          </w:tcPr>
          <w:p w14:paraId="195982A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58" w:type="dxa"/>
            <w:vAlign w:val="center"/>
          </w:tcPr>
          <w:p w14:paraId="19F5F38C"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688" w:type="dxa"/>
            <w:vAlign w:val="center"/>
          </w:tcPr>
          <w:p w14:paraId="0B8D0227"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853" w:type="dxa"/>
          </w:tcPr>
          <w:p w14:paraId="3B983FCD" w14:textId="0AA89946"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8" w:type="dxa"/>
          </w:tcPr>
          <w:p w14:paraId="5AD466B3" w14:textId="7911C85F"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10" w:type="dxa"/>
            <w:vAlign w:val="center"/>
          </w:tcPr>
          <w:p w14:paraId="2174C8F4"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0.008</w:t>
            </w:r>
          </w:p>
        </w:tc>
        <w:tc>
          <w:tcPr>
            <w:tcW w:w="823" w:type="dxa"/>
          </w:tcPr>
          <w:p w14:paraId="184E1002" w14:textId="53109DC5"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705" w:type="dxa"/>
          </w:tcPr>
          <w:p w14:paraId="05C8EEA1" w14:textId="3AA36D32"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w:t>
            </w:r>
          </w:p>
        </w:tc>
        <w:tc>
          <w:tcPr>
            <w:tcW w:w="971" w:type="dxa"/>
            <w:vAlign w:val="center"/>
          </w:tcPr>
          <w:p w14:paraId="0877380F" w14:textId="77777777" w:rsidR="004466F2" w:rsidRPr="00A07231" w:rsidRDefault="004466F2" w:rsidP="004466F2">
            <w:pPr>
              <w:jc w:val="center"/>
              <w:rPr>
                <w:rFonts w:asciiTheme="majorBidi" w:hAnsiTheme="majorBidi" w:cstheme="majorBidi"/>
                <w:sz w:val="20"/>
                <w:szCs w:val="20"/>
              </w:rPr>
            </w:pPr>
            <w:r w:rsidRPr="00A07231">
              <w:rPr>
                <w:rFonts w:asciiTheme="majorBidi" w:hAnsiTheme="majorBidi" w:cstheme="majorBidi"/>
                <w:color w:val="000000"/>
                <w:sz w:val="20"/>
                <w:szCs w:val="20"/>
              </w:rPr>
              <w:t>9.59</w:t>
            </w:r>
          </w:p>
        </w:tc>
      </w:tr>
      <w:tr w:rsidR="00B606A8" w:rsidRPr="002434D9" w14:paraId="17EE9CF2" w14:textId="77777777" w:rsidTr="00B606A8">
        <w:trPr>
          <w:trHeight w:val="465"/>
          <w:jc w:val="center"/>
        </w:trPr>
        <w:tc>
          <w:tcPr>
            <w:tcW w:w="695" w:type="dxa"/>
            <w:vAlign w:val="center"/>
          </w:tcPr>
          <w:p w14:paraId="50538220" w14:textId="549E6383"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Total</w:t>
            </w:r>
          </w:p>
        </w:tc>
        <w:tc>
          <w:tcPr>
            <w:tcW w:w="822" w:type="dxa"/>
            <w:vAlign w:val="center"/>
          </w:tcPr>
          <w:p w14:paraId="2EB3E7A2" w14:textId="388E3486"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104.45</w:t>
            </w:r>
          </w:p>
        </w:tc>
        <w:tc>
          <w:tcPr>
            <w:tcW w:w="715" w:type="dxa"/>
            <w:vAlign w:val="center"/>
          </w:tcPr>
          <w:p w14:paraId="46CA0745" w14:textId="4281CA5A"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56.6</w:t>
            </w:r>
          </w:p>
        </w:tc>
        <w:tc>
          <w:tcPr>
            <w:tcW w:w="715" w:type="dxa"/>
            <w:vAlign w:val="center"/>
          </w:tcPr>
          <w:p w14:paraId="4F85BE9A" w14:textId="083CB817"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51.84</w:t>
            </w:r>
          </w:p>
        </w:tc>
        <w:tc>
          <w:tcPr>
            <w:tcW w:w="734" w:type="dxa"/>
            <w:vAlign w:val="center"/>
          </w:tcPr>
          <w:p w14:paraId="58EE004C" w14:textId="1C6EF238"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40.59</w:t>
            </w:r>
          </w:p>
        </w:tc>
        <w:tc>
          <w:tcPr>
            <w:tcW w:w="719" w:type="dxa"/>
            <w:vAlign w:val="center"/>
          </w:tcPr>
          <w:p w14:paraId="3D8E4218" w14:textId="674F1A18"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24.65</w:t>
            </w:r>
          </w:p>
        </w:tc>
        <w:tc>
          <w:tcPr>
            <w:tcW w:w="779" w:type="dxa"/>
            <w:vAlign w:val="center"/>
          </w:tcPr>
          <w:p w14:paraId="158A6E6F" w14:textId="60A8FD0F"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14.95</w:t>
            </w:r>
          </w:p>
        </w:tc>
        <w:tc>
          <w:tcPr>
            <w:tcW w:w="826" w:type="dxa"/>
            <w:vAlign w:val="center"/>
          </w:tcPr>
          <w:p w14:paraId="7ABB5862" w14:textId="4E010955"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12.75</w:t>
            </w:r>
          </w:p>
        </w:tc>
        <w:tc>
          <w:tcPr>
            <w:tcW w:w="891" w:type="dxa"/>
            <w:vAlign w:val="center"/>
          </w:tcPr>
          <w:p w14:paraId="003AB36C" w14:textId="18CFD667"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8.95</w:t>
            </w:r>
          </w:p>
        </w:tc>
        <w:tc>
          <w:tcPr>
            <w:tcW w:w="737" w:type="dxa"/>
            <w:vAlign w:val="center"/>
          </w:tcPr>
          <w:p w14:paraId="6701E79C" w14:textId="7860DCB2"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5.58</w:t>
            </w:r>
          </w:p>
        </w:tc>
        <w:tc>
          <w:tcPr>
            <w:tcW w:w="821" w:type="dxa"/>
            <w:vAlign w:val="center"/>
          </w:tcPr>
          <w:p w14:paraId="4F1F4069" w14:textId="36FF8A1B"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2.78</w:t>
            </w:r>
          </w:p>
        </w:tc>
        <w:tc>
          <w:tcPr>
            <w:tcW w:w="753" w:type="dxa"/>
            <w:vAlign w:val="center"/>
          </w:tcPr>
          <w:p w14:paraId="7CF6E437" w14:textId="046207F4"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2.16</w:t>
            </w:r>
          </w:p>
        </w:tc>
        <w:tc>
          <w:tcPr>
            <w:tcW w:w="758" w:type="dxa"/>
            <w:vAlign w:val="center"/>
          </w:tcPr>
          <w:p w14:paraId="269E1DA6" w14:textId="3FD7BC76"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1.1</w:t>
            </w:r>
          </w:p>
        </w:tc>
        <w:tc>
          <w:tcPr>
            <w:tcW w:w="688" w:type="dxa"/>
            <w:vAlign w:val="center"/>
          </w:tcPr>
          <w:p w14:paraId="1AE432F6" w14:textId="5265C3C6"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0.3</w:t>
            </w:r>
          </w:p>
        </w:tc>
        <w:tc>
          <w:tcPr>
            <w:tcW w:w="853" w:type="dxa"/>
            <w:vAlign w:val="center"/>
          </w:tcPr>
          <w:p w14:paraId="3F83D00C" w14:textId="251452A8" w:rsidR="00485941" w:rsidRPr="00A07231" w:rsidRDefault="00485941" w:rsidP="00485941">
            <w:pPr>
              <w:jc w:val="center"/>
              <w:rPr>
                <w:rFonts w:asciiTheme="majorBidi" w:hAnsiTheme="majorBidi" w:cstheme="majorBidi"/>
                <w:b/>
                <w:bCs/>
                <w:sz w:val="20"/>
                <w:szCs w:val="20"/>
              </w:rPr>
            </w:pPr>
            <w:r w:rsidRPr="00A07231">
              <w:rPr>
                <w:rFonts w:asciiTheme="majorBidi" w:hAnsiTheme="majorBidi" w:cstheme="majorBidi"/>
                <w:b/>
                <w:bCs/>
                <w:color w:val="000000"/>
                <w:sz w:val="20"/>
                <w:szCs w:val="20"/>
              </w:rPr>
              <w:t>0.1</w:t>
            </w:r>
          </w:p>
        </w:tc>
        <w:tc>
          <w:tcPr>
            <w:tcW w:w="708" w:type="dxa"/>
            <w:vAlign w:val="center"/>
          </w:tcPr>
          <w:p w14:paraId="3ED13D8B" w14:textId="17B3B4B3" w:rsidR="00485941" w:rsidRPr="00A07231" w:rsidRDefault="00485941" w:rsidP="00485941">
            <w:pPr>
              <w:jc w:val="center"/>
              <w:rPr>
                <w:rFonts w:asciiTheme="majorBidi" w:hAnsiTheme="majorBidi" w:cstheme="majorBidi"/>
                <w:b/>
                <w:bCs/>
                <w:sz w:val="20"/>
                <w:szCs w:val="20"/>
              </w:rPr>
            </w:pPr>
            <w:r w:rsidRPr="00A07231">
              <w:rPr>
                <w:rFonts w:asciiTheme="majorBidi" w:hAnsiTheme="majorBidi" w:cstheme="majorBidi"/>
                <w:b/>
                <w:bCs/>
                <w:color w:val="000000"/>
                <w:sz w:val="20"/>
                <w:szCs w:val="20"/>
              </w:rPr>
              <w:t>0.1</w:t>
            </w:r>
          </w:p>
        </w:tc>
        <w:tc>
          <w:tcPr>
            <w:tcW w:w="910" w:type="dxa"/>
            <w:vAlign w:val="center"/>
          </w:tcPr>
          <w:p w14:paraId="7C32C786" w14:textId="6427FD4F"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0.1</w:t>
            </w:r>
          </w:p>
        </w:tc>
        <w:tc>
          <w:tcPr>
            <w:tcW w:w="823" w:type="dxa"/>
            <w:vAlign w:val="center"/>
          </w:tcPr>
          <w:p w14:paraId="431D4B34" w14:textId="6D2DA812" w:rsidR="00485941" w:rsidRPr="00A07231" w:rsidRDefault="00485941" w:rsidP="00485941">
            <w:pPr>
              <w:jc w:val="center"/>
              <w:rPr>
                <w:rFonts w:asciiTheme="majorBidi" w:hAnsiTheme="majorBidi" w:cstheme="majorBidi"/>
                <w:b/>
                <w:bCs/>
                <w:sz w:val="20"/>
                <w:szCs w:val="20"/>
              </w:rPr>
            </w:pPr>
            <w:r w:rsidRPr="00A07231">
              <w:rPr>
                <w:rFonts w:asciiTheme="majorBidi" w:hAnsiTheme="majorBidi" w:cstheme="majorBidi"/>
                <w:b/>
                <w:bCs/>
                <w:color w:val="000000"/>
                <w:sz w:val="20"/>
                <w:szCs w:val="20"/>
              </w:rPr>
              <w:t>0.04</w:t>
            </w:r>
          </w:p>
        </w:tc>
        <w:tc>
          <w:tcPr>
            <w:tcW w:w="705" w:type="dxa"/>
            <w:vAlign w:val="center"/>
          </w:tcPr>
          <w:p w14:paraId="55DAD68B" w14:textId="0B95BBB8" w:rsidR="00485941" w:rsidRPr="00A07231" w:rsidRDefault="00485941" w:rsidP="00485941">
            <w:pPr>
              <w:jc w:val="center"/>
              <w:rPr>
                <w:rFonts w:asciiTheme="majorBidi" w:hAnsiTheme="majorBidi" w:cstheme="majorBidi"/>
                <w:b/>
                <w:bCs/>
                <w:sz w:val="20"/>
                <w:szCs w:val="20"/>
              </w:rPr>
            </w:pPr>
            <w:r w:rsidRPr="00A07231">
              <w:rPr>
                <w:rFonts w:asciiTheme="majorBidi" w:hAnsiTheme="majorBidi" w:cstheme="majorBidi"/>
                <w:b/>
                <w:bCs/>
                <w:color w:val="000000"/>
                <w:sz w:val="20"/>
                <w:szCs w:val="20"/>
              </w:rPr>
              <w:t>0.03</w:t>
            </w:r>
          </w:p>
        </w:tc>
        <w:tc>
          <w:tcPr>
            <w:tcW w:w="971" w:type="dxa"/>
            <w:vAlign w:val="center"/>
          </w:tcPr>
          <w:p w14:paraId="4765655E" w14:textId="163B930A" w:rsidR="00485941" w:rsidRPr="00A07231" w:rsidRDefault="00485941" w:rsidP="00485941">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327.07</w:t>
            </w:r>
          </w:p>
        </w:tc>
      </w:tr>
    </w:tbl>
    <w:p w14:paraId="6444371E" w14:textId="28036A4B" w:rsidR="00066892" w:rsidRDefault="00066892" w:rsidP="007705F6">
      <w:pPr>
        <w:autoSpaceDE w:val="0"/>
        <w:adjustRightInd w:val="0"/>
        <w:spacing w:after="0" w:line="360" w:lineRule="auto"/>
        <w:jc w:val="both"/>
        <w:textAlignment w:val="auto"/>
        <w:rPr>
          <w:rFonts w:asciiTheme="majorBidi" w:hAnsiTheme="majorBidi" w:cstheme="majorBidi"/>
          <w:sz w:val="24"/>
          <w:szCs w:val="24"/>
          <w:lang w:val="en-US"/>
        </w:rPr>
      </w:pPr>
    </w:p>
    <w:p w14:paraId="2AB778E4" w14:textId="7C1F8556" w:rsidR="00066892" w:rsidRDefault="00066892" w:rsidP="007705F6">
      <w:pPr>
        <w:autoSpaceDE w:val="0"/>
        <w:adjustRightInd w:val="0"/>
        <w:spacing w:after="0" w:line="360" w:lineRule="auto"/>
        <w:jc w:val="both"/>
        <w:textAlignment w:val="auto"/>
        <w:rPr>
          <w:rFonts w:asciiTheme="majorBidi" w:hAnsiTheme="majorBidi" w:cstheme="majorBidi"/>
          <w:sz w:val="24"/>
          <w:szCs w:val="24"/>
          <w:lang w:val="en-US"/>
        </w:rPr>
      </w:pPr>
    </w:p>
    <w:p w14:paraId="604B3AA9" w14:textId="41166081" w:rsidR="00B606A8" w:rsidRDefault="00B606A8" w:rsidP="007705F6">
      <w:pPr>
        <w:autoSpaceDE w:val="0"/>
        <w:adjustRightInd w:val="0"/>
        <w:spacing w:after="0" w:line="360" w:lineRule="auto"/>
        <w:jc w:val="both"/>
        <w:textAlignment w:val="auto"/>
        <w:rPr>
          <w:rFonts w:asciiTheme="majorBidi" w:hAnsiTheme="majorBidi" w:cstheme="majorBidi"/>
          <w:sz w:val="24"/>
          <w:szCs w:val="24"/>
          <w:lang w:val="en-US"/>
        </w:rPr>
      </w:pPr>
    </w:p>
    <w:p w14:paraId="78DF266F" w14:textId="5B3E8C39" w:rsidR="00B606A8" w:rsidRDefault="00B606A8" w:rsidP="00B606A8">
      <w:pPr>
        <w:autoSpaceDE w:val="0"/>
        <w:adjustRightInd w:val="0"/>
        <w:spacing w:after="0" w:line="360" w:lineRule="auto"/>
        <w:jc w:val="right"/>
        <w:textAlignment w:val="auto"/>
        <w:rPr>
          <w:rFonts w:asciiTheme="majorBidi" w:hAnsiTheme="majorBidi" w:cstheme="majorBidi"/>
          <w:sz w:val="24"/>
          <w:szCs w:val="24"/>
          <w:lang w:val="en-US"/>
        </w:rPr>
      </w:pPr>
      <w:r>
        <w:rPr>
          <w:rFonts w:asciiTheme="majorBidi" w:hAnsiTheme="majorBidi" w:cstheme="majorBidi"/>
          <w:sz w:val="24"/>
          <w:szCs w:val="24"/>
          <w:lang w:val="en-US"/>
        </w:rPr>
        <w:t>Appendix 2</w:t>
      </w:r>
    </w:p>
    <w:p w14:paraId="71659591" w14:textId="77777777" w:rsidR="00B606A8" w:rsidRDefault="00B606A8" w:rsidP="00B606A8">
      <w:pPr>
        <w:autoSpaceDE w:val="0"/>
        <w:adjustRightInd w:val="0"/>
        <w:spacing w:line="360" w:lineRule="auto"/>
        <w:jc w:val="center"/>
        <w:textAlignment w:val="auto"/>
        <w:rPr>
          <w:rFonts w:asciiTheme="majorBidi" w:hAnsiTheme="majorBidi" w:cstheme="majorBidi"/>
          <w:sz w:val="24"/>
          <w:szCs w:val="24"/>
          <w:lang w:val="en-US"/>
        </w:rPr>
      </w:pPr>
      <w:r>
        <w:rPr>
          <w:rFonts w:asciiTheme="majorBidi" w:hAnsiTheme="majorBidi" w:cstheme="majorBidi"/>
          <w:sz w:val="24"/>
          <w:szCs w:val="24"/>
          <w:lang w:val="en-US"/>
        </w:rPr>
        <w:t>Number of transactions of project finance in Arab world</w:t>
      </w:r>
    </w:p>
    <w:tbl>
      <w:tblPr>
        <w:tblStyle w:val="TableGrid"/>
        <w:tblW w:w="0" w:type="auto"/>
        <w:jc w:val="center"/>
        <w:tblInd w:w="0" w:type="dxa"/>
        <w:tblLook w:val="04A0" w:firstRow="1" w:lastRow="0" w:firstColumn="1" w:lastColumn="0" w:noHBand="0" w:noVBand="1"/>
      </w:tblPr>
      <w:tblGrid>
        <w:gridCol w:w="695"/>
        <w:gridCol w:w="822"/>
        <w:gridCol w:w="715"/>
        <w:gridCol w:w="715"/>
        <w:gridCol w:w="734"/>
        <w:gridCol w:w="719"/>
        <w:gridCol w:w="779"/>
        <w:gridCol w:w="826"/>
        <w:gridCol w:w="891"/>
        <w:gridCol w:w="737"/>
        <w:gridCol w:w="821"/>
        <w:gridCol w:w="753"/>
        <w:gridCol w:w="758"/>
        <w:gridCol w:w="688"/>
        <w:gridCol w:w="853"/>
        <w:gridCol w:w="708"/>
        <w:gridCol w:w="910"/>
        <w:gridCol w:w="823"/>
        <w:gridCol w:w="705"/>
        <w:gridCol w:w="971"/>
      </w:tblGrid>
      <w:tr w:rsidR="00B606A8" w:rsidRPr="002434D9" w14:paraId="0AEA473F" w14:textId="77777777" w:rsidTr="00B606A8">
        <w:trPr>
          <w:trHeight w:val="894"/>
          <w:jc w:val="center"/>
        </w:trPr>
        <w:tc>
          <w:tcPr>
            <w:tcW w:w="695" w:type="dxa"/>
            <w:vAlign w:val="center"/>
          </w:tcPr>
          <w:p w14:paraId="5B649A84" w14:textId="77777777" w:rsidR="00B606A8" w:rsidRPr="00B606A8" w:rsidRDefault="00B606A8" w:rsidP="009A7B60">
            <w:pPr>
              <w:jc w:val="center"/>
              <w:rPr>
                <w:rFonts w:asciiTheme="majorBidi" w:hAnsiTheme="majorBidi" w:cstheme="majorBidi"/>
                <w:sz w:val="19"/>
                <w:szCs w:val="19"/>
                <w:lang w:val="en-US"/>
              </w:rPr>
            </w:pPr>
          </w:p>
        </w:tc>
        <w:tc>
          <w:tcPr>
            <w:tcW w:w="822" w:type="dxa"/>
            <w:vAlign w:val="center"/>
          </w:tcPr>
          <w:p w14:paraId="3D889A03"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Saudi Arabia</w:t>
            </w:r>
          </w:p>
        </w:tc>
        <w:tc>
          <w:tcPr>
            <w:tcW w:w="715" w:type="dxa"/>
            <w:vAlign w:val="center"/>
          </w:tcPr>
          <w:p w14:paraId="3C8939AF"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Qatar</w:t>
            </w:r>
          </w:p>
        </w:tc>
        <w:tc>
          <w:tcPr>
            <w:tcW w:w="715" w:type="dxa"/>
            <w:vAlign w:val="center"/>
          </w:tcPr>
          <w:p w14:paraId="7776CB2F"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UAE</w:t>
            </w:r>
          </w:p>
        </w:tc>
        <w:tc>
          <w:tcPr>
            <w:tcW w:w="734" w:type="dxa"/>
            <w:vAlign w:val="center"/>
          </w:tcPr>
          <w:p w14:paraId="235DB766"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Oman</w:t>
            </w:r>
          </w:p>
        </w:tc>
        <w:tc>
          <w:tcPr>
            <w:tcW w:w="719" w:type="dxa"/>
            <w:vAlign w:val="center"/>
          </w:tcPr>
          <w:p w14:paraId="5D517821"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Egypt</w:t>
            </w:r>
          </w:p>
        </w:tc>
        <w:tc>
          <w:tcPr>
            <w:tcW w:w="779" w:type="dxa"/>
            <w:vAlign w:val="center"/>
          </w:tcPr>
          <w:p w14:paraId="197A6D0C"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Kuwait</w:t>
            </w:r>
          </w:p>
        </w:tc>
        <w:tc>
          <w:tcPr>
            <w:tcW w:w="826" w:type="dxa"/>
            <w:vAlign w:val="center"/>
          </w:tcPr>
          <w:p w14:paraId="08B61DC9"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Bahrain</w:t>
            </w:r>
          </w:p>
        </w:tc>
        <w:tc>
          <w:tcPr>
            <w:tcW w:w="891" w:type="dxa"/>
            <w:vAlign w:val="center"/>
          </w:tcPr>
          <w:p w14:paraId="4DA152E1" w14:textId="77777777" w:rsidR="00B606A8" w:rsidRPr="00B606A8" w:rsidRDefault="00B606A8" w:rsidP="009A7B60">
            <w:pPr>
              <w:jc w:val="center"/>
              <w:rPr>
                <w:rFonts w:asciiTheme="majorBidi" w:hAnsiTheme="majorBidi" w:cstheme="majorBidi"/>
                <w:sz w:val="18"/>
                <w:szCs w:val="18"/>
              </w:rPr>
            </w:pPr>
            <w:r w:rsidRPr="00B606A8">
              <w:rPr>
                <w:rFonts w:asciiTheme="majorBidi" w:hAnsiTheme="majorBidi" w:cstheme="majorBidi"/>
                <w:color w:val="000000"/>
                <w:sz w:val="18"/>
                <w:szCs w:val="18"/>
              </w:rPr>
              <w:t>Morocco</w:t>
            </w:r>
          </w:p>
        </w:tc>
        <w:tc>
          <w:tcPr>
            <w:tcW w:w="737" w:type="dxa"/>
            <w:vAlign w:val="center"/>
          </w:tcPr>
          <w:p w14:paraId="40F557AE"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Jordan</w:t>
            </w:r>
          </w:p>
        </w:tc>
        <w:tc>
          <w:tcPr>
            <w:tcW w:w="821" w:type="dxa"/>
            <w:vAlign w:val="center"/>
          </w:tcPr>
          <w:p w14:paraId="1F31952A"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Yemen</w:t>
            </w:r>
          </w:p>
        </w:tc>
        <w:tc>
          <w:tcPr>
            <w:tcW w:w="753" w:type="dxa"/>
            <w:vAlign w:val="center"/>
          </w:tcPr>
          <w:p w14:paraId="4C3435C3" w14:textId="77777777" w:rsidR="00B606A8" w:rsidRPr="00B606A8" w:rsidRDefault="00B606A8" w:rsidP="009A7B60">
            <w:pPr>
              <w:jc w:val="center"/>
              <w:rPr>
                <w:rFonts w:asciiTheme="majorBidi" w:hAnsiTheme="majorBidi" w:cstheme="majorBidi"/>
                <w:sz w:val="17"/>
                <w:szCs w:val="17"/>
              </w:rPr>
            </w:pPr>
            <w:r w:rsidRPr="00B606A8">
              <w:rPr>
                <w:rFonts w:asciiTheme="majorBidi" w:hAnsiTheme="majorBidi" w:cstheme="majorBidi"/>
                <w:color w:val="000000"/>
                <w:sz w:val="17"/>
                <w:szCs w:val="17"/>
              </w:rPr>
              <w:t>Algeria</w:t>
            </w:r>
          </w:p>
        </w:tc>
        <w:tc>
          <w:tcPr>
            <w:tcW w:w="758" w:type="dxa"/>
            <w:vAlign w:val="center"/>
          </w:tcPr>
          <w:p w14:paraId="09FF5AF3" w14:textId="77777777" w:rsidR="00B606A8" w:rsidRPr="00B606A8" w:rsidRDefault="00B606A8" w:rsidP="009A7B60">
            <w:pPr>
              <w:jc w:val="center"/>
              <w:rPr>
                <w:rFonts w:asciiTheme="majorBidi" w:hAnsiTheme="majorBidi" w:cstheme="majorBidi"/>
                <w:sz w:val="18"/>
                <w:szCs w:val="18"/>
              </w:rPr>
            </w:pPr>
            <w:r w:rsidRPr="00B606A8">
              <w:rPr>
                <w:rFonts w:asciiTheme="majorBidi" w:hAnsiTheme="majorBidi" w:cstheme="majorBidi"/>
                <w:color w:val="000000"/>
                <w:sz w:val="18"/>
                <w:szCs w:val="18"/>
              </w:rPr>
              <w:t>Tunisia</w:t>
            </w:r>
          </w:p>
        </w:tc>
        <w:tc>
          <w:tcPr>
            <w:tcW w:w="688" w:type="dxa"/>
            <w:vAlign w:val="center"/>
          </w:tcPr>
          <w:p w14:paraId="2450DF57"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Syria</w:t>
            </w:r>
          </w:p>
        </w:tc>
        <w:tc>
          <w:tcPr>
            <w:tcW w:w="853" w:type="dxa"/>
            <w:vAlign w:val="center"/>
          </w:tcPr>
          <w:p w14:paraId="4D94D5E3" w14:textId="77777777" w:rsidR="00B606A8" w:rsidRPr="00B606A8" w:rsidRDefault="00B606A8" w:rsidP="009A7B60">
            <w:pPr>
              <w:jc w:val="center"/>
              <w:rPr>
                <w:rFonts w:asciiTheme="majorBidi" w:hAnsiTheme="majorBidi" w:cstheme="majorBidi"/>
                <w:sz w:val="18"/>
                <w:szCs w:val="18"/>
              </w:rPr>
            </w:pPr>
            <w:r w:rsidRPr="00B606A8">
              <w:rPr>
                <w:rFonts w:asciiTheme="majorBidi" w:hAnsiTheme="majorBidi" w:cstheme="majorBidi"/>
                <w:color w:val="000000"/>
                <w:sz w:val="18"/>
                <w:szCs w:val="18"/>
              </w:rPr>
              <w:t>Lebanon</w:t>
            </w:r>
          </w:p>
        </w:tc>
        <w:tc>
          <w:tcPr>
            <w:tcW w:w="708" w:type="dxa"/>
            <w:vAlign w:val="center"/>
          </w:tcPr>
          <w:p w14:paraId="61DE31AA"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Libya</w:t>
            </w:r>
          </w:p>
        </w:tc>
        <w:tc>
          <w:tcPr>
            <w:tcW w:w="910" w:type="dxa"/>
            <w:vAlign w:val="center"/>
          </w:tcPr>
          <w:p w14:paraId="24243C8C"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Palestine</w:t>
            </w:r>
          </w:p>
        </w:tc>
        <w:tc>
          <w:tcPr>
            <w:tcW w:w="823" w:type="dxa"/>
            <w:vAlign w:val="center"/>
          </w:tcPr>
          <w:p w14:paraId="1D338F05" w14:textId="77777777" w:rsidR="00B606A8" w:rsidRPr="00B606A8" w:rsidRDefault="00B606A8" w:rsidP="009A7B60">
            <w:pPr>
              <w:jc w:val="center"/>
              <w:rPr>
                <w:rFonts w:asciiTheme="majorBidi" w:hAnsiTheme="majorBidi" w:cstheme="majorBidi"/>
                <w:sz w:val="18"/>
                <w:szCs w:val="18"/>
              </w:rPr>
            </w:pPr>
            <w:r w:rsidRPr="00B606A8">
              <w:rPr>
                <w:rFonts w:asciiTheme="majorBidi" w:hAnsiTheme="majorBidi" w:cstheme="majorBidi"/>
                <w:color w:val="000000"/>
                <w:sz w:val="18"/>
                <w:szCs w:val="18"/>
              </w:rPr>
              <w:t>Djibouti</w:t>
            </w:r>
          </w:p>
        </w:tc>
        <w:tc>
          <w:tcPr>
            <w:tcW w:w="705" w:type="dxa"/>
            <w:vAlign w:val="center"/>
          </w:tcPr>
          <w:p w14:paraId="5E026338"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Sudan</w:t>
            </w:r>
          </w:p>
        </w:tc>
        <w:tc>
          <w:tcPr>
            <w:tcW w:w="971" w:type="dxa"/>
            <w:vAlign w:val="center"/>
          </w:tcPr>
          <w:p w14:paraId="1CA54239" w14:textId="77777777" w:rsidR="00B606A8" w:rsidRPr="00A07231" w:rsidRDefault="00B606A8" w:rsidP="009A7B60">
            <w:pPr>
              <w:jc w:val="center"/>
              <w:rPr>
                <w:rFonts w:asciiTheme="majorBidi" w:hAnsiTheme="majorBidi" w:cstheme="majorBidi"/>
                <w:sz w:val="19"/>
                <w:szCs w:val="19"/>
              </w:rPr>
            </w:pPr>
            <w:r w:rsidRPr="00A07231">
              <w:rPr>
                <w:rFonts w:asciiTheme="majorBidi" w:hAnsiTheme="majorBidi" w:cstheme="majorBidi"/>
                <w:color w:val="000000"/>
                <w:sz w:val="19"/>
                <w:szCs w:val="19"/>
              </w:rPr>
              <w:t>Total Arab Countries</w:t>
            </w:r>
          </w:p>
        </w:tc>
      </w:tr>
      <w:tr w:rsidR="00B606A8" w:rsidRPr="002434D9" w14:paraId="33F52A9D" w14:textId="77777777" w:rsidTr="00B606A8">
        <w:trPr>
          <w:trHeight w:val="232"/>
          <w:jc w:val="center"/>
        </w:trPr>
        <w:tc>
          <w:tcPr>
            <w:tcW w:w="695" w:type="dxa"/>
            <w:vAlign w:val="center"/>
          </w:tcPr>
          <w:p w14:paraId="58BBFAC0"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1995</w:t>
            </w:r>
          </w:p>
        </w:tc>
        <w:tc>
          <w:tcPr>
            <w:tcW w:w="822" w:type="dxa"/>
            <w:vAlign w:val="center"/>
          </w:tcPr>
          <w:p w14:paraId="3E8F80CD" w14:textId="5EC958C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224D0547" w14:textId="2C170BB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7FD02F3C" w14:textId="25B186F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4" w:type="dxa"/>
            <w:vAlign w:val="center"/>
          </w:tcPr>
          <w:p w14:paraId="70B104B5" w14:textId="628F429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9" w:type="dxa"/>
            <w:vAlign w:val="center"/>
          </w:tcPr>
          <w:p w14:paraId="520E93F5" w14:textId="4D53D0E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144EEFC1" w14:textId="275D313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3350791C" w14:textId="454AB0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3142F147" w14:textId="142E193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702EFCEB" w14:textId="79E901E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55A9B230" w14:textId="1E29B80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6A25CE27" w14:textId="629B1A0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47628B87" w14:textId="7F21401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2A8FA052" w14:textId="2EAB3D9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6306414E" w14:textId="55DB022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02042D2C" w14:textId="7677D05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7545B0AC" w14:textId="5FBA95E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0D979F77" w14:textId="2AEE6B3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0CCD4EB5" w14:textId="39A35CC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3B512B41" w14:textId="49DA609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r>
      <w:tr w:rsidR="00B606A8" w:rsidRPr="002434D9" w14:paraId="3D1D46D7" w14:textId="77777777" w:rsidTr="00B606A8">
        <w:trPr>
          <w:trHeight w:val="232"/>
          <w:jc w:val="center"/>
        </w:trPr>
        <w:tc>
          <w:tcPr>
            <w:tcW w:w="695" w:type="dxa"/>
            <w:vAlign w:val="center"/>
          </w:tcPr>
          <w:p w14:paraId="5F70A63F"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1996</w:t>
            </w:r>
          </w:p>
        </w:tc>
        <w:tc>
          <w:tcPr>
            <w:tcW w:w="822" w:type="dxa"/>
            <w:vAlign w:val="center"/>
          </w:tcPr>
          <w:p w14:paraId="7FA69739" w14:textId="389DA22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35046BD4" w14:textId="41BFC5C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05A98341" w14:textId="6A48B76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4" w:type="dxa"/>
            <w:vAlign w:val="center"/>
          </w:tcPr>
          <w:p w14:paraId="531D02EB" w14:textId="61E4B72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9" w:type="dxa"/>
            <w:vAlign w:val="center"/>
          </w:tcPr>
          <w:p w14:paraId="1B05D4F4" w14:textId="1EBB0FB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49C7577A" w14:textId="57AFC56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7F73BE0E" w14:textId="656314F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164F1E04" w14:textId="2C08086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743F4DE6" w14:textId="0902E4A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3B9C7793" w14:textId="6A6DBD5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7CA42887" w14:textId="0F91A0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40B3B2FC" w14:textId="4D82003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48E655C6" w14:textId="7CC4197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77559CE" w14:textId="5D41441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7C031B9C" w14:textId="7DC5FAD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1E471F78" w14:textId="0A89AB5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298EF25F" w14:textId="4C0EA43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6BF4EDB1" w14:textId="2401350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2E4F8E92" w14:textId="4B4D38A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7</w:t>
            </w:r>
          </w:p>
        </w:tc>
      </w:tr>
      <w:tr w:rsidR="00B606A8" w:rsidRPr="002434D9" w14:paraId="546C0D3D" w14:textId="77777777" w:rsidTr="00B606A8">
        <w:trPr>
          <w:trHeight w:val="232"/>
          <w:jc w:val="center"/>
        </w:trPr>
        <w:tc>
          <w:tcPr>
            <w:tcW w:w="695" w:type="dxa"/>
            <w:vAlign w:val="center"/>
          </w:tcPr>
          <w:p w14:paraId="27336ABE"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1997</w:t>
            </w:r>
          </w:p>
        </w:tc>
        <w:tc>
          <w:tcPr>
            <w:tcW w:w="822" w:type="dxa"/>
            <w:vAlign w:val="center"/>
          </w:tcPr>
          <w:p w14:paraId="7A92BD2F" w14:textId="29C4309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6A709CD2" w14:textId="4A76343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7D3D2217" w14:textId="2C6F69C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4" w:type="dxa"/>
            <w:vAlign w:val="center"/>
          </w:tcPr>
          <w:p w14:paraId="2D51CB96" w14:textId="4F431B8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9" w:type="dxa"/>
            <w:vAlign w:val="center"/>
          </w:tcPr>
          <w:p w14:paraId="35FBFD74" w14:textId="53D6FE8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1F371B51" w14:textId="7C53C27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201FB38A" w14:textId="16684BA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7B37890D" w14:textId="0F4E174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1C91A259" w14:textId="2D7BEE6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1A0DF618" w14:textId="5C2608B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24A6AE51" w14:textId="74A771A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297A2ABA" w14:textId="06F3F8C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4EC5D81E" w14:textId="01A5365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1700D9BB" w14:textId="474B6DB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08" w:type="dxa"/>
            <w:vAlign w:val="center"/>
          </w:tcPr>
          <w:p w14:paraId="16ADA4D1" w14:textId="62EC32E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1E989D26" w14:textId="05B3FF6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5FD18F9F" w14:textId="685EE35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057FB848" w14:textId="120D596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0FCD5CC1" w14:textId="204D1DF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8</w:t>
            </w:r>
          </w:p>
        </w:tc>
      </w:tr>
      <w:tr w:rsidR="00B606A8" w:rsidRPr="002434D9" w14:paraId="33FE0B0D" w14:textId="77777777" w:rsidTr="00B606A8">
        <w:trPr>
          <w:trHeight w:val="232"/>
          <w:jc w:val="center"/>
        </w:trPr>
        <w:tc>
          <w:tcPr>
            <w:tcW w:w="695" w:type="dxa"/>
            <w:vAlign w:val="center"/>
          </w:tcPr>
          <w:p w14:paraId="5044AEAE"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1998</w:t>
            </w:r>
          </w:p>
        </w:tc>
        <w:tc>
          <w:tcPr>
            <w:tcW w:w="822" w:type="dxa"/>
            <w:vAlign w:val="center"/>
          </w:tcPr>
          <w:p w14:paraId="75EE3B06" w14:textId="31D167F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4F5B5202" w14:textId="0617F92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7D66083D" w14:textId="0EDF181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4" w:type="dxa"/>
            <w:vAlign w:val="center"/>
          </w:tcPr>
          <w:p w14:paraId="4E57137B" w14:textId="1144290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9" w:type="dxa"/>
            <w:vAlign w:val="center"/>
          </w:tcPr>
          <w:p w14:paraId="7D933151" w14:textId="50CB394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79" w:type="dxa"/>
            <w:vAlign w:val="center"/>
          </w:tcPr>
          <w:p w14:paraId="12D7F640" w14:textId="6AD5711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020EB89D" w14:textId="12D6FFD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09CD1DD4" w14:textId="761B208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1CFE09BD" w14:textId="271EFDE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58C85936" w14:textId="59A4469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19135B1A" w14:textId="7AD024F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169AB496" w14:textId="48026D1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480EA48D" w14:textId="77D29DA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74CB88B1" w14:textId="336771E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3F47D57A" w14:textId="17B5A79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41D587CE" w14:textId="7D3191B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37C7C58D" w14:textId="02E3277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05F2724A" w14:textId="19E5761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41173FF9" w14:textId="01D46AD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10</w:t>
            </w:r>
          </w:p>
        </w:tc>
      </w:tr>
      <w:tr w:rsidR="00B606A8" w:rsidRPr="002434D9" w14:paraId="5009F27E" w14:textId="77777777" w:rsidTr="00B606A8">
        <w:trPr>
          <w:trHeight w:val="232"/>
          <w:jc w:val="center"/>
        </w:trPr>
        <w:tc>
          <w:tcPr>
            <w:tcW w:w="695" w:type="dxa"/>
            <w:vAlign w:val="center"/>
          </w:tcPr>
          <w:p w14:paraId="33FAB229"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1999</w:t>
            </w:r>
          </w:p>
        </w:tc>
        <w:tc>
          <w:tcPr>
            <w:tcW w:w="822" w:type="dxa"/>
            <w:vAlign w:val="center"/>
          </w:tcPr>
          <w:p w14:paraId="3391B0D4" w14:textId="6715DF8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77397800" w14:textId="43B25D5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72BD80AC" w14:textId="60AF38E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4" w:type="dxa"/>
            <w:vAlign w:val="center"/>
          </w:tcPr>
          <w:p w14:paraId="6AFE3D3E" w14:textId="20EF8D8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9" w:type="dxa"/>
            <w:vAlign w:val="center"/>
          </w:tcPr>
          <w:p w14:paraId="36806FFB" w14:textId="6452322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79" w:type="dxa"/>
            <w:vAlign w:val="center"/>
          </w:tcPr>
          <w:p w14:paraId="7854BEC8" w14:textId="5BBED80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6627ED40" w14:textId="4462CC8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24C58DFD" w14:textId="0FCCD03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49E4DF4D" w14:textId="044E19F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6C57763F" w14:textId="118A371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72603097" w14:textId="39981F1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6F350BA9" w14:textId="7FEC6D4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688" w:type="dxa"/>
            <w:vAlign w:val="center"/>
          </w:tcPr>
          <w:p w14:paraId="610D4781" w14:textId="1E1F552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557D1C78" w14:textId="5EAEEED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3BBA040E" w14:textId="6928A31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6A3A6C78" w14:textId="1642942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5E601A33" w14:textId="6E09218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27D9F1DE" w14:textId="0CC7824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6F20953B" w14:textId="3999A71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11</w:t>
            </w:r>
          </w:p>
        </w:tc>
      </w:tr>
      <w:tr w:rsidR="00B606A8" w:rsidRPr="002434D9" w14:paraId="1C46BDC9" w14:textId="77777777" w:rsidTr="00B606A8">
        <w:trPr>
          <w:trHeight w:val="232"/>
          <w:jc w:val="center"/>
        </w:trPr>
        <w:tc>
          <w:tcPr>
            <w:tcW w:w="695" w:type="dxa"/>
            <w:vAlign w:val="center"/>
          </w:tcPr>
          <w:p w14:paraId="28A8A191"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2000</w:t>
            </w:r>
          </w:p>
        </w:tc>
        <w:tc>
          <w:tcPr>
            <w:tcW w:w="822" w:type="dxa"/>
            <w:vAlign w:val="center"/>
          </w:tcPr>
          <w:p w14:paraId="684B10B0" w14:textId="7DEBFEC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22CC280D" w14:textId="6989187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0D2934B8" w14:textId="2B83494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4" w:type="dxa"/>
            <w:vAlign w:val="center"/>
          </w:tcPr>
          <w:p w14:paraId="00D840F4" w14:textId="64DA0B0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9" w:type="dxa"/>
            <w:vAlign w:val="center"/>
          </w:tcPr>
          <w:p w14:paraId="03407669" w14:textId="634950F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5B0B3C3D" w14:textId="262F7CE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5912C7EF" w14:textId="21FB447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408D1043" w14:textId="0A815A9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7EB5BE84" w14:textId="40DDE19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1" w:type="dxa"/>
            <w:vAlign w:val="center"/>
          </w:tcPr>
          <w:p w14:paraId="1D5AC88A" w14:textId="749CC9B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3ECC0FE7" w14:textId="57AC604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358AEC7B" w14:textId="085E730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2D9F032D" w14:textId="7BFE8C7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8499CAE" w14:textId="390EEC6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4B0C960D" w14:textId="34A9B40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910" w:type="dxa"/>
            <w:vAlign w:val="center"/>
          </w:tcPr>
          <w:p w14:paraId="3CE55E91" w14:textId="0209417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3" w:type="dxa"/>
            <w:vAlign w:val="center"/>
          </w:tcPr>
          <w:p w14:paraId="4669C574" w14:textId="78A8418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62C8D8BE" w14:textId="6EBF94A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4E2FD68D" w14:textId="0734179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8</w:t>
            </w:r>
          </w:p>
        </w:tc>
      </w:tr>
      <w:tr w:rsidR="00B606A8" w:rsidRPr="002434D9" w14:paraId="3886B600" w14:textId="77777777" w:rsidTr="00B606A8">
        <w:trPr>
          <w:trHeight w:val="232"/>
          <w:jc w:val="center"/>
        </w:trPr>
        <w:tc>
          <w:tcPr>
            <w:tcW w:w="695" w:type="dxa"/>
            <w:vAlign w:val="center"/>
          </w:tcPr>
          <w:p w14:paraId="60EB8456"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2001</w:t>
            </w:r>
          </w:p>
        </w:tc>
        <w:tc>
          <w:tcPr>
            <w:tcW w:w="822" w:type="dxa"/>
            <w:vAlign w:val="center"/>
          </w:tcPr>
          <w:p w14:paraId="4640B98C" w14:textId="76267CA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3C1B15B0" w14:textId="495EC38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761BD501" w14:textId="0290FC8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4" w:type="dxa"/>
            <w:vAlign w:val="center"/>
          </w:tcPr>
          <w:p w14:paraId="24C77FED" w14:textId="0C9232C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9" w:type="dxa"/>
            <w:vAlign w:val="center"/>
          </w:tcPr>
          <w:p w14:paraId="1483649E" w14:textId="0941494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0FB7B9BF" w14:textId="726DA02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165D9EA5" w14:textId="739DF4D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209BD3A5" w14:textId="03096D7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15132128" w14:textId="4F3CCE0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19EBC88F" w14:textId="7543F36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0579E54D" w14:textId="4FF7608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305E7C29" w14:textId="673A56D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33CE0BC9" w14:textId="5735AD1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02A6DE2A" w14:textId="62D5CE9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56A590F4" w14:textId="5A13F3C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910" w:type="dxa"/>
            <w:vAlign w:val="center"/>
          </w:tcPr>
          <w:p w14:paraId="28B6B41D" w14:textId="19CAA23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0428945B" w14:textId="280A090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23D0160A" w14:textId="1A1AFE4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971" w:type="dxa"/>
            <w:vAlign w:val="center"/>
          </w:tcPr>
          <w:p w14:paraId="00EA5335" w14:textId="009C804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16</w:t>
            </w:r>
          </w:p>
        </w:tc>
      </w:tr>
      <w:tr w:rsidR="00B606A8" w:rsidRPr="002434D9" w14:paraId="324AAC8A" w14:textId="77777777" w:rsidTr="00B606A8">
        <w:trPr>
          <w:trHeight w:val="232"/>
          <w:jc w:val="center"/>
        </w:trPr>
        <w:tc>
          <w:tcPr>
            <w:tcW w:w="695" w:type="dxa"/>
            <w:vAlign w:val="center"/>
          </w:tcPr>
          <w:p w14:paraId="2300FC1D"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2002</w:t>
            </w:r>
          </w:p>
        </w:tc>
        <w:tc>
          <w:tcPr>
            <w:tcW w:w="822" w:type="dxa"/>
            <w:vAlign w:val="center"/>
          </w:tcPr>
          <w:p w14:paraId="77D4A8DE" w14:textId="0DC5BFB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345F3FAA" w14:textId="3457125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451A2FB4" w14:textId="7138D43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4" w:type="dxa"/>
            <w:vAlign w:val="center"/>
          </w:tcPr>
          <w:p w14:paraId="18A4E928" w14:textId="468B50E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9" w:type="dxa"/>
            <w:vAlign w:val="center"/>
          </w:tcPr>
          <w:p w14:paraId="09915211" w14:textId="5E34501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270601F0" w14:textId="4C29EF7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826" w:type="dxa"/>
            <w:vAlign w:val="center"/>
          </w:tcPr>
          <w:p w14:paraId="2C850AA9" w14:textId="3EFDCC8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06F6D143" w14:textId="4C3EDFF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45C69EFA" w14:textId="289909F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6FCDBA07" w14:textId="756811E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42669D3F" w14:textId="1E39706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58" w:type="dxa"/>
            <w:vAlign w:val="center"/>
          </w:tcPr>
          <w:p w14:paraId="75AB59B8" w14:textId="6E0723C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499DCDE5" w14:textId="386BE3F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5F0B351" w14:textId="456586E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3E1BFE32" w14:textId="570B684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52F3A0D9" w14:textId="686076D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676E991E" w14:textId="41328AA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18F51082" w14:textId="3692302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0C870154" w14:textId="4D533A3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7</w:t>
            </w:r>
          </w:p>
        </w:tc>
      </w:tr>
      <w:tr w:rsidR="00B606A8" w:rsidRPr="002434D9" w14:paraId="3CB29F6B" w14:textId="77777777" w:rsidTr="00B606A8">
        <w:trPr>
          <w:trHeight w:val="232"/>
          <w:jc w:val="center"/>
        </w:trPr>
        <w:tc>
          <w:tcPr>
            <w:tcW w:w="695" w:type="dxa"/>
            <w:vAlign w:val="center"/>
          </w:tcPr>
          <w:p w14:paraId="75C9E65F"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2003</w:t>
            </w:r>
          </w:p>
        </w:tc>
        <w:tc>
          <w:tcPr>
            <w:tcW w:w="822" w:type="dxa"/>
            <w:vAlign w:val="center"/>
          </w:tcPr>
          <w:p w14:paraId="5D97CC36" w14:textId="78BF12C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23821DA5" w14:textId="3D6F403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51B7F73E" w14:textId="58428A8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4" w:type="dxa"/>
            <w:vAlign w:val="center"/>
          </w:tcPr>
          <w:p w14:paraId="1994D71F" w14:textId="4FAAA83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9" w:type="dxa"/>
            <w:vAlign w:val="center"/>
          </w:tcPr>
          <w:p w14:paraId="7E0D92AE" w14:textId="15D2E18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69C115EB" w14:textId="39DC447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2F72CA30" w14:textId="5AC2098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61C369E7" w14:textId="0A28B18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20C2B449" w14:textId="182EFE1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688B278A" w14:textId="3583F83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3D78BCDD" w14:textId="1EE9D9A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58" w:type="dxa"/>
            <w:vAlign w:val="center"/>
          </w:tcPr>
          <w:p w14:paraId="5BF23B0E" w14:textId="0FEF4CE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76D080F1" w14:textId="46AF172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37EF9D3B" w14:textId="17B9E18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7E6FA7B0" w14:textId="0D16741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1C81012D" w14:textId="39EA57C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1C16E71A" w14:textId="338772B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35AC9C6C" w14:textId="5932D2E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39F9BC1E" w14:textId="542B3B8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12</w:t>
            </w:r>
          </w:p>
        </w:tc>
      </w:tr>
      <w:tr w:rsidR="00B606A8" w:rsidRPr="002434D9" w14:paraId="1876367E" w14:textId="77777777" w:rsidTr="00B606A8">
        <w:trPr>
          <w:trHeight w:val="232"/>
          <w:jc w:val="center"/>
        </w:trPr>
        <w:tc>
          <w:tcPr>
            <w:tcW w:w="695" w:type="dxa"/>
            <w:vAlign w:val="center"/>
          </w:tcPr>
          <w:p w14:paraId="2B9AA184"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2004</w:t>
            </w:r>
          </w:p>
        </w:tc>
        <w:tc>
          <w:tcPr>
            <w:tcW w:w="822" w:type="dxa"/>
            <w:vAlign w:val="center"/>
          </w:tcPr>
          <w:p w14:paraId="66331007" w14:textId="750A4A3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15" w:type="dxa"/>
            <w:vAlign w:val="center"/>
          </w:tcPr>
          <w:p w14:paraId="4FFADCE5" w14:textId="491226B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65F91CCC" w14:textId="1DC67CB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4" w:type="dxa"/>
            <w:vAlign w:val="center"/>
          </w:tcPr>
          <w:p w14:paraId="20D2B59F" w14:textId="5DF86E3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6</w:t>
            </w:r>
          </w:p>
        </w:tc>
        <w:tc>
          <w:tcPr>
            <w:tcW w:w="719" w:type="dxa"/>
            <w:vAlign w:val="center"/>
          </w:tcPr>
          <w:p w14:paraId="4E8E63BC" w14:textId="3E85375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47950E5F" w14:textId="36530F6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3C551BA4" w14:textId="3F1B755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891" w:type="dxa"/>
            <w:vAlign w:val="center"/>
          </w:tcPr>
          <w:p w14:paraId="28124735" w14:textId="7E379CF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604293EB" w14:textId="6896E06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821" w:type="dxa"/>
            <w:vAlign w:val="center"/>
          </w:tcPr>
          <w:p w14:paraId="75318C23" w14:textId="58120D7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08DA1EE4" w14:textId="47D3794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32DFD431" w14:textId="281C630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688" w:type="dxa"/>
            <w:vAlign w:val="center"/>
          </w:tcPr>
          <w:p w14:paraId="4FDC1A97" w14:textId="582428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9F4F4F0" w14:textId="75FB576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55656C1C" w14:textId="3E72B00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2EF14E9B" w14:textId="6098EEC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7A616161" w14:textId="08D3392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05" w:type="dxa"/>
            <w:vAlign w:val="center"/>
          </w:tcPr>
          <w:p w14:paraId="04E1B49D" w14:textId="354C13B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61DA8D93" w14:textId="41A771F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25</w:t>
            </w:r>
          </w:p>
        </w:tc>
      </w:tr>
      <w:tr w:rsidR="00B606A8" w:rsidRPr="002434D9" w14:paraId="046B1258" w14:textId="77777777" w:rsidTr="00B606A8">
        <w:trPr>
          <w:trHeight w:val="232"/>
          <w:jc w:val="center"/>
        </w:trPr>
        <w:tc>
          <w:tcPr>
            <w:tcW w:w="695" w:type="dxa"/>
            <w:vAlign w:val="center"/>
          </w:tcPr>
          <w:p w14:paraId="0A153D71"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2005</w:t>
            </w:r>
          </w:p>
        </w:tc>
        <w:tc>
          <w:tcPr>
            <w:tcW w:w="822" w:type="dxa"/>
            <w:vAlign w:val="center"/>
          </w:tcPr>
          <w:p w14:paraId="6BE2DE55" w14:textId="7153E9F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79784B40" w14:textId="44CD807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12</w:t>
            </w:r>
          </w:p>
        </w:tc>
        <w:tc>
          <w:tcPr>
            <w:tcW w:w="715" w:type="dxa"/>
            <w:vAlign w:val="center"/>
          </w:tcPr>
          <w:p w14:paraId="16EBD781" w14:textId="4BA7B15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34" w:type="dxa"/>
            <w:vAlign w:val="center"/>
          </w:tcPr>
          <w:p w14:paraId="70B73013" w14:textId="2A3078D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10</w:t>
            </w:r>
          </w:p>
        </w:tc>
        <w:tc>
          <w:tcPr>
            <w:tcW w:w="719" w:type="dxa"/>
            <w:vAlign w:val="center"/>
          </w:tcPr>
          <w:p w14:paraId="3EBC3C4B" w14:textId="771620B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79" w:type="dxa"/>
            <w:vAlign w:val="center"/>
          </w:tcPr>
          <w:p w14:paraId="5661D898" w14:textId="1B65079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02BF26C6" w14:textId="726C5D4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7A3F2E74" w14:textId="5CABDEC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64E5FEA5" w14:textId="07A9840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6666DD13" w14:textId="326F024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133C19A4" w14:textId="1AE142D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58" w:type="dxa"/>
            <w:vAlign w:val="center"/>
          </w:tcPr>
          <w:p w14:paraId="03B06619" w14:textId="2D9F13D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2149856E" w14:textId="2BCC8C3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1C909738" w14:textId="18B5877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7205F30B" w14:textId="23E8DE2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6949D392" w14:textId="14CA1F4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50467B81" w14:textId="388CAD9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3AFCDA2E" w14:textId="7FA145A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114AFA25" w14:textId="4A9E10B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37</w:t>
            </w:r>
          </w:p>
        </w:tc>
      </w:tr>
      <w:tr w:rsidR="00B606A8" w:rsidRPr="002434D9" w14:paraId="40540B74" w14:textId="77777777" w:rsidTr="00B606A8">
        <w:trPr>
          <w:trHeight w:val="232"/>
          <w:jc w:val="center"/>
        </w:trPr>
        <w:tc>
          <w:tcPr>
            <w:tcW w:w="695" w:type="dxa"/>
            <w:vAlign w:val="center"/>
          </w:tcPr>
          <w:p w14:paraId="1AAB7697"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2006</w:t>
            </w:r>
          </w:p>
        </w:tc>
        <w:tc>
          <w:tcPr>
            <w:tcW w:w="822" w:type="dxa"/>
            <w:vAlign w:val="center"/>
          </w:tcPr>
          <w:p w14:paraId="3EF1304F" w14:textId="28265AB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7</w:t>
            </w:r>
          </w:p>
        </w:tc>
        <w:tc>
          <w:tcPr>
            <w:tcW w:w="715" w:type="dxa"/>
            <w:vAlign w:val="center"/>
          </w:tcPr>
          <w:p w14:paraId="45D71C0B" w14:textId="565B371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685BA790" w14:textId="0ACBABF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34" w:type="dxa"/>
            <w:vAlign w:val="center"/>
          </w:tcPr>
          <w:p w14:paraId="1F3829CA" w14:textId="4D1CB6E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6</w:t>
            </w:r>
          </w:p>
        </w:tc>
        <w:tc>
          <w:tcPr>
            <w:tcW w:w="719" w:type="dxa"/>
            <w:vAlign w:val="center"/>
          </w:tcPr>
          <w:p w14:paraId="48A7E221" w14:textId="03EBA48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79" w:type="dxa"/>
            <w:vAlign w:val="center"/>
          </w:tcPr>
          <w:p w14:paraId="6B9AEB38" w14:textId="519A20A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313EBE61" w14:textId="6452B9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4F1A4C9B" w14:textId="1B88F78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3EF9A715" w14:textId="37F22A6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0A8BA321" w14:textId="36D90C4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29FDDBF1" w14:textId="50F8432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0AEB73D0" w14:textId="109BE3E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05C69C14" w14:textId="18B4B7D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2F5E5082" w14:textId="73D5B83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50434944" w14:textId="2DD2D4F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405E9ED4" w14:textId="1DCA22A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08FFFECA" w14:textId="03CEB8B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5FDE41B4" w14:textId="7ACE9CA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6C8B8AAD" w14:textId="564C571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27</w:t>
            </w:r>
          </w:p>
        </w:tc>
      </w:tr>
      <w:tr w:rsidR="00B606A8" w:rsidRPr="002434D9" w14:paraId="64EC3893" w14:textId="77777777" w:rsidTr="00B606A8">
        <w:trPr>
          <w:trHeight w:val="232"/>
          <w:jc w:val="center"/>
        </w:trPr>
        <w:tc>
          <w:tcPr>
            <w:tcW w:w="695" w:type="dxa"/>
            <w:vAlign w:val="center"/>
          </w:tcPr>
          <w:p w14:paraId="73483DAD"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2007</w:t>
            </w:r>
          </w:p>
        </w:tc>
        <w:tc>
          <w:tcPr>
            <w:tcW w:w="822" w:type="dxa"/>
            <w:vAlign w:val="center"/>
          </w:tcPr>
          <w:p w14:paraId="3572FC33" w14:textId="51D21A5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8</w:t>
            </w:r>
          </w:p>
        </w:tc>
        <w:tc>
          <w:tcPr>
            <w:tcW w:w="715" w:type="dxa"/>
            <w:vAlign w:val="center"/>
          </w:tcPr>
          <w:p w14:paraId="17420F2A" w14:textId="3513D34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6</w:t>
            </w:r>
          </w:p>
        </w:tc>
        <w:tc>
          <w:tcPr>
            <w:tcW w:w="715" w:type="dxa"/>
            <w:vAlign w:val="center"/>
          </w:tcPr>
          <w:p w14:paraId="5C4C818B" w14:textId="2EEEA5D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12</w:t>
            </w:r>
          </w:p>
        </w:tc>
        <w:tc>
          <w:tcPr>
            <w:tcW w:w="734" w:type="dxa"/>
            <w:vAlign w:val="center"/>
          </w:tcPr>
          <w:p w14:paraId="7E128FAD" w14:textId="65852F6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19" w:type="dxa"/>
            <w:vAlign w:val="center"/>
          </w:tcPr>
          <w:p w14:paraId="291EEC6A" w14:textId="3149FC0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79" w:type="dxa"/>
            <w:vAlign w:val="center"/>
          </w:tcPr>
          <w:p w14:paraId="22606F0F" w14:textId="377124B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6891500A" w14:textId="4CCA19C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29B87550" w14:textId="10580ED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24794433" w14:textId="672CE91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821" w:type="dxa"/>
            <w:vAlign w:val="center"/>
          </w:tcPr>
          <w:p w14:paraId="5B3A0C9A" w14:textId="79F82A2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5D025300" w14:textId="695D849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58" w:type="dxa"/>
            <w:vAlign w:val="center"/>
          </w:tcPr>
          <w:p w14:paraId="3D3705C9" w14:textId="2B44744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02E5C13F" w14:textId="66FE7A1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3333D77" w14:textId="44358B1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1FC9E530" w14:textId="7ACD3FB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1F6A1C96" w14:textId="5993989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44D7582B" w14:textId="201C15A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145E53DF" w14:textId="201DEB5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01C45B39" w14:textId="4743219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40</w:t>
            </w:r>
          </w:p>
        </w:tc>
      </w:tr>
      <w:tr w:rsidR="00B606A8" w:rsidRPr="002434D9" w14:paraId="13486279" w14:textId="77777777" w:rsidTr="00B606A8">
        <w:trPr>
          <w:trHeight w:val="232"/>
          <w:jc w:val="center"/>
        </w:trPr>
        <w:tc>
          <w:tcPr>
            <w:tcW w:w="695" w:type="dxa"/>
            <w:vAlign w:val="center"/>
          </w:tcPr>
          <w:p w14:paraId="55435950"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2008</w:t>
            </w:r>
          </w:p>
        </w:tc>
        <w:tc>
          <w:tcPr>
            <w:tcW w:w="822" w:type="dxa"/>
            <w:vAlign w:val="center"/>
          </w:tcPr>
          <w:p w14:paraId="13C630DA" w14:textId="5A8118A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15" w:type="dxa"/>
            <w:vAlign w:val="center"/>
          </w:tcPr>
          <w:p w14:paraId="354CC60E" w14:textId="4060D10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5D56DD07" w14:textId="56FE3D6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7</w:t>
            </w:r>
          </w:p>
        </w:tc>
        <w:tc>
          <w:tcPr>
            <w:tcW w:w="734" w:type="dxa"/>
            <w:vAlign w:val="center"/>
          </w:tcPr>
          <w:p w14:paraId="686A3C7E" w14:textId="5AF4759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9" w:type="dxa"/>
            <w:vAlign w:val="center"/>
          </w:tcPr>
          <w:p w14:paraId="4E9F9DA4" w14:textId="118AEB4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79" w:type="dxa"/>
            <w:vAlign w:val="center"/>
          </w:tcPr>
          <w:p w14:paraId="5C6F7DAF" w14:textId="207E377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3C358C00" w14:textId="20F0D39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6D48A547" w14:textId="730EF33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16F9875C" w14:textId="47C6DAF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1" w:type="dxa"/>
            <w:vAlign w:val="center"/>
          </w:tcPr>
          <w:p w14:paraId="7DCAA3EB" w14:textId="0DAEB50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53" w:type="dxa"/>
            <w:vAlign w:val="center"/>
          </w:tcPr>
          <w:p w14:paraId="61FF63DB" w14:textId="2E7BC53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58" w:type="dxa"/>
            <w:vAlign w:val="center"/>
          </w:tcPr>
          <w:p w14:paraId="1DA6C192" w14:textId="7DD3113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688" w:type="dxa"/>
            <w:vAlign w:val="center"/>
          </w:tcPr>
          <w:p w14:paraId="215CBEEE" w14:textId="3EA1C45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53" w:type="dxa"/>
            <w:vAlign w:val="center"/>
          </w:tcPr>
          <w:p w14:paraId="7E156F79" w14:textId="240D89A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17626BF2" w14:textId="0D99F72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35D3E779" w14:textId="5562C6D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1D63EE84" w14:textId="7AEEF23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1DC20477" w14:textId="1CDF6D3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3731F9C9" w14:textId="642AD5C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28</w:t>
            </w:r>
          </w:p>
        </w:tc>
      </w:tr>
      <w:tr w:rsidR="00B606A8" w:rsidRPr="002434D9" w14:paraId="0B4A161C" w14:textId="77777777" w:rsidTr="00B606A8">
        <w:trPr>
          <w:trHeight w:val="232"/>
          <w:jc w:val="center"/>
        </w:trPr>
        <w:tc>
          <w:tcPr>
            <w:tcW w:w="695" w:type="dxa"/>
            <w:vAlign w:val="center"/>
          </w:tcPr>
          <w:p w14:paraId="5AF67640"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2009</w:t>
            </w:r>
          </w:p>
        </w:tc>
        <w:tc>
          <w:tcPr>
            <w:tcW w:w="822" w:type="dxa"/>
            <w:vAlign w:val="center"/>
          </w:tcPr>
          <w:p w14:paraId="3C235B3A" w14:textId="13079C2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336FA214" w14:textId="4E49473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5CA9A338" w14:textId="0AA9997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8</w:t>
            </w:r>
          </w:p>
        </w:tc>
        <w:tc>
          <w:tcPr>
            <w:tcW w:w="734" w:type="dxa"/>
            <w:vAlign w:val="center"/>
          </w:tcPr>
          <w:p w14:paraId="72E77FE5" w14:textId="52865AC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9" w:type="dxa"/>
            <w:vAlign w:val="center"/>
          </w:tcPr>
          <w:p w14:paraId="36226B41" w14:textId="19BFFB1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61796837" w14:textId="1150A18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099FEA63" w14:textId="6E167CF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56EF9ABA" w14:textId="019D4FD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410FA557" w14:textId="0FFB7EB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1" w:type="dxa"/>
            <w:vAlign w:val="center"/>
          </w:tcPr>
          <w:p w14:paraId="1046D74C" w14:textId="0AA1DA4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08BE262D" w14:textId="3E9159C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01CB3C3B" w14:textId="7D34509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6CD25988" w14:textId="474F63F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5CC195CA" w14:textId="45E1B86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099C5FFF" w14:textId="580CC0A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4F1B658B" w14:textId="399EC84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69137044" w14:textId="4055048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29C6DAB0" w14:textId="0A16E9B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4CC060B0" w14:textId="750DEA8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15</w:t>
            </w:r>
          </w:p>
        </w:tc>
      </w:tr>
      <w:tr w:rsidR="00B606A8" w:rsidRPr="002434D9" w14:paraId="52AC22C5" w14:textId="77777777" w:rsidTr="00B606A8">
        <w:trPr>
          <w:trHeight w:val="232"/>
          <w:jc w:val="center"/>
        </w:trPr>
        <w:tc>
          <w:tcPr>
            <w:tcW w:w="695" w:type="dxa"/>
            <w:vAlign w:val="center"/>
          </w:tcPr>
          <w:p w14:paraId="343EDF4E"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2010</w:t>
            </w:r>
          </w:p>
        </w:tc>
        <w:tc>
          <w:tcPr>
            <w:tcW w:w="822" w:type="dxa"/>
            <w:vAlign w:val="center"/>
          </w:tcPr>
          <w:p w14:paraId="6B09707A" w14:textId="4B6E1A7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642CDA8D" w14:textId="6B85E4B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27C93229" w14:textId="42AF7BA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34" w:type="dxa"/>
            <w:vAlign w:val="center"/>
          </w:tcPr>
          <w:p w14:paraId="6C9607B0" w14:textId="20358FF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9" w:type="dxa"/>
            <w:vAlign w:val="center"/>
          </w:tcPr>
          <w:p w14:paraId="52B1DF00" w14:textId="7943E3B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0CC4EAC7" w14:textId="0A241A1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796F9DB8" w14:textId="5B711C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4A029C58" w14:textId="6B70B58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6134C996" w14:textId="13CD169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1" w:type="dxa"/>
            <w:vAlign w:val="center"/>
          </w:tcPr>
          <w:p w14:paraId="412675BB" w14:textId="308CB77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7B7F5288" w14:textId="614626B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5E8E362C" w14:textId="0C878A6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10C11F1D" w14:textId="6FF1617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5BD348F1" w14:textId="5CB840C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53A2223C" w14:textId="5DB5033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0E084C17" w14:textId="68AF385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6F5BBE3B" w14:textId="386EE9B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2D9DE043" w14:textId="1878899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1CB12383" w14:textId="0454046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11</w:t>
            </w:r>
          </w:p>
        </w:tc>
      </w:tr>
      <w:tr w:rsidR="00B606A8" w:rsidRPr="002434D9" w14:paraId="0B3C76BF" w14:textId="77777777" w:rsidTr="00B606A8">
        <w:trPr>
          <w:trHeight w:val="232"/>
          <w:jc w:val="center"/>
        </w:trPr>
        <w:tc>
          <w:tcPr>
            <w:tcW w:w="695" w:type="dxa"/>
            <w:vAlign w:val="center"/>
          </w:tcPr>
          <w:p w14:paraId="30BEB2AA"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2011</w:t>
            </w:r>
          </w:p>
        </w:tc>
        <w:tc>
          <w:tcPr>
            <w:tcW w:w="822" w:type="dxa"/>
            <w:vAlign w:val="center"/>
          </w:tcPr>
          <w:p w14:paraId="1ED8E818" w14:textId="18C0DB3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024CAD60" w14:textId="2ECC69D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52A3E862" w14:textId="07D79E2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4" w:type="dxa"/>
            <w:vAlign w:val="center"/>
          </w:tcPr>
          <w:p w14:paraId="7516CD65" w14:textId="7B2D638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9" w:type="dxa"/>
            <w:vAlign w:val="center"/>
          </w:tcPr>
          <w:p w14:paraId="06D28BB7" w14:textId="2098378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56468DDF" w14:textId="49C5C61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6BBD8C29" w14:textId="6A1EF47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61B6ED2A" w14:textId="3F919DD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41B5503B" w14:textId="1775E22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1" w:type="dxa"/>
            <w:vAlign w:val="center"/>
          </w:tcPr>
          <w:p w14:paraId="63D3B775" w14:textId="1D0CD0D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4C31DD0B" w14:textId="1050A3E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2FF9CB29" w14:textId="6BFDEF5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1CF3A768" w14:textId="575754D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A6A0D82" w14:textId="7623C1D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61950E10" w14:textId="5900970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2E4973D9" w14:textId="792F3EE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52EE2538" w14:textId="69F4018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1516C9EF" w14:textId="4BC5A63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264DA194" w14:textId="3FA4E7D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12</w:t>
            </w:r>
          </w:p>
        </w:tc>
      </w:tr>
      <w:tr w:rsidR="00B606A8" w:rsidRPr="002434D9" w14:paraId="04D4B707" w14:textId="77777777" w:rsidTr="00B606A8">
        <w:trPr>
          <w:trHeight w:val="232"/>
          <w:jc w:val="center"/>
        </w:trPr>
        <w:tc>
          <w:tcPr>
            <w:tcW w:w="695" w:type="dxa"/>
            <w:vAlign w:val="center"/>
          </w:tcPr>
          <w:p w14:paraId="29A437E8"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2012</w:t>
            </w:r>
          </w:p>
        </w:tc>
        <w:tc>
          <w:tcPr>
            <w:tcW w:w="822" w:type="dxa"/>
            <w:vAlign w:val="center"/>
          </w:tcPr>
          <w:p w14:paraId="1C0193CE" w14:textId="2BB2D30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15" w:type="dxa"/>
            <w:vAlign w:val="center"/>
          </w:tcPr>
          <w:p w14:paraId="038FF51F" w14:textId="381D662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44BB4AFA" w14:textId="757B456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34" w:type="dxa"/>
            <w:vAlign w:val="center"/>
          </w:tcPr>
          <w:p w14:paraId="603832CF" w14:textId="68C6D8D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9" w:type="dxa"/>
            <w:vAlign w:val="center"/>
          </w:tcPr>
          <w:p w14:paraId="67020ECE" w14:textId="5CE0147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54FEEC58" w14:textId="4D9A406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52BDE14E" w14:textId="390ABE1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891" w:type="dxa"/>
            <w:vAlign w:val="center"/>
          </w:tcPr>
          <w:p w14:paraId="59795868" w14:textId="33EBB6B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7" w:type="dxa"/>
            <w:vAlign w:val="center"/>
          </w:tcPr>
          <w:p w14:paraId="1F417D47" w14:textId="718F214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1" w:type="dxa"/>
            <w:vAlign w:val="center"/>
          </w:tcPr>
          <w:p w14:paraId="2E6FCB0F" w14:textId="04B4661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11CDD61E" w14:textId="6A33BB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209C044F" w14:textId="55DE674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1C5E0226" w14:textId="04841FD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5D852F2A" w14:textId="743CAFB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596F4369" w14:textId="0B35010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1C79F53A" w14:textId="7CF11DC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0DC182FF" w14:textId="1042EEF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53CB2AB5" w14:textId="1BB6D14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343232D4" w14:textId="062FB40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15</w:t>
            </w:r>
          </w:p>
        </w:tc>
      </w:tr>
      <w:tr w:rsidR="00B606A8" w:rsidRPr="002434D9" w14:paraId="10AF6044" w14:textId="77777777" w:rsidTr="00B606A8">
        <w:trPr>
          <w:trHeight w:val="232"/>
          <w:jc w:val="center"/>
        </w:trPr>
        <w:tc>
          <w:tcPr>
            <w:tcW w:w="695" w:type="dxa"/>
            <w:vAlign w:val="center"/>
          </w:tcPr>
          <w:p w14:paraId="6F7E2A02"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2013</w:t>
            </w:r>
          </w:p>
        </w:tc>
        <w:tc>
          <w:tcPr>
            <w:tcW w:w="822" w:type="dxa"/>
            <w:vAlign w:val="center"/>
          </w:tcPr>
          <w:p w14:paraId="561E7DD8" w14:textId="7F3FEBB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15" w:type="dxa"/>
            <w:vAlign w:val="center"/>
          </w:tcPr>
          <w:p w14:paraId="6ACEAFB1" w14:textId="5C46CC2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16370C8B" w14:textId="34D4CC5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4" w:type="dxa"/>
            <w:vAlign w:val="center"/>
          </w:tcPr>
          <w:p w14:paraId="58E8F20F" w14:textId="084B7B5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9" w:type="dxa"/>
            <w:vAlign w:val="center"/>
          </w:tcPr>
          <w:p w14:paraId="7B9B00D0" w14:textId="2E60751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79" w:type="dxa"/>
            <w:vAlign w:val="center"/>
          </w:tcPr>
          <w:p w14:paraId="047B23D4" w14:textId="72C7A99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031A1DAA" w14:textId="7770BF4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1BF0A53A" w14:textId="5E7D792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79FF6AD3" w14:textId="7B0D065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1" w:type="dxa"/>
            <w:vAlign w:val="center"/>
          </w:tcPr>
          <w:p w14:paraId="56B21FCE" w14:textId="26C733F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0A7B051F" w14:textId="7D4B316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2C801D3A" w14:textId="281C6A5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49EDFEEE" w14:textId="78AC544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4A59C787" w14:textId="454024A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7148626D" w14:textId="16A6932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00F4EE61" w14:textId="3601ED3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4F69BF9A" w14:textId="3973DD3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26E851E9" w14:textId="7DC281A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399B2A37" w14:textId="1451D34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13</w:t>
            </w:r>
          </w:p>
        </w:tc>
      </w:tr>
      <w:tr w:rsidR="00B606A8" w:rsidRPr="002434D9" w14:paraId="7C693B87" w14:textId="77777777" w:rsidTr="00B606A8">
        <w:trPr>
          <w:trHeight w:val="232"/>
          <w:jc w:val="center"/>
        </w:trPr>
        <w:tc>
          <w:tcPr>
            <w:tcW w:w="695" w:type="dxa"/>
            <w:vAlign w:val="center"/>
          </w:tcPr>
          <w:p w14:paraId="330CD3D7"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2014</w:t>
            </w:r>
          </w:p>
        </w:tc>
        <w:tc>
          <w:tcPr>
            <w:tcW w:w="822" w:type="dxa"/>
            <w:vAlign w:val="center"/>
          </w:tcPr>
          <w:p w14:paraId="0E27AF5B" w14:textId="28D3C9B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5" w:type="dxa"/>
            <w:vAlign w:val="center"/>
          </w:tcPr>
          <w:p w14:paraId="237EFE24" w14:textId="65E32A1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59E87AE0" w14:textId="0E7F7AD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34" w:type="dxa"/>
            <w:vAlign w:val="center"/>
          </w:tcPr>
          <w:p w14:paraId="46BECE5F" w14:textId="4B8AF23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9" w:type="dxa"/>
            <w:vAlign w:val="center"/>
          </w:tcPr>
          <w:p w14:paraId="20FFFB0A" w14:textId="685FDC4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79" w:type="dxa"/>
            <w:vAlign w:val="center"/>
          </w:tcPr>
          <w:p w14:paraId="174E7106" w14:textId="26678D9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3752A41C" w14:textId="1923265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786E9119" w14:textId="3A02696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37" w:type="dxa"/>
            <w:vAlign w:val="center"/>
          </w:tcPr>
          <w:p w14:paraId="44C15E7F" w14:textId="7F4A1D8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7</w:t>
            </w:r>
          </w:p>
        </w:tc>
        <w:tc>
          <w:tcPr>
            <w:tcW w:w="821" w:type="dxa"/>
            <w:vAlign w:val="center"/>
          </w:tcPr>
          <w:p w14:paraId="49531610" w14:textId="4D3D6BD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13823B2F" w14:textId="5D06196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0625259D" w14:textId="51B2495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5A20999A" w14:textId="383D590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2FB1912C" w14:textId="58099D5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4A1B11DC" w14:textId="1FFE500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0B890CB3" w14:textId="19FB812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23B8F876" w14:textId="34ACF11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0A207AA5" w14:textId="28A127B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1B0DD320" w14:textId="6AB67C6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25</w:t>
            </w:r>
          </w:p>
        </w:tc>
      </w:tr>
      <w:tr w:rsidR="00B606A8" w:rsidRPr="002434D9" w14:paraId="6C9A9A06" w14:textId="77777777" w:rsidTr="00B606A8">
        <w:trPr>
          <w:trHeight w:val="232"/>
          <w:jc w:val="center"/>
        </w:trPr>
        <w:tc>
          <w:tcPr>
            <w:tcW w:w="695" w:type="dxa"/>
            <w:vAlign w:val="center"/>
          </w:tcPr>
          <w:p w14:paraId="6C1DA021"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2015</w:t>
            </w:r>
          </w:p>
        </w:tc>
        <w:tc>
          <w:tcPr>
            <w:tcW w:w="822" w:type="dxa"/>
            <w:vAlign w:val="center"/>
          </w:tcPr>
          <w:p w14:paraId="4794F604" w14:textId="08D642F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8</w:t>
            </w:r>
          </w:p>
        </w:tc>
        <w:tc>
          <w:tcPr>
            <w:tcW w:w="715" w:type="dxa"/>
            <w:vAlign w:val="center"/>
          </w:tcPr>
          <w:p w14:paraId="38AEE42D" w14:textId="4FF3961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15" w:type="dxa"/>
            <w:vAlign w:val="center"/>
          </w:tcPr>
          <w:p w14:paraId="28745B54" w14:textId="415D616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34" w:type="dxa"/>
            <w:vAlign w:val="center"/>
          </w:tcPr>
          <w:p w14:paraId="12E07C36" w14:textId="2840DE5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5</w:t>
            </w:r>
          </w:p>
        </w:tc>
        <w:tc>
          <w:tcPr>
            <w:tcW w:w="719" w:type="dxa"/>
            <w:vAlign w:val="center"/>
          </w:tcPr>
          <w:p w14:paraId="4909DD29" w14:textId="46CA193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1A765AEB" w14:textId="5D857A0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498AA7DC" w14:textId="1C25BFF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91" w:type="dxa"/>
            <w:vAlign w:val="center"/>
          </w:tcPr>
          <w:p w14:paraId="67568F7E" w14:textId="683062E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7" w:type="dxa"/>
            <w:vAlign w:val="center"/>
          </w:tcPr>
          <w:p w14:paraId="7ECBB62D" w14:textId="28C2AFA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821" w:type="dxa"/>
            <w:vAlign w:val="center"/>
          </w:tcPr>
          <w:p w14:paraId="6818E1A5" w14:textId="7D24348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1D95562D" w14:textId="34302FC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0517D105" w14:textId="54BD603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7DBA6A08" w14:textId="2067D7C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73829E1A" w14:textId="533AC4F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74F84C8B" w14:textId="560657D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749D6F7F" w14:textId="4B0CAB7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56CB56D8" w14:textId="4B1903C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51CF721C" w14:textId="742983C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1E598D9E" w14:textId="4651F2B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22</w:t>
            </w:r>
          </w:p>
        </w:tc>
      </w:tr>
      <w:tr w:rsidR="00B606A8" w:rsidRPr="002434D9" w14:paraId="1C0E951F" w14:textId="77777777" w:rsidTr="00B606A8">
        <w:trPr>
          <w:trHeight w:val="232"/>
          <w:jc w:val="center"/>
        </w:trPr>
        <w:tc>
          <w:tcPr>
            <w:tcW w:w="695" w:type="dxa"/>
            <w:vAlign w:val="center"/>
          </w:tcPr>
          <w:p w14:paraId="0213B7CB"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2016</w:t>
            </w:r>
          </w:p>
        </w:tc>
        <w:tc>
          <w:tcPr>
            <w:tcW w:w="822" w:type="dxa"/>
            <w:vAlign w:val="center"/>
          </w:tcPr>
          <w:p w14:paraId="497E9188" w14:textId="326E018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17A1DD63" w14:textId="6126487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37B6D451" w14:textId="28ACAA0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34" w:type="dxa"/>
            <w:vAlign w:val="center"/>
          </w:tcPr>
          <w:p w14:paraId="7BFBE77C" w14:textId="3D12184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8</w:t>
            </w:r>
          </w:p>
        </w:tc>
        <w:tc>
          <w:tcPr>
            <w:tcW w:w="719" w:type="dxa"/>
            <w:vAlign w:val="center"/>
          </w:tcPr>
          <w:p w14:paraId="09EC8BDE" w14:textId="22FDD500"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79" w:type="dxa"/>
            <w:vAlign w:val="center"/>
          </w:tcPr>
          <w:p w14:paraId="52BE7506" w14:textId="1C205AE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6" w:type="dxa"/>
            <w:vAlign w:val="center"/>
          </w:tcPr>
          <w:p w14:paraId="6F9C5BEA" w14:textId="104D369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891" w:type="dxa"/>
            <w:vAlign w:val="center"/>
          </w:tcPr>
          <w:p w14:paraId="5C7F200F" w14:textId="53E0681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13FDC9A0" w14:textId="18FD3D6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7</w:t>
            </w:r>
          </w:p>
        </w:tc>
        <w:tc>
          <w:tcPr>
            <w:tcW w:w="821" w:type="dxa"/>
            <w:vAlign w:val="center"/>
          </w:tcPr>
          <w:p w14:paraId="0A2CC15D" w14:textId="1FA6498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7202D623" w14:textId="4E916F8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71DDF63F" w14:textId="5ECFEFE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6B3CC0B3" w14:textId="3344EBF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14B98FF0" w14:textId="6C3374B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2DD395DF" w14:textId="6008D73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292961E2" w14:textId="1A5EE5E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339CD4B9" w14:textId="3F4D24A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22998AD6" w14:textId="0653F6B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776FEE1C" w14:textId="6B33D9D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28</w:t>
            </w:r>
          </w:p>
        </w:tc>
      </w:tr>
      <w:tr w:rsidR="00B606A8" w:rsidRPr="002434D9" w14:paraId="7FF0B307" w14:textId="77777777" w:rsidTr="00B606A8">
        <w:trPr>
          <w:trHeight w:val="232"/>
          <w:jc w:val="center"/>
        </w:trPr>
        <w:tc>
          <w:tcPr>
            <w:tcW w:w="695" w:type="dxa"/>
            <w:vAlign w:val="center"/>
          </w:tcPr>
          <w:p w14:paraId="767B7DEE"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2017</w:t>
            </w:r>
          </w:p>
        </w:tc>
        <w:tc>
          <w:tcPr>
            <w:tcW w:w="822" w:type="dxa"/>
            <w:vAlign w:val="center"/>
          </w:tcPr>
          <w:p w14:paraId="7A9B1216" w14:textId="6C9A5CC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15" w:type="dxa"/>
            <w:vAlign w:val="center"/>
          </w:tcPr>
          <w:p w14:paraId="2A11D54C" w14:textId="15F4D9A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09308F77" w14:textId="76EAF1B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34" w:type="dxa"/>
            <w:vAlign w:val="center"/>
          </w:tcPr>
          <w:p w14:paraId="26FC8D51" w14:textId="368E3A6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9" w:type="dxa"/>
            <w:vAlign w:val="center"/>
          </w:tcPr>
          <w:p w14:paraId="41C62209" w14:textId="5D5EBCE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14</w:t>
            </w:r>
          </w:p>
        </w:tc>
        <w:tc>
          <w:tcPr>
            <w:tcW w:w="779" w:type="dxa"/>
            <w:vAlign w:val="center"/>
          </w:tcPr>
          <w:p w14:paraId="6914834A" w14:textId="6A90139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52FDADC9" w14:textId="17C7A02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91" w:type="dxa"/>
            <w:vAlign w:val="center"/>
          </w:tcPr>
          <w:p w14:paraId="6900D42E" w14:textId="0C49DAF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5FD8D295" w14:textId="29BEC72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821" w:type="dxa"/>
            <w:vAlign w:val="center"/>
          </w:tcPr>
          <w:p w14:paraId="1C139139" w14:textId="6431FE7B"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35B6EB2F" w14:textId="32F3F9D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45693BBF" w14:textId="77813A3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688" w:type="dxa"/>
            <w:vAlign w:val="center"/>
          </w:tcPr>
          <w:p w14:paraId="7125E7C6" w14:textId="26DE675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56398B84" w14:textId="73A93FA9"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78AA3911" w14:textId="6C404354"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355C3384" w14:textId="2CDA1B3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3" w:type="dxa"/>
            <w:vAlign w:val="center"/>
          </w:tcPr>
          <w:p w14:paraId="2D312FFD" w14:textId="6BBA47B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530AB900" w14:textId="6FA71E9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5D6828C3" w14:textId="237E782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29</w:t>
            </w:r>
          </w:p>
        </w:tc>
      </w:tr>
      <w:tr w:rsidR="00B606A8" w:rsidRPr="002434D9" w14:paraId="43DAEAA6" w14:textId="77777777" w:rsidTr="00B606A8">
        <w:trPr>
          <w:trHeight w:val="232"/>
          <w:jc w:val="center"/>
        </w:trPr>
        <w:tc>
          <w:tcPr>
            <w:tcW w:w="695" w:type="dxa"/>
            <w:vAlign w:val="center"/>
          </w:tcPr>
          <w:p w14:paraId="50110CDA" w14:textId="77777777" w:rsidR="00B606A8" w:rsidRPr="00A07231" w:rsidRDefault="00B606A8" w:rsidP="00B606A8">
            <w:pPr>
              <w:jc w:val="center"/>
              <w:rPr>
                <w:rFonts w:asciiTheme="majorBidi" w:hAnsiTheme="majorBidi" w:cstheme="majorBidi"/>
                <w:sz w:val="20"/>
                <w:szCs w:val="20"/>
              </w:rPr>
            </w:pPr>
            <w:r w:rsidRPr="00A07231">
              <w:rPr>
                <w:rFonts w:asciiTheme="majorBidi" w:hAnsiTheme="majorBidi" w:cstheme="majorBidi"/>
                <w:color w:val="000000"/>
                <w:sz w:val="20"/>
                <w:szCs w:val="20"/>
              </w:rPr>
              <w:t>2018</w:t>
            </w:r>
          </w:p>
        </w:tc>
        <w:tc>
          <w:tcPr>
            <w:tcW w:w="822" w:type="dxa"/>
            <w:vAlign w:val="center"/>
          </w:tcPr>
          <w:p w14:paraId="3926E408" w14:textId="70B4044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715" w:type="dxa"/>
            <w:vAlign w:val="center"/>
          </w:tcPr>
          <w:p w14:paraId="2406E2C5" w14:textId="00BAAEE6"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15" w:type="dxa"/>
            <w:vAlign w:val="center"/>
          </w:tcPr>
          <w:p w14:paraId="37366D91" w14:textId="2F6DC62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734" w:type="dxa"/>
            <w:vAlign w:val="center"/>
          </w:tcPr>
          <w:p w14:paraId="3E1630E3" w14:textId="6015F38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4</w:t>
            </w:r>
          </w:p>
        </w:tc>
        <w:tc>
          <w:tcPr>
            <w:tcW w:w="719" w:type="dxa"/>
            <w:vAlign w:val="center"/>
          </w:tcPr>
          <w:p w14:paraId="745E4CCD" w14:textId="49E1C9F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779" w:type="dxa"/>
            <w:vAlign w:val="center"/>
          </w:tcPr>
          <w:p w14:paraId="60B55A98" w14:textId="1D275B05"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26" w:type="dxa"/>
            <w:vAlign w:val="center"/>
          </w:tcPr>
          <w:p w14:paraId="28615874" w14:textId="47612F0D"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2</w:t>
            </w:r>
          </w:p>
        </w:tc>
        <w:tc>
          <w:tcPr>
            <w:tcW w:w="891" w:type="dxa"/>
            <w:vAlign w:val="center"/>
          </w:tcPr>
          <w:p w14:paraId="398B2ECF" w14:textId="00B1079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37" w:type="dxa"/>
            <w:vAlign w:val="center"/>
          </w:tcPr>
          <w:p w14:paraId="2B8F9EC8" w14:textId="5B20EDBA"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3</w:t>
            </w:r>
          </w:p>
        </w:tc>
        <w:tc>
          <w:tcPr>
            <w:tcW w:w="821" w:type="dxa"/>
            <w:vAlign w:val="center"/>
          </w:tcPr>
          <w:p w14:paraId="3FCB217E" w14:textId="349F575E"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3" w:type="dxa"/>
            <w:vAlign w:val="center"/>
          </w:tcPr>
          <w:p w14:paraId="6ED0B982" w14:textId="4D3F8673"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58" w:type="dxa"/>
            <w:vAlign w:val="center"/>
          </w:tcPr>
          <w:p w14:paraId="5869AF27" w14:textId="729C9A77"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688" w:type="dxa"/>
            <w:vAlign w:val="center"/>
          </w:tcPr>
          <w:p w14:paraId="69715FFB" w14:textId="0784D6D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853" w:type="dxa"/>
            <w:vAlign w:val="center"/>
          </w:tcPr>
          <w:p w14:paraId="3D7C00D7" w14:textId="76427D38"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8" w:type="dxa"/>
            <w:vAlign w:val="center"/>
          </w:tcPr>
          <w:p w14:paraId="59391E15" w14:textId="4EEF2BA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10" w:type="dxa"/>
            <w:vAlign w:val="center"/>
          </w:tcPr>
          <w:p w14:paraId="7F43EDA2" w14:textId="14C1CD7C"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w:t>
            </w:r>
          </w:p>
        </w:tc>
        <w:tc>
          <w:tcPr>
            <w:tcW w:w="823" w:type="dxa"/>
            <w:vAlign w:val="center"/>
          </w:tcPr>
          <w:p w14:paraId="6C00502B" w14:textId="70B360B1"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705" w:type="dxa"/>
            <w:vAlign w:val="center"/>
          </w:tcPr>
          <w:p w14:paraId="6310663F" w14:textId="5C7BA9A2"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w:t>
            </w:r>
          </w:p>
        </w:tc>
        <w:tc>
          <w:tcPr>
            <w:tcW w:w="971" w:type="dxa"/>
            <w:vAlign w:val="center"/>
          </w:tcPr>
          <w:p w14:paraId="072F7CFF" w14:textId="7B79FADF" w:rsidR="00B606A8" w:rsidRPr="00A07231" w:rsidRDefault="00B606A8" w:rsidP="00B606A8">
            <w:pPr>
              <w:jc w:val="center"/>
              <w:rPr>
                <w:rFonts w:asciiTheme="majorBidi" w:hAnsiTheme="majorBidi" w:cstheme="majorBidi"/>
                <w:sz w:val="20"/>
                <w:szCs w:val="20"/>
              </w:rPr>
            </w:pPr>
            <w:r w:rsidRPr="00893CA0">
              <w:rPr>
                <w:rFonts w:asciiTheme="majorBidi" w:hAnsiTheme="majorBidi" w:cstheme="majorBidi"/>
                <w:color w:val="000000"/>
                <w:sz w:val="20"/>
                <w:szCs w:val="20"/>
              </w:rPr>
              <w:t>16</w:t>
            </w:r>
          </w:p>
        </w:tc>
      </w:tr>
      <w:tr w:rsidR="00B606A8" w:rsidRPr="002434D9" w14:paraId="05D66E25" w14:textId="77777777" w:rsidTr="00B606A8">
        <w:trPr>
          <w:trHeight w:val="465"/>
          <w:jc w:val="center"/>
        </w:trPr>
        <w:tc>
          <w:tcPr>
            <w:tcW w:w="695" w:type="dxa"/>
            <w:vAlign w:val="center"/>
          </w:tcPr>
          <w:p w14:paraId="4068BBFF" w14:textId="77777777" w:rsidR="00B606A8" w:rsidRPr="00A07231" w:rsidRDefault="00B606A8" w:rsidP="00B606A8">
            <w:pPr>
              <w:jc w:val="center"/>
              <w:rPr>
                <w:rFonts w:asciiTheme="majorBidi" w:hAnsiTheme="majorBidi" w:cstheme="majorBidi"/>
                <w:b/>
                <w:bCs/>
                <w:color w:val="000000"/>
                <w:sz w:val="20"/>
                <w:szCs w:val="20"/>
              </w:rPr>
            </w:pPr>
            <w:r w:rsidRPr="00A07231">
              <w:rPr>
                <w:rFonts w:asciiTheme="majorBidi" w:hAnsiTheme="majorBidi" w:cstheme="majorBidi"/>
                <w:b/>
                <w:bCs/>
                <w:color w:val="000000"/>
                <w:sz w:val="20"/>
                <w:szCs w:val="20"/>
              </w:rPr>
              <w:t>Total</w:t>
            </w:r>
          </w:p>
        </w:tc>
        <w:tc>
          <w:tcPr>
            <w:tcW w:w="822" w:type="dxa"/>
            <w:vAlign w:val="center"/>
          </w:tcPr>
          <w:p w14:paraId="0D00E960" w14:textId="66C6464E"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85</w:t>
            </w:r>
          </w:p>
        </w:tc>
        <w:tc>
          <w:tcPr>
            <w:tcW w:w="715" w:type="dxa"/>
            <w:vAlign w:val="center"/>
          </w:tcPr>
          <w:p w14:paraId="7705C324" w14:textId="6A860673"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52</w:t>
            </w:r>
          </w:p>
        </w:tc>
        <w:tc>
          <w:tcPr>
            <w:tcW w:w="715" w:type="dxa"/>
            <w:vAlign w:val="center"/>
          </w:tcPr>
          <w:p w14:paraId="331C2FEB" w14:textId="7EDE1347"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68</w:t>
            </w:r>
          </w:p>
        </w:tc>
        <w:tc>
          <w:tcPr>
            <w:tcW w:w="734" w:type="dxa"/>
            <w:vAlign w:val="center"/>
          </w:tcPr>
          <w:p w14:paraId="5B671D51" w14:textId="32E64462"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69</w:t>
            </w:r>
          </w:p>
        </w:tc>
        <w:tc>
          <w:tcPr>
            <w:tcW w:w="719" w:type="dxa"/>
            <w:vAlign w:val="center"/>
          </w:tcPr>
          <w:p w14:paraId="1DDC8930" w14:textId="3971B7E5"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51</w:t>
            </w:r>
          </w:p>
        </w:tc>
        <w:tc>
          <w:tcPr>
            <w:tcW w:w="779" w:type="dxa"/>
            <w:vAlign w:val="center"/>
          </w:tcPr>
          <w:p w14:paraId="3087CB55" w14:textId="0F27DE6C"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13</w:t>
            </w:r>
          </w:p>
        </w:tc>
        <w:tc>
          <w:tcPr>
            <w:tcW w:w="826" w:type="dxa"/>
            <w:vAlign w:val="center"/>
          </w:tcPr>
          <w:p w14:paraId="64904E00" w14:textId="37B88505"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18</w:t>
            </w:r>
          </w:p>
        </w:tc>
        <w:tc>
          <w:tcPr>
            <w:tcW w:w="891" w:type="dxa"/>
            <w:vAlign w:val="center"/>
          </w:tcPr>
          <w:p w14:paraId="0F0D32D7" w14:textId="2770F121"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13</w:t>
            </w:r>
          </w:p>
        </w:tc>
        <w:tc>
          <w:tcPr>
            <w:tcW w:w="737" w:type="dxa"/>
            <w:vAlign w:val="center"/>
          </w:tcPr>
          <w:p w14:paraId="0864179C" w14:textId="3B404721"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34</w:t>
            </w:r>
          </w:p>
        </w:tc>
        <w:tc>
          <w:tcPr>
            <w:tcW w:w="821" w:type="dxa"/>
            <w:vAlign w:val="center"/>
          </w:tcPr>
          <w:p w14:paraId="02EA6350" w14:textId="0954616C"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1</w:t>
            </w:r>
          </w:p>
        </w:tc>
        <w:tc>
          <w:tcPr>
            <w:tcW w:w="753" w:type="dxa"/>
            <w:vAlign w:val="center"/>
          </w:tcPr>
          <w:p w14:paraId="74F0AAE8" w14:textId="3BF57BF4"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7</w:t>
            </w:r>
          </w:p>
        </w:tc>
        <w:tc>
          <w:tcPr>
            <w:tcW w:w="758" w:type="dxa"/>
            <w:vAlign w:val="center"/>
          </w:tcPr>
          <w:p w14:paraId="4FD984FD" w14:textId="66193854"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4</w:t>
            </w:r>
          </w:p>
        </w:tc>
        <w:tc>
          <w:tcPr>
            <w:tcW w:w="688" w:type="dxa"/>
            <w:vAlign w:val="center"/>
          </w:tcPr>
          <w:p w14:paraId="66CFAE4E" w14:textId="4CC09E57"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1</w:t>
            </w:r>
          </w:p>
        </w:tc>
        <w:tc>
          <w:tcPr>
            <w:tcW w:w="853" w:type="dxa"/>
            <w:vAlign w:val="center"/>
          </w:tcPr>
          <w:p w14:paraId="485EE2B7" w14:textId="23A3BCE6" w:rsidR="00B606A8" w:rsidRPr="00A07231" w:rsidRDefault="00B606A8" w:rsidP="00B606A8">
            <w:pPr>
              <w:jc w:val="center"/>
              <w:rPr>
                <w:rFonts w:asciiTheme="majorBidi" w:hAnsiTheme="majorBidi" w:cstheme="majorBidi"/>
                <w:b/>
                <w:bCs/>
                <w:sz w:val="20"/>
                <w:szCs w:val="20"/>
              </w:rPr>
            </w:pPr>
            <w:r w:rsidRPr="00893CA0">
              <w:rPr>
                <w:rFonts w:asciiTheme="majorBidi" w:hAnsiTheme="majorBidi" w:cstheme="majorBidi"/>
                <w:b/>
                <w:bCs/>
                <w:color w:val="000000"/>
                <w:sz w:val="20"/>
                <w:szCs w:val="20"/>
              </w:rPr>
              <w:t>1</w:t>
            </w:r>
          </w:p>
        </w:tc>
        <w:tc>
          <w:tcPr>
            <w:tcW w:w="708" w:type="dxa"/>
            <w:vAlign w:val="center"/>
          </w:tcPr>
          <w:p w14:paraId="7B2C7466" w14:textId="22680078" w:rsidR="00B606A8" w:rsidRPr="00A07231" w:rsidRDefault="00B606A8" w:rsidP="00B606A8">
            <w:pPr>
              <w:jc w:val="center"/>
              <w:rPr>
                <w:rFonts w:asciiTheme="majorBidi" w:hAnsiTheme="majorBidi" w:cstheme="majorBidi"/>
                <w:b/>
                <w:bCs/>
                <w:sz w:val="20"/>
                <w:szCs w:val="20"/>
              </w:rPr>
            </w:pPr>
            <w:r w:rsidRPr="00893CA0">
              <w:rPr>
                <w:rFonts w:asciiTheme="majorBidi" w:hAnsiTheme="majorBidi" w:cstheme="majorBidi"/>
                <w:b/>
                <w:bCs/>
                <w:color w:val="000000"/>
                <w:sz w:val="20"/>
                <w:szCs w:val="20"/>
              </w:rPr>
              <w:t>2</w:t>
            </w:r>
          </w:p>
        </w:tc>
        <w:tc>
          <w:tcPr>
            <w:tcW w:w="910" w:type="dxa"/>
            <w:vAlign w:val="center"/>
          </w:tcPr>
          <w:p w14:paraId="737A58CC" w14:textId="5218B1B5"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2</w:t>
            </w:r>
          </w:p>
        </w:tc>
        <w:tc>
          <w:tcPr>
            <w:tcW w:w="823" w:type="dxa"/>
            <w:vAlign w:val="center"/>
          </w:tcPr>
          <w:p w14:paraId="37AD921B" w14:textId="25BD91C2" w:rsidR="00B606A8" w:rsidRPr="00A07231" w:rsidRDefault="00B606A8" w:rsidP="00B606A8">
            <w:pPr>
              <w:jc w:val="center"/>
              <w:rPr>
                <w:rFonts w:asciiTheme="majorBidi" w:hAnsiTheme="majorBidi" w:cstheme="majorBidi"/>
                <w:b/>
                <w:bCs/>
                <w:sz w:val="20"/>
                <w:szCs w:val="20"/>
              </w:rPr>
            </w:pPr>
            <w:r w:rsidRPr="00893CA0">
              <w:rPr>
                <w:rFonts w:asciiTheme="majorBidi" w:hAnsiTheme="majorBidi" w:cstheme="majorBidi"/>
                <w:b/>
                <w:bCs/>
                <w:color w:val="000000"/>
                <w:sz w:val="20"/>
                <w:szCs w:val="20"/>
              </w:rPr>
              <w:t>1</w:t>
            </w:r>
          </w:p>
        </w:tc>
        <w:tc>
          <w:tcPr>
            <w:tcW w:w="705" w:type="dxa"/>
            <w:vAlign w:val="center"/>
          </w:tcPr>
          <w:p w14:paraId="18CAE35D" w14:textId="71910B89" w:rsidR="00B606A8" w:rsidRPr="00A07231" w:rsidRDefault="00B606A8" w:rsidP="00B606A8">
            <w:pPr>
              <w:jc w:val="center"/>
              <w:rPr>
                <w:rFonts w:asciiTheme="majorBidi" w:hAnsiTheme="majorBidi" w:cstheme="majorBidi"/>
                <w:b/>
                <w:bCs/>
                <w:sz w:val="20"/>
                <w:szCs w:val="20"/>
              </w:rPr>
            </w:pPr>
            <w:r w:rsidRPr="00893CA0">
              <w:rPr>
                <w:rFonts w:asciiTheme="majorBidi" w:hAnsiTheme="majorBidi" w:cstheme="majorBidi"/>
                <w:b/>
                <w:bCs/>
                <w:color w:val="000000"/>
                <w:sz w:val="20"/>
                <w:szCs w:val="20"/>
              </w:rPr>
              <w:t>1</w:t>
            </w:r>
          </w:p>
        </w:tc>
        <w:tc>
          <w:tcPr>
            <w:tcW w:w="971" w:type="dxa"/>
            <w:vAlign w:val="center"/>
          </w:tcPr>
          <w:p w14:paraId="3A811A30" w14:textId="61A4FBA8" w:rsidR="00B606A8" w:rsidRPr="00A07231" w:rsidRDefault="00B606A8" w:rsidP="00B606A8">
            <w:pPr>
              <w:jc w:val="center"/>
              <w:rPr>
                <w:rFonts w:asciiTheme="majorBidi" w:hAnsiTheme="majorBidi" w:cstheme="majorBidi"/>
                <w:b/>
                <w:bCs/>
                <w:color w:val="000000"/>
                <w:sz w:val="20"/>
                <w:szCs w:val="20"/>
              </w:rPr>
            </w:pPr>
            <w:r w:rsidRPr="00893CA0">
              <w:rPr>
                <w:rFonts w:asciiTheme="majorBidi" w:hAnsiTheme="majorBidi" w:cstheme="majorBidi"/>
                <w:b/>
                <w:bCs/>
                <w:color w:val="000000"/>
                <w:sz w:val="20"/>
                <w:szCs w:val="20"/>
              </w:rPr>
              <w:t>423</w:t>
            </w:r>
          </w:p>
        </w:tc>
      </w:tr>
    </w:tbl>
    <w:p w14:paraId="0E4C3898" w14:textId="77777777" w:rsidR="00B606A8" w:rsidRDefault="00B606A8" w:rsidP="00B606A8">
      <w:pPr>
        <w:autoSpaceDE w:val="0"/>
        <w:adjustRightInd w:val="0"/>
        <w:spacing w:after="0" w:line="360" w:lineRule="auto"/>
        <w:jc w:val="both"/>
        <w:textAlignment w:val="auto"/>
        <w:rPr>
          <w:rFonts w:asciiTheme="majorBidi" w:hAnsiTheme="majorBidi" w:cstheme="majorBidi"/>
          <w:sz w:val="24"/>
          <w:szCs w:val="24"/>
          <w:lang w:val="en-US"/>
        </w:rPr>
      </w:pPr>
    </w:p>
    <w:p w14:paraId="1280F90D" w14:textId="77777777" w:rsidR="00B606A8" w:rsidRDefault="00B606A8" w:rsidP="007705F6">
      <w:pPr>
        <w:autoSpaceDE w:val="0"/>
        <w:adjustRightInd w:val="0"/>
        <w:spacing w:after="0" w:line="360" w:lineRule="auto"/>
        <w:jc w:val="both"/>
        <w:textAlignment w:val="auto"/>
        <w:rPr>
          <w:rFonts w:asciiTheme="majorBidi" w:hAnsiTheme="majorBidi" w:cstheme="majorBidi"/>
          <w:sz w:val="24"/>
          <w:szCs w:val="24"/>
          <w:lang w:val="en-US"/>
        </w:rPr>
      </w:pPr>
    </w:p>
    <w:p w14:paraId="2FC86629" w14:textId="3ED87893" w:rsidR="004466F2" w:rsidRDefault="004466F2" w:rsidP="007705F6">
      <w:pPr>
        <w:autoSpaceDE w:val="0"/>
        <w:adjustRightInd w:val="0"/>
        <w:spacing w:after="0" w:line="360" w:lineRule="auto"/>
        <w:jc w:val="both"/>
        <w:textAlignment w:val="auto"/>
        <w:rPr>
          <w:rFonts w:asciiTheme="majorBidi" w:hAnsiTheme="majorBidi" w:cstheme="majorBidi"/>
          <w:sz w:val="24"/>
          <w:szCs w:val="24"/>
          <w:lang w:val="en-US"/>
        </w:rPr>
        <w:sectPr w:rsidR="004466F2" w:rsidSect="00B606A8">
          <w:pgSz w:w="16838" w:h="11906" w:orient="landscape" w:code="9"/>
          <w:pgMar w:top="1134" w:right="567" w:bottom="1134" w:left="567" w:header="720" w:footer="720" w:gutter="0"/>
          <w:cols w:space="720"/>
          <w:docGrid w:linePitch="299"/>
        </w:sectPr>
      </w:pPr>
    </w:p>
    <w:p w14:paraId="6CFC2052" w14:textId="57FA1332" w:rsidR="00DB6A2F" w:rsidRDefault="00DB6A2F" w:rsidP="00555190">
      <w:pPr>
        <w:spacing w:line="360" w:lineRule="auto"/>
        <w:jc w:val="right"/>
        <w:rPr>
          <w:rFonts w:asciiTheme="majorBidi" w:hAnsiTheme="majorBidi" w:cstheme="majorBidi"/>
          <w:sz w:val="24"/>
          <w:szCs w:val="24"/>
        </w:rPr>
      </w:pPr>
      <w:r w:rsidRPr="00DB6A2F">
        <w:rPr>
          <w:rFonts w:asciiTheme="majorBidi" w:hAnsiTheme="majorBidi" w:cstheme="majorBidi"/>
          <w:sz w:val="24"/>
          <w:szCs w:val="24"/>
        </w:rPr>
        <w:lastRenderedPageBreak/>
        <w:t>Appendix 3</w:t>
      </w:r>
    </w:p>
    <w:p w14:paraId="2FBF4F7D" w14:textId="1C93052C" w:rsidR="00B7346C" w:rsidRDefault="00B7346C" w:rsidP="00DB6A2F">
      <w:pPr>
        <w:spacing w:line="360" w:lineRule="auto"/>
        <w:jc w:val="center"/>
        <w:rPr>
          <w:rFonts w:asciiTheme="majorBidi" w:hAnsiTheme="majorBidi" w:cstheme="majorBidi"/>
          <w:sz w:val="24"/>
          <w:szCs w:val="24"/>
        </w:rPr>
      </w:pPr>
      <w:r w:rsidRPr="00B7346C">
        <w:rPr>
          <w:rFonts w:asciiTheme="majorBidi" w:hAnsiTheme="majorBidi" w:cstheme="majorBidi"/>
          <w:sz w:val="24"/>
          <w:szCs w:val="24"/>
        </w:rPr>
        <w:t xml:space="preserve">List of </w:t>
      </w:r>
      <w:r>
        <w:rPr>
          <w:rFonts w:asciiTheme="majorBidi" w:hAnsiTheme="majorBidi" w:cstheme="majorBidi"/>
          <w:sz w:val="24"/>
          <w:szCs w:val="24"/>
        </w:rPr>
        <w:t xml:space="preserve">all </w:t>
      </w:r>
      <w:r w:rsidRPr="00B7346C">
        <w:rPr>
          <w:rFonts w:asciiTheme="majorBidi" w:hAnsiTheme="majorBidi" w:cstheme="majorBidi"/>
          <w:sz w:val="24"/>
          <w:szCs w:val="24"/>
        </w:rPr>
        <w:t xml:space="preserve">transactions </w:t>
      </w:r>
      <w:r>
        <w:rPr>
          <w:rFonts w:asciiTheme="majorBidi" w:hAnsiTheme="majorBidi" w:cstheme="majorBidi"/>
          <w:sz w:val="24"/>
          <w:szCs w:val="24"/>
        </w:rPr>
        <w:t>in the</w:t>
      </w:r>
      <w:r w:rsidRPr="00B7346C">
        <w:rPr>
          <w:rFonts w:asciiTheme="majorBidi" w:hAnsiTheme="majorBidi" w:cstheme="majorBidi"/>
          <w:sz w:val="24"/>
          <w:szCs w:val="24"/>
        </w:rPr>
        <w:t xml:space="preserve"> GCC</w:t>
      </w:r>
      <w:r>
        <w:rPr>
          <w:rFonts w:asciiTheme="majorBidi" w:hAnsiTheme="majorBidi" w:cstheme="majorBidi"/>
          <w:sz w:val="24"/>
          <w:szCs w:val="24"/>
        </w:rPr>
        <w:t xml:space="preserve"> between 1995-2018</w:t>
      </w:r>
    </w:p>
    <w:tbl>
      <w:tblPr>
        <w:tblStyle w:val="TableGrid"/>
        <w:tblW w:w="9634" w:type="dxa"/>
        <w:tblInd w:w="0" w:type="dxa"/>
        <w:tblLook w:val="04A0" w:firstRow="1" w:lastRow="0" w:firstColumn="1" w:lastColumn="0" w:noHBand="0" w:noVBand="1"/>
      </w:tblPr>
      <w:tblGrid>
        <w:gridCol w:w="638"/>
        <w:gridCol w:w="1336"/>
        <w:gridCol w:w="3550"/>
        <w:gridCol w:w="850"/>
        <w:gridCol w:w="3260"/>
      </w:tblGrid>
      <w:tr w:rsidR="00802732" w:rsidRPr="00802732" w14:paraId="64B048CE" w14:textId="77777777" w:rsidTr="00555190">
        <w:tc>
          <w:tcPr>
            <w:tcW w:w="638" w:type="dxa"/>
            <w:vAlign w:val="center"/>
          </w:tcPr>
          <w:p w14:paraId="47CF3D6D" w14:textId="2B83E5E7" w:rsidR="00A92EC3" w:rsidRPr="00802732" w:rsidRDefault="00802732" w:rsidP="00802732">
            <w:pPr>
              <w:jc w:val="center"/>
              <w:rPr>
                <w:rFonts w:asciiTheme="majorBidi" w:hAnsiTheme="majorBidi" w:cstheme="majorBidi"/>
                <w:b/>
                <w:bCs/>
                <w:sz w:val="20"/>
                <w:szCs w:val="20"/>
              </w:rPr>
            </w:pPr>
            <w:r w:rsidRPr="00802732">
              <w:rPr>
                <w:rFonts w:asciiTheme="majorBidi" w:hAnsiTheme="majorBidi" w:cstheme="majorBidi"/>
                <w:b/>
                <w:bCs/>
                <w:color w:val="000000"/>
                <w:sz w:val="20"/>
                <w:szCs w:val="20"/>
              </w:rPr>
              <w:t>Y</w:t>
            </w:r>
            <w:r w:rsidR="00A92EC3" w:rsidRPr="00802732">
              <w:rPr>
                <w:rFonts w:asciiTheme="majorBidi" w:hAnsiTheme="majorBidi" w:cstheme="majorBidi"/>
                <w:b/>
                <w:bCs/>
                <w:color w:val="000000"/>
                <w:sz w:val="20"/>
                <w:szCs w:val="20"/>
              </w:rPr>
              <w:t>ear</w:t>
            </w:r>
          </w:p>
        </w:tc>
        <w:tc>
          <w:tcPr>
            <w:tcW w:w="1336" w:type="dxa"/>
            <w:vAlign w:val="center"/>
          </w:tcPr>
          <w:p w14:paraId="74745044" w14:textId="6C53106A" w:rsidR="00A92EC3" w:rsidRPr="00802732" w:rsidRDefault="00802732" w:rsidP="00802732">
            <w:pPr>
              <w:jc w:val="center"/>
              <w:rPr>
                <w:rFonts w:asciiTheme="majorBidi" w:hAnsiTheme="majorBidi" w:cstheme="majorBidi"/>
                <w:b/>
                <w:bCs/>
                <w:sz w:val="20"/>
                <w:szCs w:val="20"/>
              </w:rPr>
            </w:pPr>
            <w:r w:rsidRPr="00802732">
              <w:rPr>
                <w:rFonts w:asciiTheme="majorBidi" w:hAnsiTheme="majorBidi" w:cstheme="majorBidi"/>
                <w:b/>
                <w:bCs/>
                <w:color w:val="000000"/>
                <w:sz w:val="20"/>
                <w:szCs w:val="20"/>
              </w:rPr>
              <w:t>C</w:t>
            </w:r>
            <w:r w:rsidR="00A92EC3" w:rsidRPr="00802732">
              <w:rPr>
                <w:rFonts w:asciiTheme="majorBidi" w:hAnsiTheme="majorBidi" w:cstheme="majorBidi"/>
                <w:b/>
                <w:bCs/>
                <w:color w:val="000000"/>
                <w:sz w:val="20"/>
                <w:szCs w:val="20"/>
              </w:rPr>
              <w:t>ountry</w:t>
            </w:r>
          </w:p>
        </w:tc>
        <w:tc>
          <w:tcPr>
            <w:tcW w:w="3550" w:type="dxa"/>
            <w:vAlign w:val="center"/>
          </w:tcPr>
          <w:p w14:paraId="2D384075" w14:textId="1DB50891" w:rsidR="00A92EC3" w:rsidRPr="00802732" w:rsidRDefault="00802732" w:rsidP="00802732">
            <w:pPr>
              <w:jc w:val="center"/>
              <w:rPr>
                <w:rFonts w:asciiTheme="majorBidi" w:hAnsiTheme="majorBidi" w:cstheme="majorBidi"/>
                <w:b/>
                <w:bCs/>
                <w:sz w:val="20"/>
                <w:szCs w:val="20"/>
              </w:rPr>
            </w:pPr>
            <w:r w:rsidRPr="00802732">
              <w:rPr>
                <w:rFonts w:asciiTheme="majorBidi" w:hAnsiTheme="majorBidi" w:cstheme="majorBidi"/>
                <w:b/>
                <w:bCs/>
                <w:color w:val="000000"/>
                <w:sz w:val="20"/>
                <w:szCs w:val="20"/>
              </w:rPr>
              <w:t>P</w:t>
            </w:r>
            <w:r w:rsidR="00A92EC3" w:rsidRPr="00802732">
              <w:rPr>
                <w:rFonts w:asciiTheme="majorBidi" w:hAnsiTheme="majorBidi" w:cstheme="majorBidi"/>
                <w:b/>
                <w:bCs/>
                <w:color w:val="000000"/>
                <w:sz w:val="20"/>
                <w:szCs w:val="20"/>
              </w:rPr>
              <w:t>roject</w:t>
            </w:r>
          </w:p>
        </w:tc>
        <w:tc>
          <w:tcPr>
            <w:tcW w:w="850" w:type="dxa"/>
            <w:vAlign w:val="center"/>
          </w:tcPr>
          <w:p w14:paraId="620D96CD" w14:textId="000D9BC5" w:rsidR="00A92EC3" w:rsidRPr="00802732" w:rsidRDefault="00802732" w:rsidP="00802732">
            <w:pPr>
              <w:jc w:val="center"/>
              <w:rPr>
                <w:rFonts w:asciiTheme="majorBidi" w:hAnsiTheme="majorBidi" w:cstheme="majorBidi"/>
                <w:b/>
                <w:bCs/>
                <w:sz w:val="20"/>
                <w:szCs w:val="20"/>
              </w:rPr>
            </w:pPr>
            <w:r w:rsidRPr="00802732">
              <w:rPr>
                <w:rFonts w:asciiTheme="majorBidi" w:hAnsiTheme="majorBidi" w:cstheme="majorBidi"/>
                <w:b/>
                <w:bCs/>
                <w:color w:val="000000"/>
                <w:sz w:val="20"/>
                <w:szCs w:val="20"/>
              </w:rPr>
              <w:t>V</w:t>
            </w:r>
            <w:r w:rsidR="00A92EC3" w:rsidRPr="00802732">
              <w:rPr>
                <w:rFonts w:asciiTheme="majorBidi" w:hAnsiTheme="majorBidi" w:cstheme="majorBidi"/>
                <w:b/>
                <w:bCs/>
                <w:color w:val="000000"/>
                <w:sz w:val="20"/>
                <w:szCs w:val="20"/>
              </w:rPr>
              <w:t>alue</w:t>
            </w:r>
            <w:r w:rsidR="00137C9D">
              <w:rPr>
                <w:rFonts w:asciiTheme="majorBidi" w:hAnsiTheme="majorBidi" w:cstheme="majorBidi"/>
                <w:b/>
                <w:bCs/>
                <w:color w:val="000000"/>
                <w:sz w:val="20"/>
                <w:szCs w:val="20"/>
              </w:rPr>
              <w:t xml:space="preserve"> </w:t>
            </w:r>
            <w:r w:rsidR="00B0771D">
              <w:rPr>
                <w:rFonts w:asciiTheme="majorBidi" w:hAnsiTheme="majorBidi" w:cstheme="majorBidi"/>
                <w:b/>
                <w:bCs/>
                <w:color w:val="000000"/>
                <w:sz w:val="20"/>
                <w:szCs w:val="20"/>
              </w:rPr>
              <w:br/>
              <w:t>($ m)</w:t>
            </w:r>
          </w:p>
        </w:tc>
        <w:tc>
          <w:tcPr>
            <w:tcW w:w="3260" w:type="dxa"/>
            <w:vAlign w:val="center"/>
          </w:tcPr>
          <w:p w14:paraId="3E5F2F8F" w14:textId="19E04BBB" w:rsidR="00A92EC3" w:rsidRPr="00802732" w:rsidRDefault="00802732" w:rsidP="00802732">
            <w:pPr>
              <w:jc w:val="center"/>
              <w:rPr>
                <w:rFonts w:asciiTheme="majorBidi" w:hAnsiTheme="majorBidi" w:cstheme="majorBidi"/>
                <w:b/>
                <w:bCs/>
                <w:sz w:val="20"/>
                <w:szCs w:val="20"/>
              </w:rPr>
            </w:pPr>
            <w:r w:rsidRPr="00802732">
              <w:rPr>
                <w:rFonts w:asciiTheme="majorBidi" w:hAnsiTheme="majorBidi" w:cstheme="majorBidi"/>
                <w:b/>
                <w:bCs/>
                <w:color w:val="000000"/>
                <w:sz w:val="20"/>
                <w:szCs w:val="20"/>
              </w:rPr>
              <w:t>S</w:t>
            </w:r>
            <w:r w:rsidR="00A92EC3" w:rsidRPr="00802732">
              <w:rPr>
                <w:rFonts w:asciiTheme="majorBidi" w:hAnsiTheme="majorBidi" w:cstheme="majorBidi"/>
                <w:b/>
                <w:bCs/>
                <w:color w:val="000000"/>
                <w:sz w:val="20"/>
                <w:szCs w:val="20"/>
              </w:rPr>
              <w:t xml:space="preserve">ector </w:t>
            </w:r>
          </w:p>
        </w:tc>
      </w:tr>
      <w:tr w:rsidR="00802732" w:rsidRPr="00802732" w14:paraId="0A4DE0E8" w14:textId="77777777" w:rsidTr="00555190">
        <w:tc>
          <w:tcPr>
            <w:tcW w:w="638" w:type="dxa"/>
            <w:vAlign w:val="center"/>
          </w:tcPr>
          <w:p w14:paraId="59E5E817" w14:textId="7949CC0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1995</w:t>
            </w:r>
          </w:p>
        </w:tc>
        <w:tc>
          <w:tcPr>
            <w:tcW w:w="1336" w:type="dxa"/>
            <w:vAlign w:val="center"/>
          </w:tcPr>
          <w:p w14:paraId="6405B1B7" w14:textId="688BCA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97FA0E2" w14:textId="5A3AE9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N/A</w:t>
            </w:r>
          </w:p>
        </w:tc>
        <w:tc>
          <w:tcPr>
            <w:tcW w:w="850" w:type="dxa"/>
            <w:vAlign w:val="center"/>
          </w:tcPr>
          <w:p w14:paraId="404BCB0E" w14:textId="1945A7F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36B9A078" w14:textId="2EB0028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F4F85C4" w14:textId="77777777" w:rsidTr="00555190">
        <w:tc>
          <w:tcPr>
            <w:tcW w:w="638" w:type="dxa"/>
            <w:vAlign w:val="center"/>
          </w:tcPr>
          <w:p w14:paraId="68B9D86E" w14:textId="6B14ED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3CB0DDFC" w14:textId="35CCD1D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840E735" w14:textId="370FA4F8"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Sceco</w:t>
            </w:r>
            <w:proofErr w:type="spellEnd"/>
            <w:r w:rsidRPr="00802732">
              <w:rPr>
                <w:rFonts w:asciiTheme="majorBidi" w:hAnsiTheme="majorBidi" w:cstheme="majorBidi"/>
                <w:color w:val="000000"/>
                <w:sz w:val="20"/>
                <w:szCs w:val="20"/>
              </w:rPr>
              <w:t xml:space="preserve"> East</w:t>
            </w:r>
          </w:p>
        </w:tc>
        <w:tc>
          <w:tcPr>
            <w:tcW w:w="850" w:type="dxa"/>
            <w:vAlign w:val="center"/>
          </w:tcPr>
          <w:p w14:paraId="1CF2D437" w14:textId="0C9F58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500</w:t>
            </w:r>
          </w:p>
        </w:tc>
        <w:tc>
          <w:tcPr>
            <w:tcW w:w="3260" w:type="dxa"/>
            <w:vAlign w:val="center"/>
          </w:tcPr>
          <w:p w14:paraId="2AC41467" w14:textId="2933A37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48F441D" w14:textId="77777777" w:rsidTr="00555190">
        <w:tc>
          <w:tcPr>
            <w:tcW w:w="638" w:type="dxa"/>
            <w:vAlign w:val="center"/>
          </w:tcPr>
          <w:p w14:paraId="68CB7B94" w14:textId="067328A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6150D2A0" w14:textId="67E059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4AD399C" w14:textId="5598FCC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Saudi </w:t>
            </w:r>
            <w:r w:rsidR="00B7346C">
              <w:rPr>
                <w:rFonts w:asciiTheme="majorBidi" w:hAnsiTheme="majorBidi" w:cstheme="majorBidi"/>
                <w:color w:val="000000"/>
                <w:sz w:val="20"/>
                <w:szCs w:val="20"/>
              </w:rPr>
              <w:t>C</w:t>
            </w:r>
            <w:r w:rsidRPr="00802732">
              <w:rPr>
                <w:rFonts w:asciiTheme="majorBidi" w:hAnsiTheme="majorBidi" w:cstheme="majorBidi"/>
                <w:color w:val="000000"/>
                <w:sz w:val="20"/>
                <w:szCs w:val="20"/>
              </w:rPr>
              <w:t>hevron</w:t>
            </w:r>
          </w:p>
        </w:tc>
        <w:tc>
          <w:tcPr>
            <w:tcW w:w="850" w:type="dxa"/>
            <w:vAlign w:val="center"/>
          </w:tcPr>
          <w:p w14:paraId="34880EAF" w14:textId="78F6A8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240</w:t>
            </w:r>
          </w:p>
        </w:tc>
        <w:tc>
          <w:tcPr>
            <w:tcW w:w="3260" w:type="dxa"/>
            <w:vAlign w:val="center"/>
          </w:tcPr>
          <w:p w14:paraId="62A81089" w14:textId="6DAF0F4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1B757086" w14:textId="77777777" w:rsidTr="00555190">
        <w:tc>
          <w:tcPr>
            <w:tcW w:w="638" w:type="dxa"/>
            <w:vAlign w:val="center"/>
          </w:tcPr>
          <w:p w14:paraId="6734FF66" w14:textId="2BB38BD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7736D759" w14:textId="14A03E6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DF075BC" w14:textId="6731BB0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Ibn </w:t>
            </w:r>
            <w:proofErr w:type="spellStart"/>
            <w:r w:rsidRPr="00802732">
              <w:rPr>
                <w:rFonts w:asciiTheme="majorBidi" w:hAnsiTheme="majorBidi" w:cstheme="majorBidi"/>
                <w:color w:val="000000"/>
                <w:sz w:val="20"/>
                <w:szCs w:val="20"/>
              </w:rPr>
              <w:t>Rushd</w:t>
            </w:r>
            <w:proofErr w:type="spellEnd"/>
          </w:p>
        </w:tc>
        <w:tc>
          <w:tcPr>
            <w:tcW w:w="850" w:type="dxa"/>
            <w:vAlign w:val="center"/>
          </w:tcPr>
          <w:p w14:paraId="5CE15F46" w14:textId="2BCC5B1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770</w:t>
            </w:r>
          </w:p>
        </w:tc>
        <w:tc>
          <w:tcPr>
            <w:tcW w:w="3260" w:type="dxa"/>
            <w:vAlign w:val="center"/>
          </w:tcPr>
          <w:p w14:paraId="4D10E030" w14:textId="0C86F02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3903BCFE" w14:textId="77777777" w:rsidTr="00555190">
        <w:tc>
          <w:tcPr>
            <w:tcW w:w="638" w:type="dxa"/>
            <w:vAlign w:val="center"/>
          </w:tcPr>
          <w:p w14:paraId="036A8B6B" w14:textId="1FDB412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297326F8" w14:textId="0D37D23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1AABA2E" w14:textId="4C814CAF"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Hadeed</w:t>
            </w:r>
            <w:proofErr w:type="spellEnd"/>
          </w:p>
        </w:tc>
        <w:tc>
          <w:tcPr>
            <w:tcW w:w="850" w:type="dxa"/>
            <w:vAlign w:val="center"/>
          </w:tcPr>
          <w:p w14:paraId="4DB5587E" w14:textId="001D43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300</w:t>
            </w:r>
          </w:p>
        </w:tc>
        <w:tc>
          <w:tcPr>
            <w:tcW w:w="3260" w:type="dxa"/>
            <w:vAlign w:val="center"/>
          </w:tcPr>
          <w:p w14:paraId="4110B530" w14:textId="42267F2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73886B8A" w14:textId="77777777" w:rsidTr="00555190">
        <w:tc>
          <w:tcPr>
            <w:tcW w:w="638" w:type="dxa"/>
            <w:vAlign w:val="center"/>
          </w:tcPr>
          <w:p w14:paraId="5F762BD8" w14:textId="602776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537CF9EC" w14:textId="4EC50B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7C8CC79E" w14:textId="271FA8A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Qatargas</w:t>
            </w:r>
          </w:p>
        </w:tc>
        <w:tc>
          <w:tcPr>
            <w:tcW w:w="850" w:type="dxa"/>
            <w:vAlign w:val="center"/>
          </w:tcPr>
          <w:p w14:paraId="3FD30663" w14:textId="33B306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378</w:t>
            </w:r>
          </w:p>
        </w:tc>
        <w:tc>
          <w:tcPr>
            <w:tcW w:w="3260" w:type="dxa"/>
            <w:vAlign w:val="center"/>
          </w:tcPr>
          <w:p w14:paraId="1DA8E5E6" w14:textId="2E90CEF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B7ABC5D" w14:textId="77777777" w:rsidTr="00555190">
        <w:tc>
          <w:tcPr>
            <w:tcW w:w="638" w:type="dxa"/>
            <w:vAlign w:val="center"/>
          </w:tcPr>
          <w:p w14:paraId="539275CF" w14:textId="363EDC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34BE5699" w14:textId="5514394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50D019B" w14:textId="02D42DF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w:t>
            </w:r>
            <w:r w:rsidR="00B7346C">
              <w:rPr>
                <w:rFonts w:asciiTheme="majorBidi" w:hAnsiTheme="majorBidi" w:cstheme="majorBidi"/>
                <w:color w:val="000000"/>
                <w:sz w:val="20"/>
                <w:szCs w:val="20"/>
              </w:rPr>
              <w:t>L</w:t>
            </w:r>
            <w:r w:rsidRPr="00802732">
              <w:rPr>
                <w:rFonts w:asciiTheme="majorBidi" w:hAnsiTheme="majorBidi" w:cstheme="majorBidi"/>
                <w:color w:val="000000"/>
                <w:sz w:val="20"/>
                <w:szCs w:val="20"/>
              </w:rPr>
              <w:t>affan</w:t>
            </w:r>
          </w:p>
        </w:tc>
        <w:tc>
          <w:tcPr>
            <w:tcW w:w="850" w:type="dxa"/>
            <w:vAlign w:val="center"/>
          </w:tcPr>
          <w:p w14:paraId="5F033880" w14:textId="121C22C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1536</w:t>
            </w:r>
          </w:p>
        </w:tc>
        <w:tc>
          <w:tcPr>
            <w:tcW w:w="3260" w:type="dxa"/>
            <w:vAlign w:val="center"/>
          </w:tcPr>
          <w:p w14:paraId="199B7240" w14:textId="39346C4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148C5E2B" w14:textId="77777777" w:rsidTr="00555190">
        <w:tc>
          <w:tcPr>
            <w:tcW w:w="638" w:type="dxa"/>
            <w:vAlign w:val="center"/>
          </w:tcPr>
          <w:p w14:paraId="2E99480D" w14:textId="2308F78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1996</w:t>
            </w:r>
          </w:p>
        </w:tc>
        <w:tc>
          <w:tcPr>
            <w:tcW w:w="1336" w:type="dxa"/>
            <w:vAlign w:val="center"/>
          </w:tcPr>
          <w:p w14:paraId="496DF5C3" w14:textId="583CAE3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1A7A07EB" w14:textId="164136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Equate Petrochemicals</w:t>
            </w:r>
          </w:p>
        </w:tc>
        <w:tc>
          <w:tcPr>
            <w:tcW w:w="850" w:type="dxa"/>
            <w:vAlign w:val="center"/>
          </w:tcPr>
          <w:p w14:paraId="568E8030" w14:textId="2F233AA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1197</w:t>
            </w:r>
          </w:p>
        </w:tc>
        <w:tc>
          <w:tcPr>
            <w:tcW w:w="3260" w:type="dxa"/>
            <w:vAlign w:val="center"/>
          </w:tcPr>
          <w:p w14:paraId="33D885A8" w14:textId="359EF19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7296D9FF" w14:textId="77777777" w:rsidTr="00555190">
        <w:tc>
          <w:tcPr>
            <w:tcW w:w="638" w:type="dxa"/>
            <w:vAlign w:val="center"/>
          </w:tcPr>
          <w:p w14:paraId="68054CD1" w14:textId="069B0DB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1997</w:t>
            </w:r>
          </w:p>
        </w:tc>
        <w:tc>
          <w:tcPr>
            <w:tcW w:w="1336" w:type="dxa"/>
            <w:vAlign w:val="center"/>
          </w:tcPr>
          <w:p w14:paraId="2E60ECC8" w14:textId="3924F3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7687BFD" w14:textId="1582A75B"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Yanpet</w:t>
            </w:r>
            <w:proofErr w:type="spellEnd"/>
          </w:p>
        </w:tc>
        <w:tc>
          <w:tcPr>
            <w:tcW w:w="850" w:type="dxa"/>
            <w:vAlign w:val="center"/>
          </w:tcPr>
          <w:p w14:paraId="5E696FC0" w14:textId="4D8D7F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2200</w:t>
            </w:r>
          </w:p>
        </w:tc>
        <w:tc>
          <w:tcPr>
            <w:tcW w:w="3260" w:type="dxa"/>
            <w:vAlign w:val="center"/>
          </w:tcPr>
          <w:p w14:paraId="0DF10699" w14:textId="4A345D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D6A0743" w14:textId="77777777" w:rsidTr="00555190">
        <w:tc>
          <w:tcPr>
            <w:tcW w:w="638" w:type="dxa"/>
            <w:vAlign w:val="center"/>
          </w:tcPr>
          <w:p w14:paraId="2035F13E" w14:textId="1EE4B1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1997</w:t>
            </w:r>
          </w:p>
        </w:tc>
        <w:tc>
          <w:tcPr>
            <w:tcW w:w="1336" w:type="dxa"/>
            <w:vAlign w:val="center"/>
          </w:tcPr>
          <w:p w14:paraId="507496B0" w14:textId="36174C0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3C5BC80" w14:textId="5E0083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Fuel Additives Co (</w:t>
            </w:r>
            <w:proofErr w:type="spellStart"/>
            <w:r w:rsidRPr="00802732">
              <w:rPr>
                <w:rFonts w:asciiTheme="majorBidi" w:hAnsiTheme="majorBidi" w:cstheme="majorBidi"/>
                <w:color w:val="000000"/>
                <w:sz w:val="20"/>
                <w:szCs w:val="20"/>
              </w:rPr>
              <w:t>Qafac</w:t>
            </w:r>
            <w:proofErr w:type="spellEnd"/>
            <w:r w:rsidRPr="00802732">
              <w:rPr>
                <w:rFonts w:asciiTheme="majorBidi" w:hAnsiTheme="majorBidi" w:cstheme="majorBidi"/>
                <w:color w:val="000000"/>
                <w:sz w:val="20"/>
                <w:szCs w:val="20"/>
              </w:rPr>
              <w:t>)</w:t>
            </w:r>
          </w:p>
        </w:tc>
        <w:tc>
          <w:tcPr>
            <w:tcW w:w="850" w:type="dxa"/>
            <w:vAlign w:val="center"/>
          </w:tcPr>
          <w:p w14:paraId="73DD36D0" w14:textId="7052EA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350</w:t>
            </w:r>
          </w:p>
        </w:tc>
        <w:tc>
          <w:tcPr>
            <w:tcW w:w="3260" w:type="dxa"/>
            <w:vAlign w:val="center"/>
          </w:tcPr>
          <w:p w14:paraId="088CD23C" w14:textId="40486D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67AB8ACB" w14:textId="77777777" w:rsidTr="00555190">
        <w:tc>
          <w:tcPr>
            <w:tcW w:w="638" w:type="dxa"/>
            <w:vAlign w:val="center"/>
          </w:tcPr>
          <w:p w14:paraId="07A5696A" w14:textId="186DA61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1997</w:t>
            </w:r>
          </w:p>
        </w:tc>
        <w:tc>
          <w:tcPr>
            <w:tcW w:w="1336" w:type="dxa"/>
            <w:vAlign w:val="center"/>
          </w:tcPr>
          <w:p w14:paraId="6FC9B357" w14:textId="6A7F80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27F1F469" w14:textId="0220600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LNG</w:t>
            </w:r>
          </w:p>
        </w:tc>
        <w:tc>
          <w:tcPr>
            <w:tcW w:w="850" w:type="dxa"/>
            <w:vAlign w:val="center"/>
          </w:tcPr>
          <w:p w14:paraId="083A37E4" w14:textId="0739F73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1995</w:t>
            </w:r>
          </w:p>
        </w:tc>
        <w:tc>
          <w:tcPr>
            <w:tcW w:w="3260" w:type="dxa"/>
            <w:vAlign w:val="center"/>
          </w:tcPr>
          <w:p w14:paraId="3C7ECDD7" w14:textId="5EFC16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E08B992" w14:textId="77777777" w:rsidTr="00555190">
        <w:tc>
          <w:tcPr>
            <w:tcW w:w="638" w:type="dxa"/>
            <w:vAlign w:val="center"/>
          </w:tcPr>
          <w:p w14:paraId="3AF877D8" w14:textId="638BADF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1997</w:t>
            </w:r>
          </w:p>
        </w:tc>
        <w:tc>
          <w:tcPr>
            <w:tcW w:w="1336" w:type="dxa"/>
            <w:vAlign w:val="center"/>
          </w:tcPr>
          <w:p w14:paraId="691A7B19" w14:textId="532356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7F161EC" w14:textId="46272F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Port</w:t>
            </w:r>
          </w:p>
        </w:tc>
        <w:tc>
          <w:tcPr>
            <w:tcW w:w="850" w:type="dxa"/>
            <w:vAlign w:val="center"/>
          </w:tcPr>
          <w:p w14:paraId="42466D88" w14:textId="36836AA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77</w:t>
            </w:r>
          </w:p>
        </w:tc>
        <w:tc>
          <w:tcPr>
            <w:tcW w:w="3260" w:type="dxa"/>
            <w:vAlign w:val="center"/>
          </w:tcPr>
          <w:p w14:paraId="22E4C93C" w14:textId="2DA4F44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74010C14" w14:textId="77777777" w:rsidTr="00555190">
        <w:tc>
          <w:tcPr>
            <w:tcW w:w="638" w:type="dxa"/>
            <w:vAlign w:val="center"/>
          </w:tcPr>
          <w:p w14:paraId="6FC3E769" w14:textId="157F281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1997</w:t>
            </w:r>
          </w:p>
        </w:tc>
        <w:tc>
          <w:tcPr>
            <w:tcW w:w="1336" w:type="dxa"/>
            <w:vAlign w:val="center"/>
          </w:tcPr>
          <w:p w14:paraId="49918B06" w14:textId="7497F4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6F8F43F6" w14:textId="63A5DF9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Equate Petrochemicals</w:t>
            </w:r>
          </w:p>
        </w:tc>
        <w:tc>
          <w:tcPr>
            <w:tcW w:w="850" w:type="dxa"/>
            <w:vAlign w:val="center"/>
          </w:tcPr>
          <w:p w14:paraId="662F2BF3" w14:textId="274ED0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1200</w:t>
            </w:r>
          </w:p>
        </w:tc>
        <w:tc>
          <w:tcPr>
            <w:tcW w:w="3260" w:type="dxa"/>
            <w:vAlign w:val="center"/>
          </w:tcPr>
          <w:p w14:paraId="3AB60596" w14:textId="743682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FBDA0DE" w14:textId="77777777" w:rsidTr="00555190">
        <w:tc>
          <w:tcPr>
            <w:tcW w:w="638" w:type="dxa"/>
            <w:vAlign w:val="center"/>
          </w:tcPr>
          <w:p w14:paraId="67394B22" w14:textId="3417F2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1998</w:t>
            </w:r>
          </w:p>
        </w:tc>
        <w:tc>
          <w:tcPr>
            <w:tcW w:w="1336" w:type="dxa"/>
            <w:vAlign w:val="center"/>
          </w:tcPr>
          <w:p w14:paraId="1C043889" w14:textId="2B47EAC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8F9A9CC" w14:textId="288447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Al-Jubail Petrochemical Company </w:t>
            </w:r>
          </w:p>
        </w:tc>
        <w:tc>
          <w:tcPr>
            <w:tcW w:w="850" w:type="dxa"/>
            <w:vAlign w:val="center"/>
          </w:tcPr>
          <w:p w14:paraId="4CF3E2A2" w14:textId="30D0E90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720</w:t>
            </w:r>
          </w:p>
        </w:tc>
        <w:tc>
          <w:tcPr>
            <w:tcW w:w="3260" w:type="dxa"/>
            <w:vAlign w:val="center"/>
          </w:tcPr>
          <w:p w14:paraId="434A2D6E" w14:textId="6AD00C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6195DD1" w14:textId="77777777" w:rsidTr="00555190">
        <w:tc>
          <w:tcPr>
            <w:tcW w:w="638" w:type="dxa"/>
            <w:vAlign w:val="center"/>
          </w:tcPr>
          <w:p w14:paraId="78D11832" w14:textId="5D2735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1998</w:t>
            </w:r>
          </w:p>
        </w:tc>
        <w:tc>
          <w:tcPr>
            <w:tcW w:w="1336" w:type="dxa"/>
            <w:vAlign w:val="center"/>
          </w:tcPr>
          <w:p w14:paraId="089A352C" w14:textId="22FF65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EF687F7" w14:textId="71268935"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Sharq</w:t>
            </w:r>
            <w:proofErr w:type="spellEnd"/>
          </w:p>
        </w:tc>
        <w:tc>
          <w:tcPr>
            <w:tcW w:w="850" w:type="dxa"/>
            <w:vAlign w:val="center"/>
          </w:tcPr>
          <w:p w14:paraId="72CAE44C" w14:textId="0C0F39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125</w:t>
            </w:r>
          </w:p>
        </w:tc>
        <w:tc>
          <w:tcPr>
            <w:tcW w:w="3260" w:type="dxa"/>
            <w:vAlign w:val="center"/>
          </w:tcPr>
          <w:p w14:paraId="6CA52215" w14:textId="5561A4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1B67AB9" w14:textId="77777777" w:rsidTr="00555190">
        <w:tc>
          <w:tcPr>
            <w:tcW w:w="638" w:type="dxa"/>
            <w:vAlign w:val="center"/>
          </w:tcPr>
          <w:p w14:paraId="6630DAD6" w14:textId="3028AA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1998</w:t>
            </w:r>
          </w:p>
        </w:tc>
        <w:tc>
          <w:tcPr>
            <w:tcW w:w="1336" w:type="dxa"/>
            <w:vAlign w:val="center"/>
          </w:tcPr>
          <w:p w14:paraId="7B48419E" w14:textId="5E911D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1E0A5099" w14:textId="3BE6480C"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Nodco</w:t>
            </w:r>
            <w:proofErr w:type="spellEnd"/>
          </w:p>
        </w:tc>
        <w:tc>
          <w:tcPr>
            <w:tcW w:w="850" w:type="dxa"/>
            <w:vAlign w:val="center"/>
          </w:tcPr>
          <w:p w14:paraId="0CC2BD59" w14:textId="5BAE80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510</w:t>
            </w:r>
          </w:p>
        </w:tc>
        <w:tc>
          <w:tcPr>
            <w:tcW w:w="3260" w:type="dxa"/>
            <w:vAlign w:val="center"/>
          </w:tcPr>
          <w:p w14:paraId="25E6C8EA" w14:textId="21E2C9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7E74DE8" w14:textId="77777777" w:rsidTr="00555190">
        <w:tc>
          <w:tcPr>
            <w:tcW w:w="638" w:type="dxa"/>
            <w:vAlign w:val="center"/>
          </w:tcPr>
          <w:p w14:paraId="708ECA25" w14:textId="340478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1998</w:t>
            </w:r>
          </w:p>
        </w:tc>
        <w:tc>
          <w:tcPr>
            <w:tcW w:w="1336" w:type="dxa"/>
            <w:vAlign w:val="center"/>
          </w:tcPr>
          <w:p w14:paraId="30EDDD76" w14:textId="61F1010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3055C0A0" w14:textId="73B838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Vinyl Co</w:t>
            </w:r>
          </w:p>
        </w:tc>
        <w:tc>
          <w:tcPr>
            <w:tcW w:w="850" w:type="dxa"/>
            <w:vAlign w:val="center"/>
          </w:tcPr>
          <w:p w14:paraId="64CB7BE9" w14:textId="368FB4C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474</w:t>
            </w:r>
          </w:p>
        </w:tc>
        <w:tc>
          <w:tcPr>
            <w:tcW w:w="3260" w:type="dxa"/>
            <w:vAlign w:val="center"/>
          </w:tcPr>
          <w:p w14:paraId="6D5D85EA" w14:textId="33BA576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644E15A9" w14:textId="77777777" w:rsidTr="00555190">
        <w:tc>
          <w:tcPr>
            <w:tcW w:w="638" w:type="dxa"/>
            <w:vAlign w:val="center"/>
          </w:tcPr>
          <w:p w14:paraId="3FA48656" w14:textId="1DC250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1998</w:t>
            </w:r>
          </w:p>
        </w:tc>
        <w:tc>
          <w:tcPr>
            <w:tcW w:w="1336" w:type="dxa"/>
            <w:vAlign w:val="center"/>
          </w:tcPr>
          <w:p w14:paraId="25C26EE8" w14:textId="08723B5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F256FB5" w14:textId="2753E338"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Qapco</w:t>
            </w:r>
            <w:proofErr w:type="spellEnd"/>
          </w:p>
        </w:tc>
        <w:tc>
          <w:tcPr>
            <w:tcW w:w="850" w:type="dxa"/>
            <w:vAlign w:val="center"/>
          </w:tcPr>
          <w:p w14:paraId="4A3B39C9" w14:textId="422C43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130</w:t>
            </w:r>
          </w:p>
        </w:tc>
        <w:tc>
          <w:tcPr>
            <w:tcW w:w="3260" w:type="dxa"/>
            <w:vAlign w:val="center"/>
          </w:tcPr>
          <w:p w14:paraId="5D24B55A" w14:textId="63AF024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BB8E0C3" w14:textId="77777777" w:rsidTr="00555190">
        <w:tc>
          <w:tcPr>
            <w:tcW w:w="638" w:type="dxa"/>
            <w:vAlign w:val="center"/>
          </w:tcPr>
          <w:p w14:paraId="22A1D7AD" w14:textId="169FE4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35DBD52D" w14:textId="0FC74D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D8DE435" w14:textId="6DDA79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Sadaf</w:t>
            </w:r>
          </w:p>
        </w:tc>
        <w:tc>
          <w:tcPr>
            <w:tcW w:w="850" w:type="dxa"/>
            <w:vAlign w:val="center"/>
          </w:tcPr>
          <w:p w14:paraId="57789C52" w14:textId="4AEE8F5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300</w:t>
            </w:r>
          </w:p>
        </w:tc>
        <w:tc>
          <w:tcPr>
            <w:tcW w:w="3260" w:type="dxa"/>
            <w:vAlign w:val="center"/>
          </w:tcPr>
          <w:p w14:paraId="4911D22D" w14:textId="504F1EB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690DDBFF" w14:textId="77777777" w:rsidTr="00555190">
        <w:tc>
          <w:tcPr>
            <w:tcW w:w="638" w:type="dxa"/>
            <w:vAlign w:val="center"/>
          </w:tcPr>
          <w:p w14:paraId="0E937F92" w14:textId="502EABC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4B91B8A3" w14:textId="22E80D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06532B0" w14:textId="00238B4D"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Hadeed</w:t>
            </w:r>
            <w:proofErr w:type="spellEnd"/>
          </w:p>
        </w:tc>
        <w:tc>
          <w:tcPr>
            <w:tcW w:w="850" w:type="dxa"/>
            <w:vAlign w:val="center"/>
          </w:tcPr>
          <w:p w14:paraId="35564BE0" w14:textId="18B56E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300</w:t>
            </w:r>
          </w:p>
        </w:tc>
        <w:tc>
          <w:tcPr>
            <w:tcW w:w="3260" w:type="dxa"/>
            <w:vAlign w:val="center"/>
          </w:tcPr>
          <w:p w14:paraId="4AA9A438" w14:textId="13D8889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4AFC1312" w14:textId="77777777" w:rsidTr="00555190">
        <w:tc>
          <w:tcPr>
            <w:tcW w:w="638" w:type="dxa"/>
            <w:vAlign w:val="center"/>
          </w:tcPr>
          <w:p w14:paraId="53BDB5CE" w14:textId="0BD24C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2FF47674" w14:textId="3A60167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0711914" w14:textId="4EB71C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Q-Chem</w:t>
            </w:r>
          </w:p>
        </w:tc>
        <w:tc>
          <w:tcPr>
            <w:tcW w:w="850" w:type="dxa"/>
            <w:vAlign w:val="center"/>
          </w:tcPr>
          <w:p w14:paraId="1DDC0569" w14:textId="7EF7A3C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749</w:t>
            </w:r>
          </w:p>
        </w:tc>
        <w:tc>
          <w:tcPr>
            <w:tcW w:w="3260" w:type="dxa"/>
            <w:vAlign w:val="center"/>
          </w:tcPr>
          <w:p w14:paraId="1CC84B43" w14:textId="237B8E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6B807687" w14:textId="77777777" w:rsidTr="00555190">
        <w:tc>
          <w:tcPr>
            <w:tcW w:w="638" w:type="dxa"/>
            <w:vAlign w:val="center"/>
          </w:tcPr>
          <w:p w14:paraId="43746930" w14:textId="7B9D68F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63F4337F" w14:textId="1AD789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A687FE8" w14:textId="00023CBC"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Dabhol</w:t>
            </w:r>
            <w:proofErr w:type="spellEnd"/>
            <w:r w:rsidRPr="00802732">
              <w:rPr>
                <w:rFonts w:asciiTheme="majorBidi" w:hAnsiTheme="majorBidi" w:cstheme="majorBidi"/>
                <w:color w:val="000000"/>
                <w:sz w:val="20"/>
                <w:szCs w:val="20"/>
              </w:rPr>
              <w:t xml:space="preserve"> LNG</w:t>
            </w:r>
          </w:p>
        </w:tc>
        <w:tc>
          <w:tcPr>
            <w:tcW w:w="850" w:type="dxa"/>
            <w:vAlign w:val="center"/>
          </w:tcPr>
          <w:p w14:paraId="05FFA8EC" w14:textId="7489CF5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165</w:t>
            </w:r>
          </w:p>
        </w:tc>
        <w:tc>
          <w:tcPr>
            <w:tcW w:w="3260" w:type="dxa"/>
            <w:vAlign w:val="center"/>
          </w:tcPr>
          <w:p w14:paraId="3C001DB5" w14:textId="10CFA13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D074798" w14:textId="77777777" w:rsidTr="00555190">
        <w:tc>
          <w:tcPr>
            <w:tcW w:w="638" w:type="dxa"/>
            <w:vAlign w:val="center"/>
          </w:tcPr>
          <w:p w14:paraId="3A5007B6" w14:textId="3094DD4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2B44B5E6" w14:textId="5F069DD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602F7CC" w14:textId="67BBAA59"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Taweelah</w:t>
            </w:r>
            <w:proofErr w:type="spellEnd"/>
          </w:p>
        </w:tc>
        <w:tc>
          <w:tcPr>
            <w:tcW w:w="850" w:type="dxa"/>
            <w:vAlign w:val="center"/>
          </w:tcPr>
          <w:p w14:paraId="3AE90C46" w14:textId="2E5753B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578</w:t>
            </w:r>
          </w:p>
        </w:tc>
        <w:tc>
          <w:tcPr>
            <w:tcW w:w="3260" w:type="dxa"/>
            <w:vAlign w:val="center"/>
          </w:tcPr>
          <w:p w14:paraId="1988B7FE" w14:textId="37D3B8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6618F01" w14:textId="77777777" w:rsidTr="00555190">
        <w:tc>
          <w:tcPr>
            <w:tcW w:w="638" w:type="dxa"/>
            <w:vAlign w:val="center"/>
          </w:tcPr>
          <w:p w14:paraId="0B524E2A" w14:textId="620105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6F8D60B8" w14:textId="648977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DC46D47" w14:textId="2CCEFD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Thuraya</w:t>
            </w:r>
          </w:p>
        </w:tc>
        <w:tc>
          <w:tcPr>
            <w:tcW w:w="850" w:type="dxa"/>
            <w:vAlign w:val="center"/>
          </w:tcPr>
          <w:p w14:paraId="13A10F24" w14:textId="789D8D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600</w:t>
            </w:r>
          </w:p>
        </w:tc>
        <w:tc>
          <w:tcPr>
            <w:tcW w:w="3260" w:type="dxa"/>
            <w:vAlign w:val="center"/>
          </w:tcPr>
          <w:p w14:paraId="24CEA375" w14:textId="7DBC36D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Telecoms</w:t>
            </w:r>
          </w:p>
        </w:tc>
      </w:tr>
      <w:tr w:rsidR="00802732" w:rsidRPr="00802732" w14:paraId="297AEC87" w14:textId="77777777" w:rsidTr="00555190">
        <w:tc>
          <w:tcPr>
            <w:tcW w:w="638" w:type="dxa"/>
            <w:vAlign w:val="center"/>
          </w:tcPr>
          <w:p w14:paraId="07B7E87E" w14:textId="1974280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1999</w:t>
            </w:r>
          </w:p>
        </w:tc>
        <w:tc>
          <w:tcPr>
            <w:tcW w:w="1336" w:type="dxa"/>
            <w:vAlign w:val="center"/>
          </w:tcPr>
          <w:p w14:paraId="355ED60F" w14:textId="34C5A9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246BE57" w14:textId="23DBA0BD"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Manah</w:t>
            </w:r>
            <w:proofErr w:type="spellEnd"/>
          </w:p>
        </w:tc>
        <w:tc>
          <w:tcPr>
            <w:tcW w:w="850" w:type="dxa"/>
            <w:vAlign w:val="center"/>
          </w:tcPr>
          <w:p w14:paraId="3F00CE9F" w14:textId="3D22F6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w:t>
            </w:r>
          </w:p>
        </w:tc>
        <w:tc>
          <w:tcPr>
            <w:tcW w:w="3260" w:type="dxa"/>
            <w:vAlign w:val="center"/>
          </w:tcPr>
          <w:p w14:paraId="1D037A63" w14:textId="11140F1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A9AB9B3" w14:textId="77777777" w:rsidTr="00555190">
        <w:tc>
          <w:tcPr>
            <w:tcW w:w="638" w:type="dxa"/>
            <w:vAlign w:val="center"/>
          </w:tcPr>
          <w:p w14:paraId="6BD0B23C" w14:textId="153F7A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2000</w:t>
            </w:r>
          </w:p>
        </w:tc>
        <w:tc>
          <w:tcPr>
            <w:tcW w:w="1336" w:type="dxa"/>
            <w:vAlign w:val="center"/>
          </w:tcPr>
          <w:p w14:paraId="405294AB" w14:textId="7DE797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B1E3B1D" w14:textId="31AF591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Ibn </w:t>
            </w:r>
            <w:proofErr w:type="spellStart"/>
            <w:r w:rsidRPr="00802732">
              <w:rPr>
                <w:rFonts w:asciiTheme="majorBidi" w:hAnsiTheme="majorBidi" w:cstheme="majorBidi"/>
                <w:color w:val="000000"/>
                <w:sz w:val="20"/>
                <w:szCs w:val="20"/>
              </w:rPr>
              <w:t>Rushd</w:t>
            </w:r>
            <w:proofErr w:type="spellEnd"/>
          </w:p>
        </w:tc>
        <w:tc>
          <w:tcPr>
            <w:tcW w:w="850" w:type="dxa"/>
            <w:vAlign w:val="center"/>
          </w:tcPr>
          <w:p w14:paraId="11CE9CF5" w14:textId="553AAF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852</w:t>
            </w:r>
          </w:p>
        </w:tc>
        <w:tc>
          <w:tcPr>
            <w:tcW w:w="3260" w:type="dxa"/>
            <w:vAlign w:val="center"/>
          </w:tcPr>
          <w:p w14:paraId="3E68192D" w14:textId="1C0793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6240B79" w14:textId="77777777" w:rsidTr="00555190">
        <w:tc>
          <w:tcPr>
            <w:tcW w:w="638" w:type="dxa"/>
            <w:vAlign w:val="center"/>
          </w:tcPr>
          <w:p w14:paraId="5CD2E683" w14:textId="3B7E87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2000</w:t>
            </w:r>
          </w:p>
        </w:tc>
        <w:tc>
          <w:tcPr>
            <w:tcW w:w="1336" w:type="dxa"/>
            <w:vAlign w:val="center"/>
          </w:tcPr>
          <w:p w14:paraId="21E20B4E" w14:textId="2B7C22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7D86F66" w14:textId="2B33AB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Total </w:t>
            </w:r>
            <w:proofErr w:type="spellStart"/>
            <w:r w:rsidRPr="00802732">
              <w:rPr>
                <w:rFonts w:asciiTheme="majorBidi" w:hAnsiTheme="majorBidi" w:cstheme="majorBidi"/>
                <w:color w:val="000000"/>
                <w:sz w:val="20"/>
                <w:szCs w:val="20"/>
              </w:rPr>
              <w:t>Tractebel</w:t>
            </w:r>
            <w:proofErr w:type="spellEnd"/>
          </w:p>
        </w:tc>
        <w:tc>
          <w:tcPr>
            <w:tcW w:w="850" w:type="dxa"/>
            <w:vAlign w:val="center"/>
          </w:tcPr>
          <w:p w14:paraId="45368182" w14:textId="7CD2B2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1096</w:t>
            </w:r>
          </w:p>
        </w:tc>
        <w:tc>
          <w:tcPr>
            <w:tcW w:w="3260" w:type="dxa"/>
            <w:vAlign w:val="center"/>
          </w:tcPr>
          <w:p w14:paraId="57132FF7" w14:textId="740373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6BF9DF4" w14:textId="77777777" w:rsidTr="00555190">
        <w:tc>
          <w:tcPr>
            <w:tcW w:w="638" w:type="dxa"/>
            <w:vAlign w:val="center"/>
          </w:tcPr>
          <w:p w14:paraId="7FD8D448" w14:textId="44E81B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2000</w:t>
            </w:r>
          </w:p>
        </w:tc>
        <w:tc>
          <w:tcPr>
            <w:tcW w:w="1336" w:type="dxa"/>
            <w:vAlign w:val="center"/>
          </w:tcPr>
          <w:p w14:paraId="3C54B841" w14:textId="36FB834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92D773F" w14:textId="1081D3E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IWPP</w:t>
            </w:r>
          </w:p>
        </w:tc>
        <w:tc>
          <w:tcPr>
            <w:tcW w:w="850" w:type="dxa"/>
            <w:vAlign w:val="center"/>
          </w:tcPr>
          <w:p w14:paraId="0044795E" w14:textId="3D83A6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5DF0B794" w14:textId="4BA376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D14B72B" w14:textId="77777777" w:rsidTr="00555190">
        <w:tc>
          <w:tcPr>
            <w:tcW w:w="638" w:type="dxa"/>
            <w:vAlign w:val="center"/>
          </w:tcPr>
          <w:p w14:paraId="301B852A" w14:textId="1FE433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2000</w:t>
            </w:r>
          </w:p>
        </w:tc>
        <w:tc>
          <w:tcPr>
            <w:tcW w:w="1336" w:type="dxa"/>
            <w:vAlign w:val="center"/>
          </w:tcPr>
          <w:p w14:paraId="2AD068E9" w14:textId="740C14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8558585" w14:textId="2B7E31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Gas Co</w:t>
            </w:r>
          </w:p>
        </w:tc>
        <w:tc>
          <w:tcPr>
            <w:tcW w:w="850" w:type="dxa"/>
            <w:vAlign w:val="center"/>
          </w:tcPr>
          <w:p w14:paraId="23EFEEC0" w14:textId="1AE1686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413</w:t>
            </w:r>
          </w:p>
        </w:tc>
        <w:tc>
          <w:tcPr>
            <w:tcW w:w="3260" w:type="dxa"/>
            <w:vAlign w:val="center"/>
          </w:tcPr>
          <w:p w14:paraId="46A6EE67" w14:textId="47571B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A149536" w14:textId="77777777" w:rsidTr="00555190">
        <w:tc>
          <w:tcPr>
            <w:tcW w:w="638" w:type="dxa"/>
            <w:vAlign w:val="center"/>
          </w:tcPr>
          <w:p w14:paraId="6EC3A69D" w14:textId="73F46E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62DBC580" w14:textId="35F6F1E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434B211" w14:textId="736118C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Jubail United Petrochemical</w:t>
            </w:r>
          </w:p>
        </w:tc>
        <w:tc>
          <w:tcPr>
            <w:tcW w:w="850" w:type="dxa"/>
            <w:vAlign w:val="center"/>
          </w:tcPr>
          <w:p w14:paraId="14A0059A" w14:textId="72D673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1100</w:t>
            </w:r>
          </w:p>
        </w:tc>
        <w:tc>
          <w:tcPr>
            <w:tcW w:w="3260" w:type="dxa"/>
            <w:vAlign w:val="center"/>
          </w:tcPr>
          <w:p w14:paraId="5A03AD1A" w14:textId="2473F1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72B710B" w14:textId="77777777" w:rsidTr="00555190">
        <w:tc>
          <w:tcPr>
            <w:tcW w:w="638" w:type="dxa"/>
            <w:vAlign w:val="center"/>
          </w:tcPr>
          <w:p w14:paraId="62AD1F7E" w14:textId="380F5D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269E0DAD" w14:textId="0F420C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87F64B7" w14:textId="7CE9E3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SCE </w:t>
            </w:r>
            <w:proofErr w:type="spellStart"/>
            <w:r w:rsidRPr="00802732">
              <w:rPr>
                <w:rFonts w:asciiTheme="majorBidi" w:hAnsiTheme="majorBidi" w:cstheme="majorBidi"/>
                <w:color w:val="000000"/>
                <w:sz w:val="20"/>
                <w:szCs w:val="20"/>
              </w:rPr>
              <w:t>Ghazlan</w:t>
            </w:r>
            <w:proofErr w:type="spellEnd"/>
          </w:p>
        </w:tc>
        <w:tc>
          <w:tcPr>
            <w:tcW w:w="850" w:type="dxa"/>
            <w:vAlign w:val="center"/>
          </w:tcPr>
          <w:p w14:paraId="6A47832A" w14:textId="7F2E0E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501</w:t>
            </w:r>
          </w:p>
        </w:tc>
        <w:tc>
          <w:tcPr>
            <w:tcW w:w="3260" w:type="dxa"/>
            <w:vAlign w:val="center"/>
          </w:tcPr>
          <w:p w14:paraId="547FD56C" w14:textId="19E4A35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BA8A277" w14:textId="77777777" w:rsidTr="00555190">
        <w:tc>
          <w:tcPr>
            <w:tcW w:w="638" w:type="dxa"/>
            <w:vAlign w:val="center"/>
          </w:tcPr>
          <w:p w14:paraId="689C808B" w14:textId="0A73E92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56FC549F" w14:textId="7D4138A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94748D5" w14:textId="48099E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NIC</w:t>
            </w:r>
          </w:p>
        </w:tc>
        <w:tc>
          <w:tcPr>
            <w:tcW w:w="850" w:type="dxa"/>
            <w:vAlign w:val="center"/>
          </w:tcPr>
          <w:p w14:paraId="2EC1CA87" w14:textId="2FC7491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300</w:t>
            </w:r>
          </w:p>
        </w:tc>
        <w:tc>
          <w:tcPr>
            <w:tcW w:w="3260" w:type="dxa"/>
            <w:vAlign w:val="center"/>
          </w:tcPr>
          <w:p w14:paraId="5B836AE4" w14:textId="7FFFB11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269C9840" w14:textId="77777777" w:rsidTr="00555190">
        <w:tc>
          <w:tcPr>
            <w:tcW w:w="638" w:type="dxa"/>
            <w:vAlign w:val="center"/>
          </w:tcPr>
          <w:p w14:paraId="6F6D8FCF" w14:textId="499E5A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5932FD92" w14:textId="5375E1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436B02B" w14:textId="12FA20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Chevron Phillips SCP</w:t>
            </w:r>
          </w:p>
        </w:tc>
        <w:tc>
          <w:tcPr>
            <w:tcW w:w="850" w:type="dxa"/>
            <w:vAlign w:val="center"/>
          </w:tcPr>
          <w:p w14:paraId="11112B34" w14:textId="5F5FE24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275</w:t>
            </w:r>
          </w:p>
        </w:tc>
        <w:tc>
          <w:tcPr>
            <w:tcW w:w="3260" w:type="dxa"/>
            <w:vAlign w:val="center"/>
          </w:tcPr>
          <w:p w14:paraId="5AB32B9A" w14:textId="46A39A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353EF96" w14:textId="77777777" w:rsidTr="00555190">
        <w:tc>
          <w:tcPr>
            <w:tcW w:w="638" w:type="dxa"/>
            <w:vAlign w:val="center"/>
          </w:tcPr>
          <w:p w14:paraId="608998E7" w14:textId="47DF116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19BBC4F7" w14:textId="22A0396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37FF28C" w14:textId="1C0006C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Fertilizer Co (QAFCO)</w:t>
            </w:r>
          </w:p>
        </w:tc>
        <w:tc>
          <w:tcPr>
            <w:tcW w:w="850" w:type="dxa"/>
            <w:vAlign w:val="center"/>
          </w:tcPr>
          <w:p w14:paraId="6E88D540" w14:textId="6F5E687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400</w:t>
            </w:r>
          </w:p>
        </w:tc>
        <w:tc>
          <w:tcPr>
            <w:tcW w:w="3260" w:type="dxa"/>
            <w:vAlign w:val="center"/>
          </w:tcPr>
          <w:p w14:paraId="1269E3C6" w14:textId="2EF139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60FFDA8C" w14:textId="77777777" w:rsidTr="00555190">
        <w:tc>
          <w:tcPr>
            <w:tcW w:w="638" w:type="dxa"/>
            <w:vAlign w:val="center"/>
          </w:tcPr>
          <w:p w14:paraId="461AFA00" w14:textId="49E9854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13F5A7CC" w14:textId="06814C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23306C3" w14:textId="2CEE38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 Laffan</w:t>
            </w:r>
          </w:p>
        </w:tc>
        <w:tc>
          <w:tcPr>
            <w:tcW w:w="850" w:type="dxa"/>
            <w:vAlign w:val="center"/>
          </w:tcPr>
          <w:p w14:paraId="0A9755E3" w14:textId="77DFBD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580</w:t>
            </w:r>
          </w:p>
        </w:tc>
        <w:tc>
          <w:tcPr>
            <w:tcW w:w="3260" w:type="dxa"/>
            <w:vAlign w:val="center"/>
          </w:tcPr>
          <w:p w14:paraId="6AC6A048" w14:textId="31A3FE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2ED4AB7" w14:textId="77777777" w:rsidTr="00555190">
        <w:tc>
          <w:tcPr>
            <w:tcW w:w="638" w:type="dxa"/>
            <w:vAlign w:val="center"/>
          </w:tcPr>
          <w:p w14:paraId="52701861" w14:textId="0F9B33D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3164342E" w14:textId="30AC399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6C32949C" w14:textId="050601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Abu </w:t>
            </w:r>
            <w:proofErr w:type="spellStart"/>
            <w:r w:rsidRPr="00802732">
              <w:rPr>
                <w:rFonts w:asciiTheme="majorBidi" w:hAnsiTheme="majorBidi" w:cstheme="majorBidi"/>
                <w:color w:val="000000"/>
                <w:sz w:val="20"/>
                <w:szCs w:val="20"/>
              </w:rPr>
              <w:t>Fontas</w:t>
            </w:r>
            <w:proofErr w:type="spellEnd"/>
          </w:p>
        </w:tc>
        <w:tc>
          <w:tcPr>
            <w:tcW w:w="850" w:type="dxa"/>
            <w:vAlign w:val="center"/>
          </w:tcPr>
          <w:p w14:paraId="6B7C24F2" w14:textId="623FBC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140</w:t>
            </w:r>
          </w:p>
        </w:tc>
        <w:tc>
          <w:tcPr>
            <w:tcW w:w="3260" w:type="dxa"/>
            <w:vAlign w:val="center"/>
          </w:tcPr>
          <w:p w14:paraId="14A256EC" w14:textId="32199B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4B8C9B40" w14:textId="77777777" w:rsidTr="00555190">
        <w:tc>
          <w:tcPr>
            <w:tcW w:w="638" w:type="dxa"/>
            <w:vAlign w:val="center"/>
          </w:tcPr>
          <w:p w14:paraId="5458240C" w14:textId="68F9F0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546BCAD5" w14:textId="7A1117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6512B7D" w14:textId="2E84914E"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Shuweihat</w:t>
            </w:r>
            <w:proofErr w:type="spellEnd"/>
            <w:r w:rsidRPr="00802732">
              <w:rPr>
                <w:rFonts w:asciiTheme="majorBidi" w:hAnsiTheme="majorBidi" w:cstheme="majorBidi"/>
                <w:color w:val="000000"/>
                <w:sz w:val="20"/>
                <w:szCs w:val="20"/>
              </w:rPr>
              <w:t xml:space="preserve"> IWPP</w:t>
            </w:r>
          </w:p>
        </w:tc>
        <w:tc>
          <w:tcPr>
            <w:tcW w:w="850" w:type="dxa"/>
            <w:vAlign w:val="center"/>
          </w:tcPr>
          <w:p w14:paraId="32FE39A5" w14:textId="2849B1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1638</w:t>
            </w:r>
          </w:p>
        </w:tc>
        <w:tc>
          <w:tcPr>
            <w:tcW w:w="3260" w:type="dxa"/>
            <w:vAlign w:val="center"/>
          </w:tcPr>
          <w:p w14:paraId="5DF6439C" w14:textId="2906BB7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3AC9265" w14:textId="77777777" w:rsidTr="00555190">
        <w:tc>
          <w:tcPr>
            <w:tcW w:w="638" w:type="dxa"/>
            <w:vAlign w:val="center"/>
          </w:tcPr>
          <w:p w14:paraId="6C2CCF72" w14:textId="2FA7B9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0E1F4985" w14:textId="2BAEBC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61542597" w14:textId="5C228D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AES </w:t>
            </w: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SAOC</w:t>
            </w:r>
          </w:p>
        </w:tc>
        <w:tc>
          <w:tcPr>
            <w:tcW w:w="850" w:type="dxa"/>
            <w:vAlign w:val="center"/>
          </w:tcPr>
          <w:p w14:paraId="74330D7C" w14:textId="75E7943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348</w:t>
            </w:r>
          </w:p>
        </w:tc>
        <w:tc>
          <w:tcPr>
            <w:tcW w:w="3260" w:type="dxa"/>
            <w:vAlign w:val="center"/>
          </w:tcPr>
          <w:p w14:paraId="65994302" w14:textId="1903D0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E8EC658" w14:textId="77777777" w:rsidTr="00555190">
        <w:tc>
          <w:tcPr>
            <w:tcW w:w="638" w:type="dxa"/>
            <w:vAlign w:val="center"/>
          </w:tcPr>
          <w:p w14:paraId="4E791165" w14:textId="740EE37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159D2E54" w14:textId="2F53F3E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A070FCD" w14:textId="4EBD3E4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 Kamil Power Co</w:t>
            </w:r>
          </w:p>
        </w:tc>
        <w:tc>
          <w:tcPr>
            <w:tcW w:w="850" w:type="dxa"/>
            <w:vAlign w:val="center"/>
          </w:tcPr>
          <w:p w14:paraId="0BF609A9" w14:textId="67C067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78DD583B" w14:textId="59B4ED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E81EEEA" w14:textId="77777777" w:rsidTr="00555190">
        <w:tc>
          <w:tcPr>
            <w:tcW w:w="638" w:type="dxa"/>
            <w:vAlign w:val="center"/>
          </w:tcPr>
          <w:p w14:paraId="265C0200" w14:textId="57F473A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32C58049" w14:textId="1D3D40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DD73288" w14:textId="295BCAE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LNG</w:t>
            </w:r>
          </w:p>
        </w:tc>
        <w:tc>
          <w:tcPr>
            <w:tcW w:w="850" w:type="dxa"/>
            <w:vAlign w:val="center"/>
          </w:tcPr>
          <w:p w14:paraId="23BA6639" w14:textId="56CA51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1356</w:t>
            </w:r>
          </w:p>
        </w:tc>
        <w:tc>
          <w:tcPr>
            <w:tcW w:w="3260" w:type="dxa"/>
            <w:vAlign w:val="center"/>
          </w:tcPr>
          <w:p w14:paraId="40F051E1" w14:textId="7CC80BA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C50446B" w14:textId="77777777" w:rsidTr="00555190">
        <w:tc>
          <w:tcPr>
            <w:tcW w:w="638" w:type="dxa"/>
            <w:vAlign w:val="center"/>
          </w:tcPr>
          <w:p w14:paraId="39B78078" w14:textId="6DE9255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4FC83FED" w14:textId="41BBCD5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0495A1D" w14:textId="15AA85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Dhofar Power Co</w:t>
            </w:r>
          </w:p>
        </w:tc>
        <w:tc>
          <w:tcPr>
            <w:tcW w:w="850" w:type="dxa"/>
            <w:vAlign w:val="center"/>
          </w:tcPr>
          <w:p w14:paraId="2912DD68" w14:textId="71573EB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226</w:t>
            </w:r>
          </w:p>
        </w:tc>
        <w:tc>
          <w:tcPr>
            <w:tcW w:w="3260" w:type="dxa"/>
            <w:vAlign w:val="center"/>
          </w:tcPr>
          <w:p w14:paraId="53C4B493" w14:textId="1A58E3A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5D68A14" w14:textId="77777777" w:rsidTr="00555190">
        <w:tc>
          <w:tcPr>
            <w:tcW w:w="638" w:type="dxa"/>
            <w:vAlign w:val="center"/>
          </w:tcPr>
          <w:p w14:paraId="6E5D8E9E" w14:textId="2E7BFA2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2001</w:t>
            </w:r>
          </w:p>
        </w:tc>
        <w:tc>
          <w:tcPr>
            <w:tcW w:w="1336" w:type="dxa"/>
            <w:vAlign w:val="center"/>
          </w:tcPr>
          <w:p w14:paraId="163523C2" w14:textId="1D05B5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0FA993BC" w14:textId="7096EC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Equate Petrochemicals</w:t>
            </w:r>
          </w:p>
        </w:tc>
        <w:tc>
          <w:tcPr>
            <w:tcW w:w="850" w:type="dxa"/>
            <w:vAlign w:val="center"/>
          </w:tcPr>
          <w:p w14:paraId="779546FF" w14:textId="26152C0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900</w:t>
            </w:r>
          </w:p>
        </w:tc>
        <w:tc>
          <w:tcPr>
            <w:tcW w:w="3260" w:type="dxa"/>
            <w:vAlign w:val="center"/>
          </w:tcPr>
          <w:p w14:paraId="34D18B37" w14:textId="725DF2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72F6D870" w14:textId="77777777" w:rsidTr="00555190">
        <w:tc>
          <w:tcPr>
            <w:tcW w:w="638" w:type="dxa"/>
            <w:vAlign w:val="center"/>
          </w:tcPr>
          <w:p w14:paraId="727C1DF2" w14:textId="28CEE65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2002</w:t>
            </w:r>
          </w:p>
        </w:tc>
        <w:tc>
          <w:tcPr>
            <w:tcW w:w="1336" w:type="dxa"/>
            <w:vAlign w:val="center"/>
          </w:tcPr>
          <w:p w14:paraId="1E95B059" w14:textId="1448CD3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F9AFB4E" w14:textId="051707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Al-Jubail Fertilizer</w:t>
            </w:r>
          </w:p>
        </w:tc>
        <w:tc>
          <w:tcPr>
            <w:tcW w:w="850" w:type="dxa"/>
            <w:vAlign w:val="center"/>
          </w:tcPr>
          <w:p w14:paraId="27A7C949" w14:textId="66D4F7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280</w:t>
            </w:r>
          </w:p>
        </w:tc>
        <w:tc>
          <w:tcPr>
            <w:tcW w:w="3260" w:type="dxa"/>
            <w:vAlign w:val="center"/>
          </w:tcPr>
          <w:p w14:paraId="6AE1C95D" w14:textId="623052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0AA20289" w14:textId="77777777" w:rsidTr="00555190">
        <w:tc>
          <w:tcPr>
            <w:tcW w:w="638" w:type="dxa"/>
            <w:vAlign w:val="center"/>
          </w:tcPr>
          <w:p w14:paraId="02DA3102" w14:textId="19BDAE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2002</w:t>
            </w:r>
          </w:p>
        </w:tc>
        <w:tc>
          <w:tcPr>
            <w:tcW w:w="1336" w:type="dxa"/>
            <w:vAlign w:val="center"/>
          </w:tcPr>
          <w:p w14:paraId="0796D7FF" w14:textId="0AAA299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40E902F1" w14:textId="53FFEA9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Fuel Additives Co (</w:t>
            </w:r>
            <w:proofErr w:type="spellStart"/>
            <w:r w:rsidRPr="00802732">
              <w:rPr>
                <w:rFonts w:asciiTheme="majorBidi" w:hAnsiTheme="majorBidi" w:cstheme="majorBidi"/>
                <w:color w:val="000000"/>
                <w:sz w:val="20"/>
                <w:szCs w:val="20"/>
              </w:rPr>
              <w:t>Qafac</w:t>
            </w:r>
            <w:proofErr w:type="spellEnd"/>
            <w:r w:rsidRPr="00802732">
              <w:rPr>
                <w:rFonts w:asciiTheme="majorBidi" w:hAnsiTheme="majorBidi" w:cstheme="majorBidi"/>
                <w:color w:val="000000"/>
                <w:sz w:val="20"/>
                <w:szCs w:val="20"/>
              </w:rPr>
              <w:t>)</w:t>
            </w:r>
          </w:p>
        </w:tc>
        <w:tc>
          <w:tcPr>
            <w:tcW w:w="850" w:type="dxa"/>
            <w:vAlign w:val="center"/>
          </w:tcPr>
          <w:p w14:paraId="4622B5F3" w14:textId="1E514DC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300</w:t>
            </w:r>
          </w:p>
        </w:tc>
        <w:tc>
          <w:tcPr>
            <w:tcW w:w="3260" w:type="dxa"/>
            <w:vAlign w:val="center"/>
          </w:tcPr>
          <w:p w14:paraId="3CAB171A" w14:textId="0187445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563DF869" w14:textId="77777777" w:rsidTr="00555190">
        <w:tc>
          <w:tcPr>
            <w:tcW w:w="638" w:type="dxa"/>
            <w:vAlign w:val="center"/>
          </w:tcPr>
          <w:p w14:paraId="0447FD31" w14:textId="0518D7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2002</w:t>
            </w:r>
          </w:p>
        </w:tc>
        <w:tc>
          <w:tcPr>
            <w:tcW w:w="1336" w:type="dxa"/>
            <w:vAlign w:val="center"/>
          </w:tcPr>
          <w:p w14:paraId="58C8F5D9" w14:textId="51FB1E7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08C76C0" w14:textId="37CD94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India Fertiliser Co</w:t>
            </w:r>
          </w:p>
        </w:tc>
        <w:tc>
          <w:tcPr>
            <w:tcW w:w="850" w:type="dxa"/>
            <w:vAlign w:val="center"/>
          </w:tcPr>
          <w:p w14:paraId="17B47354" w14:textId="40C7395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677</w:t>
            </w:r>
          </w:p>
        </w:tc>
        <w:tc>
          <w:tcPr>
            <w:tcW w:w="3260" w:type="dxa"/>
            <w:vAlign w:val="center"/>
          </w:tcPr>
          <w:p w14:paraId="00B90D40" w14:textId="29ED682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7F6DE58A" w14:textId="77777777" w:rsidTr="00555190">
        <w:tc>
          <w:tcPr>
            <w:tcW w:w="638" w:type="dxa"/>
            <w:vAlign w:val="center"/>
          </w:tcPr>
          <w:p w14:paraId="226FBBC6" w14:textId="792EA4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2002</w:t>
            </w:r>
          </w:p>
        </w:tc>
        <w:tc>
          <w:tcPr>
            <w:tcW w:w="1336" w:type="dxa"/>
            <w:vAlign w:val="center"/>
          </w:tcPr>
          <w:p w14:paraId="338361E3" w14:textId="320D7A9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524F1BD4" w14:textId="0E891C2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Development Company</w:t>
            </w:r>
          </w:p>
        </w:tc>
        <w:tc>
          <w:tcPr>
            <w:tcW w:w="850" w:type="dxa"/>
            <w:vAlign w:val="center"/>
          </w:tcPr>
          <w:p w14:paraId="3FEB701A" w14:textId="591973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378.8</w:t>
            </w:r>
          </w:p>
        </w:tc>
        <w:tc>
          <w:tcPr>
            <w:tcW w:w="3260" w:type="dxa"/>
            <w:vAlign w:val="center"/>
          </w:tcPr>
          <w:p w14:paraId="4638785A" w14:textId="3B45D0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5CC7BF9" w14:textId="77777777" w:rsidTr="00555190">
        <w:tc>
          <w:tcPr>
            <w:tcW w:w="638" w:type="dxa"/>
            <w:vAlign w:val="center"/>
          </w:tcPr>
          <w:p w14:paraId="360BDEF6" w14:textId="3D0302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2002</w:t>
            </w:r>
          </w:p>
        </w:tc>
        <w:tc>
          <w:tcPr>
            <w:tcW w:w="1336" w:type="dxa"/>
            <w:vAlign w:val="center"/>
          </w:tcPr>
          <w:p w14:paraId="007558B7" w14:textId="7DD3DF6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30D913B0" w14:textId="4047251B"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Sulaibiya</w:t>
            </w:r>
            <w:proofErr w:type="spellEnd"/>
            <w:r w:rsidRPr="00802732">
              <w:rPr>
                <w:rFonts w:asciiTheme="majorBidi" w:hAnsiTheme="majorBidi" w:cstheme="majorBidi"/>
                <w:color w:val="000000"/>
                <w:sz w:val="20"/>
                <w:szCs w:val="20"/>
              </w:rPr>
              <w:t xml:space="preserve"> Waste Water Project</w:t>
            </w:r>
          </w:p>
        </w:tc>
        <w:tc>
          <w:tcPr>
            <w:tcW w:w="850" w:type="dxa"/>
            <w:vAlign w:val="center"/>
          </w:tcPr>
          <w:p w14:paraId="12D50B0D" w14:textId="08F8AC9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429.9</w:t>
            </w:r>
          </w:p>
        </w:tc>
        <w:tc>
          <w:tcPr>
            <w:tcW w:w="3260" w:type="dxa"/>
            <w:vAlign w:val="center"/>
          </w:tcPr>
          <w:p w14:paraId="1215B4F9" w14:textId="01D460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D44BC38" w14:textId="77777777" w:rsidTr="00555190">
        <w:tc>
          <w:tcPr>
            <w:tcW w:w="638" w:type="dxa"/>
            <w:vAlign w:val="center"/>
          </w:tcPr>
          <w:p w14:paraId="70BCFAE6" w14:textId="5F3552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2002</w:t>
            </w:r>
          </w:p>
        </w:tc>
        <w:tc>
          <w:tcPr>
            <w:tcW w:w="1336" w:type="dxa"/>
            <w:vAlign w:val="center"/>
          </w:tcPr>
          <w:p w14:paraId="1CF2403E" w14:textId="3A11B35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14975993" w14:textId="5B6CDCEA"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Hidd</w:t>
            </w:r>
            <w:proofErr w:type="spellEnd"/>
            <w:r w:rsidRPr="00802732">
              <w:rPr>
                <w:rFonts w:asciiTheme="majorBidi" w:hAnsiTheme="majorBidi" w:cstheme="majorBidi"/>
                <w:color w:val="000000"/>
                <w:sz w:val="20"/>
                <w:szCs w:val="20"/>
              </w:rPr>
              <w:t xml:space="preserve"> Power Expansion Project</w:t>
            </w:r>
          </w:p>
        </w:tc>
        <w:tc>
          <w:tcPr>
            <w:tcW w:w="850" w:type="dxa"/>
            <w:vAlign w:val="center"/>
          </w:tcPr>
          <w:p w14:paraId="0D542815" w14:textId="6336148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254.9</w:t>
            </w:r>
          </w:p>
        </w:tc>
        <w:tc>
          <w:tcPr>
            <w:tcW w:w="3260" w:type="dxa"/>
            <w:vAlign w:val="center"/>
          </w:tcPr>
          <w:p w14:paraId="709272A3" w14:textId="7ADAB59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EBD89A1" w14:textId="77777777" w:rsidTr="00555190">
        <w:tc>
          <w:tcPr>
            <w:tcW w:w="638" w:type="dxa"/>
            <w:vAlign w:val="center"/>
          </w:tcPr>
          <w:p w14:paraId="10F5847E" w14:textId="24A7D8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35E88893" w14:textId="6000B3E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4CC4F16" w14:textId="044245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Petrochemical</w:t>
            </w:r>
          </w:p>
        </w:tc>
        <w:tc>
          <w:tcPr>
            <w:tcW w:w="850" w:type="dxa"/>
            <w:vAlign w:val="center"/>
          </w:tcPr>
          <w:p w14:paraId="1D02D71C" w14:textId="771BC4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649.8</w:t>
            </w:r>
          </w:p>
        </w:tc>
        <w:tc>
          <w:tcPr>
            <w:tcW w:w="3260" w:type="dxa"/>
            <w:vAlign w:val="center"/>
          </w:tcPr>
          <w:p w14:paraId="11031807" w14:textId="4D4603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07D3509" w14:textId="77777777" w:rsidTr="00555190">
        <w:tc>
          <w:tcPr>
            <w:tcW w:w="638" w:type="dxa"/>
            <w:vAlign w:val="center"/>
          </w:tcPr>
          <w:p w14:paraId="0855AB1A" w14:textId="457C0F9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5991AE1B" w14:textId="3C18EE3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4D11B59" w14:textId="4C29CEF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Sadaf Cogeneration Project</w:t>
            </w:r>
          </w:p>
        </w:tc>
        <w:tc>
          <w:tcPr>
            <w:tcW w:w="850" w:type="dxa"/>
            <w:vAlign w:val="center"/>
          </w:tcPr>
          <w:p w14:paraId="2513017F" w14:textId="19592AF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170</w:t>
            </w:r>
          </w:p>
        </w:tc>
        <w:tc>
          <w:tcPr>
            <w:tcW w:w="3260" w:type="dxa"/>
            <w:vAlign w:val="center"/>
          </w:tcPr>
          <w:p w14:paraId="652D28A5" w14:textId="61F8462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21C9CB8" w14:textId="77777777" w:rsidTr="00555190">
        <w:tc>
          <w:tcPr>
            <w:tcW w:w="638" w:type="dxa"/>
            <w:vAlign w:val="center"/>
          </w:tcPr>
          <w:p w14:paraId="2E684DBF" w14:textId="57BEE2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727B6A0E" w14:textId="2E6119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3A09AD8" w14:textId="4335F2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Gas to Liquids Project</w:t>
            </w:r>
          </w:p>
        </w:tc>
        <w:tc>
          <w:tcPr>
            <w:tcW w:w="850" w:type="dxa"/>
            <w:vAlign w:val="center"/>
          </w:tcPr>
          <w:p w14:paraId="4360F868" w14:textId="7230E09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700</w:t>
            </w:r>
          </w:p>
        </w:tc>
        <w:tc>
          <w:tcPr>
            <w:tcW w:w="3260" w:type="dxa"/>
            <w:vAlign w:val="center"/>
          </w:tcPr>
          <w:p w14:paraId="7A268080" w14:textId="2C8D0E1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70875BB" w14:textId="77777777" w:rsidTr="00555190">
        <w:tc>
          <w:tcPr>
            <w:tcW w:w="638" w:type="dxa"/>
            <w:vAlign w:val="center"/>
          </w:tcPr>
          <w:p w14:paraId="0EB5202E" w14:textId="6C693DC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55A03650" w14:textId="50BF59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7E507E57" w14:textId="443CB7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LNG Shipping</w:t>
            </w:r>
          </w:p>
        </w:tc>
        <w:tc>
          <w:tcPr>
            <w:tcW w:w="850" w:type="dxa"/>
            <w:vAlign w:val="center"/>
          </w:tcPr>
          <w:p w14:paraId="710BC34B" w14:textId="6D432A1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134.7</w:t>
            </w:r>
          </w:p>
        </w:tc>
        <w:tc>
          <w:tcPr>
            <w:tcW w:w="3260" w:type="dxa"/>
            <w:vAlign w:val="center"/>
          </w:tcPr>
          <w:p w14:paraId="6B4FFF77" w14:textId="171EBFC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3480FCD" w14:textId="77777777" w:rsidTr="00555190">
        <w:tc>
          <w:tcPr>
            <w:tcW w:w="638" w:type="dxa"/>
            <w:vAlign w:val="center"/>
          </w:tcPr>
          <w:p w14:paraId="1A9990BB" w14:textId="1362047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10520AE9" w14:textId="0D3BEA3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3679503B" w14:textId="5DE08F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Vinyl Co</w:t>
            </w:r>
          </w:p>
        </w:tc>
        <w:tc>
          <w:tcPr>
            <w:tcW w:w="850" w:type="dxa"/>
            <w:vAlign w:val="center"/>
          </w:tcPr>
          <w:p w14:paraId="6707BB20" w14:textId="6151F4D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459.8</w:t>
            </w:r>
          </w:p>
        </w:tc>
        <w:tc>
          <w:tcPr>
            <w:tcW w:w="3260" w:type="dxa"/>
            <w:vAlign w:val="center"/>
          </w:tcPr>
          <w:p w14:paraId="2EA2B6B5" w14:textId="1815E3D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5DF163B" w14:textId="77777777" w:rsidTr="00555190">
        <w:tc>
          <w:tcPr>
            <w:tcW w:w="638" w:type="dxa"/>
            <w:vAlign w:val="center"/>
          </w:tcPr>
          <w:p w14:paraId="6E930157" w14:textId="40B91D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lastRenderedPageBreak/>
              <w:t>2003</w:t>
            </w:r>
          </w:p>
        </w:tc>
        <w:tc>
          <w:tcPr>
            <w:tcW w:w="1336" w:type="dxa"/>
            <w:vAlign w:val="center"/>
          </w:tcPr>
          <w:p w14:paraId="18A74697" w14:textId="2575461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644BDC8E" w14:textId="23D900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Umm Al Nar Power Co</w:t>
            </w:r>
          </w:p>
        </w:tc>
        <w:tc>
          <w:tcPr>
            <w:tcW w:w="850" w:type="dxa"/>
            <w:vAlign w:val="center"/>
          </w:tcPr>
          <w:p w14:paraId="4D591B49" w14:textId="0B64EE1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1777.6</w:t>
            </w:r>
          </w:p>
        </w:tc>
        <w:tc>
          <w:tcPr>
            <w:tcW w:w="3260" w:type="dxa"/>
            <w:vAlign w:val="center"/>
          </w:tcPr>
          <w:p w14:paraId="6E78A857" w14:textId="0CB44C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8843101" w14:textId="77777777" w:rsidTr="00555190">
        <w:tc>
          <w:tcPr>
            <w:tcW w:w="638" w:type="dxa"/>
            <w:vAlign w:val="center"/>
          </w:tcPr>
          <w:p w14:paraId="7A649C63" w14:textId="7B45136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00D082B2" w14:textId="0ED482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A329C89" w14:textId="08C7D0A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Ajman Sewerage Company Ltd</w:t>
            </w:r>
          </w:p>
        </w:tc>
        <w:tc>
          <w:tcPr>
            <w:tcW w:w="850" w:type="dxa"/>
            <w:vAlign w:val="center"/>
          </w:tcPr>
          <w:p w14:paraId="62AC249C" w14:textId="0312A9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77.6</w:t>
            </w:r>
          </w:p>
        </w:tc>
        <w:tc>
          <w:tcPr>
            <w:tcW w:w="3260" w:type="dxa"/>
            <w:vAlign w:val="center"/>
          </w:tcPr>
          <w:p w14:paraId="01056F1C" w14:textId="711818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F24020D" w14:textId="77777777" w:rsidTr="00555190">
        <w:tc>
          <w:tcPr>
            <w:tcW w:w="638" w:type="dxa"/>
            <w:vAlign w:val="center"/>
          </w:tcPr>
          <w:p w14:paraId="1258D72C" w14:textId="7AEBF9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75436FD3" w14:textId="13CDF8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725DE60" w14:textId="3CCE08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Refinery Co</w:t>
            </w:r>
          </w:p>
        </w:tc>
        <w:tc>
          <w:tcPr>
            <w:tcW w:w="850" w:type="dxa"/>
            <w:vAlign w:val="center"/>
          </w:tcPr>
          <w:p w14:paraId="42D0D1EE" w14:textId="70FD38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908</w:t>
            </w:r>
          </w:p>
        </w:tc>
        <w:tc>
          <w:tcPr>
            <w:tcW w:w="3260" w:type="dxa"/>
            <w:vAlign w:val="center"/>
          </w:tcPr>
          <w:p w14:paraId="6012751F" w14:textId="27DF92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C09AECD" w14:textId="77777777" w:rsidTr="00555190">
        <w:tc>
          <w:tcPr>
            <w:tcW w:w="638" w:type="dxa"/>
            <w:vAlign w:val="center"/>
          </w:tcPr>
          <w:p w14:paraId="636F73C1" w14:textId="6734FA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2003</w:t>
            </w:r>
          </w:p>
        </w:tc>
        <w:tc>
          <w:tcPr>
            <w:tcW w:w="1336" w:type="dxa"/>
            <w:vAlign w:val="center"/>
          </w:tcPr>
          <w:p w14:paraId="45B89472" w14:textId="6E7F5E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5523B161" w14:textId="4B9DD29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Aluminium Bahrain BSC </w:t>
            </w:r>
            <w:r>
              <w:rPr>
                <w:rFonts w:asciiTheme="majorBidi" w:hAnsiTheme="majorBidi" w:cstheme="majorBidi"/>
                <w:color w:val="000000"/>
                <w:sz w:val="20"/>
                <w:szCs w:val="20"/>
              </w:rPr>
              <w:t>(</w:t>
            </w:r>
            <w:r w:rsidRPr="00802732">
              <w:rPr>
                <w:rFonts w:asciiTheme="majorBidi" w:hAnsiTheme="majorBidi" w:cstheme="majorBidi"/>
                <w:color w:val="000000"/>
                <w:sz w:val="20"/>
                <w:szCs w:val="20"/>
              </w:rPr>
              <w:t>ALBA</w:t>
            </w:r>
            <w:r>
              <w:rPr>
                <w:rFonts w:asciiTheme="majorBidi" w:hAnsiTheme="majorBidi" w:cstheme="majorBidi"/>
                <w:color w:val="000000"/>
                <w:sz w:val="20"/>
                <w:szCs w:val="20"/>
              </w:rPr>
              <w:t>)</w:t>
            </w:r>
          </w:p>
        </w:tc>
        <w:tc>
          <w:tcPr>
            <w:tcW w:w="850" w:type="dxa"/>
            <w:vAlign w:val="center"/>
          </w:tcPr>
          <w:p w14:paraId="5558B984" w14:textId="368B81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1350</w:t>
            </w:r>
          </w:p>
        </w:tc>
        <w:tc>
          <w:tcPr>
            <w:tcW w:w="3260" w:type="dxa"/>
            <w:vAlign w:val="center"/>
          </w:tcPr>
          <w:p w14:paraId="47D1F0A4" w14:textId="639851B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135BCBBC" w14:textId="77777777" w:rsidTr="00555190">
        <w:tc>
          <w:tcPr>
            <w:tcW w:w="638" w:type="dxa"/>
            <w:vAlign w:val="center"/>
          </w:tcPr>
          <w:p w14:paraId="7A83C589" w14:textId="0CE9EFC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2C3E1B85" w14:textId="67489BA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5B295CE" w14:textId="204BA3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Etisalat Saudi Arabia</w:t>
            </w:r>
          </w:p>
        </w:tc>
        <w:tc>
          <w:tcPr>
            <w:tcW w:w="850" w:type="dxa"/>
            <w:vAlign w:val="center"/>
          </w:tcPr>
          <w:p w14:paraId="0F29ED89" w14:textId="0D14FA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2350.4</w:t>
            </w:r>
          </w:p>
        </w:tc>
        <w:tc>
          <w:tcPr>
            <w:tcW w:w="3260" w:type="dxa"/>
            <w:vAlign w:val="center"/>
          </w:tcPr>
          <w:p w14:paraId="568A513F" w14:textId="4E7CAE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Telecoms</w:t>
            </w:r>
          </w:p>
        </w:tc>
      </w:tr>
      <w:tr w:rsidR="00802732" w:rsidRPr="00802732" w14:paraId="0D9ECC6B" w14:textId="77777777" w:rsidTr="00555190">
        <w:tc>
          <w:tcPr>
            <w:tcW w:w="638" w:type="dxa"/>
            <w:vAlign w:val="center"/>
          </w:tcPr>
          <w:p w14:paraId="43A3A9B6" w14:textId="44EDF8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78B290B8" w14:textId="7A5620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566C85E" w14:textId="3C5645E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Chevron Phillips SCP</w:t>
            </w:r>
          </w:p>
        </w:tc>
        <w:tc>
          <w:tcPr>
            <w:tcW w:w="850" w:type="dxa"/>
            <w:vAlign w:val="center"/>
          </w:tcPr>
          <w:p w14:paraId="0321C326" w14:textId="03601D3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250.2</w:t>
            </w:r>
          </w:p>
        </w:tc>
        <w:tc>
          <w:tcPr>
            <w:tcW w:w="3260" w:type="dxa"/>
            <w:vAlign w:val="center"/>
          </w:tcPr>
          <w:p w14:paraId="41484C2A" w14:textId="35A891C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714C74A" w14:textId="77777777" w:rsidTr="00555190">
        <w:tc>
          <w:tcPr>
            <w:tcW w:w="638" w:type="dxa"/>
            <w:vAlign w:val="center"/>
          </w:tcPr>
          <w:p w14:paraId="2014D13B" w14:textId="36BD3DB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59AB8C4A" w14:textId="006F879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531D424" w14:textId="24B5D4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Safco IV</w:t>
            </w:r>
          </w:p>
        </w:tc>
        <w:tc>
          <w:tcPr>
            <w:tcW w:w="850" w:type="dxa"/>
            <w:vAlign w:val="center"/>
          </w:tcPr>
          <w:p w14:paraId="03A43A14" w14:textId="553A8E4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330</w:t>
            </w:r>
          </w:p>
        </w:tc>
        <w:tc>
          <w:tcPr>
            <w:tcW w:w="3260" w:type="dxa"/>
            <w:vAlign w:val="center"/>
          </w:tcPr>
          <w:p w14:paraId="4E54D24E" w14:textId="712B7B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EB03613" w14:textId="77777777" w:rsidTr="00555190">
        <w:tc>
          <w:tcPr>
            <w:tcW w:w="638" w:type="dxa"/>
            <w:vAlign w:val="center"/>
          </w:tcPr>
          <w:p w14:paraId="632E2A43" w14:textId="278CE2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7D183802" w14:textId="68B366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529A59B" w14:textId="509EC8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Chevron Phillips SCP</w:t>
            </w:r>
          </w:p>
        </w:tc>
        <w:tc>
          <w:tcPr>
            <w:tcW w:w="850" w:type="dxa"/>
            <w:vAlign w:val="center"/>
          </w:tcPr>
          <w:p w14:paraId="49C2EEF8" w14:textId="04FFEC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281</w:t>
            </w:r>
          </w:p>
        </w:tc>
        <w:tc>
          <w:tcPr>
            <w:tcW w:w="3260" w:type="dxa"/>
            <w:vAlign w:val="center"/>
          </w:tcPr>
          <w:p w14:paraId="56567AC2" w14:textId="12138F6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73623118" w14:textId="77777777" w:rsidTr="00555190">
        <w:tc>
          <w:tcPr>
            <w:tcW w:w="638" w:type="dxa"/>
            <w:vAlign w:val="center"/>
          </w:tcPr>
          <w:p w14:paraId="59174952" w14:textId="6E85475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6D64C77F" w14:textId="1EA1074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E4644E1" w14:textId="3D8962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Aramco IPP</w:t>
            </w:r>
          </w:p>
        </w:tc>
        <w:tc>
          <w:tcPr>
            <w:tcW w:w="850" w:type="dxa"/>
            <w:vAlign w:val="center"/>
          </w:tcPr>
          <w:p w14:paraId="78CD3B62" w14:textId="7022E1B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515.1</w:t>
            </w:r>
          </w:p>
        </w:tc>
        <w:tc>
          <w:tcPr>
            <w:tcW w:w="3260" w:type="dxa"/>
            <w:vAlign w:val="center"/>
          </w:tcPr>
          <w:p w14:paraId="746C2206" w14:textId="07D2CDA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A22EC96" w14:textId="77777777" w:rsidTr="00555190">
        <w:tc>
          <w:tcPr>
            <w:tcW w:w="638" w:type="dxa"/>
            <w:vAlign w:val="center"/>
          </w:tcPr>
          <w:p w14:paraId="19025BBC" w14:textId="326E166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0A85F213" w14:textId="0025A5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4FA46DE9" w14:textId="520825B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Rasgas II LNG Vessels</w:t>
            </w:r>
          </w:p>
        </w:tc>
        <w:tc>
          <w:tcPr>
            <w:tcW w:w="850" w:type="dxa"/>
            <w:vAlign w:val="center"/>
          </w:tcPr>
          <w:p w14:paraId="72196785" w14:textId="62CCFFB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568.8</w:t>
            </w:r>
          </w:p>
        </w:tc>
        <w:tc>
          <w:tcPr>
            <w:tcW w:w="3260" w:type="dxa"/>
            <w:vAlign w:val="center"/>
          </w:tcPr>
          <w:p w14:paraId="53A55E63" w14:textId="159F505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60A104B4" w14:textId="77777777" w:rsidTr="00555190">
        <w:tc>
          <w:tcPr>
            <w:tcW w:w="638" w:type="dxa"/>
            <w:vAlign w:val="center"/>
          </w:tcPr>
          <w:p w14:paraId="78DAEA31" w14:textId="0199BAA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01574062" w14:textId="44FE6C0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B4D9658" w14:textId="382DBC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Qatargas</w:t>
            </w:r>
          </w:p>
        </w:tc>
        <w:tc>
          <w:tcPr>
            <w:tcW w:w="850" w:type="dxa"/>
            <w:vAlign w:val="center"/>
          </w:tcPr>
          <w:p w14:paraId="3A8D5DED" w14:textId="3809E6E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4105.4</w:t>
            </w:r>
          </w:p>
        </w:tc>
        <w:tc>
          <w:tcPr>
            <w:tcW w:w="3260" w:type="dxa"/>
            <w:vAlign w:val="center"/>
          </w:tcPr>
          <w:p w14:paraId="5C5915AA" w14:textId="023DDE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40319C65" w14:textId="77777777" w:rsidTr="00555190">
        <w:tc>
          <w:tcPr>
            <w:tcW w:w="638" w:type="dxa"/>
            <w:vAlign w:val="center"/>
          </w:tcPr>
          <w:p w14:paraId="1C3E6774" w14:textId="11DB77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21137C7F" w14:textId="6D7FA7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39BE630" w14:textId="4ECAD13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Dolphin Energy Ltd (DEL)</w:t>
            </w:r>
          </w:p>
        </w:tc>
        <w:tc>
          <w:tcPr>
            <w:tcW w:w="850" w:type="dxa"/>
            <w:vAlign w:val="center"/>
          </w:tcPr>
          <w:p w14:paraId="0EDA6EF2" w14:textId="78BF71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1440</w:t>
            </w:r>
          </w:p>
        </w:tc>
        <w:tc>
          <w:tcPr>
            <w:tcW w:w="3260" w:type="dxa"/>
            <w:vAlign w:val="center"/>
          </w:tcPr>
          <w:p w14:paraId="6CDEF388" w14:textId="2A969A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480E64D" w14:textId="77777777" w:rsidTr="00555190">
        <w:tc>
          <w:tcPr>
            <w:tcW w:w="638" w:type="dxa"/>
            <w:vAlign w:val="center"/>
          </w:tcPr>
          <w:p w14:paraId="4A49AF6C" w14:textId="5A05F46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07DBAF2F" w14:textId="5CD2137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1DC5599" w14:textId="594CD7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Union Water and Electricity Co</w:t>
            </w:r>
          </w:p>
        </w:tc>
        <w:tc>
          <w:tcPr>
            <w:tcW w:w="850" w:type="dxa"/>
            <w:vAlign w:val="center"/>
          </w:tcPr>
          <w:p w14:paraId="4CCC98E9" w14:textId="65C8B66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400</w:t>
            </w:r>
          </w:p>
        </w:tc>
        <w:tc>
          <w:tcPr>
            <w:tcW w:w="3260" w:type="dxa"/>
            <w:vAlign w:val="center"/>
          </w:tcPr>
          <w:p w14:paraId="601303AD" w14:textId="1FD9A6C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74A0045" w14:textId="77777777" w:rsidTr="00555190">
        <w:tc>
          <w:tcPr>
            <w:tcW w:w="638" w:type="dxa"/>
            <w:vAlign w:val="center"/>
          </w:tcPr>
          <w:p w14:paraId="70100BBC" w14:textId="6E6017A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329F1D7D" w14:textId="3F6EF4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D3B175C" w14:textId="0C3E55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CMS Emirates Power Co</w:t>
            </w:r>
          </w:p>
        </w:tc>
        <w:tc>
          <w:tcPr>
            <w:tcW w:w="850" w:type="dxa"/>
            <w:vAlign w:val="center"/>
          </w:tcPr>
          <w:p w14:paraId="7EFBDAD1" w14:textId="7C903D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1399.9</w:t>
            </w:r>
          </w:p>
        </w:tc>
        <w:tc>
          <w:tcPr>
            <w:tcW w:w="3260" w:type="dxa"/>
            <w:vAlign w:val="center"/>
          </w:tcPr>
          <w:p w14:paraId="1F067F2F" w14:textId="33B539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2C95E57" w14:textId="77777777" w:rsidTr="00555190">
        <w:tc>
          <w:tcPr>
            <w:tcW w:w="638" w:type="dxa"/>
            <w:vAlign w:val="center"/>
          </w:tcPr>
          <w:p w14:paraId="4CF93ADF" w14:textId="7097D32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105454C2" w14:textId="3F9681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E443E7E" w14:textId="54092A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Polypropylene Co Ltd</w:t>
            </w:r>
          </w:p>
        </w:tc>
        <w:tc>
          <w:tcPr>
            <w:tcW w:w="850" w:type="dxa"/>
            <w:vAlign w:val="center"/>
          </w:tcPr>
          <w:p w14:paraId="6B1E1B19" w14:textId="1CCCBE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240</w:t>
            </w:r>
          </w:p>
        </w:tc>
        <w:tc>
          <w:tcPr>
            <w:tcW w:w="3260" w:type="dxa"/>
            <w:vAlign w:val="center"/>
          </w:tcPr>
          <w:p w14:paraId="7D02782D" w14:textId="15EE008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03E45EFD" w14:textId="77777777" w:rsidTr="00555190">
        <w:tc>
          <w:tcPr>
            <w:tcW w:w="638" w:type="dxa"/>
            <w:vAlign w:val="center"/>
          </w:tcPr>
          <w:p w14:paraId="62352385" w14:textId="32E520D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2BA07F15" w14:textId="2FBDDBF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7381355" w14:textId="7C3BD4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Suez </w:t>
            </w:r>
            <w:proofErr w:type="spellStart"/>
            <w:r w:rsidRPr="00802732">
              <w:rPr>
                <w:rFonts w:asciiTheme="majorBidi" w:hAnsiTheme="majorBidi" w:cstheme="majorBidi"/>
                <w:color w:val="000000"/>
                <w:sz w:val="20"/>
                <w:szCs w:val="20"/>
              </w:rPr>
              <w:t>Tractebel</w:t>
            </w:r>
            <w:proofErr w:type="spellEnd"/>
          </w:p>
        </w:tc>
        <w:tc>
          <w:tcPr>
            <w:tcW w:w="850" w:type="dxa"/>
            <w:vAlign w:val="center"/>
          </w:tcPr>
          <w:p w14:paraId="4D4A8164" w14:textId="703A1D0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550</w:t>
            </w:r>
          </w:p>
        </w:tc>
        <w:tc>
          <w:tcPr>
            <w:tcW w:w="3260" w:type="dxa"/>
            <w:vAlign w:val="center"/>
          </w:tcPr>
          <w:p w14:paraId="3E52A72E" w14:textId="32FAAE2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AB7113D" w14:textId="77777777" w:rsidTr="00555190">
        <w:tc>
          <w:tcPr>
            <w:tcW w:w="638" w:type="dxa"/>
            <w:vAlign w:val="center"/>
          </w:tcPr>
          <w:p w14:paraId="6B1CCA21" w14:textId="3172E64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4A8332FF" w14:textId="3AB9FE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264846C4" w14:textId="3AC752F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LNG</w:t>
            </w:r>
          </w:p>
        </w:tc>
        <w:tc>
          <w:tcPr>
            <w:tcW w:w="850" w:type="dxa"/>
            <w:vAlign w:val="center"/>
          </w:tcPr>
          <w:p w14:paraId="3DCF96C8" w14:textId="424489B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192.6</w:t>
            </w:r>
          </w:p>
        </w:tc>
        <w:tc>
          <w:tcPr>
            <w:tcW w:w="3260" w:type="dxa"/>
            <w:vAlign w:val="center"/>
          </w:tcPr>
          <w:p w14:paraId="5FD85EBB" w14:textId="271658F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1EEBA1B" w14:textId="77777777" w:rsidTr="00555190">
        <w:tc>
          <w:tcPr>
            <w:tcW w:w="638" w:type="dxa"/>
            <w:vAlign w:val="center"/>
          </w:tcPr>
          <w:p w14:paraId="2C1D1AD1" w14:textId="25276A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739A8C9A" w14:textId="1FC304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B10F77F" w14:textId="249F75B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Port</w:t>
            </w:r>
          </w:p>
        </w:tc>
        <w:tc>
          <w:tcPr>
            <w:tcW w:w="850" w:type="dxa"/>
            <w:vAlign w:val="center"/>
          </w:tcPr>
          <w:p w14:paraId="24F366E1" w14:textId="083BEC3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110.1</w:t>
            </w:r>
          </w:p>
        </w:tc>
        <w:tc>
          <w:tcPr>
            <w:tcW w:w="3260" w:type="dxa"/>
            <w:vAlign w:val="center"/>
          </w:tcPr>
          <w:p w14:paraId="28BE91DE" w14:textId="6D96210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5AA0337D" w14:textId="77777777" w:rsidTr="00555190">
        <w:tc>
          <w:tcPr>
            <w:tcW w:w="638" w:type="dxa"/>
            <w:vAlign w:val="center"/>
          </w:tcPr>
          <w:p w14:paraId="2E666A16" w14:textId="5E85F49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2A00A463" w14:textId="40EA924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5AF2DFF" w14:textId="7AB7E52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Energy Spring LNG Carrier Ltd</w:t>
            </w:r>
          </w:p>
        </w:tc>
        <w:tc>
          <w:tcPr>
            <w:tcW w:w="850" w:type="dxa"/>
            <w:vAlign w:val="center"/>
          </w:tcPr>
          <w:p w14:paraId="5C848D24" w14:textId="427DFFC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155</w:t>
            </w:r>
          </w:p>
        </w:tc>
        <w:tc>
          <w:tcPr>
            <w:tcW w:w="3260" w:type="dxa"/>
            <w:vAlign w:val="center"/>
          </w:tcPr>
          <w:p w14:paraId="64278182" w14:textId="272571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5F84FEEA" w14:textId="77777777" w:rsidTr="00555190">
        <w:tc>
          <w:tcPr>
            <w:tcW w:w="638" w:type="dxa"/>
            <w:vAlign w:val="center"/>
          </w:tcPr>
          <w:p w14:paraId="4EE42564" w14:textId="33ECBC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217B4525" w14:textId="2192265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11871CA" w14:textId="14736D1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Methanol Co</w:t>
            </w:r>
          </w:p>
        </w:tc>
        <w:tc>
          <w:tcPr>
            <w:tcW w:w="850" w:type="dxa"/>
            <w:vAlign w:val="center"/>
          </w:tcPr>
          <w:p w14:paraId="71D20196" w14:textId="327CDFF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360</w:t>
            </w:r>
          </w:p>
        </w:tc>
        <w:tc>
          <w:tcPr>
            <w:tcW w:w="3260" w:type="dxa"/>
            <w:vAlign w:val="center"/>
          </w:tcPr>
          <w:p w14:paraId="2093C1F8" w14:textId="34DF8E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73F3A976" w14:textId="77777777" w:rsidTr="00555190">
        <w:tc>
          <w:tcPr>
            <w:tcW w:w="638" w:type="dxa"/>
            <w:vAlign w:val="center"/>
          </w:tcPr>
          <w:p w14:paraId="0C343D37" w14:textId="694ACA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4B1D112A" w14:textId="4BEBC7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35285C37" w14:textId="1528C8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Equate Petrochemicals</w:t>
            </w:r>
          </w:p>
        </w:tc>
        <w:tc>
          <w:tcPr>
            <w:tcW w:w="850" w:type="dxa"/>
            <w:vAlign w:val="center"/>
          </w:tcPr>
          <w:p w14:paraId="6866694B" w14:textId="07B5719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600</w:t>
            </w:r>
          </w:p>
        </w:tc>
        <w:tc>
          <w:tcPr>
            <w:tcW w:w="3260" w:type="dxa"/>
            <w:vAlign w:val="center"/>
          </w:tcPr>
          <w:p w14:paraId="3BE24EBE" w14:textId="62E5632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348AC5CD" w14:textId="77777777" w:rsidTr="00555190">
        <w:tc>
          <w:tcPr>
            <w:tcW w:w="638" w:type="dxa"/>
            <w:vAlign w:val="center"/>
          </w:tcPr>
          <w:p w14:paraId="65B8F6EC" w14:textId="45CC0B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03E59AAC" w14:textId="4C35B39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1A6B7148" w14:textId="50256C4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Aluminium Bahrain BSC </w:t>
            </w:r>
            <w:r>
              <w:rPr>
                <w:rFonts w:asciiTheme="majorBidi" w:hAnsiTheme="majorBidi" w:cstheme="majorBidi"/>
                <w:color w:val="000000"/>
                <w:sz w:val="20"/>
                <w:szCs w:val="20"/>
              </w:rPr>
              <w:t>(</w:t>
            </w:r>
            <w:r w:rsidRPr="00802732">
              <w:rPr>
                <w:rFonts w:asciiTheme="majorBidi" w:hAnsiTheme="majorBidi" w:cstheme="majorBidi"/>
                <w:color w:val="000000"/>
                <w:sz w:val="20"/>
                <w:szCs w:val="20"/>
              </w:rPr>
              <w:t>ALBA</w:t>
            </w:r>
            <w:r>
              <w:rPr>
                <w:rFonts w:asciiTheme="majorBidi" w:hAnsiTheme="majorBidi" w:cstheme="majorBidi"/>
                <w:color w:val="000000"/>
                <w:sz w:val="20"/>
                <w:szCs w:val="20"/>
              </w:rPr>
              <w:t>)</w:t>
            </w:r>
          </w:p>
        </w:tc>
        <w:tc>
          <w:tcPr>
            <w:tcW w:w="850" w:type="dxa"/>
            <w:vAlign w:val="center"/>
          </w:tcPr>
          <w:p w14:paraId="26E5A4DC" w14:textId="2E40B8B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450</w:t>
            </w:r>
          </w:p>
        </w:tc>
        <w:tc>
          <w:tcPr>
            <w:tcW w:w="3260" w:type="dxa"/>
            <w:vAlign w:val="center"/>
          </w:tcPr>
          <w:p w14:paraId="52F24D42" w14:textId="2938AB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0B3D18C" w14:textId="77777777" w:rsidTr="00555190">
        <w:tc>
          <w:tcPr>
            <w:tcW w:w="638" w:type="dxa"/>
            <w:vAlign w:val="center"/>
          </w:tcPr>
          <w:p w14:paraId="4AD327BB" w14:textId="1B8F82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21A81E1B" w14:textId="0AEA774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4997BE3C" w14:textId="3B7145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 Petroleum Co</w:t>
            </w:r>
          </w:p>
        </w:tc>
        <w:tc>
          <w:tcPr>
            <w:tcW w:w="850" w:type="dxa"/>
            <w:vAlign w:val="center"/>
          </w:tcPr>
          <w:p w14:paraId="5D69E820" w14:textId="3E1AC72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850</w:t>
            </w:r>
          </w:p>
        </w:tc>
        <w:tc>
          <w:tcPr>
            <w:tcW w:w="3260" w:type="dxa"/>
            <w:vAlign w:val="center"/>
          </w:tcPr>
          <w:p w14:paraId="42FAF5C8" w14:textId="13D3AA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165ABD6" w14:textId="77777777" w:rsidTr="00555190">
        <w:tc>
          <w:tcPr>
            <w:tcW w:w="638" w:type="dxa"/>
            <w:vAlign w:val="center"/>
          </w:tcPr>
          <w:p w14:paraId="7D7AC42B" w14:textId="6458ABA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2004</w:t>
            </w:r>
          </w:p>
        </w:tc>
        <w:tc>
          <w:tcPr>
            <w:tcW w:w="1336" w:type="dxa"/>
            <w:vAlign w:val="center"/>
          </w:tcPr>
          <w:p w14:paraId="69C49D6E" w14:textId="0ECEDE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36D86FE2" w14:textId="01C1FD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Suez </w:t>
            </w:r>
            <w:proofErr w:type="spellStart"/>
            <w:r w:rsidRPr="00802732">
              <w:rPr>
                <w:rFonts w:asciiTheme="majorBidi" w:hAnsiTheme="majorBidi" w:cstheme="majorBidi"/>
                <w:color w:val="000000"/>
                <w:sz w:val="20"/>
                <w:szCs w:val="20"/>
              </w:rPr>
              <w:t>Tractebel</w:t>
            </w:r>
            <w:proofErr w:type="spellEnd"/>
          </w:p>
        </w:tc>
        <w:tc>
          <w:tcPr>
            <w:tcW w:w="850" w:type="dxa"/>
            <w:vAlign w:val="center"/>
          </w:tcPr>
          <w:p w14:paraId="284912A9" w14:textId="4F932A5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625</w:t>
            </w:r>
          </w:p>
        </w:tc>
        <w:tc>
          <w:tcPr>
            <w:tcW w:w="3260" w:type="dxa"/>
            <w:vAlign w:val="center"/>
          </w:tcPr>
          <w:p w14:paraId="165DA3E8" w14:textId="2BA35AF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118AF51" w14:textId="77777777" w:rsidTr="00555190">
        <w:tc>
          <w:tcPr>
            <w:tcW w:w="638" w:type="dxa"/>
            <w:vAlign w:val="center"/>
          </w:tcPr>
          <w:p w14:paraId="547DFF31" w14:textId="750F957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00B3DB76" w14:textId="73781D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EF6FD7C" w14:textId="0B06309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Shuaiba IWPP</w:t>
            </w:r>
          </w:p>
        </w:tc>
        <w:tc>
          <w:tcPr>
            <w:tcW w:w="850" w:type="dxa"/>
            <w:vAlign w:val="center"/>
          </w:tcPr>
          <w:p w14:paraId="346739B1" w14:textId="491B6AA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1959.2</w:t>
            </w:r>
          </w:p>
        </w:tc>
        <w:tc>
          <w:tcPr>
            <w:tcW w:w="3260" w:type="dxa"/>
            <w:vAlign w:val="center"/>
          </w:tcPr>
          <w:p w14:paraId="771D10C1" w14:textId="6482E53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A3D8CB4" w14:textId="77777777" w:rsidTr="00555190">
        <w:tc>
          <w:tcPr>
            <w:tcW w:w="638" w:type="dxa"/>
            <w:vAlign w:val="center"/>
          </w:tcPr>
          <w:p w14:paraId="1B0A8793" w14:textId="0AAC69F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7DFFE160" w14:textId="6783AF1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C760AF2" w14:textId="72DB16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Pacific Star VLCC Ships</w:t>
            </w:r>
          </w:p>
        </w:tc>
        <w:tc>
          <w:tcPr>
            <w:tcW w:w="850" w:type="dxa"/>
            <w:vAlign w:val="center"/>
          </w:tcPr>
          <w:p w14:paraId="378ED57C" w14:textId="451967B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w:t>
            </w:r>
          </w:p>
        </w:tc>
        <w:tc>
          <w:tcPr>
            <w:tcW w:w="3260" w:type="dxa"/>
            <w:vAlign w:val="center"/>
          </w:tcPr>
          <w:p w14:paraId="7DA0BB47" w14:textId="787320C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B57C928" w14:textId="77777777" w:rsidTr="00555190">
        <w:tc>
          <w:tcPr>
            <w:tcW w:w="638" w:type="dxa"/>
            <w:vAlign w:val="center"/>
          </w:tcPr>
          <w:p w14:paraId="464B9D3F" w14:textId="39CF0E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5DDC5B24" w14:textId="052180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9A16B70" w14:textId="020EAEA3"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Hadeed</w:t>
            </w:r>
            <w:proofErr w:type="spellEnd"/>
            <w:r w:rsidRPr="00802732">
              <w:rPr>
                <w:rFonts w:asciiTheme="majorBidi" w:hAnsiTheme="majorBidi" w:cstheme="majorBidi"/>
                <w:color w:val="000000"/>
                <w:sz w:val="20"/>
                <w:szCs w:val="20"/>
              </w:rPr>
              <w:t xml:space="preserve"> Expansion Co</w:t>
            </w:r>
          </w:p>
        </w:tc>
        <w:tc>
          <w:tcPr>
            <w:tcW w:w="850" w:type="dxa"/>
            <w:vAlign w:val="center"/>
          </w:tcPr>
          <w:p w14:paraId="70A38F16" w14:textId="410D0E3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457.3</w:t>
            </w:r>
          </w:p>
        </w:tc>
        <w:tc>
          <w:tcPr>
            <w:tcW w:w="3260" w:type="dxa"/>
            <w:vAlign w:val="center"/>
          </w:tcPr>
          <w:p w14:paraId="4DB5324E" w14:textId="3CA71D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4FDB5C0A" w14:textId="77777777" w:rsidTr="00555190">
        <w:tc>
          <w:tcPr>
            <w:tcW w:w="638" w:type="dxa"/>
            <w:vAlign w:val="center"/>
          </w:tcPr>
          <w:p w14:paraId="31CCCFCF" w14:textId="65921DC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194D0E98" w14:textId="056673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3C35A141" w14:textId="6E459F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 Laffan</w:t>
            </w:r>
          </w:p>
        </w:tc>
        <w:tc>
          <w:tcPr>
            <w:tcW w:w="850" w:type="dxa"/>
            <w:vAlign w:val="center"/>
          </w:tcPr>
          <w:p w14:paraId="707811C1" w14:textId="1A2FA62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970.9</w:t>
            </w:r>
          </w:p>
        </w:tc>
        <w:tc>
          <w:tcPr>
            <w:tcW w:w="3260" w:type="dxa"/>
            <w:vAlign w:val="center"/>
          </w:tcPr>
          <w:p w14:paraId="494DFC78" w14:textId="64A789C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C3EB0F7" w14:textId="77777777" w:rsidTr="00555190">
        <w:tc>
          <w:tcPr>
            <w:tcW w:w="638" w:type="dxa"/>
            <w:vAlign w:val="center"/>
          </w:tcPr>
          <w:p w14:paraId="2D66BA4F" w14:textId="50E09B2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590637E6" w14:textId="482D99F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E9B4C2B" w14:textId="6322F66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 Laffan B IWPP</w:t>
            </w:r>
          </w:p>
        </w:tc>
        <w:tc>
          <w:tcPr>
            <w:tcW w:w="850" w:type="dxa"/>
            <w:vAlign w:val="center"/>
          </w:tcPr>
          <w:p w14:paraId="06C5F0C1" w14:textId="009C44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753</w:t>
            </w:r>
          </w:p>
        </w:tc>
        <w:tc>
          <w:tcPr>
            <w:tcW w:w="3260" w:type="dxa"/>
            <w:vAlign w:val="center"/>
          </w:tcPr>
          <w:p w14:paraId="72B1DB80" w14:textId="207A9A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338777A" w14:textId="77777777" w:rsidTr="00555190">
        <w:tc>
          <w:tcPr>
            <w:tcW w:w="638" w:type="dxa"/>
            <w:vAlign w:val="center"/>
          </w:tcPr>
          <w:p w14:paraId="7C17CA1F" w14:textId="7E05A0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37B1F1A9" w14:textId="343F81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4090B789" w14:textId="50E54EC6"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Qatofin</w:t>
            </w:r>
            <w:proofErr w:type="spellEnd"/>
          </w:p>
        </w:tc>
        <w:tc>
          <w:tcPr>
            <w:tcW w:w="850" w:type="dxa"/>
            <w:vAlign w:val="center"/>
          </w:tcPr>
          <w:p w14:paraId="0ADDE621" w14:textId="4C4282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760.8</w:t>
            </w:r>
          </w:p>
        </w:tc>
        <w:tc>
          <w:tcPr>
            <w:tcW w:w="3260" w:type="dxa"/>
            <w:vAlign w:val="center"/>
          </w:tcPr>
          <w:p w14:paraId="7DD22DEA" w14:textId="7D6E040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68C5143" w14:textId="77777777" w:rsidTr="00555190">
        <w:tc>
          <w:tcPr>
            <w:tcW w:w="638" w:type="dxa"/>
            <w:vAlign w:val="center"/>
          </w:tcPr>
          <w:p w14:paraId="284C3466" w14:textId="469A6AB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0E8305ED" w14:textId="28D203B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387098C" w14:textId="5E0574F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Steel Co</w:t>
            </w:r>
          </w:p>
        </w:tc>
        <w:tc>
          <w:tcPr>
            <w:tcW w:w="850" w:type="dxa"/>
            <w:vAlign w:val="center"/>
          </w:tcPr>
          <w:p w14:paraId="7E861F64" w14:textId="313A55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558.35</w:t>
            </w:r>
          </w:p>
        </w:tc>
        <w:tc>
          <w:tcPr>
            <w:tcW w:w="3260" w:type="dxa"/>
            <w:vAlign w:val="center"/>
          </w:tcPr>
          <w:p w14:paraId="7A6F2FDE" w14:textId="24C398A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C6EF1D9" w14:textId="77777777" w:rsidTr="00555190">
        <w:tc>
          <w:tcPr>
            <w:tcW w:w="638" w:type="dxa"/>
            <w:vAlign w:val="center"/>
          </w:tcPr>
          <w:p w14:paraId="20162353" w14:textId="3BF420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0C55F289" w14:textId="28A6D6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8461AE7" w14:textId="19A48D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Q-Chem</w:t>
            </w:r>
          </w:p>
        </w:tc>
        <w:tc>
          <w:tcPr>
            <w:tcW w:w="850" w:type="dxa"/>
            <w:vAlign w:val="center"/>
          </w:tcPr>
          <w:p w14:paraId="14830569" w14:textId="291CB6A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1401</w:t>
            </w:r>
          </w:p>
        </w:tc>
        <w:tc>
          <w:tcPr>
            <w:tcW w:w="3260" w:type="dxa"/>
            <w:vAlign w:val="center"/>
          </w:tcPr>
          <w:p w14:paraId="0173396E" w14:textId="6FE862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0184A29" w14:textId="77777777" w:rsidTr="00555190">
        <w:tc>
          <w:tcPr>
            <w:tcW w:w="638" w:type="dxa"/>
            <w:vAlign w:val="center"/>
          </w:tcPr>
          <w:p w14:paraId="0740F737" w14:textId="65FEDCF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6258AEB4" w14:textId="34CE0D6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7F33124B" w14:textId="005AEE7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Qatargas 3</w:t>
            </w:r>
          </w:p>
        </w:tc>
        <w:tc>
          <w:tcPr>
            <w:tcW w:w="850" w:type="dxa"/>
            <w:vAlign w:val="center"/>
          </w:tcPr>
          <w:p w14:paraId="6551BE74" w14:textId="532BE5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2828.8</w:t>
            </w:r>
          </w:p>
        </w:tc>
        <w:tc>
          <w:tcPr>
            <w:tcW w:w="3260" w:type="dxa"/>
            <w:vAlign w:val="center"/>
          </w:tcPr>
          <w:p w14:paraId="0C04680C" w14:textId="23D5E18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4A4130EF" w14:textId="77777777" w:rsidTr="00555190">
        <w:tc>
          <w:tcPr>
            <w:tcW w:w="638" w:type="dxa"/>
            <w:vAlign w:val="center"/>
          </w:tcPr>
          <w:p w14:paraId="5EE1CA67" w14:textId="1D230C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171EC483" w14:textId="080B1B3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12658912" w14:textId="294EAE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Dolphin Energy Ltd (DEL)</w:t>
            </w:r>
          </w:p>
        </w:tc>
        <w:tc>
          <w:tcPr>
            <w:tcW w:w="850" w:type="dxa"/>
            <w:vAlign w:val="center"/>
          </w:tcPr>
          <w:p w14:paraId="5C4822D9" w14:textId="658FFD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3450</w:t>
            </w:r>
          </w:p>
        </w:tc>
        <w:tc>
          <w:tcPr>
            <w:tcW w:w="3260" w:type="dxa"/>
            <w:vAlign w:val="center"/>
          </w:tcPr>
          <w:p w14:paraId="566DB838" w14:textId="70A2105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AD5C3DE" w14:textId="77777777" w:rsidTr="00555190">
        <w:tc>
          <w:tcPr>
            <w:tcW w:w="638" w:type="dxa"/>
            <w:vAlign w:val="center"/>
          </w:tcPr>
          <w:p w14:paraId="41FF0C94" w14:textId="636252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709255BE" w14:textId="6AB86F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38F03AE8" w14:textId="5C2C77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QGTC LNG Shipbuilding</w:t>
            </w:r>
          </w:p>
        </w:tc>
        <w:tc>
          <w:tcPr>
            <w:tcW w:w="850" w:type="dxa"/>
            <w:vAlign w:val="center"/>
          </w:tcPr>
          <w:p w14:paraId="7310AADF" w14:textId="33F87F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869.5</w:t>
            </w:r>
          </w:p>
        </w:tc>
        <w:tc>
          <w:tcPr>
            <w:tcW w:w="3260" w:type="dxa"/>
            <w:vAlign w:val="center"/>
          </w:tcPr>
          <w:p w14:paraId="61782FFC" w14:textId="0D8AFA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286B9F2" w14:textId="77777777" w:rsidTr="00555190">
        <w:tc>
          <w:tcPr>
            <w:tcW w:w="638" w:type="dxa"/>
            <w:vAlign w:val="center"/>
          </w:tcPr>
          <w:p w14:paraId="55C7F603" w14:textId="3F1793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7335AD2D" w14:textId="3206D7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6D417A40" w14:textId="14BD37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MOL LNG Ships</w:t>
            </w:r>
          </w:p>
        </w:tc>
        <w:tc>
          <w:tcPr>
            <w:tcW w:w="850" w:type="dxa"/>
            <w:vAlign w:val="center"/>
          </w:tcPr>
          <w:p w14:paraId="03FBE077" w14:textId="35CD0A7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1650</w:t>
            </w:r>
          </w:p>
        </w:tc>
        <w:tc>
          <w:tcPr>
            <w:tcW w:w="3260" w:type="dxa"/>
            <w:vAlign w:val="center"/>
          </w:tcPr>
          <w:p w14:paraId="70DEE867" w14:textId="4413506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16F5FBAC" w14:textId="77777777" w:rsidTr="00555190">
        <w:tc>
          <w:tcPr>
            <w:tcW w:w="638" w:type="dxa"/>
            <w:vAlign w:val="center"/>
          </w:tcPr>
          <w:p w14:paraId="75983C92" w14:textId="3AC414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6C58AE10" w14:textId="74917EB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11A93ED" w14:textId="58A7AA23"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Teekay</w:t>
            </w:r>
            <w:proofErr w:type="spellEnd"/>
            <w:r w:rsidRPr="00802732">
              <w:rPr>
                <w:rFonts w:asciiTheme="majorBidi" w:hAnsiTheme="majorBidi" w:cstheme="majorBidi"/>
                <w:color w:val="000000"/>
                <w:sz w:val="20"/>
                <w:szCs w:val="20"/>
              </w:rPr>
              <w:t xml:space="preserve"> LNG Ships</w:t>
            </w:r>
          </w:p>
        </w:tc>
        <w:tc>
          <w:tcPr>
            <w:tcW w:w="850" w:type="dxa"/>
            <w:vAlign w:val="center"/>
          </w:tcPr>
          <w:p w14:paraId="13A9A52C" w14:textId="5AC467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468</w:t>
            </w:r>
          </w:p>
        </w:tc>
        <w:tc>
          <w:tcPr>
            <w:tcW w:w="3260" w:type="dxa"/>
            <w:vAlign w:val="center"/>
          </w:tcPr>
          <w:p w14:paraId="6E3233B1" w14:textId="624626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7FF3C7FC" w14:textId="77777777" w:rsidTr="00555190">
        <w:tc>
          <w:tcPr>
            <w:tcW w:w="638" w:type="dxa"/>
            <w:vAlign w:val="center"/>
          </w:tcPr>
          <w:p w14:paraId="75C4BE63" w14:textId="6E8AAC9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17C8D20E" w14:textId="16C7DD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E2F20C1" w14:textId="05E31EC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Peninsula LNG Transport 4</w:t>
            </w:r>
          </w:p>
        </w:tc>
        <w:tc>
          <w:tcPr>
            <w:tcW w:w="850" w:type="dxa"/>
            <w:vAlign w:val="center"/>
          </w:tcPr>
          <w:p w14:paraId="41085265" w14:textId="5488ACB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157</w:t>
            </w:r>
          </w:p>
        </w:tc>
        <w:tc>
          <w:tcPr>
            <w:tcW w:w="3260" w:type="dxa"/>
            <w:vAlign w:val="center"/>
          </w:tcPr>
          <w:p w14:paraId="774DD510" w14:textId="0576710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74A424CB" w14:textId="77777777" w:rsidTr="00555190">
        <w:tc>
          <w:tcPr>
            <w:tcW w:w="638" w:type="dxa"/>
            <w:vAlign w:val="center"/>
          </w:tcPr>
          <w:p w14:paraId="464C1472" w14:textId="043747A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6FB923AA" w14:textId="214D092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C9A3130" w14:textId="7CAB2E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Fuel Additives Co (</w:t>
            </w:r>
            <w:proofErr w:type="spellStart"/>
            <w:r w:rsidRPr="00802732">
              <w:rPr>
                <w:rFonts w:asciiTheme="majorBidi" w:hAnsiTheme="majorBidi" w:cstheme="majorBidi"/>
                <w:color w:val="000000"/>
                <w:sz w:val="20"/>
                <w:szCs w:val="20"/>
              </w:rPr>
              <w:t>Qafac</w:t>
            </w:r>
            <w:proofErr w:type="spellEnd"/>
            <w:r w:rsidRPr="00802732">
              <w:rPr>
                <w:rFonts w:asciiTheme="majorBidi" w:hAnsiTheme="majorBidi" w:cstheme="majorBidi"/>
                <w:color w:val="000000"/>
                <w:sz w:val="20"/>
                <w:szCs w:val="20"/>
              </w:rPr>
              <w:t>)</w:t>
            </w:r>
          </w:p>
        </w:tc>
        <w:tc>
          <w:tcPr>
            <w:tcW w:w="850" w:type="dxa"/>
            <w:vAlign w:val="center"/>
          </w:tcPr>
          <w:p w14:paraId="325DBECD" w14:textId="3B00663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212</w:t>
            </w:r>
          </w:p>
        </w:tc>
        <w:tc>
          <w:tcPr>
            <w:tcW w:w="3260" w:type="dxa"/>
            <w:vAlign w:val="center"/>
          </w:tcPr>
          <w:p w14:paraId="516D996F" w14:textId="34D064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37D97DD1" w14:textId="77777777" w:rsidTr="00555190">
        <w:tc>
          <w:tcPr>
            <w:tcW w:w="638" w:type="dxa"/>
            <w:vAlign w:val="center"/>
          </w:tcPr>
          <w:p w14:paraId="5824680C" w14:textId="73A6D8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07B86835" w14:textId="67F0A1A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882768C" w14:textId="6F2C264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Jebel Ali Power Project</w:t>
            </w:r>
          </w:p>
        </w:tc>
        <w:tc>
          <w:tcPr>
            <w:tcW w:w="850" w:type="dxa"/>
            <w:vAlign w:val="center"/>
          </w:tcPr>
          <w:p w14:paraId="500AA2AA" w14:textId="32A45EF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150</w:t>
            </w:r>
          </w:p>
        </w:tc>
        <w:tc>
          <w:tcPr>
            <w:tcW w:w="3260" w:type="dxa"/>
            <w:vAlign w:val="center"/>
          </w:tcPr>
          <w:p w14:paraId="430F2A60" w14:textId="75D6E0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B1F1644" w14:textId="77777777" w:rsidTr="00555190">
        <w:tc>
          <w:tcPr>
            <w:tcW w:w="638" w:type="dxa"/>
            <w:vAlign w:val="center"/>
          </w:tcPr>
          <w:p w14:paraId="2DBC85B5" w14:textId="6A4AF8E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34622EDF" w14:textId="4F6814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5ACEABE" w14:textId="10F4947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Fujairah Wastewater Plant</w:t>
            </w:r>
          </w:p>
        </w:tc>
        <w:tc>
          <w:tcPr>
            <w:tcW w:w="850" w:type="dxa"/>
            <w:vAlign w:val="center"/>
          </w:tcPr>
          <w:p w14:paraId="45B64AAC" w14:textId="22637E1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106</w:t>
            </w:r>
          </w:p>
        </w:tc>
        <w:tc>
          <w:tcPr>
            <w:tcW w:w="3260" w:type="dxa"/>
            <w:vAlign w:val="center"/>
          </w:tcPr>
          <w:p w14:paraId="7D5B858B" w14:textId="56E97A9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831C9E4" w14:textId="77777777" w:rsidTr="00555190">
        <w:tc>
          <w:tcPr>
            <w:tcW w:w="638" w:type="dxa"/>
            <w:vAlign w:val="center"/>
          </w:tcPr>
          <w:p w14:paraId="32A5F06B" w14:textId="65ECD9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2304F7D0" w14:textId="52D052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0A3B038" w14:textId="769D68E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Taweelah</w:t>
            </w:r>
            <w:proofErr w:type="spellEnd"/>
            <w:r w:rsidRPr="00802732">
              <w:rPr>
                <w:rFonts w:asciiTheme="majorBidi" w:hAnsiTheme="majorBidi" w:cstheme="majorBidi"/>
                <w:color w:val="000000"/>
                <w:sz w:val="20"/>
                <w:szCs w:val="20"/>
              </w:rPr>
              <w:t xml:space="preserve"> B and CIWPP</w:t>
            </w:r>
          </w:p>
        </w:tc>
        <w:tc>
          <w:tcPr>
            <w:tcW w:w="850" w:type="dxa"/>
            <w:vAlign w:val="center"/>
          </w:tcPr>
          <w:p w14:paraId="72AC1D05" w14:textId="7A397B9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2110.5</w:t>
            </w:r>
          </w:p>
        </w:tc>
        <w:tc>
          <w:tcPr>
            <w:tcW w:w="3260" w:type="dxa"/>
            <w:vAlign w:val="center"/>
          </w:tcPr>
          <w:p w14:paraId="4FE2505C" w14:textId="435F9E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29DA86F" w14:textId="77777777" w:rsidTr="00555190">
        <w:tc>
          <w:tcPr>
            <w:tcW w:w="638" w:type="dxa"/>
            <w:vAlign w:val="center"/>
          </w:tcPr>
          <w:p w14:paraId="691AFBF4" w14:textId="39265A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4B40AE76" w14:textId="1B6C98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B71B126" w14:textId="470652ED"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Qalhat</w:t>
            </w:r>
            <w:proofErr w:type="spellEnd"/>
            <w:r w:rsidRPr="00802732">
              <w:rPr>
                <w:rFonts w:asciiTheme="majorBidi" w:hAnsiTheme="majorBidi" w:cstheme="majorBidi"/>
                <w:color w:val="000000"/>
                <w:sz w:val="20"/>
                <w:szCs w:val="20"/>
              </w:rPr>
              <w:t xml:space="preserve"> LNG</w:t>
            </w:r>
          </w:p>
        </w:tc>
        <w:tc>
          <w:tcPr>
            <w:tcW w:w="850" w:type="dxa"/>
            <w:vAlign w:val="center"/>
          </w:tcPr>
          <w:p w14:paraId="23A5AED6" w14:textId="445367E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688.1</w:t>
            </w:r>
          </w:p>
        </w:tc>
        <w:tc>
          <w:tcPr>
            <w:tcW w:w="3260" w:type="dxa"/>
            <w:vAlign w:val="center"/>
          </w:tcPr>
          <w:p w14:paraId="26310BC7" w14:textId="1C44F3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A0638DF" w14:textId="77777777" w:rsidTr="00555190">
        <w:tc>
          <w:tcPr>
            <w:tcW w:w="638" w:type="dxa"/>
            <w:vAlign w:val="center"/>
          </w:tcPr>
          <w:p w14:paraId="35538DAE" w14:textId="2D92AB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616F2081" w14:textId="7990D1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F3EDBF6" w14:textId="352E671F"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SoharAluminium</w:t>
            </w:r>
            <w:proofErr w:type="spellEnd"/>
            <w:r w:rsidRPr="00802732">
              <w:rPr>
                <w:rFonts w:asciiTheme="majorBidi" w:hAnsiTheme="majorBidi" w:cstheme="majorBidi"/>
                <w:color w:val="000000"/>
                <w:sz w:val="20"/>
                <w:szCs w:val="20"/>
              </w:rPr>
              <w:t xml:space="preserve"> Smelter</w:t>
            </w:r>
          </w:p>
        </w:tc>
        <w:tc>
          <w:tcPr>
            <w:tcW w:w="850" w:type="dxa"/>
            <w:vAlign w:val="center"/>
          </w:tcPr>
          <w:p w14:paraId="29896A2C" w14:textId="648C26F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1545.3</w:t>
            </w:r>
          </w:p>
        </w:tc>
        <w:tc>
          <w:tcPr>
            <w:tcW w:w="3260" w:type="dxa"/>
            <w:vAlign w:val="center"/>
          </w:tcPr>
          <w:p w14:paraId="17BAF2ED" w14:textId="18AC986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3E90728" w14:textId="77777777" w:rsidTr="00555190">
        <w:tc>
          <w:tcPr>
            <w:tcW w:w="638" w:type="dxa"/>
            <w:vAlign w:val="center"/>
          </w:tcPr>
          <w:p w14:paraId="5BC0CDDA" w14:textId="690EAFF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0EA6145E" w14:textId="3B6E70F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4680A68" w14:textId="2C199F2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LNG</w:t>
            </w:r>
          </w:p>
        </w:tc>
        <w:tc>
          <w:tcPr>
            <w:tcW w:w="850" w:type="dxa"/>
            <w:vAlign w:val="center"/>
          </w:tcPr>
          <w:p w14:paraId="7663EA5B" w14:textId="5F4987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1307.9</w:t>
            </w:r>
          </w:p>
        </w:tc>
        <w:tc>
          <w:tcPr>
            <w:tcW w:w="3260" w:type="dxa"/>
            <w:vAlign w:val="center"/>
          </w:tcPr>
          <w:p w14:paraId="72229633" w14:textId="79BCF5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13886694" w14:textId="77777777" w:rsidTr="00555190">
        <w:tc>
          <w:tcPr>
            <w:tcW w:w="638" w:type="dxa"/>
            <w:vAlign w:val="center"/>
          </w:tcPr>
          <w:p w14:paraId="0DC46147" w14:textId="369BBA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41D488CE" w14:textId="54F7684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1912087" w14:textId="046CE2A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Shipping Company</w:t>
            </w:r>
          </w:p>
        </w:tc>
        <w:tc>
          <w:tcPr>
            <w:tcW w:w="850" w:type="dxa"/>
            <w:vAlign w:val="center"/>
          </w:tcPr>
          <w:p w14:paraId="07999EC8" w14:textId="055C8A7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478</w:t>
            </w:r>
          </w:p>
        </w:tc>
        <w:tc>
          <w:tcPr>
            <w:tcW w:w="3260" w:type="dxa"/>
            <w:vAlign w:val="center"/>
          </w:tcPr>
          <w:p w14:paraId="2B6D19ED" w14:textId="5DA2A55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13D96833" w14:textId="77777777" w:rsidTr="00555190">
        <w:tc>
          <w:tcPr>
            <w:tcW w:w="638" w:type="dxa"/>
            <w:vAlign w:val="center"/>
          </w:tcPr>
          <w:p w14:paraId="72D3E832" w14:textId="13E6574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467FBB5A" w14:textId="316C000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2D4348D5" w14:textId="1DC4013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India Fertiliser Co</w:t>
            </w:r>
          </w:p>
        </w:tc>
        <w:tc>
          <w:tcPr>
            <w:tcW w:w="850" w:type="dxa"/>
            <w:vAlign w:val="center"/>
          </w:tcPr>
          <w:p w14:paraId="094DE4C1" w14:textId="392E10C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674</w:t>
            </w:r>
          </w:p>
        </w:tc>
        <w:tc>
          <w:tcPr>
            <w:tcW w:w="3260" w:type="dxa"/>
            <w:vAlign w:val="center"/>
          </w:tcPr>
          <w:p w14:paraId="0C4D7DA2" w14:textId="51F95C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07AAC591" w14:textId="77777777" w:rsidTr="00555190">
        <w:tc>
          <w:tcPr>
            <w:tcW w:w="638" w:type="dxa"/>
            <w:vAlign w:val="center"/>
          </w:tcPr>
          <w:p w14:paraId="167F36C9" w14:textId="3FD2E0E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296570B9" w14:textId="4F5D79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3A2296C" w14:textId="4C624E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 Kamil Power Co</w:t>
            </w:r>
          </w:p>
        </w:tc>
        <w:tc>
          <w:tcPr>
            <w:tcW w:w="850" w:type="dxa"/>
            <w:vAlign w:val="center"/>
          </w:tcPr>
          <w:p w14:paraId="6F1BE142" w14:textId="116C5F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82</w:t>
            </w:r>
          </w:p>
        </w:tc>
        <w:tc>
          <w:tcPr>
            <w:tcW w:w="3260" w:type="dxa"/>
            <w:vAlign w:val="center"/>
          </w:tcPr>
          <w:p w14:paraId="1B9D96B1" w14:textId="2F01F7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61DC71A" w14:textId="77777777" w:rsidTr="00555190">
        <w:tc>
          <w:tcPr>
            <w:tcW w:w="638" w:type="dxa"/>
            <w:vAlign w:val="center"/>
          </w:tcPr>
          <w:p w14:paraId="3D6A072B" w14:textId="6CA235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27A1DF01" w14:textId="72E8450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7F4EFCD" w14:textId="4629C1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Int'l Urea &amp; Chem Ind</w:t>
            </w:r>
          </w:p>
        </w:tc>
        <w:tc>
          <w:tcPr>
            <w:tcW w:w="850" w:type="dxa"/>
            <w:vAlign w:val="center"/>
          </w:tcPr>
          <w:p w14:paraId="5AA0350E" w14:textId="21169FB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431.4</w:t>
            </w:r>
          </w:p>
        </w:tc>
        <w:tc>
          <w:tcPr>
            <w:tcW w:w="3260" w:type="dxa"/>
            <w:vAlign w:val="center"/>
          </w:tcPr>
          <w:p w14:paraId="4F205305" w14:textId="6FA435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6183E5EF" w14:textId="77777777" w:rsidTr="00555190">
        <w:tc>
          <w:tcPr>
            <w:tcW w:w="638" w:type="dxa"/>
            <w:vAlign w:val="center"/>
          </w:tcPr>
          <w:p w14:paraId="5F6BF394" w14:textId="2F8E5D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4B6C6B60" w14:textId="3233A8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9603052" w14:textId="22CAF7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Nawras</w:t>
            </w:r>
          </w:p>
        </w:tc>
        <w:tc>
          <w:tcPr>
            <w:tcW w:w="850" w:type="dxa"/>
            <w:vAlign w:val="center"/>
          </w:tcPr>
          <w:p w14:paraId="1A2A8997" w14:textId="2176C2E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220</w:t>
            </w:r>
          </w:p>
        </w:tc>
        <w:tc>
          <w:tcPr>
            <w:tcW w:w="3260" w:type="dxa"/>
            <w:vAlign w:val="center"/>
          </w:tcPr>
          <w:p w14:paraId="6CED2A7D" w14:textId="5FE2AB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Telecoms</w:t>
            </w:r>
          </w:p>
        </w:tc>
      </w:tr>
      <w:tr w:rsidR="00802732" w:rsidRPr="00802732" w14:paraId="2C92E6F9" w14:textId="77777777" w:rsidTr="00555190">
        <w:tc>
          <w:tcPr>
            <w:tcW w:w="638" w:type="dxa"/>
            <w:vAlign w:val="center"/>
          </w:tcPr>
          <w:p w14:paraId="1C18EAA7" w14:textId="3F1C4A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02EEC092" w14:textId="100905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C5E417C" w14:textId="45B8C2E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Barr Al </w:t>
            </w:r>
            <w:proofErr w:type="spellStart"/>
            <w:r w:rsidRPr="00802732">
              <w:rPr>
                <w:rFonts w:asciiTheme="majorBidi" w:hAnsiTheme="majorBidi" w:cstheme="majorBidi"/>
                <w:color w:val="000000"/>
                <w:sz w:val="20"/>
                <w:szCs w:val="20"/>
              </w:rPr>
              <w:t>Jissah</w:t>
            </w:r>
            <w:proofErr w:type="spellEnd"/>
            <w:r w:rsidRPr="00802732">
              <w:rPr>
                <w:rFonts w:asciiTheme="majorBidi" w:hAnsiTheme="majorBidi" w:cstheme="majorBidi"/>
                <w:color w:val="000000"/>
                <w:sz w:val="20"/>
                <w:szCs w:val="20"/>
              </w:rPr>
              <w:t xml:space="preserve"> Resort Co</w:t>
            </w:r>
          </w:p>
        </w:tc>
        <w:tc>
          <w:tcPr>
            <w:tcW w:w="850" w:type="dxa"/>
            <w:vAlign w:val="center"/>
          </w:tcPr>
          <w:p w14:paraId="6702FE79" w14:textId="4097523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105</w:t>
            </w:r>
          </w:p>
        </w:tc>
        <w:tc>
          <w:tcPr>
            <w:tcW w:w="3260" w:type="dxa"/>
            <w:vAlign w:val="center"/>
          </w:tcPr>
          <w:p w14:paraId="78E96349" w14:textId="5587121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196F0470" w14:textId="77777777" w:rsidTr="00555190">
        <w:tc>
          <w:tcPr>
            <w:tcW w:w="638" w:type="dxa"/>
            <w:vAlign w:val="center"/>
          </w:tcPr>
          <w:p w14:paraId="1AB3B740" w14:textId="34CB01A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7B89CF17" w14:textId="20E3166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0DA9213" w14:textId="633747E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Refinery Co LLC</w:t>
            </w:r>
          </w:p>
        </w:tc>
        <w:tc>
          <w:tcPr>
            <w:tcW w:w="850" w:type="dxa"/>
            <w:vAlign w:val="center"/>
          </w:tcPr>
          <w:p w14:paraId="0C22D253" w14:textId="0E4C662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140</w:t>
            </w:r>
          </w:p>
        </w:tc>
        <w:tc>
          <w:tcPr>
            <w:tcW w:w="3260" w:type="dxa"/>
            <w:vAlign w:val="center"/>
          </w:tcPr>
          <w:p w14:paraId="2EEB7187" w14:textId="71296E6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2C3FA9E" w14:textId="77777777" w:rsidTr="00555190">
        <w:tc>
          <w:tcPr>
            <w:tcW w:w="638" w:type="dxa"/>
            <w:vAlign w:val="center"/>
          </w:tcPr>
          <w:p w14:paraId="5309FF99" w14:textId="58B4B2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419F724A" w14:textId="7AD4305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1CF05554" w14:textId="3F8CA0A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MTC Expansion</w:t>
            </w:r>
          </w:p>
        </w:tc>
        <w:tc>
          <w:tcPr>
            <w:tcW w:w="850" w:type="dxa"/>
            <w:vAlign w:val="center"/>
          </w:tcPr>
          <w:p w14:paraId="4B064631" w14:textId="04D8CEA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750</w:t>
            </w:r>
          </w:p>
        </w:tc>
        <w:tc>
          <w:tcPr>
            <w:tcW w:w="3260" w:type="dxa"/>
            <w:vAlign w:val="center"/>
          </w:tcPr>
          <w:p w14:paraId="4ABF9500" w14:textId="1139CA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Telecoms</w:t>
            </w:r>
          </w:p>
        </w:tc>
      </w:tr>
      <w:tr w:rsidR="00802732" w:rsidRPr="00802732" w14:paraId="7F8060AA" w14:textId="77777777" w:rsidTr="00555190">
        <w:tc>
          <w:tcPr>
            <w:tcW w:w="638" w:type="dxa"/>
            <w:vAlign w:val="center"/>
          </w:tcPr>
          <w:p w14:paraId="23723C2B" w14:textId="09685AD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2005</w:t>
            </w:r>
          </w:p>
        </w:tc>
        <w:tc>
          <w:tcPr>
            <w:tcW w:w="1336" w:type="dxa"/>
            <w:vAlign w:val="center"/>
          </w:tcPr>
          <w:p w14:paraId="707AFD02" w14:textId="62B00B6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39492931" w14:textId="62CA20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United Stainless Steel </w:t>
            </w:r>
            <w:r w:rsidR="00B7346C">
              <w:rPr>
                <w:rFonts w:asciiTheme="majorBidi" w:hAnsiTheme="majorBidi" w:cstheme="majorBidi"/>
                <w:color w:val="000000"/>
                <w:sz w:val="20"/>
                <w:szCs w:val="20"/>
              </w:rPr>
              <w:t>(</w:t>
            </w:r>
            <w:r w:rsidRPr="00802732">
              <w:rPr>
                <w:rFonts w:asciiTheme="majorBidi" w:hAnsiTheme="majorBidi" w:cstheme="majorBidi"/>
                <w:color w:val="000000"/>
                <w:sz w:val="20"/>
                <w:szCs w:val="20"/>
              </w:rPr>
              <w:t>USCO</w:t>
            </w:r>
            <w:r w:rsidR="00B7346C">
              <w:rPr>
                <w:rFonts w:asciiTheme="majorBidi" w:hAnsiTheme="majorBidi" w:cstheme="majorBidi"/>
                <w:color w:val="000000"/>
                <w:sz w:val="20"/>
                <w:szCs w:val="20"/>
              </w:rPr>
              <w:t>)</w:t>
            </w:r>
          </w:p>
        </w:tc>
        <w:tc>
          <w:tcPr>
            <w:tcW w:w="850" w:type="dxa"/>
            <w:vAlign w:val="center"/>
          </w:tcPr>
          <w:p w14:paraId="46BE1331" w14:textId="12B7343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153</w:t>
            </w:r>
          </w:p>
        </w:tc>
        <w:tc>
          <w:tcPr>
            <w:tcW w:w="3260" w:type="dxa"/>
            <w:vAlign w:val="center"/>
          </w:tcPr>
          <w:p w14:paraId="04F32934" w14:textId="5C46083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997D58C" w14:textId="77777777" w:rsidTr="00555190">
        <w:tc>
          <w:tcPr>
            <w:tcW w:w="638" w:type="dxa"/>
            <w:vAlign w:val="center"/>
          </w:tcPr>
          <w:p w14:paraId="7B096379" w14:textId="0BB767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323A13C4" w14:textId="3E9534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91514F3" w14:textId="3A81A894"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Tasnee</w:t>
            </w:r>
            <w:proofErr w:type="spellEnd"/>
            <w:r w:rsidRPr="00802732">
              <w:rPr>
                <w:rFonts w:asciiTheme="majorBidi" w:hAnsiTheme="majorBidi" w:cstheme="majorBidi"/>
                <w:color w:val="000000"/>
                <w:sz w:val="20"/>
                <w:szCs w:val="20"/>
              </w:rPr>
              <w:t xml:space="preserve"> Ethane/Propane Plant</w:t>
            </w:r>
          </w:p>
        </w:tc>
        <w:tc>
          <w:tcPr>
            <w:tcW w:w="850" w:type="dxa"/>
            <w:vAlign w:val="center"/>
          </w:tcPr>
          <w:p w14:paraId="38D1AACF" w14:textId="2B4678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2015.2</w:t>
            </w:r>
          </w:p>
        </w:tc>
        <w:tc>
          <w:tcPr>
            <w:tcW w:w="3260" w:type="dxa"/>
            <w:vAlign w:val="center"/>
          </w:tcPr>
          <w:p w14:paraId="5E929CD7" w14:textId="514FAB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F416547" w14:textId="77777777" w:rsidTr="00555190">
        <w:tc>
          <w:tcPr>
            <w:tcW w:w="638" w:type="dxa"/>
            <w:vAlign w:val="center"/>
          </w:tcPr>
          <w:p w14:paraId="10E835DA" w14:textId="270FC70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3766A571" w14:textId="2FE9762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7E5B132" w14:textId="571AF2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Rabigh Refinery Expansion Co</w:t>
            </w:r>
          </w:p>
        </w:tc>
        <w:tc>
          <w:tcPr>
            <w:tcW w:w="850" w:type="dxa"/>
            <w:vAlign w:val="center"/>
          </w:tcPr>
          <w:p w14:paraId="41CBC081" w14:textId="0A4AAAC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6014.5</w:t>
            </w:r>
          </w:p>
        </w:tc>
        <w:tc>
          <w:tcPr>
            <w:tcW w:w="3260" w:type="dxa"/>
            <w:vAlign w:val="center"/>
          </w:tcPr>
          <w:p w14:paraId="40A4D9B9" w14:textId="72E6F8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1FC2BB4" w14:textId="77777777" w:rsidTr="00555190">
        <w:tc>
          <w:tcPr>
            <w:tcW w:w="638" w:type="dxa"/>
            <w:vAlign w:val="center"/>
          </w:tcPr>
          <w:p w14:paraId="5AD70AD1" w14:textId="515221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06C6CC58" w14:textId="683CC0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39A0C56" w14:textId="218EB1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Yanbu Petrochemical Complex</w:t>
            </w:r>
          </w:p>
        </w:tc>
        <w:tc>
          <w:tcPr>
            <w:tcW w:w="850" w:type="dxa"/>
            <w:vAlign w:val="center"/>
          </w:tcPr>
          <w:p w14:paraId="17D7F3D8" w14:textId="10EFD21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3500</w:t>
            </w:r>
          </w:p>
        </w:tc>
        <w:tc>
          <w:tcPr>
            <w:tcW w:w="3260" w:type="dxa"/>
            <w:vAlign w:val="center"/>
          </w:tcPr>
          <w:p w14:paraId="52B26C93" w14:textId="650DBD4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390F211C" w14:textId="77777777" w:rsidTr="00555190">
        <w:tc>
          <w:tcPr>
            <w:tcW w:w="638" w:type="dxa"/>
            <w:vAlign w:val="center"/>
          </w:tcPr>
          <w:p w14:paraId="62256C3C" w14:textId="75AC54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50B61D73" w14:textId="2E902D6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594B4F1" w14:textId="2CECAD6D"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Sharq</w:t>
            </w:r>
            <w:proofErr w:type="spellEnd"/>
            <w:r w:rsidRPr="00802732">
              <w:rPr>
                <w:rFonts w:asciiTheme="majorBidi" w:hAnsiTheme="majorBidi" w:cstheme="majorBidi"/>
                <w:color w:val="000000"/>
                <w:sz w:val="20"/>
                <w:szCs w:val="20"/>
              </w:rPr>
              <w:t xml:space="preserve"> Polyethylene Expansion</w:t>
            </w:r>
          </w:p>
        </w:tc>
        <w:tc>
          <w:tcPr>
            <w:tcW w:w="850" w:type="dxa"/>
            <w:vAlign w:val="center"/>
          </w:tcPr>
          <w:p w14:paraId="64EE7E87" w14:textId="5E837F4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2430</w:t>
            </w:r>
          </w:p>
        </w:tc>
        <w:tc>
          <w:tcPr>
            <w:tcW w:w="3260" w:type="dxa"/>
            <w:vAlign w:val="center"/>
          </w:tcPr>
          <w:p w14:paraId="2C790059" w14:textId="5A1A6A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9095D3E" w14:textId="77777777" w:rsidTr="00555190">
        <w:tc>
          <w:tcPr>
            <w:tcW w:w="638" w:type="dxa"/>
            <w:vAlign w:val="center"/>
          </w:tcPr>
          <w:p w14:paraId="147613A7" w14:textId="6E9A4A7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10DCB767" w14:textId="5E41A4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E7493B3" w14:textId="658488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National Petrochem</w:t>
            </w:r>
          </w:p>
        </w:tc>
        <w:tc>
          <w:tcPr>
            <w:tcW w:w="850" w:type="dxa"/>
            <w:vAlign w:val="center"/>
          </w:tcPr>
          <w:p w14:paraId="59533D73" w14:textId="2D79D28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520.1</w:t>
            </w:r>
          </w:p>
        </w:tc>
        <w:tc>
          <w:tcPr>
            <w:tcW w:w="3260" w:type="dxa"/>
            <w:vAlign w:val="center"/>
          </w:tcPr>
          <w:p w14:paraId="696955B1" w14:textId="296C16E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65C6DE6C" w14:textId="77777777" w:rsidTr="00555190">
        <w:tc>
          <w:tcPr>
            <w:tcW w:w="638" w:type="dxa"/>
            <w:vAlign w:val="center"/>
          </w:tcPr>
          <w:p w14:paraId="474AC341" w14:textId="3B7C5D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1A316324" w14:textId="7B757D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3B51D56" w14:textId="1DE96AD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Majid Al Futtaim Group of Cos</w:t>
            </w:r>
          </w:p>
        </w:tc>
        <w:tc>
          <w:tcPr>
            <w:tcW w:w="850" w:type="dxa"/>
            <w:vAlign w:val="center"/>
          </w:tcPr>
          <w:p w14:paraId="06337477" w14:textId="16EED3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300</w:t>
            </w:r>
          </w:p>
        </w:tc>
        <w:tc>
          <w:tcPr>
            <w:tcW w:w="3260" w:type="dxa"/>
            <w:vAlign w:val="center"/>
          </w:tcPr>
          <w:p w14:paraId="7F07B565" w14:textId="0C9391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0F441426" w14:textId="77777777" w:rsidTr="00555190">
        <w:tc>
          <w:tcPr>
            <w:tcW w:w="638" w:type="dxa"/>
            <w:vAlign w:val="center"/>
          </w:tcPr>
          <w:p w14:paraId="194FC375" w14:textId="208FC8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lastRenderedPageBreak/>
              <w:t>2006</w:t>
            </w:r>
          </w:p>
        </w:tc>
        <w:tc>
          <w:tcPr>
            <w:tcW w:w="1336" w:type="dxa"/>
            <w:vAlign w:val="center"/>
          </w:tcPr>
          <w:p w14:paraId="240A1A66" w14:textId="66E149F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2A38C0E" w14:textId="736AF1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Al-Zamil Petrochemical Company</w:t>
            </w:r>
          </w:p>
        </w:tc>
        <w:tc>
          <w:tcPr>
            <w:tcW w:w="850" w:type="dxa"/>
            <w:vAlign w:val="center"/>
          </w:tcPr>
          <w:p w14:paraId="4740B620" w14:textId="12DD80E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525</w:t>
            </w:r>
          </w:p>
        </w:tc>
        <w:tc>
          <w:tcPr>
            <w:tcW w:w="3260" w:type="dxa"/>
            <w:vAlign w:val="center"/>
          </w:tcPr>
          <w:p w14:paraId="1897B694" w14:textId="53947C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FACC066" w14:textId="77777777" w:rsidTr="00555190">
        <w:tc>
          <w:tcPr>
            <w:tcW w:w="638" w:type="dxa"/>
            <w:vAlign w:val="center"/>
          </w:tcPr>
          <w:p w14:paraId="41C5BB1D" w14:textId="43716D8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59A8220C" w14:textId="3FDE1C7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22F1063" w14:textId="7919362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Qatargas 3</w:t>
            </w:r>
          </w:p>
        </w:tc>
        <w:tc>
          <w:tcPr>
            <w:tcW w:w="850" w:type="dxa"/>
            <w:vAlign w:val="center"/>
          </w:tcPr>
          <w:p w14:paraId="02945A45" w14:textId="4060D3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500.5</w:t>
            </w:r>
          </w:p>
        </w:tc>
        <w:tc>
          <w:tcPr>
            <w:tcW w:w="3260" w:type="dxa"/>
            <w:vAlign w:val="center"/>
          </w:tcPr>
          <w:p w14:paraId="1057B44E" w14:textId="67F7187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6203C8BF" w14:textId="77777777" w:rsidTr="00555190">
        <w:tc>
          <w:tcPr>
            <w:tcW w:w="638" w:type="dxa"/>
            <w:vAlign w:val="center"/>
          </w:tcPr>
          <w:p w14:paraId="715DCC0A" w14:textId="5A4470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3669844F" w14:textId="1D4255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9059B1A" w14:textId="2A135C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QGTC LNG Shipbuilding</w:t>
            </w:r>
          </w:p>
        </w:tc>
        <w:tc>
          <w:tcPr>
            <w:tcW w:w="850" w:type="dxa"/>
            <w:vAlign w:val="center"/>
          </w:tcPr>
          <w:p w14:paraId="371BE41A" w14:textId="0306CC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3211.2</w:t>
            </w:r>
          </w:p>
        </w:tc>
        <w:tc>
          <w:tcPr>
            <w:tcW w:w="3260" w:type="dxa"/>
            <w:vAlign w:val="center"/>
          </w:tcPr>
          <w:p w14:paraId="440A8100" w14:textId="275C9B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7CD10F28" w14:textId="77777777" w:rsidTr="00555190">
        <w:tc>
          <w:tcPr>
            <w:tcW w:w="638" w:type="dxa"/>
            <w:vAlign w:val="center"/>
          </w:tcPr>
          <w:p w14:paraId="463928DE" w14:textId="2C3D4C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19E1B28E" w14:textId="7808BA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28BA644" w14:textId="78D4E0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Abu </w:t>
            </w:r>
            <w:proofErr w:type="spellStart"/>
            <w:r w:rsidRPr="00802732">
              <w:rPr>
                <w:rFonts w:asciiTheme="majorBidi" w:hAnsiTheme="majorBidi" w:cstheme="majorBidi"/>
                <w:color w:val="000000"/>
                <w:sz w:val="20"/>
                <w:szCs w:val="20"/>
              </w:rPr>
              <w:t>Fontas</w:t>
            </w:r>
            <w:proofErr w:type="spellEnd"/>
          </w:p>
        </w:tc>
        <w:tc>
          <w:tcPr>
            <w:tcW w:w="850" w:type="dxa"/>
            <w:vAlign w:val="center"/>
          </w:tcPr>
          <w:p w14:paraId="4276266A" w14:textId="274A9E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485.4</w:t>
            </w:r>
          </w:p>
        </w:tc>
        <w:tc>
          <w:tcPr>
            <w:tcW w:w="3260" w:type="dxa"/>
            <w:vAlign w:val="center"/>
          </w:tcPr>
          <w:p w14:paraId="49AC94B0" w14:textId="413165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22CA375" w14:textId="77777777" w:rsidTr="00555190">
        <w:tc>
          <w:tcPr>
            <w:tcW w:w="638" w:type="dxa"/>
            <w:vAlign w:val="center"/>
          </w:tcPr>
          <w:p w14:paraId="7B3F6EF5" w14:textId="12B7D5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4B90AFE7" w14:textId="609B7C4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8B91759" w14:textId="78E9C1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Q-Chem</w:t>
            </w:r>
          </w:p>
        </w:tc>
        <w:tc>
          <w:tcPr>
            <w:tcW w:w="850" w:type="dxa"/>
            <w:vAlign w:val="center"/>
          </w:tcPr>
          <w:p w14:paraId="3FC1706C" w14:textId="48940D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525.3</w:t>
            </w:r>
          </w:p>
        </w:tc>
        <w:tc>
          <w:tcPr>
            <w:tcW w:w="3260" w:type="dxa"/>
            <w:vAlign w:val="center"/>
          </w:tcPr>
          <w:p w14:paraId="7B02B6D3" w14:textId="69C777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78895AE" w14:textId="77777777" w:rsidTr="00555190">
        <w:tc>
          <w:tcPr>
            <w:tcW w:w="638" w:type="dxa"/>
            <w:vAlign w:val="center"/>
          </w:tcPr>
          <w:p w14:paraId="75877B12" w14:textId="15ED8C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69894AE3" w14:textId="573A7AE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30ACF4A" w14:textId="378958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Fujairah Independent Water</w:t>
            </w:r>
          </w:p>
        </w:tc>
        <w:tc>
          <w:tcPr>
            <w:tcW w:w="850" w:type="dxa"/>
            <w:vAlign w:val="center"/>
          </w:tcPr>
          <w:p w14:paraId="60BF2824" w14:textId="71C2D6E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1500</w:t>
            </w:r>
          </w:p>
        </w:tc>
        <w:tc>
          <w:tcPr>
            <w:tcW w:w="3260" w:type="dxa"/>
            <w:vAlign w:val="center"/>
          </w:tcPr>
          <w:p w14:paraId="2073DA40" w14:textId="514555B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2B6EA41" w14:textId="77777777" w:rsidTr="00555190">
        <w:tc>
          <w:tcPr>
            <w:tcW w:w="638" w:type="dxa"/>
            <w:vAlign w:val="center"/>
          </w:tcPr>
          <w:p w14:paraId="6DE2F22D" w14:textId="7DA8B1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36718A81" w14:textId="1F1F885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CDB4EE8" w14:textId="5944437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STAR Cement Co LLC</w:t>
            </w:r>
          </w:p>
        </w:tc>
        <w:tc>
          <w:tcPr>
            <w:tcW w:w="850" w:type="dxa"/>
            <w:vAlign w:val="center"/>
          </w:tcPr>
          <w:p w14:paraId="446EDE2B" w14:textId="00B3DE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104.3</w:t>
            </w:r>
          </w:p>
        </w:tc>
        <w:tc>
          <w:tcPr>
            <w:tcW w:w="3260" w:type="dxa"/>
            <w:vAlign w:val="center"/>
          </w:tcPr>
          <w:p w14:paraId="6C4DE0D3" w14:textId="4F6ACA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47C49F68" w14:textId="77777777" w:rsidTr="00555190">
        <w:tc>
          <w:tcPr>
            <w:tcW w:w="638" w:type="dxa"/>
            <w:vAlign w:val="center"/>
          </w:tcPr>
          <w:p w14:paraId="3E456CCC" w14:textId="56FAC9A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086B95E6" w14:textId="685F478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22623D1F" w14:textId="2BC7C6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Jebel Ali Refinery</w:t>
            </w:r>
          </w:p>
        </w:tc>
        <w:tc>
          <w:tcPr>
            <w:tcW w:w="850" w:type="dxa"/>
            <w:vAlign w:val="center"/>
          </w:tcPr>
          <w:p w14:paraId="2DCF9A51" w14:textId="34F914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500</w:t>
            </w:r>
          </w:p>
        </w:tc>
        <w:tc>
          <w:tcPr>
            <w:tcW w:w="3260" w:type="dxa"/>
            <w:vAlign w:val="center"/>
          </w:tcPr>
          <w:p w14:paraId="105FD6EB" w14:textId="45DEAF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07BE41FB" w14:textId="77777777" w:rsidTr="00555190">
        <w:tc>
          <w:tcPr>
            <w:tcW w:w="638" w:type="dxa"/>
            <w:vAlign w:val="center"/>
          </w:tcPr>
          <w:p w14:paraId="5D242ECC" w14:textId="421CFC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50243607" w14:textId="742293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839964B" w14:textId="6E36221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Aromatics Oman LLC</w:t>
            </w:r>
          </w:p>
        </w:tc>
        <w:tc>
          <w:tcPr>
            <w:tcW w:w="850" w:type="dxa"/>
            <w:vAlign w:val="center"/>
          </w:tcPr>
          <w:p w14:paraId="7447765D" w14:textId="17D41AA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1125</w:t>
            </w:r>
          </w:p>
        </w:tc>
        <w:tc>
          <w:tcPr>
            <w:tcW w:w="3260" w:type="dxa"/>
            <w:vAlign w:val="center"/>
          </w:tcPr>
          <w:p w14:paraId="7494B3AF" w14:textId="40C79F8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5679AD2" w14:textId="77777777" w:rsidTr="00555190">
        <w:tc>
          <w:tcPr>
            <w:tcW w:w="638" w:type="dxa"/>
            <w:vAlign w:val="center"/>
          </w:tcPr>
          <w:p w14:paraId="28F5E1F9" w14:textId="36EBF41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7BEAD23D" w14:textId="4A5560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A90649E" w14:textId="1F1E9948"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Qalhat</w:t>
            </w:r>
            <w:proofErr w:type="spellEnd"/>
            <w:r w:rsidRPr="00802732">
              <w:rPr>
                <w:rFonts w:asciiTheme="majorBidi" w:hAnsiTheme="majorBidi" w:cstheme="majorBidi"/>
                <w:color w:val="000000"/>
                <w:sz w:val="20"/>
                <w:szCs w:val="20"/>
              </w:rPr>
              <w:t xml:space="preserve"> LNG</w:t>
            </w:r>
          </w:p>
        </w:tc>
        <w:tc>
          <w:tcPr>
            <w:tcW w:w="850" w:type="dxa"/>
            <w:vAlign w:val="center"/>
          </w:tcPr>
          <w:p w14:paraId="10710859" w14:textId="1F13A1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688.1</w:t>
            </w:r>
          </w:p>
        </w:tc>
        <w:tc>
          <w:tcPr>
            <w:tcW w:w="3260" w:type="dxa"/>
            <w:vAlign w:val="center"/>
          </w:tcPr>
          <w:p w14:paraId="5B59F70D" w14:textId="7CDFEC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EB92D01" w14:textId="77777777" w:rsidTr="00555190">
        <w:tc>
          <w:tcPr>
            <w:tcW w:w="638" w:type="dxa"/>
            <w:vAlign w:val="center"/>
          </w:tcPr>
          <w:p w14:paraId="12AB2FC0" w14:textId="3CF0226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4C539AD6" w14:textId="25429EE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E67E586" w14:textId="3D0DCF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Refinery Co</w:t>
            </w:r>
          </w:p>
        </w:tc>
        <w:tc>
          <w:tcPr>
            <w:tcW w:w="850" w:type="dxa"/>
            <w:vAlign w:val="center"/>
          </w:tcPr>
          <w:p w14:paraId="32DD2118" w14:textId="21F4B7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646.1</w:t>
            </w:r>
          </w:p>
        </w:tc>
        <w:tc>
          <w:tcPr>
            <w:tcW w:w="3260" w:type="dxa"/>
            <w:vAlign w:val="center"/>
          </w:tcPr>
          <w:p w14:paraId="684B6045" w14:textId="6AF0B1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0D956891" w14:textId="77777777" w:rsidTr="00555190">
        <w:tc>
          <w:tcPr>
            <w:tcW w:w="638" w:type="dxa"/>
            <w:vAlign w:val="center"/>
          </w:tcPr>
          <w:p w14:paraId="11005576" w14:textId="5E779D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54DB3807" w14:textId="1157FBF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9014C2A" w14:textId="1052D3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AES </w:t>
            </w: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SAOC</w:t>
            </w:r>
          </w:p>
        </w:tc>
        <w:tc>
          <w:tcPr>
            <w:tcW w:w="850" w:type="dxa"/>
            <w:vAlign w:val="center"/>
          </w:tcPr>
          <w:p w14:paraId="41D3EF7A" w14:textId="663F41B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319.3</w:t>
            </w:r>
          </w:p>
        </w:tc>
        <w:tc>
          <w:tcPr>
            <w:tcW w:w="3260" w:type="dxa"/>
            <w:vAlign w:val="center"/>
          </w:tcPr>
          <w:p w14:paraId="7A96FDD9" w14:textId="19EECA5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760D1AA" w14:textId="77777777" w:rsidTr="00555190">
        <w:tc>
          <w:tcPr>
            <w:tcW w:w="638" w:type="dxa"/>
            <w:vAlign w:val="center"/>
          </w:tcPr>
          <w:p w14:paraId="37D94A88" w14:textId="003BCBB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260D24AA" w14:textId="4FA7895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61445EC1" w14:textId="6397B9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Gas Co</w:t>
            </w:r>
          </w:p>
        </w:tc>
        <w:tc>
          <w:tcPr>
            <w:tcW w:w="850" w:type="dxa"/>
            <w:vAlign w:val="center"/>
          </w:tcPr>
          <w:p w14:paraId="16F3F984" w14:textId="5639B6F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234.5</w:t>
            </w:r>
          </w:p>
        </w:tc>
        <w:tc>
          <w:tcPr>
            <w:tcW w:w="3260" w:type="dxa"/>
            <w:vAlign w:val="center"/>
          </w:tcPr>
          <w:p w14:paraId="28B809E8" w14:textId="149AE3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A0A8248" w14:textId="77777777" w:rsidTr="00555190">
        <w:tc>
          <w:tcPr>
            <w:tcW w:w="638" w:type="dxa"/>
            <w:vAlign w:val="center"/>
          </w:tcPr>
          <w:p w14:paraId="18582C12" w14:textId="313B067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099F62B1" w14:textId="221549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299E3F6" w14:textId="124A51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Energy Spring LNG Carrier Ltd</w:t>
            </w:r>
          </w:p>
        </w:tc>
        <w:tc>
          <w:tcPr>
            <w:tcW w:w="850" w:type="dxa"/>
            <w:vAlign w:val="center"/>
          </w:tcPr>
          <w:p w14:paraId="24CB2F08" w14:textId="090FB8E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136</w:t>
            </w:r>
          </w:p>
        </w:tc>
        <w:tc>
          <w:tcPr>
            <w:tcW w:w="3260" w:type="dxa"/>
            <w:vAlign w:val="center"/>
          </w:tcPr>
          <w:p w14:paraId="21D81781" w14:textId="246207A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5E23CB2" w14:textId="77777777" w:rsidTr="00555190">
        <w:tc>
          <w:tcPr>
            <w:tcW w:w="638" w:type="dxa"/>
            <w:vAlign w:val="center"/>
          </w:tcPr>
          <w:p w14:paraId="0034FCDF" w14:textId="64B208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0BD59C1B" w14:textId="685736E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1CD267EB" w14:textId="30C2C8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Equate Petrochemicals</w:t>
            </w:r>
          </w:p>
        </w:tc>
        <w:tc>
          <w:tcPr>
            <w:tcW w:w="850" w:type="dxa"/>
            <w:vAlign w:val="center"/>
          </w:tcPr>
          <w:p w14:paraId="4EE95563" w14:textId="088B1F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2500</w:t>
            </w:r>
          </w:p>
        </w:tc>
        <w:tc>
          <w:tcPr>
            <w:tcW w:w="3260" w:type="dxa"/>
            <w:vAlign w:val="center"/>
          </w:tcPr>
          <w:p w14:paraId="687D9C4E" w14:textId="72B5B9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7EA679E9" w14:textId="77777777" w:rsidTr="00555190">
        <w:tc>
          <w:tcPr>
            <w:tcW w:w="638" w:type="dxa"/>
            <w:vAlign w:val="center"/>
          </w:tcPr>
          <w:p w14:paraId="433F42C5" w14:textId="2226DA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2006</w:t>
            </w:r>
          </w:p>
        </w:tc>
        <w:tc>
          <w:tcPr>
            <w:tcW w:w="1336" w:type="dxa"/>
            <w:vAlign w:val="center"/>
          </w:tcPr>
          <w:p w14:paraId="6CF14BB1" w14:textId="66C4DC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7FF1B41E" w14:textId="71D02CA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w:t>
            </w:r>
            <w:proofErr w:type="spellStart"/>
            <w:r w:rsidRPr="00802732">
              <w:rPr>
                <w:rFonts w:asciiTheme="majorBidi" w:hAnsiTheme="majorBidi" w:cstheme="majorBidi"/>
                <w:color w:val="000000"/>
                <w:sz w:val="20"/>
                <w:szCs w:val="20"/>
              </w:rPr>
              <w:t>Hidd</w:t>
            </w:r>
            <w:proofErr w:type="spellEnd"/>
            <w:r w:rsidRPr="00802732">
              <w:rPr>
                <w:rFonts w:asciiTheme="majorBidi" w:hAnsiTheme="majorBidi" w:cstheme="majorBidi"/>
                <w:color w:val="000000"/>
                <w:sz w:val="20"/>
                <w:szCs w:val="20"/>
              </w:rPr>
              <w:t xml:space="preserve"> IWPP</w:t>
            </w:r>
          </w:p>
        </w:tc>
        <w:tc>
          <w:tcPr>
            <w:tcW w:w="850" w:type="dxa"/>
            <w:vAlign w:val="center"/>
          </w:tcPr>
          <w:p w14:paraId="7697D59C" w14:textId="7802D9B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1204</w:t>
            </w:r>
          </w:p>
        </w:tc>
        <w:tc>
          <w:tcPr>
            <w:tcW w:w="3260" w:type="dxa"/>
            <w:vAlign w:val="center"/>
          </w:tcPr>
          <w:p w14:paraId="39EAC579" w14:textId="112D5D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74D0FFB" w14:textId="77777777" w:rsidTr="00555190">
        <w:tc>
          <w:tcPr>
            <w:tcW w:w="638" w:type="dxa"/>
            <w:vAlign w:val="center"/>
          </w:tcPr>
          <w:p w14:paraId="539FE05F" w14:textId="078BC5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376F78C0" w14:textId="687C308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A78283A" w14:textId="41BE7DA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Marafiq IWPP</w:t>
            </w:r>
          </w:p>
        </w:tc>
        <w:tc>
          <w:tcPr>
            <w:tcW w:w="850" w:type="dxa"/>
            <w:vAlign w:val="center"/>
          </w:tcPr>
          <w:p w14:paraId="7EAC2809" w14:textId="4384BF0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3312</w:t>
            </w:r>
          </w:p>
        </w:tc>
        <w:tc>
          <w:tcPr>
            <w:tcW w:w="3260" w:type="dxa"/>
            <w:vAlign w:val="center"/>
          </w:tcPr>
          <w:p w14:paraId="2D88E1D9" w14:textId="0B68372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5CF12AF" w14:textId="77777777" w:rsidTr="00555190">
        <w:tc>
          <w:tcPr>
            <w:tcW w:w="638" w:type="dxa"/>
            <w:vAlign w:val="center"/>
          </w:tcPr>
          <w:p w14:paraId="626AFB54" w14:textId="7EDDF6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3D38BC21" w14:textId="59A4CF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4960612" w14:textId="7D903F45"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Alujain</w:t>
            </w:r>
            <w:proofErr w:type="spellEnd"/>
            <w:r w:rsidRPr="00802732">
              <w:rPr>
                <w:rFonts w:asciiTheme="majorBidi" w:hAnsiTheme="majorBidi" w:cstheme="majorBidi"/>
                <w:color w:val="000000"/>
                <w:sz w:val="20"/>
                <w:szCs w:val="20"/>
              </w:rPr>
              <w:t xml:space="preserve"> Propane Plant</w:t>
            </w:r>
          </w:p>
        </w:tc>
        <w:tc>
          <w:tcPr>
            <w:tcW w:w="850" w:type="dxa"/>
            <w:vAlign w:val="center"/>
          </w:tcPr>
          <w:p w14:paraId="4A73B056" w14:textId="013D03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411</w:t>
            </w:r>
          </w:p>
        </w:tc>
        <w:tc>
          <w:tcPr>
            <w:tcW w:w="3260" w:type="dxa"/>
            <w:vAlign w:val="center"/>
          </w:tcPr>
          <w:p w14:paraId="5340BE3D" w14:textId="778EBA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3D6F3942" w14:textId="77777777" w:rsidTr="00555190">
        <w:tc>
          <w:tcPr>
            <w:tcW w:w="638" w:type="dxa"/>
            <w:vAlign w:val="center"/>
          </w:tcPr>
          <w:p w14:paraId="240CAC53" w14:textId="2DA8118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153BC399" w14:textId="61641B8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0CB7716" w14:textId="609CAA56"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Zahr</w:t>
            </w:r>
            <w:proofErr w:type="spellEnd"/>
            <w:r w:rsidRPr="00802732">
              <w:rPr>
                <w:rFonts w:asciiTheme="majorBidi" w:hAnsiTheme="majorBidi" w:cstheme="majorBidi"/>
                <w:color w:val="000000"/>
                <w:sz w:val="20"/>
                <w:szCs w:val="20"/>
              </w:rPr>
              <w:t xml:space="preserve"> Third Propylene Plant</w:t>
            </w:r>
          </w:p>
        </w:tc>
        <w:tc>
          <w:tcPr>
            <w:tcW w:w="850" w:type="dxa"/>
            <w:vAlign w:val="center"/>
          </w:tcPr>
          <w:p w14:paraId="08A44ACE" w14:textId="2306174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855.6</w:t>
            </w:r>
          </w:p>
        </w:tc>
        <w:tc>
          <w:tcPr>
            <w:tcW w:w="3260" w:type="dxa"/>
            <w:vAlign w:val="center"/>
          </w:tcPr>
          <w:p w14:paraId="21D68313" w14:textId="73CDE5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CC8CA07" w14:textId="77777777" w:rsidTr="00555190">
        <w:tc>
          <w:tcPr>
            <w:tcW w:w="638" w:type="dxa"/>
            <w:vAlign w:val="center"/>
          </w:tcPr>
          <w:p w14:paraId="6EF46C25" w14:textId="674B2B5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31E5B91C" w14:textId="2421D01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4FB2FC7" w14:textId="5B98D30F"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Tihama</w:t>
            </w:r>
            <w:proofErr w:type="spellEnd"/>
            <w:r w:rsidRPr="00802732">
              <w:rPr>
                <w:rFonts w:asciiTheme="majorBidi" w:hAnsiTheme="majorBidi" w:cstheme="majorBidi"/>
                <w:color w:val="000000"/>
                <w:sz w:val="20"/>
                <w:szCs w:val="20"/>
              </w:rPr>
              <w:t xml:space="preserve"> Power Generation Co Ltd</w:t>
            </w:r>
          </w:p>
        </w:tc>
        <w:tc>
          <w:tcPr>
            <w:tcW w:w="850" w:type="dxa"/>
            <w:vAlign w:val="center"/>
          </w:tcPr>
          <w:p w14:paraId="4364BF82" w14:textId="583CD1F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550</w:t>
            </w:r>
          </w:p>
        </w:tc>
        <w:tc>
          <w:tcPr>
            <w:tcW w:w="3260" w:type="dxa"/>
            <w:vAlign w:val="center"/>
          </w:tcPr>
          <w:p w14:paraId="0B13AC61" w14:textId="2D1EEE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A948FB0" w14:textId="77777777" w:rsidTr="00555190">
        <w:tc>
          <w:tcPr>
            <w:tcW w:w="638" w:type="dxa"/>
            <w:vAlign w:val="center"/>
          </w:tcPr>
          <w:p w14:paraId="0DFB1848" w14:textId="12683D5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4DF3C4C" w14:textId="3AA77A1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3192E04" w14:textId="1379DA1B"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Shuqaiq</w:t>
            </w:r>
            <w:proofErr w:type="spellEnd"/>
            <w:r w:rsidRPr="00802732">
              <w:rPr>
                <w:rFonts w:asciiTheme="majorBidi" w:hAnsiTheme="majorBidi" w:cstheme="majorBidi"/>
                <w:color w:val="000000"/>
                <w:sz w:val="20"/>
                <w:szCs w:val="20"/>
              </w:rPr>
              <w:t xml:space="preserve"> IWPP</w:t>
            </w:r>
          </w:p>
        </w:tc>
        <w:tc>
          <w:tcPr>
            <w:tcW w:w="850" w:type="dxa"/>
            <w:vAlign w:val="center"/>
          </w:tcPr>
          <w:p w14:paraId="68071369" w14:textId="56360B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1387.2</w:t>
            </w:r>
          </w:p>
        </w:tc>
        <w:tc>
          <w:tcPr>
            <w:tcW w:w="3260" w:type="dxa"/>
            <w:vAlign w:val="center"/>
          </w:tcPr>
          <w:p w14:paraId="728099AE" w14:textId="39AF81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3E62A9B" w14:textId="77777777" w:rsidTr="00555190">
        <w:tc>
          <w:tcPr>
            <w:tcW w:w="638" w:type="dxa"/>
            <w:vAlign w:val="center"/>
          </w:tcPr>
          <w:p w14:paraId="405926EF" w14:textId="240B2A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37376A0E" w14:textId="7B6D379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3EC5CA5" w14:textId="6375CE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Petrochemical</w:t>
            </w:r>
          </w:p>
        </w:tc>
        <w:tc>
          <w:tcPr>
            <w:tcW w:w="850" w:type="dxa"/>
            <w:vAlign w:val="center"/>
          </w:tcPr>
          <w:p w14:paraId="7DAB23AB" w14:textId="1C419C5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575.1</w:t>
            </w:r>
          </w:p>
        </w:tc>
        <w:tc>
          <w:tcPr>
            <w:tcW w:w="3260" w:type="dxa"/>
            <w:vAlign w:val="center"/>
          </w:tcPr>
          <w:p w14:paraId="29844F62" w14:textId="3FAA29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5061EE73" w14:textId="77777777" w:rsidTr="00555190">
        <w:tc>
          <w:tcPr>
            <w:tcW w:w="638" w:type="dxa"/>
            <w:vAlign w:val="center"/>
          </w:tcPr>
          <w:p w14:paraId="3FFD6B81" w14:textId="6224F5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811FC9E" w14:textId="57F1B1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515218C" w14:textId="0957CF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Intl Petrochemical Co</w:t>
            </w:r>
          </w:p>
        </w:tc>
        <w:tc>
          <w:tcPr>
            <w:tcW w:w="850" w:type="dxa"/>
            <w:vAlign w:val="center"/>
          </w:tcPr>
          <w:p w14:paraId="76B4E447" w14:textId="387C711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564.3</w:t>
            </w:r>
          </w:p>
        </w:tc>
        <w:tc>
          <w:tcPr>
            <w:tcW w:w="3260" w:type="dxa"/>
            <w:vAlign w:val="center"/>
          </w:tcPr>
          <w:p w14:paraId="14A671A1" w14:textId="0769463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B14CC2B" w14:textId="77777777" w:rsidTr="00555190">
        <w:tc>
          <w:tcPr>
            <w:tcW w:w="638" w:type="dxa"/>
            <w:vAlign w:val="center"/>
          </w:tcPr>
          <w:p w14:paraId="58059E1F" w14:textId="5AFF73A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6A8FFE20" w14:textId="6509E6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114FCEC" w14:textId="104D24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Third Jeddah Container</w:t>
            </w:r>
          </w:p>
        </w:tc>
        <w:tc>
          <w:tcPr>
            <w:tcW w:w="850" w:type="dxa"/>
            <w:vAlign w:val="center"/>
          </w:tcPr>
          <w:p w14:paraId="0D37C7C6" w14:textId="25B3D4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425</w:t>
            </w:r>
          </w:p>
        </w:tc>
        <w:tc>
          <w:tcPr>
            <w:tcW w:w="3260" w:type="dxa"/>
            <w:vAlign w:val="center"/>
          </w:tcPr>
          <w:p w14:paraId="2FF7A8D5" w14:textId="45DD465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6DDA60D4" w14:textId="77777777" w:rsidTr="00555190">
        <w:tc>
          <w:tcPr>
            <w:tcW w:w="638" w:type="dxa"/>
            <w:vAlign w:val="center"/>
          </w:tcPr>
          <w:p w14:paraId="77E970D3" w14:textId="2A092A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519A3B5F" w14:textId="617F130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4E49AEF" w14:textId="2B2D822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Qatargas 4</w:t>
            </w:r>
          </w:p>
        </w:tc>
        <w:tc>
          <w:tcPr>
            <w:tcW w:w="850" w:type="dxa"/>
            <w:vAlign w:val="center"/>
          </w:tcPr>
          <w:p w14:paraId="71187A1E" w14:textId="7712711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3024</w:t>
            </w:r>
          </w:p>
        </w:tc>
        <w:tc>
          <w:tcPr>
            <w:tcW w:w="3260" w:type="dxa"/>
            <w:vAlign w:val="center"/>
          </w:tcPr>
          <w:p w14:paraId="5311D30C" w14:textId="519516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EEBBAB6" w14:textId="77777777" w:rsidTr="00555190">
        <w:tc>
          <w:tcPr>
            <w:tcW w:w="638" w:type="dxa"/>
            <w:vAlign w:val="center"/>
          </w:tcPr>
          <w:p w14:paraId="6DC18D50" w14:textId="2721535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35573046" w14:textId="70A1A0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6CE3AACB" w14:textId="1E6967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Qatalum</w:t>
            </w:r>
          </w:p>
        </w:tc>
        <w:tc>
          <w:tcPr>
            <w:tcW w:w="850" w:type="dxa"/>
            <w:vAlign w:val="center"/>
          </w:tcPr>
          <w:p w14:paraId="751C24E1" w14:textId="2896188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2749.4</w:t>
            </w:r>
          </w:p>
        </w:tc>
        <w:tc>
          <w:tcPr>
            <w:tcW w:w="3260" w:type="dxa"/>
            <w:vAlign w:val="center"/>
          </w:tcPr>
          <w:p w14:paraId="53BFC4BF" w14:textId="6D1C03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5C90DD73" w14:textId="77777777" w:rsidTr="00555190">
        <w:tc>
          <w:tcPr>
            <w:tcW w:w="638" w:type="dxa"/>
            <w:vAlign w:val="center"/>
          </w:tcPr>
          <w:p w14:paraId="3466C477" w14:textId="4B32127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658BD5E1" w14:textId="1167F8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409911F9" w14:textId="656BC1E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Fertilizer Co (QAFCO)</w:t>
            </w:r>
          </w:p>
        </w:tc>
        <w:tc>
          <w:tcPr>
            <w:tcW w:w="850" w:type="dxa"/>
            <w:vAlign w:val="center"/>
          </w:tcPr>
          <w:p w14:paraId="4B535340" w14:textId="2B67B88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1600.5</w:t>
            </w:r>
          </w:p>
        </w:tc>
        <w:tc>
          <w:tcPr>
            <w:tcW w:w="3260" w:type="dxa"/>
            <w:vAlign w:val="center"/>
          </w:tcPr>
          <w:p w14:paraId="56AD9744" w14:textId="5626530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08F05224" w14:textId="77777777" w:rsidTr="00555190">
        <w:tc>
          <w:tcPr>
            <w:tcW w:w="638" w:type="dxa"/>
            <w:vAlign w:val="center"/>
          </w:tcPr>
          <w:p w14:paraId="3C8C6523" w14:textId="059D571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110B9D1" w14:textId="769684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9B5796B" w14:textId="5794C9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LNG CPC</w:t>
            </w:r>
          </w:p>
        </w:tc>
        <w:tc>
          <w:tcPr>
            <w:tcW w:w="850" w:type="dxa"/>
            <w:vAlign w:val="center"/>
          </w:tcPr>
          <w:p w14:paraId="31FFC654" w14:textId="2E27F2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336</w:t>
            </w:r>
          </w:p>
        </w:tc>
        <w:tc>
          <w:tcPr>
            <w:tcW w:w="3260" w:type="dxa"/>
            <w:vAlign w:val="center"/>
          </w:tcPr>
          <w:p w14:paraId="3C6850CB" w14:textId="73DB92E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208BCCA" w14:textId="77777777" w:rsidTr="00555190">
        <w:tc>
          <w:tcPr>
            <w:tcW w:w="638" w:type="dxa"/>
            <w:vAlign w:val="center"/>
          </w:tcPr>
          <w:p w14:paraId="068BF31E" w14:textId="665B7C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41FA76AD" w14:textId="1D68CC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40A7AE34" w14:textId="0164A11C"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Mesaieed</w:t>
            </w:r>
            <w:proofErr w:type="spellEnd"/>
            <w:r w:rsidRPr="00802732">
              <w:rPr>
                <w:rFonts w:asciiTheme="majorBidi" w:hAnsiTheme="majorBidi" w:cstheme="majorBidi"/>
                <w:color w:val="000000"/>
                <w:sz w:val="20"/>
                <w:szCs w:val="20"/>
              </w:rPr>
              <w:t xml:space="preserve"> IPP</w:t>
            </w:r>
          </w:p>
        </w:tc>
        <w:tc>
          <w:tcPr>
            <w:tcW w:w="850" w:type="dxa"/>
            <w:vAlign w:val="center"/>
          </w:tcPr>
          <w:p w14:paraId="7BD2D52E" w14:textId="71BC47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1335.5</w:t>
            </w:r>
          </w:p>
        </w:tc>
        <w:tc>
          <w:tcPr>
            <w:tcW w:w="3260" w:type="dxa"/>
            <w:vAlign w:val="center"/>
          </w:tcPr>
          <w:p w14:paraId="6249532C" w14:textId="1D4DB97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B5CAEFD" w14:textId="77777777" w:rsidTr="00555190">
        <w:tc>
          <w:tcPr>
            <w:tcW w:w="638" w:type="dxa"/>
            <w:vAlign w:val="center"/>
          </w:tcPr>
          <w:p w14:paraId="143F6A40" w14:textId="3FA14B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5FDBDD0F" w14:textId="55C9CE6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10BC710D" w14:textId="0F4BE5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Abu </w:t>
            </w:r>
            <w:proofErr w:type="spellStart"/>
            <w:r w:rsidRPr="00802732">
              <w:rPr>
                <w:rFonts w:asciiTheme="majorBidi" w:hAnsiTheme="majorBidi" w:cstheme="majorBidi"/>
                <w:color w:val="000000"/>
                <w:sz w:val="20"/>
                <w:szCs w:val="20"/>
              </w:rPr>
              <w:t>Fontas</w:t>
            </w:r>
            <w:proofErr w:type="spellEnd"/>
            <w:r w:rsidRPr="00802732">
              <w:rPr>
                <w:rFonts w:asciiTheme="majorBidi" w:hAnsiTheme="majorBidi" w:cstheme="majorBidi"/>
                <w:color w:val="000000"/>
                <w:sz w:val="20"/>
                <w:szCs w:val="20"/>
              </w:rPr>
              <w:t xml:space="preserve"> A1</w:t>
            </w:r>
          </w:p>
        </w:tc>
        <w:tc>
          <w:tcPr>
            <w:tcW w:w="850" w:type="dxa"/>
            <w:vAlign w:val="center"/>
          </w:tcPr>
          <w:p w14:paraId="2849C914" w14:textId="68BA8A0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499.8</w:t>
            </w:r>
          </w:p>
        </w:tc>
        <w:tc>
          <w:tcPr>
            <w:tcW w:w="3260" w:type="dxa"/>
            <w:vAlign w:val="center"/>
          </w:tcPr>
          <w:p w14:paraId="31B3D770" w14:textId="4628AA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ABB14C3" w14:textId="77777777" w:rsidTr="00555190">
        <w:tc>
          <w:tcPr>
            <w:tcW w:w="638" w:type="dxa"/>
            <w:vAlign w:val="center"/>
          </w:tcPr>
          <w:p w14:paraId="0DB20ECF" w14:textId="1717B8D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02EEC816" w14:textId="3C2E54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D7E9FE7" w14:textId="2254D2C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Total </w:t>
            </w:r>
            <w:proofErr w:type="spellStart"/>
            <w:r w:rsidRPr="00802732">
              <w:rPr>
                <w:rFonts w:asciiTheme="majorBidi" w:hAnsiTheme="majorBidi" w:cstheme="majorBidi"/>
                <w:color w:val="000000"/>
                <w:sz w:val="20"/>
                <w:szCs w:val="20"/>
              </w:rPr>
              <w:t>Tractebel</w:t>
            </w:r>
            <w:proofErr w:type="spellEnd"/>
          </w:p>
        </w:tc>
        <w:tc>
          <w:tcPr>
            <w:tcW w:w="850" w:type="dxa"/>
            <w:vAlign w:val="center"/>
          </w:tcPr>
          <w:p w14:paraId="1DC92555" w14:textId="6998CA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1102.2</w:t>
            </w:r>
          </w:p>
        </w:tc>
        <w:tc>
          <w:tcPr>
            <w:tcW w:w="3260" w:type="dxa"/>
            <w:vAlign w:val="center"/>
          </w:tcPr>
          <w:p w14:paraId="48A9F223" w14:textId="2B14776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AA7CD64" w14:textId="77777777" w:rsidTr="00555190">
        <w:tc>
          <w:tcPr>
            <w:tcW w:w="638" w:type="dxa"/>
            <w:vAlign w:val="center"/>
          </w:tcPr>
          <w:p w14:paraId="361853D5" w14:textId="79C7B6A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5E54E7CC" w14:textId="4DA2225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A4D59A5" w14:textId="447D9B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EMAL</w:t>
            </w:r>
          </w:p>
        </w:tc>
        <w:tc>
          <w:tcPr>
            <w:tcW w:w="850" w:type="dxa"/>
            <w:vAlign w:val="center"/>
          </w:tcPr>
          <w:p w14:paraId="0474F54C" w14:textId="596F23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4875</w:t>
            </w:r>
          </w:p>
        </w:tc>
        <w:tc>
          <w:tcPr>
            <w:tcW w:w="3260" w:type="dxa"/>
            <w:vAlign w:val="center"/>
          </w:tcPr>
          <w:p w14:paraId="15F31CE2" w14:textId="0BE24C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EAC28B9" w14:textId="77777777" w:rsidTr="00555190">
        <w:tc>
          <w:tcPr>
            <w:tcW w:w="638" w:type="dxa"/>
            <w:vAlign w:val="center"/>
          </w:tcPr>
          <w:p w14:paraId="027F2D27" w14:textId="52C5E0C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63F3F101" w14:textId="2CB363E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2071AA47" w14:textId="647EFC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Hikma</w:t>
            </w:r>
            <w:proofErr w:type="spellEnd"/>
            <w:r w:rsidRPr="00802732">
              <w:rPr>
                <w:rFonts w:asciiTheme="majorBidi" w:hAnsiTheme="majorBidi" w:cstheme="majorBidi"/>
                <w:color w:val="000000"/>
                <w:sz w:val="20"/>
                <w:szCs w:val="20"/>
              </w:rPr>
              <w:t xml:space="preserve"> Development Co</w:t>
            </w:r>
          </w:p>
        </w:tc>
        <w:tc>
          <w:tcPr>
            <w:tcW w:w="850" w:type="dxa"/>
            <w:vAlign w:val="center"/>
          </w:tcPr>
          <w:p w14:paraId="439E3A63" w14:textId="07E37B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410</w:t>
            </w:r>
          </w:p>
        </w:tc>
        <w:tc>
          <w:tcPr>
            <w:tcW w:w="3260" w:type="dxa"/>
            <w:vAlign w:val="center"/>
          </w:tcPr>
          <w:p w14:paraId="2832C494" w14:textId="3A4C9B4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Industry</w:t>
            </w:r>
          </w:p>
        </w:tc>
      </w:tr>
      <w:tr w:rsidR="00802732" w:rsidRPr="00802732" w14:paraId="1178F3AA" w14:textId="77777777" w:rsidTr="00555190">
        <w:tc>
          <w:tcPr>
            <w:tcW w:w="638" w:type="dxa"/>
            <w:vAlign w:val="center"/>
          </w:tcPr>
          <w:p w14:paraId="6DA31B91" w14:textId="5751BE0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25658C21" w14:textId="14C6AED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3BD8A9B" w14:textId="108FEE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Palm Water LLC</w:t>
            </w:r>
          </w:p>
        </w:tc>
        <w:tc>
          <w:tcPr>
            <w:tcW w:w="850" w:type="dxa"/>
            <w:vAlign w:val="center"/>
          </w:tcPr>
          <w:p w14:paraId="597B3420" w14:textId="7ACA2EE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525</w:t>
            </w:r>
          </w:p>
        </w:tc>
        <w:tc>
          <w:tcPr>
            <w:tcW w:w="3260" w:type="dxa"/>
            <w:vAlign w:val="center"/>
          </w:tcPr>
          <w:p w14:paraId="668B84F7" w14:textId="0A4F88F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3E81B35" w14:textId="77777777" w:rsidTr="00555190">
        <w:tc>
          <w:tcPr>
            <w:tcW w:w="638" w:type="dxa"/>
            <w:vAlign w:val="center"/>
          </w:tcPr>
          <w:p w14:paraId="682884DE" w14:textId="3AD6AC3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57E16C1" w14:textId="7D3D37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13BEFB7" w14:textId="6B92718E"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Indago</w:t>
            </w:r>
            <w:proofErr w:type="spellEnd"/>
            <w:r w:rsidRPr="00802732">
              <w:rPr>
                <w:rFonts w:asciiTheme="majorBidi" w:hAnsiTheme="majorBidi" w:cstheme="majorBidi"/>
                <w:color w:val="000000"/>
                <w:sz w:val="20"/>
                <w:szCs w:val="20"/>
              </w:rPr>
              <w:t xml:space="preserve"> Petroleum Ltd</w:t>
            </w:r>
          </w:p>
        </w:tc>
        <w:tc>
          <w:tcPr>
            <w:tcW w:w="850" w:type="dxa"/>
            <w:vAlign w:val="center"/>
          </w:tcPr>
          <w:p w14:paraId="7367EDDC" w14:textId="6E9C46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40</w:t>
            </w:r>
          </w:p>
        </w:tc>
        <w:tc>
          <w:tcPr>
            <w:tcW w:w="3260" w:type="dxa"/>
            <w:vAlign w:val="center"/>
          </w:tcPr>
          <w:p w14:paraId="751CFB78" w14:textId="6BAAC6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A6BF051" w14:textId="77777777" w:rsidTr="00555190">
        <w:tc>
          <w:tcPr>
            <w:tcW w:w="638" w:type="dxa"/>
            <w:vAlign w:val="center"/>
          </w:tcPr>
          <w:p w14:paraId="2A68C0C2" w14:textId="651CDD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0FB799BD" w14:textId="30E7623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191912C" w14:textId="45E719D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Fujairah F2 IWPP</w:t>
            </w:r>
          </w:p>
        </w:tc>
        <w:tc>
          <w:tcPr>
            <w:tcW w:w="850" w:type="dxa"/>
            <w:vAlign w:val="center"/>
          </w:tcPr>
          <w:p w14:paraId="187B1097" w14:textId="5D1303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1342</w:t>
            </w:r>
          </w:p>
        </w:tc>
        <w:tc>
          <w:tcPr>
            <w:tcW w:w="3260" w:type="dxa"/>
            <w:vAlign w:val="center"/>
          </w:tcPr>
          <w:p w14:paraId="44382EE5" w14:textId="1A7D467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4E3A189" w14:textId="77777777" w:rsidTr="00555190">
        <w:tc>
          <w:tcPr>
            <w:tcW w:w="638" w:type="dxa"/>
            <w:vAlign w:val="center"/>
          </w:tcPr>
          <w:p w14:paraId="59EF2732" w14:textId="7AE4AFB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46BF85DA" w14:textId="420AC0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C7ECA1F" w14:textId="739F621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Sahara Cooling Ltd</w:t>
            </w:r>
          </w:p>
        </w:tc>
        <w:tc>
          <w:tcPr>
            <w:tcW w:w="850" w:type="dxa"/>
            <w:vAlign w:val="center"/>
          </w:tcPr>
          <w:p w14:paraId="671CDD81" w14:textId="4F8B8E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596A7A53" w14:textId="7AD54A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Industry</w:t>
            </w:r>
          </w:p>
        </w:tc>
      </w:tr>
      <w:tr w:rsidR="00802732" w:rsidRPr="00802732" w14:paraId="7BC12F7A" w14:textId="77777777" w:rsidTr="00555190">
        <w:tc>
          <w:tcPr>
            <w:tcW w:w="638" w:type="dxa"/>
            <w:vAlign w:val="center"/>
          </w:tcPr>
          <w:p w14:paraId="0BB8E761" w14:textId="6BC97B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4F912936" w14:textId="405336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EE6E692" w14:textId="4701256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Emirates Steel Plant</w:t>
            </w:r>
          </w:p>
        </w:tc>
        <w:tc>
          <w:tcPr>
            <w:tcW w:w="850" w:type="dxa"/>
            <w:vAlign w:val="center"/>
          </w:tcPr>
          <w:p w14:paraId="4B281C5F" w14:textId="3639C87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600.3</w:t>
            </w:r>
          </w:p>
        </w:tc>
        <w:tc>
          <w:tcPr>
            <w:tcW w:w="3260" w:type="dxa"/>
            <w:vAlign w:val="center"/>
          </w:tcPr>
          <w:p w14:paraId="5CD53E3A" w14:textId="7868B1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2758C08A" w14:textId="77777777" w:rsidTr="00555190">
        <w:tc>
          <w:tcPr>
            <w:tcW w:w="638" w:type="dxa"/>
            <w:vAlign w:val="center"/>
          </w:tcPr>
          <w:p w14:paraId="3D47578D" w14:textId="5FEC84A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4F69C5A" w14:textId="7A73BF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3D92A9F" w14:textId="391F26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Taweelah</w:t>
            </w:r>
            <w:proofErr w:type="spellEnd"/>
            <w:r w:rsidRPr="00802732">
              <w:rPr>
                <w:rFonts w:asciiTheme="majorBidi" w:hAnsiTheme="majorBidi" w:cstheme="majorBidi"/>
                <w:color w:val="000000"/>
                <w:sz w:val="20"/>
                <w:szCs w:val="20"/>
              </w:rPr>
              <w:t xml:space="preserve"> B and CIWPP</w:t>
            </w:r>
          </w:p>
        </w:tc>
        <w:tc>
          <w:tcPr>
            <w:tcW w:w="850" w:type="dxa"/>
            <w:vAlign w:val="center"/>
          </w:tcPr>
          <w:p w14:paraId="2D44EE67" w14:textId="4CBBFF5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2140</w:t>
            </w:r>
          </w:p>
        </w:tc>
        <w:tc>
          <w:tcPr>
            <w:tcW w:w="3260" w:type="dxa"/>
            <w:vAlign w:val="center"/>
          </w:tcPr>
          <w:p w14:paraId="487ABAB0" w14:textId="0E2B3B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D4B0782" w14:textId="77777777" w:rsidTr="00555190">
        <w:tc>
          <w:tcPr>
            <w:tcW w:w="638" w:type="dxa"/>
            <w:vAlign w:val="center"/>
          </w:tcPr>
          <w:p w14:paraId="12DF365E" w14:textId="54B92A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18356B86" w14:textId="2C37A0D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46AB012" w14:textId="45050DD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OCI Fujairah Cement Plant</w:t>
            </w:r>
          </w:p>
        </w:tc>
        <w:tc>
          <w:tcPr>
            <w:tcW w:w="850" w:type="dxa"/>
            <w:vAlign w:val="center"/>
          </w:tcPr>
          <w:p w14:paraId="1BF18BD1" w14:textId="22AA38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285</w:t>
            </w:r>
          </w:p>
        </w:tc>
        <w:tc>
          <w:tcPr>
            <w:tcW w:w="3260" w:type="dxa"/>
            <w:vAlign w:val="center"/>
          </w:tcPr>
          <w:p w14:paraId="1C8D8C45" w14:textId="7CEA42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66977A0E" w14:textId="77777777" w:rsidTr="00555190">
        <w:tc>
          <w:tcPr>
            <w:tcW w:w="638" w:type="dxa"/>
            <w:vAlign w:val="center"/>
          </w:tcPr>
          <w:p w14:paraId="426BFB44" w14:textId="7880841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43932F0D" w14:textId="6963CC8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080ED47" w14:textId="5A2E54E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Ajman Sewerage Company Ltd</w:t>
            </w:r>
          </w:p>
        </w:tc>
        <w:tc>
          <w:tcPr>
            <w:tcW w:w="850" w:type="dxa"/>
            <w:vAlign w:val="center"/>
          </w:tcPr>
          <w:p w14:paraId="6D1B7151" w14:textId="2A63D2A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50D716EE" w14:textId="5041CE7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593C0C6" w14:textId="77777777" w:rsidTr="00555190">
        <w:tc>
          <w:tcPr>
            <w:tcW w:w="638" w:type="dxa"/>
            <w:vAlign w:val="center"/>
          </w:tcPr>
          <w:p w14:paraId="5C3263DE" w14:textId="4904CDD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142E345C" w14:textId="156CAC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B9B78CD" w14:textId="0667E5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ICADIII Limited LLC</w:t>
            </w:r>
          </w:p>
        </w:tc>
        <w:tc>
          <w:tcPr>
            <w:tcW w:w="850" w:type="dxa"/>
            <w:vAlign w:val="center"/>
          </w:tcPr>
          <w:p w14:paraId="26761FF9" w14:textId="26DBC99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198.9</w:t>
            </w:r>
          </w:p>
        </w:tc>
        <w:tc>
          <w:tcPr>
            <w:tcW w:w="3260" w:type="dxa"/>
            <w:vAlign w:val="center"/>
          </w:tcPr>
          <w:p w14:paraId="1CB56295" w14:textId="50CA263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Industry</w:t>
            </w:r>
          </w:p>
        </w:tc>
      </w:tr>
      <w:tr w:rsidR="00802732" w:rsidRPr="00802732" w14:paraId="7F998327" w14:textId="77777777" w:rsidTr="00555190">
        <w:tc>
          <w:tcPr>
            <w:tcW w:w="638" w:type="dxa"/>
            <w:vAlign w:val="center"/>
          </w:tcPr>
          <w:p w14:paraId="4057532E" w14:textId="37CCA3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11EF13C" w14:textId="0730622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B198FB8" w14:textId="5AB0ACB4"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IWPP</w:t>
            </w:r>
          </w:p>
        </w:tc>
        <w:tc>
          <w:tcPr>
            <w:tcW w:w="850" w:type="dxa"/>
            <w:vAlign w:val="center"/>
          </w:tcPr>
          <w:p w14:paraId="2EAB68AD" w14:textId="5C66BB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795.2</w:t>
            </w:r>
          </w:p>
        </w:tc>
        <w:tc>
          <w:tcPr>
            <w:tcW w:w="3260" w:type="dxa"/>
            <w:vAlign w:val="center"/>
          </w:tcPr>
          <w:p w14:paraId="00DB7EBB" w14:textId="372AD2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DB1E00C" w14:textId="77777777" w:rsidTr="00555190">
        <w:tc>
          <w:tcPr>
            <w:tcW w:w="638" w:type="dxa"/>
            <w:vAlign w:val="center"/>
          </w:tcPr>
          <w:p w14:paraId="3F496A5A" w14:textId="551E7F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7E81D562" w14:textId="388E265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5E416DF" w14:textId="72F19D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Dhofar Power Co</w:t>
            </w:r>
          </w:p>
        </w:tc>
        <w:tc>
          <w:tcPr>
            <w:tcW w:w="850" w:type="dxa"/>
            <w:vAlign w:val="center"/>
          </w:tcPr>
          <w:p w14:paraId="2A4E5609" w14:textId="51CBBB6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340.2</w:t>
            </w:r>
          </w:p>
        </w:tc>
        <w:tc>
          <w:tcPr>
            <w:tcW w:w="3260" w:type="dxa"/>
            <w:vAlign w:val="center"/>
          </w:tcPr>
          <w:p w14:paraId="1A4755C3" w14:textId="7F85F5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7CEC338" w14:textId="77777777" w:rsidTr="00555190">
        <w:tc>
          <w:tcPr>
            <w:tcW w:w="638" w:type="dxa"/>
            <w:vAlign w:val="center"/>
          </w:tcPr>
          <w:p w14:paraId="6BED0DC4" w14:textId="21E08F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0035F724" w14:textId="470F1C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156D8F3" w14:textId="54A5322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Methanol Plant</w:t>
            </w:r>
          </w:p>
        </w:tc>
        <w:tc>
          <w:tcPr>
            <w:tcW w:w="850" w:type="dxa"/>
            <w:vAlign w:val="center"/>
          </w:tcPr>
          <w:p w14:paraId="6BCDB6F2" w14:textId="05E4386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639.4</w:t>
            </w:r>
          </w:p>
        </w:tc>
        <w:tc>
          <w:tcPr>
            <w:tcW w:w="3260" w:type="dxa"/>
            <w:vAlign w:val="center"/>
          </w:tcPr>
          <w:p w14:paraId="4DF053E1" w14:textId="34FC43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0F49EBB" w14:textId="77777777" w:rsidTr="00555190">
        <w:tc>
          <w:tcPr>
            <w:tcW w:w="638" w:type="dxa"/>
            <w:vAlign w:val="center"/>
          </w:tcPr>
          <w:p w14:paraId="72240512" w14:textId="41E518C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6AE3798D" w14:textId="420CAA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3BAF35C" w14:textId="63295F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Sur IWPP</w:t>
            </w:r>
          </w:p>
        </w:tc>
        <w:tc>
          <w:tcPr>
            <w:tcW w:w="850" w:type="dxa"/>
            <w:vAlign w:val="center"/>
          </w:tcPr>
          <w:p w14:paraId="2616E1DF" w14:textId="7493961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172</w:t>
            </w:r>
          </w:p>
        </w:tc>
        <w:tc>
          <w:tcPr>
            <w:tcW w:w="3260" w:type="dxa"/>
            <w:vAlign w:val="center"/>
          </w:tcPr>
          <w:p w14:paraId="56E3EC7F" w14:textId="6E9A3A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65F063B" w14:textId="77777777" w:rsidTr="00555190">
        <w:tc>
          <w:tcPr>
            <w:tcW w:w="638" w:type="dxa"/>
            <w:vAlign w:val="center"/>
          </w:tcPr>
          <w:p w14:paraId="437A1033" w14:textId="1E8CFD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3CCC4B12" w14:textId="2F8BB8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468CEFB" w14:textId="64D2991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 &amp; Sohar Refinery Merger</w:t>
            </w:r>
          </w:p>
        </w:tc>
        <w:tc>
          <w:tcPr>
            <w:tcW w:w="850" w:type="dxa"/>
            <w:vAlign w:val="center"/>
          </w:tcPr>
          <w:p w14:paraId="43D913B4" w14:textId="5008CF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1370.4</w:t>
            </w:r>
          </w:p>
        </w:tc>
        <w:tc>
          <w:tcPr>
            <w:tcW w:w="3260" w:type="dxa"/>
            <w:vAlign w:val="center"/>
          </w:tcPr>
          <w:p w14:paraId="79D5B3C8" w14:textId="7704EDD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62C91DC" w14:textId="77777777" w:rsidTr="00555190">
        <w:tc>
          <w:tcPr>
            <w:tcW w:w="638" w:type="dxa"/>
            <w:vAlign w:val="center"/>
          </w:tcPr>
          <w:p w14:paraId="567EC19A" w14:textId="2EF720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57D60550" w14:textId="7102F4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4896BC22" w14:textId="0D509D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KPPC</w:t>
            </w:r>
          </w:p>
        </w:tc>
        <w:tc>
          <w:tcPr>
            <w:tcW w:w="850" w:type="dxa"/>
            <w:vAlign w:val="center"/>
          </w:tcPr>
          <w:p w14:paraId="59BC37AC" w14:textId="25C4B0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1400</w:t>
            </w:r>
          </w:p>
        </w:tc>
        <w:tc>
          <w:tcPr>
            <w:tcW w:w="3260" w:type="dxa"/>
            <w:vAlign w:val="center"/>
          </w:tcPr>
          <w:p w14:paraId="24B09ABA" w14:textId="6C823B6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785E20D4" w14:textId="77777777" w:rsidTr="00555190">
        <w:tc>
          <w:tcPr>
            <w:tcW w:w="638" w:type="dxa"/>
            <w:vAlign w:val="center"/>
          </w:tcPr>
          <w:p w14:paraId="16E478EB" w14:textId="26F11B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2007</w:t>
            </w:r>
          </w:p>
        </w:tc>
        <w:tc>
          <w:tcPr>
            <w:tcW w:w="1336" w:type="dxa"/>
            <w:vAlign w:val="center"/>
          </w:tcPr>
          <w:p w14:paraId="55FF9A99" w14:textId="3D5ADF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49DAC782" w14:textId="73C8867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Aluminium Bahrain BSC </w:t>
            </w:r>
            <w:r>
              <w:rPr>
                <w:rFonts w:asciiTheme="majorBidi" w:hAnsiTheme="majorBidi" w:cstheme="majorBidi"/>
                <w:color w:val="000000"/>
                <w:sz w:val="20"/>
                <w:szCs w:val="20"/>
              </w:rPr>
              <w:t>(</w:t>
            </w:r>
            <w:r w:rsidRPr="00802732">
              <w:rPr>
                <w:rFonts w:asciiTheme="majorBidi" w:hAnsiTheme="majorBidi" w:cstheme="majorBidi"/>
                <w:color w:val="000000"/>
                <w:sz w:val="20"/>
                <w:szCs w:val="20"/>
              </w:rPr>
              <w:t>ALBA</w:t>
            </w:r>
            <w:r>
              <w:rPr>
                <w:rFonts w:asciiTheme="majorBidi" w:hAnsiTheme="majorBidi" w:cstheme="majorBidi"/>
                <w:color w:val="000000"/>
                <w:sz w:val="20"/>
                <w:szCs w:val="20"/>
              </w:rPr>
              <w:t>)</w:t>
            </w:r>
          </w:p>
        </w:tc>
        <w:tc>
          <w:tcPr>
            <w:tcW w:w="850" w:type="dxa"/>
            <w:vAlign w:val="center"/>
          </w:tcPr>
          <w:p w14:paraId="69249D97" w14:textId="453494E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641</w:t>
            </w:r>
          </w:p>
        </w:tc>
        <w:tc>
          <w:tcPr>
            <w:tcW w:w="3260" w:type="dxa"/>
            <w:vAlign w:val="center"/>
          </w:tcPr>
          <w:p w14:paraId="3CBEA21E" w14:textId="1BFA238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693ED316" w14:textId="77777777" w:rsidTr="00555190">
        <w:tc>
          <w:tcPr>
            <w:tcW w:w="638" w:type="dxa"/>
            <w:vAlign w:val="center"/>
          </w:tcPr>
          <w:p w14:paraId="4E1E4D3E" w14:textId="771ADE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7B861079" w14:textId="22D45F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132E0B3" w14:textId="7F23AE0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Saudi </w:t>
            </w:r>
            <w:proofErr w:type="spellStart"/>
            <w:r w:rsidRPr="00802732">
              <w:rPr>
                <w:rFonts w:asciiTheme="majorBidi" w:hAnsiTheme="majorBidi" w:cstheme="majorBidi"/>
                <w:color w:val="000000"/>
                <w:sz w:val="20"/>
                <w:szCs w:val="20"/>
              </w:rPr>
              <w:t>Kayan</w:t>
            </w:r>
            <w:proofErr w:type="spellEnd"/>
            <w:r w:rsidRPr="00802732">
              <w:rPr>
                <w:rFonts w:asciiTheme="majorBidi" w:hAnsiTheme="majorBidi" w:cstheme="majorBidi"/>
                <w:color w:val="000000"/>
                <w:sz w:val="20"/>
                <w:szCs w:val="20"/>
              </w:rPr>
              <w:t xml:space="preserve"> Petrochemical Co</w:t>
            </w:r>
          </w:p>
        </w:tc>
        <w:tc>
          <w:tcPr>
            <w:tcW w:w="850" w:type="dxa"/>
            <w:vAlign w:val="center"/>
          </w:tcPr>
          <w:p w14:paraId="77E31ED9" w14:textId="6A2D57E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3759.5</w:t>
            </w:r>
          </w:p>
        </w:tc>
        <w:tc>
          <w:tcPr>
            <w:tcW w:w="3260" w:type="dxa"/>
            <w:vAlign w:val="center"/>
          </w:tcPr>
          <w:p w14:paraId="5F235348" w14:textId="6B396B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F201BD5" w14:textId="77777777" w:rsidTr="00555190">
        <w:tc>
          <w:tcPr>
            <w:tcW w:w="638" w:type="dxa"/>
            <w:vAlign w:val="center"/>
          </w:tcPr>
          <w:p w14:paraId="2A34DC58" w14:textId="3AEEA9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48F5DE48" w14:textId="587944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B5D407B" w14:textId="7BCEA3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Polymers Co</w:t>
            </w:r>
          </w:p>
        </w:tc>
        <w:tc>
          <w:tcPr>
            <w:tcW w:w="850" w:type="dxa"/>
            <w:vAlign w:val="center"/>
          </w:tcPr>
          <w:p w14:paraId="637F7DBB" w14:textId="303FE3A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3590</w:t>
            </w:r>
          </w:p>
        </w:tc>
        <w:tc>
          <w:tcPr>
            <w:tcW w:w="3260" w:type="dxa"/>
            <w:vAlign w:val="center"/>
          </w:tcPr>
          <w:p w14:paraId="2D0760FA" w14:textId="6443D1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8C56DD0" w14:textId="77777777" w:rsidTr="00555190">
        <w:tc>
          <w:tcPr>
            <w:tcW w:w="638" w:type="dxa"/>
            <w:vAlign w:val="center"/>
          </w:tcPr>
          <w:p w14:paraId="5DD87904" w14:textId="3A18EC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54A788F6" w14:textId="161D3F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A3E1E88" w14:textId="1EF4AC15"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Ma'aden</w:t>
            </w:r>
            <w:proofErr w:type="spellEnd"/>
            <w:r w:rsidRPr="00802732">
              <w:rPr>
                <w:rFonts w:asciiTheme="majorBidi" w:hAnsiTheme="majorBidi" w:cstheme="majorBidi"/>
                <w:color w:val="000000"/>
                <w:sz w:val="20"/>
                <w:szCs w:val="20"/>
              </w:rPr>
              <w:t xml:space="preserve"> Phosphate Company</w:t>
            </w:r>
          </w:p>
        </w:tc>
        <w:tc>
          <w:tcPr>
            <w:tcW w:w="850" w:type="dxa"/>
            <w:vAlign w:val="center"/>
          </w:tcPr>
          <w:p w14:paraId="7C262716" w14:textId="1125273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2661.5</w:t>
            </w:r>
          </w:p>
        </w:tc>
        <w:tc>
          <w:tcPr>
            <w:tcW w:w="3260" w:type="dxa"/>
            <w:vAlign w:val="center"/>
          </w:tcPr>
          <w:p w14:paraId="5EB67578" w14:textId="7CF761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4A4AB925" w14:textId="77777777" w:rsidTr="00555190">
        <w:tc>
          <w:tcPr>
            <w:tcW w:w="638" w:type="dxa"/>
            <w:vAlign w:val="center"/>
          </w:tcPr>
          <w:p w14:paraId="691289A5" w14:textId="0F5D9E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07376AEB" w14:textId="41087D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40D6307" w14:textId="47F787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King </w:t>
            </w:r>
            <w:proofErr w:type="spellStart"/>
            <w:r w:rsidRPr="00802732">
              <w:rPr>
                <w:rFonts w:asciiTheme="majorBidi" w:hAnsiTheme="majorBidi" w:cstheme="majorBidi"/>
                <w:color w:val="000000"/>
                <w:sz w:val="20"/>
                <w:szCs w:val="20"/>
              </w:rPr>
              <w:t>Abdulaziz</w:t>
            </w:r>
            <w:proofErr w:type="spellEnd"/>
            <w:r w:rsidRPr="00802732">
              <w:rPr>
                <w:rFonts w:asciiTheme="majorBidi" w:hAnsiTheme="majorBidi" w:cstheme="majorBidi"/>
                <w:color w:val="000000"/>
                <w:sz w:val="20"/>
                <w:szCs w:val="20"/>
              </w:rPr>
              <w:t xml:space="preserve"> Hajj Terminal</w:t>
            </w:r>
          </w:p>
        </w:tc>
        <w:tc>
          <w:tcPr>
            <w:tcW w:w="850" w:type="dxa"/>
            <w:vAlign w:val="center"/>
          </w:tcPr>
          <w:p w14:paraId="409D0372" w14:textId="6CD03E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241.2</w:t>
            </w:r>
          </w:p>
        </w:tc>
        <w:tc>
          <w:tcPr>
            <w:tcW w:w="3260" w:type="dxa"/>
            <w:vAlign w:val="center"/>
          </w:tcPr>
          <w:p w14:paraId="629A08A6" w14:textId="7F1EF5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63FC1D04" w14:textId="77777777" w:rsidTr="00555190">
        <w:tc>
          <w:tcPr>
            <w:tcW w:w="638" w:type="dxa"/>
            <w:vAlign w:val="center"/>
          </w:tcPr>
          <w:p w14:paraId="2FADAF69" w14:textId="718B9C2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352F295C" w14:textId="76385B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D527C92" w14:textId="37AACE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Jubail Seamless Pipe Plant</w:t>
            </w:r>
          </w:p>
        </w:tc>
        <w:tc>
          <w:tcPr>
            <w:tcW w:w="850" w:type="dxa"/>
            <w:vAlign w:val="center"/>
          </w:tcPr>
          <w:p w14:paraId="1081D831" w14:textId="3A8123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58</w:t>
            </w:r>
          </w:p>
        </w:tc>
        <w:tc>
          <w:tcPr>
            <w:tcW w:w="3260" w:type="dxa"/>
            <w:vAlign w:val="center"/>
          </w:tcPr>
          <w:p w14:paraId="604F79AF" w14:textId="5CE07D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44A26526" w14:textId="77777777" w:rsidTr="00555190">
        <w:tc>
          <w:tcPr>
            <w:tcW w:w="638" w:type="dxa"/>
            <w:vAlign w:val="center"/>
          </w:tcPr>
          <w:p w14:paraId="59F2189D" w14:textId="7DD685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37A72A09" w14:textId="09E6F2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3045D6F" w14:textId="2880D7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 Ship Acquisition and FSO</w:t>
            </w:r>
          </w:p>
        </w:tc>
        <w:tc>
          <w:tcPr>
            <w:tcW w:w="850" w:type="dxa"/>
            <w:vAlign w:val="center"/>
          </w:tcPr>
          <w:p w14:paraId="79812DB5" w14:textId="1F4332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500.5</w:t>
            </w:r>
          </w:p>
        </w:tc>
        <w:tc>
          <w:tcPr>
            <w:tcW w:w="3260" w:type="dxa"/>
            <w:vAlign w:val="center"/>
          </w:tcPr>
          <w:p w14:paraId="6BC37668" w14:textId="700B433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0632C02F" w14:textId="77777777" w:rsidTr="00555190">
        <w:tc>
          <w:tcPr>
            <w:tcW w:w="638" w:type="dxa"/>
            <w:vAlign w:val="center"/>
          </w:tcPr>
          <w:p w14:paraId="250F35E7" w14:textId="73059A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5393A340" w14:textId="59CF4B6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61EAC143" w14:textId="38D316B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Abu </w:t>
            </w:r>
            <w:proofErr w:type="spellStart"/>
            <w:r w:rsidRPr="00802732">
              <w:rPr>
                <w:rFonts w:asciiTheme="majorBidi" w:hAnsiTheme="majorBidi" w:cstheme="majorBidi"/>
                <w:color w:val="000000"/>
                <w:sz w:val="20"/>
                <w:szCs w:val="20"/>
              </w:rPr>
              <w:t>Fontas</w:t>
            </w:r>
            <w:proofErr w:type="spellEnd"/>
            <w:r w:rsidRPr="00802732">
              <w:rPr>
                <w:rFonts w:asciiTheme="majorBidi" w:hAnsiTheme="majorBidi" w:cstheme="majorBidi"/>
                <w:color w:val="000000"/>
                <w:sz w:val="20"/>
                <w:szCs w:val="20"/>
              </w:rPr>
              <w:t xml:space="preserve"> A1</w:t>
            </w:r>
          </w:p>
        </w:tc>
        <w:tc>
          <w:tcPr>
            <w:tcW w:w="850" w:type="dxa"/>
            <w:vAlign w:val="center"/>
          </w:tcPr>
          <w:p w14:paraId="06052094" w14:textId="2B9DF6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432.6</w:t>
            </w:r>
          </w:p>
        </w:tc>
        <w:tc>
          <w:tcPr>
            <w:tcW w:w="3260" w:type="dxa"/>
            <w:vAlign w:val="center"/>
          </w:tcPr>
          <w:p w14:paraId="0DBF7D33" w14:textId="762B43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97FD989" w14:textId="77777777" w:rsidTr="00555190">
        <w:tc>
          <w:tcPr>
            <w:tcW w:w="638" w:type="dxa"/>
            <w:vAlign w:val="center"/>
          </w:tcPr>
          <w:p w14:paraId="64037675" w14:textId="74B17C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73E446DC" w14:textId="751A581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177F5664" w14:textId="1C5C08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 Laffan C</w:t>
            </w:r>
          </w:p>
        </w:tc>
        <w:tc>
          <w:tcPr>
            <w:tcW w:w="850" w:type="dxa"/>
            <w:vAlign w:val="center"/>
          </w:tcPr>
          <w:p w14:paraId="0B220689" w14:textId="18F8634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1964</w:t>
            </w:r>
          </w:p>
        </w:tc>
        <w:tc>
          <w:tcPr>
            <w:tcW w:w="3260" w:type="dxa"/>
            <w:vAlign w:val="center"/>
          </w:tcPr>
          <w:p w14:paraId="33615ED5" w14:textId="5F88117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8B1AC78" w14:textId="77777777" w:rsidTr="00555190">
        <w:tc>
          <w:tcPr>
            <w:tcW w:w="638" w:type="dxa"/>
            <w:vAlign w:val="center"/>
          </w:tcPr>
          <w:p w14:paraId="78C93389" w14:textId="298005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59CAF5A5" w14:textId="690DAF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5A3EA3EA" w14:textId="004397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QGTC LNG Shipbuilding</w:t>
            </w:r>
          </w:p>
        </w:tc>
        <w:tc>
          <w:tcPr>
            <w:tcW w:w="850" w:type="dxa"/>
            <w:vAlign w:val="center"/>
          </w:tcPr>
          <w:p w14:paraId="30233435" w14:textId="0B5D1F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1499.8</w:t>
            </w:r>
          </w:p>
        </w:tc>
        <w:tc>
          <w:tcPr>
            <w:tcW w:w="3260" w:type="dxa"/>
            <w:vAlign w:val="center"/>
          </w:tcPr>
          <w:p w14:paraId="519693D1" w14:textId="24921B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50B125E" w14:textId="77777777" w:rsidTr="00555190">
        <w:tc>
          <w:tcPr>
            <w:tcW w:w="638" w:type="dxa"/>
            <w:vAlign w:val="center"/>
          </w:tcPr>
          <w:p w14:paraId="73322E83" w14:textId="01C6B02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672F5D43" w14:textId="18DB5E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F19AEFB" w14:textId="58E5118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Paris Sorbonne University</w:t>
            </w:r>
          </w:p>
        </w:tc>
        <w:tc>
          <w:tcPr>
            <w:tcW w:w="850" w:type="dxa"/>
            <w:vAlign w:val="center"/>
          </w:tcPr>
          <w:p w14:paraId="375A8C48" w14:textId="60A1B4F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325.8</w:t>
            </w:r>
          </w:p>
        </w:tc>
        <w:tc>
          <w:tcPr>
            <w:tcW w:w="3260" w:type="dxa"/>
            <w:vAlign w:val="center"/>
          </w:tcPr>
          <w:p w14:paraId="27C4695E" w14:textId="0F3F06C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0A905F8D" w14:textId="77777777" w:rsidTr="00555190">
        <w:tc>
          <w:tcPr>
            <w:tcW w:w="638" w:type="dxa"/>
            <w:vAlign w:val="center"/>
          </w:tcPr>
          <w:p w14:paraId="04CC641D" w14:textId="3304F9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30295659" w14:textId="7D6A30E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CE25572" w14:textId="482C310B"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Yahsat</w:t>
            </w:r>
            <w:proofErr w:type="spellEnd"/>
            <w:r w:rsidRPr="00802732">
              <w:rPr>
                <w:rFonts w:asciiTheme="majorBidi" w:hAnsiTheme="majorBidi" w:cstheme="majorBidi"/>
                <w:color w:val="000000"/>
                <w:sz w:val="20"/>
                <w:szCs w:val="20"/>
              </w:rPr>
              <w:t xml:space="preserve"> Project</w:t>
            </w:r>
          </w:p>
        </w:tc>
        <w:tc>
          <w:tcPr>
            <w:tcW w:w="850" w:type="dxa"/>
            <w:vAlign w:val="center"/>
          </w:tcPr>
          <w:p w14:paraId="51F4CA55" w14:textId="6DFCD88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1200.5</w:t>
            </w:r>
          </w:p>
        </w:tc>
        <w:tc>
          <w:tcPr>
            <w:tcW w:w="3260" w:type="dxa"/>
            <w:vAlign w:val="center"/>
          </w:tcPr>
          <w:p w14:paraId="37030981" w14:textId="6AAD24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Telecoms</w:t>
            </w:r>
          </w:p>
        </w:tc>
      </w:tr>
      <w:tr w:rsidR="00802732" w:rsidRPr="00802732" w14:paraId="49A6AB46" w14:textId="77777777" w:rsidTr="00555190">
        <w:tc>
          <w:tcPr>
            <w:tcW w:w="638" w:type="dxa"/>
            <w:vAlign w:val="center"/>
          </w:tcPr>
          <w:p w14:paraId="5FAE54D9" w14:textId="4305F52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lastRenderedPageBreak/>
              <w:t>2008</w:t>
            </w:r>
          </w:p>
        </w:tc>
        <w:tc>
          <w:tcPr>
            <w:tcW w:w="1336" w:type="dxa"/>
            <w:vAlign w:val="center"/>
          </w:tcPr>
          <w:p w14:paraId="3DFA049D" w14:textId="177651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B8FD792" w14:textId="77F2B517"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Shuweihat</w:t>
            </w:r>
            <w:proofErr w:type="spellEnd"/>
            <w:r w:rsidRPr="00802732">
              <w:rPr>
                <w:rFonts w:asciiTheme="majorBidi" w:hAnsiTheme="majorBidi" w:cstheme="majorBidi"/>
                <w:color w:val="000000"/>
                <w:sz w:val="20"/>
                <w:szCs w:val="20"/>
              </w:rPr>
              <w:t xml:space="preserve"> IWPP</w:t>
            </w:r>
          </w:p>
        </w:tc>
        <w:tc>
          <w:tcPr>
            <w:tcW w:w="850" w:type="dxa"/>
            <w:vAlign w:val="center"/>
          </w:tcPr>
          <w:p w14:paraId="184DE265" w14:textId="47D736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945</w:t>
            </w:r>
          </w:p>
        </w:tc>
        <w:tc>
          <w:tcPr>
            <w:tcW w:w="3260" w:type="dxa"/>
            <w:vAlign w:val="center"/>
          </w:tcPr>
          <w:p w14:paraId="7EF2F4CF" w14:textId="752A6C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247073D" w14:textId="77777777" w:rsidTr="00555190">
        <w:tc>
          <w:tcPr>
            <w:tcW w:w="638" w:type="dxa"/>
            <w:vAlign w:val="center"/>
          </w:tcPr>
          <w:p w14:paraId="1A0582DC" w14:textId="558A8EE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6079F103" w14:textId="68FA537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11FD7AE" w14:textId="2C9C7B3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Khalifa Port &amp; Industrial Zone</w:t>
            </w:r>
          </w:p>
        </w:tc>
        <w:tc>
          <w:tcPr>
            <w:tcW w:w="850" w:type="dxa"/>
            <w:vAlign w:val="center"/>
          </w:tcPr>
          <w:p w14:paraId="7DA21502" w14:textId="783E64E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425</w:t>
            </w:r>
          </w:p>
        </w:tc>
        <w:tc>
          <w:tcPr>
            <w:tcW w:w="3260" w:type="dxa"/>
            <w:vAlign w:val="center"/>
          </w:tcPr>
          <w:p w14:paraId="4E0CF605" w14:textId="1A0578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791DD7C7" w14:textId="77777777" w:rsidTr="00555190">
        <w:tc>
          <w:tcPr>
            <w:tcW w:w="638" w:type="dxa"/>
            <w:vAlign w:val="center"/>
          </w:tcPr>
          <w:p w14:paraId="59ED9ECD" w14:textId="50862E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0BF2110B" w14:textId="03C5848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60847C0E" w14:textId="0451613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Emirates Steel Plant</w:t>
            </w:r>
          </w:p>
        </w:tc>
        <w:tc>
          <w:tcPr>
            <w:tcW w:w="850" w:type="dxa"/>
            <w:vAlign w:val="center"/>
          </w:tcPr>
          <w:p w14:paraId="5598139B" w14:textId="0E96514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700</w:t>
            </w:r>
          </w:p>
        </w:tc>
        <w:tc>
          <w:tcPr>
            <w:tcW w:w="3260" w:type="dxa"/>
            <w:vAlign w:val="center"/>
          </w:tcPr>
          <w:p w14:paraId="4634F813" w14:textId="52FBAA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1946CFAE" w14:textId="77777777" w:rsidTr="00555190">
        <w:tc>
          <w:tcPr>
            <w:tcW w:w="638" w:type="dxa"/>
            <w:vAlign w:val="center"/>
          </w:tcPr>
          <w:p w14:paraId="08EBD632" w14:textId="528BAD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5A84FB07" w14:textId="5A6F664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A9F2498" w14:textId="284B30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Jebel Ali Refinery</w:t>
            </w:r>
          </w:p>
        </w:tc>
        <w:tc>
          <w:tcPr>
            <w:tcW w:w="850" w:type="dxa"/>
            <w:vAlign w:val="center"/>
          </w:tcPr>
          <w:p w14:paraId="064BA806" w14:textId="3BF1C6F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210</w:t>
            </w:r>
          </w:p>
        </w:tc>
        <w:tc>
          <w:tcPr>
            <w:tcW w:w="3260" w:type="dxa"/>
            <w:vAlign w:val="center"/>
          </w:tcPr>
          <w:p w14:paraId="1F79A8A0" w14:textId="3DE82F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881F9E7" w14:textId="77777777" w:rsidTr="00555190">
        <w:tc>
          <w:tcPr>
            <w:tcW w:w="638" w:type="dxa"/>
            <w:vAlign w:val="center"/>
          </w:tcPr>
          <w:p w14:paraId="4C99F99C" w14:textId="14C9359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4A09C6BD" w14:textId="3525AAD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41A1E2B" w14:textId="7B5E27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Abu Dhabi Sewerage Services Co</w:t>
            </w:r>
          </w:p>
        </w:tc>
        <w:tc>
          <w:tcPr>
            <w:tcW w:w="850" w:type="dxa"/>
            <w:vAlign w:val="center"/>
          </w:tcPr>
          <w:p w14:paraId="29044BD6" w14:textId="06CA8FB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408</w:t>
            </w:r>
          </w:p>
        </w:tc>
        <w:tc>
          <w:tcPr>
            <w:tcW w:w="3260" w:type="dxa"/>
            <w:vAlign w:val="center"/>
          </w:tcPr>
          <w:p w14:paraId="24DE2018" w14:textId="66B28A6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0DBECC4" w14:textId="77777777" w:rsidTr="00555190">
        <w:tc>
          <w:tcPr>
            <w:tcW w:w="638" w:type="dxa"/>
            <w:vAlign w:val="center"/>
          </w:tcPr>
          <w:p w14:paraId="2D5D142C" w14:textId="16FA5BC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2008</w:t>
            </w:r>
          </w:p>
        </w:tc>
        <w:tc>
          <w:tcPr>
            <w:tcW w:w="1336" w:type="dxa"/>
            <w:vAlign w:val="center"/>
          </w:tcPr>
          <w:p w14:paraId="66DB9C32" w14:textId="37701F3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2041D8F" w14:textId="5D3145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IWPP</w:t>
            </w:r>
          </w:p>
        </w:tc>
        <w:tc>
          <w:tcPr>
            <w:tcW w:w="850" w:type="dxa"/>
            <w:vAlign w:val="center"/>
          </w:tcPr>
          <w:p w14:paraId="42EE9FEF" w14:textId="24A765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446.4</w:t>
            </w:r>
          </w:p>
        </w:tc>
        <w:tc>
          <w:tcPr>
            <w:tcW w:w="3260" w:type="dxa"/>
            <w:vAlign w:val="center"/>
          </w:tcPr>
          <w:p w14:paraId="577A7B60" w14:textId="42D59E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6073F48" w14:textId="77777777" w:rsidTr="00555190">
        <w:tc>
          <w:tcPr>
            <w:tcW w:w="638" w:type="dxa"/>
            <w:vAlign w:val="center"/>
          </w:tcPr>
          <w:p w14:paraId="6016DB57" w14:textId="560D12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67E98506" w14:textId="632A23B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04A13104" w14:textId="60D827F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 Dur IWPP</w:t>
            </w:r>
          </w:p>
        </w:tc>
        <w:tc>
          <w:tcPr>
            <w:tcW w:w="850" w:type="dxa"/>
            <w:vAlign w:val="center"/>
          </w:tcPr>
          <w:p w14:paraId="36E22744" w14:textId="724E8A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1341</w:t>
            </w:r>
          </w:p>
        </w:tc>
        <w:tc>
          <w:tcPr>
            <w:tcW w:w="3260" w:type="dxa"/>
            <w:vAlign w:val="center"/>
          </w:tcPr>
          <w:p w14:paraId="1D093A1D" w14:textId="03104F8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E73AB44" w14:textId="77777777" w:rsidTr="00555190">
        <w:tc>
          <w:tcPr>
            <w:tcW w:w="638" w:type="dxa"/>
            <w:vAlign w:val="center"/>
          </w:tcPr>
          <w:p w14:paraId="5F137157" w14:textId="4C3628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07EFFBB0" w14:textId="582DCE5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C9743B1" w14:textId="1EF2ED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Rabigh Independent Power Plant</w:t>
            </w:r>
          </w:p>
        </w:tc>
        <w:tc>
          <w:tcPr>
            <w:tcW w:w="850" w:type="dxa"/>
            <w:vAlign w:val="center"/>
          </w:tcPr>
          <w:p w14:paraId="720C8BFA" w14:textId="4CB6005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1900</w:t>
            </w:r>
          </w:p>
        </w:tc>
        <w:tc>
          <w:tcPr>
            <w:tcW w:w="3260" w:type="dxa"/>
            <w:vAlign w:val="center"/>
          </w:tcPr>
          <w:p w14:paraId="6662FC3D" w14:textId="4A7DC53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C7A7591" w14:textId="77777777" w:rsidTr="00555190">
        <w:tc>
          <w:tcPr>
            <w:tcW w:w="638" w:type="dxa"/>
            <w:vAlign w:val="center"/>
          </w:tcPr>
          <w:p w14:paraId="367E3A41" w14:textId="5AA8CE1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238D8E7B" w14:textId="7F0CD50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089FC760" w14:textId="3FFA91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QGTC LNG Shipbuilding</w:t>
            </w:r>
          </w:p>
        </w:tc>
        <w:tc>
          <w:tcPr>
            <w:tcW w:w="850" w:type="dxa"/>
            <w:vAlign w:val="center"/>
          </w:tcPr>
          <w:p w14:paraId="74B0544F" w14:textId="07D3C8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949</w:t>
            </w:r>
          </w:p>
        </w:tc>
        <w:tc>
          <w:tcPr>
            <w:tcW w:w="3260" w:type="dxa"/>
            <w:vAlign w:val="center"/>
          </w:tcPr>
          <w:p w14:paraId="2B9F61DF" w14:textId="090C82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5241BD34" w14:textId="77777777" w:rsidTr="00555190">
        <w:tc>
          <w:tcPr>
            <w:tcW w:w="638" w:type="dxa"/>
            <w:vAlign w:val="center"/>
          </w:tcPr>
          <w:p w14:paraId="20FCEF14" w14:textId="43347F4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226C9CF9" w14:textId="38BCFB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BCEB39B" w14:textId="1F566C6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Emirates Steel Plant</w:t>
            </w:r>
          </w:p>
        </w:tc>
        <w:tc>
          <w:tcPr>
            <w:tcW w:w="850" w:type="dxa"/>
            <w:vAlign w:val="center"/>
          </w:tcPr>
          <w:p w14:paraId="03CD0F2A" w14:textId="0CAB70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700</w:t>
            </w:r>
          </w:p>
        </w:tc>
        <w:tc>
          <w:tcPr>
            <w:tcW w:w="3260" w:type="dxa"/>
            <w:vAlign w:val="center"/>
          </w:tcPr>
          <w:p w14:paraId="6CCB672B" w14:textId="4495546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797D8A93" w14:textId="77777777" w:rsidTr="00555190">
        <w:tc>
          <w:tcPr>
            <w:tcW w:w="638" w:type="dxa"/>
            <w:vAlign w:val="center"/>
          </w:tcPr>
          <w:p w14:paraId="3F0452FA" w14:textId="5DE8AAB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23F0078E" w14:textId="7643A92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A5E980B" w14:textId="0BE791E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Dolphin Energy Ltd</w:t>
            </w:r>
          </w:p>
        </w:tc>
        <w:tc>
          <w:tcPr>
            <w:tcW w:w="850" w:type="dxa"/>
            <w:vAlign w:val="center"/>
          </w:tcPr>
          <w:p w14:paraId="29FBC673" w14:textId="6EBF13A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2125.5</w:t>
            </w:r>
          </w:p>
        </w:tc>
        <w:tc>
          <w:tcPr>
            <w:tcW w:w="3260" w:type="dxa"/>
            <w:vAlign w:val="center"/>
          </w:tcPr>
          <w:p w14:paraId="3AF8E532" w14:textId="2E6DAC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13FD3F5" w14:textId="77777777" w:rsidTr="00555190">
        <w:tc>
          <w:tcPr>
            <w:tcW w:w="638" w:type="dxa"/>
            <w:vAlign w:val="center"/>
          </w:tcPr>
          <w:p w14:paraId="603A1A51" w14:textId="0FBB1DF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30108B70" w14:textId="69D8524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5C224C1" w14:textId="4DD4FC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Zayed University</w:t>
            </w:r>
          </w:p>
        </w:tc>
        <w:tc>
          <w:tcPr>
            <w:tcW w:w="850" w:type="dxa"/>
            <w:vAlign w:val="center"/>
          </w:tcPr>
          <w:p w14:paraId="0408A428" w14:textId="2E638E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902</w:t>
            </w:r>
          </w:p>
        </w:tc>
        <w:tc>
          <w:tcPr>
            <w:tcW w:w="3260" w:type="dxa"/>
            <w:vAlign w:val="center"/>
          </w:tcPr>
          <w:p w14:paraId="5A8E542B" w14:textId="23DB7C1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6CC93409" w14:textId="77777777" w:rsidTr="00555190">
        <w:tc>
          <w:tcPr>
            <w:tcW w:w="638" w:type="dxa"/>
            <w:vAlign w:val="center"/>
          </w:tcPr>
          <w:p w14:paraId="28B32BC8" w14:textId="1039B29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7CA35FF5" w14:textId="419203B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22A54513" w14:textId="276AA210"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Shuweihat</w:t>
            </w:r>
            <w:proofErr w:type="spellEnd"/>
            <w:r w:rsidRPr="00802732">
              <w:rPr>
                <w:rFonts w:asciiTheme="majorBidi" w:hAnsiTheme="majorBidi" w:cstheme="majorBidi"/>
                <w:color w:val="000000"/>
                <w:sz w:val="20"/>
                <w:szCs w:val="20"/>
              </w:rPr>
              <w:t xml:space="preserve"> IWPP</w:t>
            </w:r>
          </w:p>
        </w:tc>
        <w:tc>
          <w:tcPr>
            <w:tcW w:w="850" w:type="dxa"/>
            <w:vAlign w:val="center"/>
          </w:tcPr>
          <w:p w14:paraId="3957A22D" w14:textId="385DC6E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981.4</w:t>
            </w:r>
          </w:p>
        </w:tc>
        <w:tc>
          <w:tcPr>
            <w:tcW w:w="3260" w:type="dxa"/>
            <w:vAlign w:val="center"/>
          </w:tcPr>
          <w:p w14:paraId="71F55BA1" w14:textId="2B6DC9A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A3473F8" w14:textId="77777777" w:rsidTr="00555190">
        <w:tc>
          <w:tcPr>
            <w:tcW w:w="638" w:type="dxa"/>
            <w:vAlign w:val="center"/>
          </w:tcPr>
          <w:p w14:paraId="7DDE238B" w14:textId="150216C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4E068973" w14:textId="130DB8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6BD3E7A7" w14:textId="51A9B6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Wathba</w:t>
            </w:r>
            <w:proofErr w:type="spellEnd"/>
            <w:r w:rsidRPr="00802732">
              <w:rPr>
                <w:rFonts w:asciiTheme="majorBidi" w:hAnsiTheme="majorBidi" w:cstheme="majorBidi"/>
                <w:color w:val="000000"/>
                <w:sz w:val="20"/>
                <w:szCs w:val="20"/>
              </w:rPr>
              <w:t xml:space="preserve"> Al </w:t>
            </w:r>
            <w:proofErr w:type="spellStart"/>
            <w:r w:rsidRPr="00802732">
              <w:rPr>
                <w:rFonts w:asciiTheme="majorBidi" w:hAnsiTheme="majorBidi" w:cstheme="majorBidi"/>
                <w:color w:val="000000"/>
                <w:sz w:val="20"/>
                <w:szCs w:val="20"/>
              </w:rPr>
              <w:t>Allahamah</w:t>
            </w:r>
            <w:proofErr w:type="spellEnd"/>
          </w:p>
        </w:tc>
        <w:tc>
          <w:tcPr>
            <w:tcW w:w="850" w:type="dxa"/>
            <w:vAlign w:val="center"/>
          </w:tcPr>
          <w:p w14:paraId="3B6ADA91" w14:textId="26ED1AF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493.3</w:t>
            </w:r>
          </w:p>
        </w:tc>
        <w:tc>
          <w:tcPr>
            <w:tcW w:w="3260" w:type="dxa"/>
            <w:vAlign w:val="center"/>
          </w:tcPr>
          <w:p w14:paraId="0D4FD1E8" w14:textId="73DFBF2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07129E4A" w14:textId="77777777" w:rsidTr="00555190">
        <w:tc>
          <w:tcPr>
            <w:tcW w:w="638" w:type="dxa"/>
            <w:vAlign w:val="center"/>
          </w:tcPr>
          <w:p w14:paraId="5951BDE5" w14:textId="4F981E6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2FEEDB00" w14:textId="002080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9545C8C" w14:textId="74C0248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ADSSC II</w:t>
            </w:r>
          </w:p>
        </w:tc>
        <w:tc>
          <w:tcPr>
            <w:tcW w:w="850" w:type="dxa"/>
            <w:vAlign w:val="center"/>
          </w:tcPr>
          <w:p w14:paraId="346F66FD" w14:textId="39F5846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86.1</w:t>
            </w:r>
          </w:p>
        </w:tc>
        <w:tc>
          <w:tcPr>
            <w:tcW w:w="3260" w:type="dxa"/>
            <w:vAlign w:val="center"/>
          </w:tcPr>
          <w:p w14:paraId="30CEC2C4" w14:textId="718F89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9628989" w14:textId="77777777" w:rsidTr="00555190">
        <w:tc>
          <w:tcPr>
            <w:tcW w:w="638" w:type="dxa"/>
            <w:vAlign w:val="center"/>
          </w:tcPr>
          <w:p w14:paraId="704F427D" w14:textId="2C17E4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2BB6ABCC" w14:textId="622423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9E98AA7" w14:textId="43F087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 Al Khaimah Galvanizing</w:t>
            </w:r>
          </w:p>
        </w:tc>
        <w:tc>
          <w:tcPr>
            <w:tcW w:w="850" w:type="dxa"/>
            <w:vAlign w:val="center"/>
          </w:tcPr>
          <w:p w14:paraId="2F78DE78" w14:textId="2E10AF3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21.6</w:t>
            </w:r>
          </w:p>
        </w:tc>
        <w:tc>
          <w:tcPr>
            <w:tcW w:w="3260" w:type="dxa"/>
            <w:vAlign w:val="center"/>
          </w:tcPr>
          <w:p w14:paraId="4AFB651B" w14:textId="07C6E9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9E9436D" w14:textId="77777777" w:rsidTr="00555190">
        <w:tc>
          <w:tcPr>
            <w:tcW w:w="638" w:type="dxa"/>
            <w:vAlign w:val="center"/>
          </w:tcPr>
          <w:p w14:paraId="4443269C" w14:textId="18B5826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5F2D0058" w14:textId="07BF85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C73095B" w14:textId="0048D3A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Dolphin </w:t>
            </w:r>
            <w:r w:rsidR="00B7346C" w:rsidRPr="00802732">
              <w:rPr>
                <w:rFonts w:asciiTheme="majorBidi" w:hAnsiTheme="majorBidi" w:cstheme="majorBidi"/>
                <w:color w:val="000000"/>
                <w:sz w:val="20"/>
                <w:szCs w:val="20"/>
              </w:rPr>
              <w:t>Refinery</w:t>
            </w:r>
          </w:p>
        </w:tc>
        <w:tc>
          <w:tcPr>
            <w:tcW w:w="850" w:type="dxa"/>
            <w:vAlign w:val="center"/>
          </w:tcPr>
          <w:p w14:paraId="443ADCA6" w14:textId="46CAF24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124.8</w:t>
            </w:r>
          </w:p>
        </w:tc>
        <w:tc>
          <w:tcPr>
            <w:tcW w:w="3260" w:type="dxa"/>
            <w:vAlign w:val="center"/>
          </w:tcPr>
          <w:p w14:paraId="212F980F" w14:textId="5FC319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1561A5CB" w14:textId="77777777" w:rsidTr="00555190">
        <w:tc>
          <w:tcPr>
            <w:tcW w:w="638" w:type="dxa"/>
            <w:vAlign w:val="center"/>
          </w:tcPr>
          <w:p w14:paraId="44CC8D7B" w14:textId="7AD42A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765C7C33" w14:textId="66E1CE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515AC88" w14:textId="20F336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IWPP</w:t>
            </w:r>
          </w:p>
        </w:tc>
        <w:tc>
          <w:tcPr>
            <w:tcW w:w="850" w:type="dxa"/>
            <w:vAlign w:val="center"/>
          </w:tcPr>
          <w:p w14:paraId="3B88CEEC" w14:textId="2669E16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754.2</w:t>
            </w:r>
          </w:p>
        </w:tc>
        <w:tc>
          <w:tcPr>
            <w:tcW w:w="3260" w:type="dxa"/>
            <w:vAlign w:val="center"/>
          </w:tcPr>
          <w:p w14:paraId="0A7714B2" w14:textId="4DAAB6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235D329" w14:textId="77777777" w:rsidTr="00555190">
        <w:tc>
          <w:tcPr>
            <w:tcW w:w="638" w:type="dxa"/>
            <w:vAlign w:val="center"/>
          </w:tcPr>
          <w:p w14:paraId="5E2207E7" w14:textId="5D1764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2009</w:t>
            </w:r>
          </w:p>
        </w:tc>
        <w:tc>
          <w:tcPr>
            <w:tcW w:w="1336" w:type="dxa"/>
            <w:vAlign w:val="center"/>
          </w:tcPr>
          <w:p w14:paraId="5A961ABC" w14:textId="1EC5CC9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B8C74C4" w14:textId="0C9D5C55"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AlMusanah</w:t>
            </w:r>
            <w:proofErr w:type="spellEnd"/>
            <w:r w:rsidRPr="00802732">
              <w:rPr>
                <w:rFonts w:asciiTheme="majorBidi" w:hAnsiTheme="majorBidi" w:cstheme="majorBidi"/>
                <w:color w:val="000000"/>
                <w:sz w:val="20"/>
                <w:szCs w:val="20"/>
              </w:rPr>
              <w:t xml:space="preserve"> LNG Tanker</w:t>
            </w:r>
          </w:p>
        </w:tc>
        <w:tc>
          <w:tcPr>
            <w:tcW w:w="850" w:type="dxa"/>
            <w:vAlign w:val="center"/>
          </w:tcPr>
          <w:p w14:paraId="66684E34" w14:textId="72B09D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47.6</w:t>
            </w:r>
          </w:p>
        </w:tc>
        <w:tc>
          <w:tcPr>
            <w:tcW w:w="3260" w:type="dxa"/>
            <w:vAlign w:val="center"/>
          </w:tcPr>
          <w:p w14:paraId="4A8D1A46" w14:textId="017F85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A27D45F" w14:textId="77777777" w:rsidTr="00555190">
        <w:tc>
          <w:tcPr>
            <w:tcW w:w="638" w:type="dxa"/>
            <w:vAlign w:val="center"/>
          </w:tcPr>
          <w:p w14:paraId="05F29CAC" w14:textId="2476D2F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47711E9E" w14:textId="5CC895E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9B06CB6" w14:textId="1CEA11B1"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Ma'aden</w:t>
            </w:r>
            <w:proofErr w:type="spellEnd"/>
            <w:r w:rsidRPr="00802732">
              <w:rPr>
                <w:rFonts w:asciiTheme="majorBidi" w:hAnsiTheme="majorBidi" w:cstheme="majorBidi"/>
                <w:color w:val="000000"/>
                <w:sz w:val="20"/>
                <w:szCs w:val="20"/>
              </w:rPr>
              <w:t xml:space="preserve"> Phosphate Company</w:t>
            </w:r>
          </w:p>
        </w:tc>
        <w:tc>
          <w:tcPr>
            <w:tcW w:w="850" w:type="dxa"/>
            <w:vAlign w:val="center"/>
          </w:tcPr>
          <w:p w14:paraId="60476FBC" w14:textId="7EDB137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1699.6</w:t>
            </w:r>
          </w:p>
        </w:tc>
        <w:tc>
          <w:tcPr>
            <w:tcW w:w="3260" w:type="dxa"/>
            <w:vAlign w:val="center"/>
          </w:tcPr>
          <w:p w14:paraId="2F967589" w14:textId="6862A56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737C4C21" w14:textId="77777777" w:rsidTr="00555190">
        <w:tc>
          <w:tcPr>
            <w:tcW w:w="638" w:type="dxa"/>
            <w:vAlign w:val="center"/>
          </w:tcPr>
          <w:p w14:paraId="250B24EB" w14:textId="1D9457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37940E22" w14:textId="411D45F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5EF021F" w14:textId="0E9F7BA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Al-Jubail Petrochemical Company</w:t>
            </w:r>
          </w:p>
        </w:tc>
        <w:tc>
          <w:tcPr>
            <w:tcW w:w="850" w:type="dxa"/>
            <w:vAlign w:val="center"/>
          </w:tcPr>
          <w:p w14:paraId="7D313BF2" w14:textId="30E3DF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5774.4</w:t>
            </w:r>
          </w:p>
        </w:tc>
        <w:tc>
          <w:tcPr>
            <w:tcW w:w="3260" w:type="dxa"/>
            <w:vAlign w:val="center"/>
          </w:tcPr>
          <w:p w14:paraId="64D5A733" w14:textId="5AC231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BB46544" w14:textId="77777777" w:rsidTr="00555190">
        <w:tc>
          <w:tcPr>
            <w:tcW w:w="638" w:type="dxa"/>
            <w:vAlign w:val="center"/>
          </w:tcPr>
          <w:p w14:paraId="028190D1" w14:textId="089EF1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3F9D5B19" w14:textId="2070CCA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2BC9844" w14:textId="6108344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Riyad Independent Power Plant</w:t>
            </w:r>
          </w:p>
        </w:tc>
        <w:tc>
          <w:tcPr>
            <w:tcW w:w="850" w:type="dxa"/>
            <w:vAlign w:val="center"/>
          </w:tcPr>
          <w:p w14:paraId="682A2C70" w14:textId="1AD110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1225.4</w:t>
            </w:r>
          </w:p>
        </w:tc>
        <w:tc>
          <w:tcPr>
            <w:tcW w:w="3260" w:type="dxa"/>
            <w:vAlign w:val="center"/>
          </w:tcPr>
          <w:p w14:paraId="34F7A652" w14:textId="1B03754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D0FD739" w14:textId="77777777" w:rsidTr="00555190">
        <w:tc>
          <w:tcPr>
            <w:tcW w:w="638" w:type="dxa"/>
            <w:vAlign w:val="center"/>
          </w:tcPr>
          <w:p w14:paraId="729DB47F" w14:textId="014CF0B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27226154" w14:textId="7DBBAC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CFC8A49" w14:textId="1303DA0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Qurayyah</w:t>
            </w:r>
            <w:proofErr w:type="spellEnd"/>
            <w:r w:rsidRPr="00802732">
              <w:rPr>
                <w:rFonts w:asciiTheme="majorBidi" w:hAnsiTheme="majorBidi" w:cstheme="majorBidi"/>
                <w:color w:val="000000"/>
                <w:sz w:val="20"/>
                <w:szCs w:val="20"/>
              </w:rPr>
              <w:t xml:space="preserve"> IPP</w:t>
            </w:r>
          </w:p>
        </w:tc>
        <w:tc>
          <w:tcPr>
            <w:tcW w:w="850" w:type="dxa"/>
            <w:vAlign w:val="center"/>
          </w:tcPr>
          <w:p w14:paraId="2F520A42" w14:textId="6062D6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1300</w:t>
            </w:r>
          </w:p>
        </w:tc>
        <w:tc>
          <w:tcPr>
            <w:tcW w:w="3260" w:type="dxa"/>
            <w:vAlign w:val="center"/>
          </w:tcPr>
          <w:p w14:paraId="796043A4" w14:textId="0B34B1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2DDBE6E" w14:textId="77777777" w:rsidTr="00555190">
        <w:tc>
          <w:tcPr>
            <w:tcW w:w="638" w:type="dxa"/>
            <w:vAlign w:val="center"/>
          </w:tcPr>
          <w:p w14:paraId="63C08E3B" w14:textId="4A733F6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6D1D5641" w14:textId="2035C0D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983003D" w14:textId="533DC40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Fujairah Oil Storage</w:t>
            </w:r>
          </w:p>
        </w:tc>
        <w:tc>
          <w:tcPr>
            <w:tcW w:w="850" w:type="dxa"/>
            <w:vAlign w:val="center"/>
          </w:tcPr>
          <w:p w14:paraId="51ACEB1E" w14:textId="5CB6B5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130</w:t>
            </w:r>
          </w:p>
        </w:tc>
        <w:tc>
          <w:tcPr>
            <w:tcW w:w="3260" w:type="dxa"/>
            <w:vAlign w:val="center"/>
          </w:tcPr>
          <w:p w14:paraId="71C4B842" w14:textId="3F680E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D1A9047" w14:textId="77777777" w:rsidTr="00555190">
        <w:tc>
          <w:tcPr>
            <w:tcW w:w="638" w:type="dxa"/>
            <w:vAlign w:val="center"/>
          </w:tcPr>
          <w:p w14:paraId="2FDF3E94" w14:textId="705F8F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22708B95" w14:textId="0186A0B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2A7A879" w14:textId="552F38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EMAL</w:t>
            </w:r>
          </w:p>
        </w:tc>
        <w:tc>
          <w:tcPr>
            <w:tcW w:w="850" w:type="dxa"/>
            <w:vAlign w:val="center"/>
          </w:tcPr>
          <w:p w14:paraId="04F6FF87" w14:textId="3B4F406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420</w:t>
            </w:r>
          </w:p>
        </w:tc>
        <w:tc>
          <w:tcPr>
            <w:tcW w:w="3260" w:type="dxa"/>
            <w:vAlign w:val="center"/>
          </w:tcPr>
          <w:p w14:paraId="12B5A228" w14:textId="73B08B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11D51D53" w14:textId="77777777" w:rsidTr="00555190">
        <w:tc>
          <w:tcPr>
            <w:tcW w:w="638" w:type="dxa"/>
            <w:vAlign w:val="center"/>
          </w:tcPr>
          <w:p w14:paraId="5F1DD306" w14:textId="3B649BD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16358837" w14:textId="3DC1593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EB76333" w14:textId="123F7F0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Emirates Steel Plant</w:t>
            </w:r>
          </w:p>
        </w:tc>
        <w:tc>
          <w:tcPr>
            <w:tcW w:w="850" w:type="dxa"/>
            <w:vAlign w:val="center"/>
          </w:tcPr>
          <w:p w14:paraId="7C655E5C" w14:textId="680E7A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1100</w:t>
            </w:r>
          </w:p>
        </w:tc>
        <w:tc>
          <w:tcPr>
            <w:tcW w:w="3260" w:type="dxa"/>
            <w:vAlign w:val="center"/>
          </w:tcPr>
          <w:p w14:paraId="57E1F086" w14:textId="45D242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83C10C3" w14:textId="77777777" w:rsidTr="00555190">
        <w:tc>
          <w:tcPr>
            <w:tcW w:w="638" w:type="dxa"/>
            <w:vAlign w:val="center"/>
          </w:tcPr>
          <w:p w14:paraId="37D2A80F" w14:textId="20085C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2786160D" w14:textId="3A26C3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E08B8F4" w14:textId="6DED6D0D"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3 IPP</w:t>
            </w:r>
          </w:p>
        </w:tc>
        <w:tc>
          <w:tcPr>
            <w:tcW w:w="850" w:type="dxa"/>
            <w:vAlign w:val="center"/>
          </w:tcPr>
          <w:p w14:paraId="0FAC4661" w14:textId="110C704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704</w:t>
            </w:r>
          </w:p>
        </w:tc>
        <w:tc>
          <w:tcPr>
            <w:tcW w:w="3260" w:type="dxa"/>
            <w:vAlign w:val="center"/>
          </w:tcPr>
          <w:p w14:paraId="5F14B3A1" w14:textId="795D1E2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966671C" w14:textId="77777777" w:rsidTr="00555190">
        <w:tc>
          <w:tcPr>
            <w:tcW w:w="638" w:type="dxa"/>
            <w:vAlign w:val="center"/>
          </w:tcPr>
          <w:p w14:paraId="735BEA8B" w14:textId="065FFA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2841D14E" w14:textId="4804574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0076C17" w14:textId="3EC6F06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2 IPP</w:t>
            </w:r>
          </w:p>
        </w:tc>
        <w:tc>
          <w:tcPr>
            <w:tcW w:w="850" w:type="dxa"/>
            <w:vAlign w:val="center"/>
          </w:tcPr>
          <w:p w14:paraId="37CA5E29" w14:textId="6AC4D5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657.6</w:t>
            </w:r>
          </w:p>
        </w:tc>
        <w:tc>
          <w:tcPr>
            <w:tcW w:w="3260" w:type="dxa"/>
            <w:vAlign w:val="center"/>
          </w:tcPr>
          <w:p w14:paraId="698B2063" w14:textId="6AB931B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BE3A366" w14:textId="77777777" w:rsidTr="00555190">
        <w:tc>
          <w:tcPr>
            <w:tcW w:w="638" w:type="dxa"/>
            <w:vAlign w:val="center"/>
          </w:tcPr>
          <w:p w14:paraId="088E5B4B" w14:textId="3183755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2010</w:t>
            </w:r>
          </w:p>
        </w:tc>
        <w:tc>
          <w:tcPr>
            <w:tcW w:w="1336" w:type="dxa"/>
            <w:vAlign w:val="center"/>
          </w:tcPr>
          <w:p w14:paraId="5850EF9C" w14:textId="060B415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340529AF" w14:textId="670D9A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Gulf United Steel Co</w:t>
            </w:r>
          </w:p>
        </w:tc>
        <w:tc>
          <w:tcPr>
            <w:tcW w:w="850" w:type="dxa"/>
            <w:vAlign w:val="center"/>
          </w:tcPr>
          <w:p w14:paraId="451CFBA3" w14:textId="363E8CC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600</w:t>
            </w:r>
          </w:p>
        </w:tc>
        <w:tc>
          <w:tcPr>
            <w:tcW w:w="3260" w:type="dxa"/>
            <w:vAlign w:val="center"/>
          </w:tcPr>
          <w:p w14:paraId="03EE669F" w14:textId="232054A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27F1DFC4" w14:textId="77777777" w:rsidTr="00555190">
        <w:tc>
          <w:tcPr>
            <w:tcW w:w="638" w:type="dxa"/>
            <w:vAlign w:val="center"/>
          </w:tcPr>
          <w:p w14:paraId="17005E64" w14:textId="3D7045D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0431F02F" w14:textId="598350E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AD7E3FD" w14:textId="5A4877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Qurayyah</w:t>
            </w:r>
            <w:proofErr w:type="spellEnd"/>
            <w:r w:rsidRPr="00802732">
              <w:rPr>
                <w:rFonts w:asciiTheme="majorBidi" w:hAnsiTheme="majorBidi" w:cstheme="majorBidi"/>
                <w:color w:val="000000"/>
                <w:sz w:val="20"/>
                <w:szCs w:val="20"/>
              </w:rPr>
              <w:t xml:space="preserve"> IPP</w:t>
            </w:r>
          </w:p>
        </w:tc>
        <w:tc>
          <w:tcPr>
            <w:tcW w:w="850" w:type="dxa"/>
            <w:vAlign w:val="center"/>
          </w:tcPr>
          <w:p w14:paraId="17521B22" w14:textId="54A413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1430.2</w:t>
            </w:r>
          </w:p>
        </w:tc>
        <w:tc>
          <w:tcPr>
            <w:tcW w:w="3260" w:type="dxa"/>
            <w:vAlign w:val="center"/>
          </w:tcPr>
          <w:p w14:paraId="43E79FFF" w14:textId="7A70E6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DF0E87D" w14:textId="77777777" w:rsidTr="00555190">
        <w:tc>
          <w:tcPr>
            <w:tcW w:w="638" w:type="dxa"/>
            <w:vAlign w:val="center"/>
          </w:tcPr>
          <w:p w14:paraId="05222BC9" w14:textId="43B67F9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0AF67FBC" w14:textId="475A9C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D8F0E3D" w14:textId="55C54B43"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Ma'aden</w:t>
            </w:r>
            <w:proofErr w:type="spellEnd"/>
            <w:r w:rsidRPr="00802732">
              <w:rPr>
                <w:rFonts w:asciiTheme="majorBidi" w:hAnsiTheme="majorBidi" w:cstheme="majorBidi"/>
                <w:color w:val="000000"/>
                <w:sz w:val="20"/>
                <w:szCs w:val="20"/>
              </w:rPr>
              <w:t xml:space="preserve"> Alcoa Alumina Refinery</w:t>
            </w:r>
          </w:p>
        </w:tc>
        <w:tc>
          <w:tcPr>
            <w:tcW w:w="850" w:type="dxa"/>
            <w:vAlign w:val="center"/>
          </w:tcPr>
          <w:p w14:paraId="642203D0" w14:textId="4E35A5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998.4</w:t>
            </w:r>
          </w:p>
        </w:tc>
        <w:tc>
          <w:tcPr>
            <w:tcW w:w="3260" w:type="dxa"/>
            <w:vAlign w:val="center"/>
          </w:tcPr>
          <w:p w14:paraId="07F9319C" w14:textId="0D8848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6A8447DF" w14:textId="77777777" w:rsidTr="00555190">
        <w:tc>
          <w:tcPr>
            <w:tcW w:w="638" w:type="dxa"/>
            <w:vAlign w:val="center"/>
          </w:tcPr>
          <w:p w14:paraId="1E13F3CE" w14:textId="3361428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7E7CEAFE" w14:textId="47FBC3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9500537" w14:textId="6A65DD6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King </w:t>
            </w:r>
            <w:proofErr w:type="spellStart"/>
            <w:r w:rsidRPr="00802732">
              <w:rPr>
                <w:rFonts w:asciiTheme="majorBidi" w:hAnsiTheme="majorBidi" w:cstheme="majorBidi"/>
                <w:color w:val="000000"/>
                <w:sz w:val="20"/>
                <w:szCs w:val="20"/>
              </w:rPr>
              <w:t>Abdulaziz</w:t>
            </w:r>
            <w:proofErr w:type="spellEnd"/>
            <w:r w:rsidRPr="00802732">
              <w:rPr>
                <w:rFonts w:asciiTheme="majorBidi" w:hAnsiTheme="majorBidi" w:cstheme="majorBidi"/>
                <w:color w:val="000000"/>
                <w:sz w:val="20"/>
                <w:szCs w:val="20"/>
              </w:rPr>
              <w:t xml:space="preserve"> Hajj Terminal</w:t>
            </w:r>
          </w:p>
        </w:tc>
        <w:tc>
          <w:tcPr>
            <w:tcW w:w="850" w:type="dxa"/>
            <w:vAlign w:val="center"/>
          </w:tcPr>
          <w:p w14:paraId="2DE4DB09" w14:textId="69C6FE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266.8</w:t>
            </w:r>
          </w:p>
        </w:tc>
        <w:tc>
          <w:tcPr>
            <w:tcW w:w="3260" w:type="dxa"/>
            <w:vAlign w:val="center"/>
          </w:tcPr>
          <w:p w14:paraId="3FB3A9C2" w14:textId="472DA2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4F0145B6" w14:textId="77777777" w:rsidTr="00555190">
        <w:tc>
          <w:tcPr>
            <w:tcW w:w="638" w:type="dxa"/>
            <w:vAlign w:val="center"/>
          </w:tcPr>
          <w:p w14:paraId="6FC63264" w14:textId="774D237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21881440" w14:textId="5EBF1FE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C7DA0B5" w14:textId="1D78F89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Jubail Acrylic Monomers Plant</w:t>
            </w:r>
          </w:p>
        </w:tc>
        <w:tc>
          <w:tcPr>
            <w:tcW w:w="850" w:type="dxa"/>
            <w:vAlign w:val="center"/>
          </w:tcPr>
          <w:p w14:paraId="7A8B2833" w14:textId="123707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585</w:t>
            </w:r>
          </w:p>
        </w:tc>
        <w:tc>
          <w:tcPr>
            <w:tcW w:w="3260" w:type="dxa"/>
            <w:vAlign w:val="center"/>
          </w:tcPr>
          <w:p w14:paraId="479234D2" w14:textId="78F96E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E3991DF" w14:textId="77777777" w:rsidTr="00555190">
        <w:tc>
          <w:tcPr>
            <w:tcW w:w="638" w:type="dxa"/>
            <w:vAlign w:val="center"/>
          </w:tcPr>
          <w:p w14:paraId="7EDC46C2" w14:textId="2B8B52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6393730A" w14:textId="62AADF9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AB13C7F" w14:textId="5FF81CF2"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Barzan</w:t>
            </w:r>
            <w:proofErr w:type="spellEnd"/>
            <w:r w:rsidRPr="00802732">
              <w:rPr>
                <w:rFonts w:asciiTheme="majorBidi" w:hAnsiTheme="majorBidi" w:cstheme="majorBidi"/>
                <w:color w:val="000000"/>
                <w:sz w:val="20"/>
                <w:szCs w:val="20"/>
              </w:rPr>
              <w:t xml:space="preserve"> Gas Plant</w:t>
            </w:r>
          </w:p>
        </w:tc>
        <w:tc>
          <w:tcPr>
            <w:tcW w:w="850" w:type="dxa"/>
            <w:vAlign w:val="center"/>
          </w:tcPr>
          <w:p w14:paraId="6C6AA342" w14:textId="357DAC9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4183.5</w:t>
            </w:r>
          </w:p>
        </w:tc>
        <w:tc>
          <w:tcPr>
            <w:tcW w:w="3260" w:type="dxa"/>
            <w:vAlign w:val="center"/>
          </w:tcPr>
          <w:p w14:paraId="520613FC" w14:textId="622EB95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410781B7" w14:textId="77777777" w:rsidTr="00555190">
        <w:tc>
          <w:tcPr>
            <w:tcW w:w="638" w:type="dxa"/>
            <w:vAlign w:val="center"/>
          </w:tcPr>
          <w:p w14:paraId="119E045C" w14:textId="57367A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761A09EC" w14:textId="4FF7D0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FFB8E08" w14:textId="5FE69B1C"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Shuweihat</w:t>
            </w:r>
            <w:proofErr w:type="spellEnd"/>
            <w:r w:rsidRPr="00802732">
              <w:rPr>
                <w:rFonts w:asciiTheme="majorBidi" w:hAnsiTheme="majorBidi" w:cstheme="majorBidi"/>
                <w:color w:val="000000"/>
                <w:sz w:val="20"/>
                <w:szCs w:val="20"/>
              </w:rPr>
              <w:t xml:space="preserve"> 3 IWPP</w:t>
            </w:r>
          </w:p>
        </w:tc>
        <w:tc>
          <w:tcPr>
            <w:tcW w:w="850" w:type="dxa"/>
            <w:vAlign w:val="center"/>
          </w:tcPr>
          <w:p w14:paraId="5084A6F1" w14:textId="2C03770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374.5</w:t>
            </w:r>
          </w:p>
        </w:tc>
        <w:tc>
          <w:tcPr>
            <w:tcW w:w="3260" w:type="dxa"/>
            <w:vAlign w:val="center"/>
          </w:tcPr>
          <w:p w14:paraId="0C0543D2" w14:textId="092CE7A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47F8B3A" w14:textId="77777777" w:rsidTr="00555190">
        <w:tc>
          <w:tcPr>
            <w:tcW w:w="638" w:type="dxa"/>
            <w:vAlign w:val="center"/>
          </w:tcPr>
          <w:p w14:paraId="58082CAF" w14:textId="692370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4CA7224B" w14:textId="2EF286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2DB8697" w14:textId="554B3BE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Masdar Solar Plant </w:t>
            </w:r>
            <w:r w:rsidR="0033341E">
              <w:rPr>
                <w:rFonts w:asciiTheme="majorBidi" w:hAnsiTheme="majorBidi" w:cstheme="majorBidi"/>
                <w:color w:val="000000"/>
                <w:sz w:val="20"/>
                <w:szCs w:val="20"/>
              </w:rPr>
              <w:t>(</w:t>
            </w:r>
            <w:r w:rsidRPr="00802732">
              <w:rPr>
                <w:rFonts w:asciiTheme="majorBidi" w:hAnsiTheme="majorBidi" w:cstheme="majorBidi"/>
                <w:color w:val="000000"/>
                <w:sz w:val="20"/>
                <w:szCs w:val="20"/>
              </w:rPr>
              <w:t>Shams 1</w:t>
            </w:r>
            <w:r w:rsidR="0033341E">
              <w:rPr>
                <w:rFonts w:asciiTheme="majorBidi" w:hAnsiTheme="majorBidi" w:cstheme="majorBidi"/>
                <w:color w:val="000000"/>
                <w:sz w:val="20"/>
                <w:szCs w:val="20"/>
              </w:rPr>
              <w:t>)</w:t>
            </w:r>
          </w:p>
        </w:tc>
        <w:tc>
          <w:tcPr>
            <w:tcW w:w="850" w:type="dxa"/>
            <w:vAlign w:val="center"/>
          </w:tcPr>
          <w:p w14:paraId="7AC7258B" w14:textId="0930083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612</w:t>
            </w:r>
          </w:p>
        </w:tc>
        <w:tc>
          <w:tcPr>
            <w:tcW w:w="3260" w:type="dxa"/>
            <w:vAlign w:val="center"/>
          </w:tcPr>
          <w:p w14:paraId="44F84BC5" w14:textId="3C4A7A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445D8DC" w14:textId="77777777" w:rsidTr="00555190">
        <w:tc>
          <w:tcPr>
            <w:tcW w:w="638" w:type="dxa"/>
            <w:vAlign w:val="center"/>
          </w:tcPr>
          <w:p w14:paraId="2C0CEE90" w14:textId="392ABA9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0728D086" w14:textId="71B0FB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3D45FB9" w14:textId="3C1A1B6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Sur IWPP</w:t>
            </w:r>
          </w:p>
        </w:tc>
        <w:tc>
          <w:tcPr>
            <w:tcW w:w="850" w:type="dxa"/>
            <w:vAlign w:val="center"/>
          </w:tcPr>
          <w:p w14:paraId="45691B24" w14:textId="4DF00B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1206</w:t>
            </w:r>
          </w:p>
        </w:tc>
        <w:tc>
          <w:tcPr>
            <w:tcW w:w="3260" w:type="dxa"/>
            <w:vAlign w:val="center"/>
          </w:tcPr>
          <w:p w14:paraId="6C43133C" w14:textId="5BB8C1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F00CEE0" w14:textId="77777777" w:rsidTr="00555190">
        <w:tc>
          <w:tcPr>
            <w:tcW w:w="638" w:type="dxa"/>
            <w:vAlign w:val="center"/>
          </w:tcPr>
          <w:p w14:paraId="669D57B2" w14:textId="2EF210E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3D3A3775" w14:textId="79B9BE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D6E5DA4" w14:textId="03B2AFC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Free Zone Plastic</w:t>
            </w:r>
          </w:p>
        </w:tc>
        <w:tc>
          <w:tcPr>
            <w:tcW w:w="850" w:type="dxa"/>
            <w:vAlign w:val="center"/>
          </w:tcPr>
          <w:p w14:paraId="0E0B4A20" w14:textId="46088D2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296.4</w:t>
            </w:r>
          </w:p>
        </w:tc>
        <w:tc>
          <w:tcPr>
            <w:tcW w:w="3260" w:type="dxa"/>
            <w:vAlign w:val="center"/>
          </w:tcPr>
          <w:p w14:paraId="622776AE" w14:textId="42D236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50B1E49" w14:textId="77777777" w:rsidTr="00555190">
        <w:tc>
          <w:tcPr>
            <w:tcW w:w="638" w:type="dxa"/>
            <w:vAlign w:val="center"/>
          </w:tcPr>
          <w:p w14:paraId="7D0D1CCC" w14:textId="7FC816B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7B16AB80" w14:textId="03FB5E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2FBE5532" w14:textId="12130A0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New Gathering </w:t>
            </w:r>
            <w:proofErr w:type="spellStart"/>
            <w:r w:rsidRPr="00802732">
              <w:rPr>
                <w:rFonts w:asciiTheme="majorBidi" w:hAnsiTheme="majorBidi" w:cstheme="majorBidi"/>
                <w:color w:val="000000"/>
                <w:sz w:val="20"/>
                <w:szCs w:val="20"/>
              </w:rPr>
              <w:t>Center</w:t>
            </w:r>
            <w:proofErr w:type="spellEnd"/>
            <w:r w:rsidRPr="00802732">
              <w:rPr>
                <w:rFonts w:asciiTheme="majorBidi" w:hAnsiTheme="majorBidi" w:cstheme="majorBidi"/>
                <w:color w:val="000000"/>
                <w:sz w:val="20"/>
                <w:szCs w:val="20"/>
              </w:rPr>
              <w:t xml:space="preserve"> 16</w:t>
            </w:r>
          </w:p>
        </w:tc>
        <w:tc>
          <w:tcPr>
            <w:tcW w:w="850" w:type="dxa"/>
            <w:vAlign w:val="center"/>
          </w:tcPr>
          <w:p w14:paraId="33D73735" w14:textId="339595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175</w:t>
            </w:r>
          </w:p>
        </w:tc>
        <w:tc>
          <w:tcPr>
            <w:tcW w:w="3260" w:type="dxa"/>
            <w:vAlign w:val="center"/>
          </w:tcPr>
          <w:p w14:paraId="626DB023" w14:textId="2C1032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4821EAE8" w14:textId="77777777" w:rsidTr="00555190">
        <w:tc>
          <w:tcPr>
            <w:tcW w:w="638" w:type="dxa"/>
            <w:vAlign w:val="center"/>
          </w:tcPr>
          <w:p w14:paraId="36959BC1" w14:textId="3B2831A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2011</w:t>
            </w:r>
          </w:p>
        </w:tc>
        <w:tc>
          <w:tcPr>
            <w:tcW w:w="1336" w:type="dxa"/>
            <w:vAlign w:val="center"/>
          </w:tcPr>
          <w:p w14:paraId="24850EA9" w14:textId="2B4A0C8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1F90312E" w14:textId="56EB813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Muharraq Sewerage Treatment</w:t>
            </w:r>
          </w:p>
        </w:tc>
        <w:tc>
          <w:tcPr>
            <w:tcW w:w="850" w:type="dxa"/>
            <w:vAlign w:val="center"/>
          </w:tcPr>
          <w:p w14:paraId="79BB65A2" w14:textId="106DB1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276.9</w:t>
            </w:r>
          </w:p>
        </w:tc>
        <w:tc>
          <w:tcPr>
            <w:tcW w:w="3260" w:type="dxa"/>
            <w:vAlign w:val="center"/>
          </w:tcPr>
          <w:p w14:paraId="2536F356" w14:textId="1075C83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A234A67" w14:textId="77777777" w:rsidTr="00555190">
        <w:tc>
          <w:tcPr>
            <w:tcW w:w="638" w:type="dxa"/>
            <w:vAlign w:val="center"/>
          </w:tcPr>
          <w:p w14:paraId="583D96C1" w14:textId="5221BA2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4DCD4719" w14:textId="761E546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72D73E1" w14:textId="751E2DB0"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Sipchem</w:t>
            </w:r>
            <w:proofErr w:type="spellEnd"/>
            <w:r w:rsidRPr="00802732">
              <w:rPr>
                <w:rFonts w:asciiTheme="majorBidi" w:hAnsiTheme="majorBidi" w:cstheme="majorBidi"/>
                <w:color w:val="000000"/>
                <w:sz w:val="20"/>
                <w:szCs w:val="20"/>
              </w:rPr>
              <w:t>/Hanwha Petrochemical</w:t>
            </w:r>
          </w:p>
        </w:tc>
        <w:tc>
          <w:tcPr>
            <w:tcW w:w="850" w:type="dxa"/>
            <w:vAlign w:val="center"/>
          </w:tcPr>
          <w:p w14:paraId="05C36ADD" w14:textId="1B93B9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375.6</w:t>
            </w:r>
          </w:p>
        </w:tc>
        <w:tc>
          <w:tcPr>
            <w:tcW w:w="3260" w:type="dxa"/>
            <w:vAlign w:val="center"/>
          </w:tcPr>
          <w:p w14:paraId="34E757E2" w14:textId="40CA35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D3113D3" w14:textId="77777777" w:rsidTr="00555190">
        <w:tc>
          <w:tcPr>
            <w:tcW w:w="638" w:type="dxa"/>
            <w:vAlign w:val="center"/>
          </w:tcPr>
          <w:p w14:paraId="26EA07F8" w14:textId="75A4381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7B40718F" w14:textId="495487F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2516B30" w14:textId="1342C6D0"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Tihama</w:t>
            </w:r>
            <w:proofErr w:type="spellEnd"/>
            <w:r w:rsidRPr="00802732">
              <w:rPr>
                <w:rFonts w:asciiTheme="majorBidi" w:hAnsiTheme="majorBidi" w:cstheme="majorBidi"/>
                <w:color w:val="000000"/>
                <w:sz w:val="20"/>
                <w:szCs w:val="20"/>
              </w:rPr>
              <w:t xml:space="preserve"> CHP Expansion Plant</w:t>
            </w:r>
          </w:p>
        </w:tc>
        <w:tc>
          <w:tcPr>
            <w:tcW w:w="850" w:type="dxa"/>
            <w:vAlign w:val="center"/>
          </w:tcPr>
          <w:p w14:paraId="388A1489" w14:textId="2643014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359.8</w:t>
            </w:r>
          </w:p>
        </w:tc>
        <w:tc>
          <w:tcPr>
            <w:tcW w:w="3260" w:type="dxa"/>
            <w:vAlign w:val="center"/>
          </w:tcPr>
          <w:p w14:paraId="2442AE9A" w14:textId="5E335D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C226004" w14:textId="77777777" w:rsidTr="00555190">
        <w:tc>
          <w:tcPr>
            <w:tcW w:w="638" w:type="dxa"/>
            <w:vAlign w:val="center"/>
          </w:tcPr>
          <w:p w14:paraId="4ED2633D" w14:textId="0699D8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7835EFFA" w14:textId="7D21860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8443B56" w14:textId="1DCDD8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Jubail </w:t>
            </w:r>
            <w:proofErr w:type="spellStart"/>
            <w:r w:rsidRPr="00802732">
              <w:rPr>
                <w:rFonts w:asciiTheme="majorBidi" w:hAnsiTheme="majorBidi" w:cstheme="majorBidi"/>
                <w:color w:val="000000"/>
                <w:sz w:val="20"/>
                <w:szCs w:val="20"/>
              </w:rPr>
              <w:t>Tasnee</w:t>
            </w:r>
            <w:proofErr w:type="spellEnd"/>
            <w:r w:rsidRPr="00802732">
              <w:rPr>
                <w:rFonts w:asciiTheme="majorBidi" w:hAnsiTheme="majorBidi" w:cstheme="majorBidi"/>
                <w:color w:val="000000"/>
                <w:sz w:val="20"/>
                <w:szCs w:val="20"/>
              </w:rPr>
              <w:t>/Sahara Plant</w:t>
            </w:r>
          </w:p>
        </w:tc>
        <w:tc>
          <w:tcPr>
            <w:tcW w:w="850" w:type="dxa"/>
            <w:vAlign w:val="center"/>
          </w:tcPr>
          <w:p w14:paraId="7CA53345" w14:textId="46DB9C2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1356.3</w:t>
            </w:r>
          </w:p>
        </w:tc>
        <w:tc>
          <w:tcPr>
            <w:tcW w:w="3260" w:type="dxa"/>
            <w:vAlign w:val="center"/>
          </w:tcPr>
          <w:p w14:paraId="68ACE6E2" w14:textId="0E372E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669E289" w14:textId="77777777" w:rsidTr="00555190">
        <w:tc>
          <w:tcPr>
            <w:tcW w:w="638" w:type="dxa"/>
            <w:vAlign w:val="center"/>
          </w:tcPr>
          <w:p w14:paraId="5DCA5337" w14:textId="2BE3A66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35E7560C" w14:textId="0587B2C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6DCE7E0" w14:textId="364E0A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Yanbu Oil Refinery Hydrogen</w:t>
            </w:r>
          </w:p>
        </w:tc>
        <w:tc>
          <w:tcPr>
            <w:tcW w:w="850" w:type="dxa"/>
            <w:vAlign w:val="center"/>
          </w:tcPr>
          <w:p w14:paraId="63B823DC" w14:textId="1DDA75C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403</w:t>
            </w:r>
          </w:p>
        </w:tc>
        <w:tc>
          <w:tcPr>
            <w:tcW w:w="3260" w:type="dxa"/>
            <w:vAlign w:val="center"/>
          </w:tcPr>
          <w:p w14:paraId="2A44A490" w14:textId="7CF45F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BFB2CDF" w14:textId="77777777" w:rsidTr="00555190">
        <w:tc>
          <w:tcPr>
            <w:tcW w:w="638" w:type="dxa"/>
            <w:vAlign w:val="center"/>
          </w:tcPr>
          <w:p w14:paraId="47245A6A" w14:textId="32A222E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58AD7AA2" w14:textId="306E89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24688CC" w14:textId="7C0ECF4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Medina International Airport</w:t>
            </w:r>
          </w:p>
        </w:tc>
        <w:tc>
          <w:tcPr>
            <w:tcW w:w="850" w:type="dxa"/>
            <w:vAlign w:val="center"/>
          </w:tcPr>
          <w:p w14:paraId="36FABBD3" w14:textId="378C5E9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1192.8</w:t>
            </w:r>
          </w:p>
        </w:tc>
        <w:tc>
          <w:tcPr>
            <w:tcW w:w="3260" w:type="dxa"/>
            <w:vAlign w:val="center"/>
          </w:tcPr>
          <w:p w14:paraId="4C044C97" w14:textId="77A35E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1C410D5A" w14:textId="77777777" w:rsidTr="00555190">
        <w:tc>
          <w:tcPr>
            <w:tcW w:w="638" w:type="dxa"/>
            <w:vAlign w:val="center"/>
          </w:tcPr>
          <w:p w14:paraId="4DF5560E" w14:textId="2FDE92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57F33844" w14:textId="2451AB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28C27919" w14:textId="2E5144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JK Cement Works Fujairah White</w:t>
            </w:r>
          </w:p>
        </w:tc>
        <w:tc>
          <w:tcPr>
            <w:tcW w:w="850" w:type="dxa"/>
            <w:vAlign w:val="center"/>
          </w:tcPr>
          <w:p w14:paraId="47AC793E" w14:textId="252BD61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98</w:t>
            </w:r>
          </w:p>
        </w:tc>
        <w:tc>
          <w:tcPr>
            <w:tcW w:w="3260" w:type="dxa"/>
            <w:vAlign w:val="center"/>
          </w:tcPr>
          <w:p w14:paraId="3EB40C1A" w14:textId="6D44155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Agriculture &amp; Forestry</w:t>
            </w:r>
          </w:p>
        </w:tc>
      </w:tr>
      <w:tr w:rsidR="00802732" w:rsidRPr="00802732" w14:paraId="403365A5" w14:textId="77777777" w:rsidTr="00555190">
        <w:tc>
          <w:tcPr>
            <w:tcW w:w="638" w:type="dxa"/>
            <w:vAlign w:val="center"/>
          </w:tcPr>
          <w:p w14:paraId="06A9E940" w14:textId="2F172CE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3F65EE87" w14:textId="4AF9B2B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47C8650" w14:textId="53E9065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IL&amp;FS Prime Terminals FZC</w:t>
            </w:r>
          </w:p>
        </w:tc>
        <w:tc>
          <w:tcPr>
            <w:tcW w:w="850" w:type="dxa"/>
            <w:vAlign w:val="center"/>
          </w:tcPr>
          <w:p w14:paraId="783979A9" w14:textId="20E5A9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91</w:t>
            </w:r>
          </w:p>
        </w:tc>
        <w:tc>
          <w:tcPr>
            <w:tcW w:w="3260" w:type="dxa"/>
            <w:vAlign w:val="center"/>
          </w:tcPr>
          <w:p w14:paraId="4FFD36FD" w14:textId="62F3572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93D7BE5" w14:textId="77777777" w:rsidTr="00555190">
        <w:tc>
          <w:tcPr>
            <w:tcW w:w="638" w:type="dxa"/>
            <w:vAlign w:val="center"/>
          </w:tcPr>
          <w:p w14:paraId="0ECF4DB3" w14:textId="7EA1316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41E48EF0" w14:textId="5132CA7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84C6EE4" w14:textId="6B38F2A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Gulf Petrochem FCZ </w:t>
            </w:r>
            <w:r w:rsidR="00B7346C">
              <w:rPr>
                <w:rFonts w:asciiTheme="majorBidi" w:hAnsiTheme="majorBidi" w:cstheme="majorBidi"/>
                <w:color w:val="000000"/>
                <w:sz w:val="20"/>
                <w:szCs w:val="20"/>
              </w:rPr>
              <w:t>(</w:t>
            </w:r>
            <w:r w:rsidRPr="00802732">
              <w:rPr>
                <w:rFonts w:asciiTheme="majorBidi" w:hAnsiTheme="majorBidi" w:cstheme="majorBidi"/>
                <w:color w:val="000000"/>
                <w:sz w:val="20"/>
                <w:szCs w:val="20"/>
              </w:rPr>
              <w:t>GPF</w:t>
            </w:r>
            <w:r w:rsidR="00B7346C">
              <w:rPr>
                <w:rFonts w:asciiTheme="majorBidi" w:hAnsiTheme="majorBidi" w:cstheme="majorBidi"/>
                <w:color w:val="000000"/>
                <w:sz w:val="20"/>
                <w:szCs w:val="20"/>
              </w:rPr>
              <w:t>)</w:t>
            </w:r>
          </w:p>
        </w:tc>
        <w:tc>
          <w:tcPr>
            <w:tcW w:w="850" w:type="dxa"/>
            <w:vAlign w:val="center"/>
          </w:tcPr>
          <w:p w14:paraId="27471BA3" w14:textId="233B3AB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80</w:t>
            </w:r>
          </w:p>
        </w:tc>
        <w:tc>
          <w:tcPr>
            <w:tcW w:w="3260" w:type="dxa"/>
            <w:vAlign w:val="center"/>
          </w:tcPr>
          <w:p w14:paraId="6DFC0AF6" w14:textId="10959C0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1CC9311" w14:textId="77777777" w:rsidTr="00555190">
        <w:tc>
          <w:tcPr>
            <w:tcW w:w="638" w:type="dxa"/>
            <w:vAlign w:val="center"/>
          </w:tcPr>
          <w:p w14:paraId="46C6FC33" w14:textId="5F622F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5AC5FBAE" w14:textId="3F19F3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855232A" w14:textId="77776B55"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IWPP Expansion</w:t>
            </w:r>
          </w:p>
        </w:tc>
        <w:tc>
          <w:tcPr>
            <w:tcW w:w="850" w:type="dxa"/>
            <w:vAlign w:val="center"/>
          </w:tcPr>
          <w:p w14:paraId="7533041B" w14:textId="103CAE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42.9</w:t>
            </w:r>
          </w:p>
        </w:tc>
        <w:tc>
          <w:tcPr>
            <w:tcW w:w="3260" w:type="dxa"/>
            <w:vAlign w:val="center"/>
          </w:tcPr>
          <w:p w14:paraId="413177C5" w14:textId="0E4B881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CE5E10D" w14:textId="77777777" w:rsidTr="00555190">
        <w:tc>
          <w:tcPr>
            <w:tcW w:w="638" w:type="dxa"/>
            <w:vAlign w:val="center"/>
          </w:tcPr>
          <w:p w14:paraId="4032A621" w14:textId="2064CF0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721C073E" w14:textId="6F6AD87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384ECBC3" w14:textId="2748E1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Gulf United Steel Co</w:t>
            </w:r>
          </w:p>
        </w:tc>
        <w:tc>
          <w:tcPr>
            <w:tcW w:w="850" w:type="dxa"/>
            <w:vAlign w:val="center"/>
          </w:tcPr>
          <w:p w14:paraId="41EBC398" w14:textId="35CE6F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373</w:t>
            </w:r>
          </w:p>
        </w:tc>
        <w:tc>
          <w:tcPr>
            <w:tcW w:w="3260" w:type="dxa"/>
            <w:vAlign w:val="center"/>
          </w:tcPr>
          <w:p w14:paraId="0CBB6A33" w14:textId="0C53301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6F89B0DC" w14:textId="77777777" w:rsidTr="00555190">
        <w:tc>
          <w:tcPr>
            <w:tcW w:w="638" w:type="dxa"/>
            <w:vAlign w:val="center"/>
          </w:tcPr>
          <w:p w14:paraId="69F75DE0" w14:textId="6B9748B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2012</w:t>
            </w:r>
          </w:p>
        </w:tc>
        <w:tc>
          <w:tcPr>
            <w:tcW w:w="1336" w:type="dxa"/>
            <w:vAlign w:val="center"/>
          </w:tcPr>
          <w:p w14:paraId="51D95661" w14:textId="4F3754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19D3B8AF" w14:textId="1239F3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JBF Bahrain SPC</w:t>
            </w:r>
          </w:p>
        </w:tc>
        <w:tc>
          <w:tcPr>
            <w:tcW w:w="850" w:type="dxa"/>
            <w:vAlign w:val="center"/>
          </w:tcPr>
          <w:p w14:paraId="6A60C533" w14:textId="7E343EE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123.5</w:t>
            </w:r>
          </w:p>
        </w:tc>
        <w:tc>
          <w:tcPr>
            <w:tcW w:w="3260" w:type="dxa"/>
            <w:vAlign w:val="center"/>
          </w:tcPr>
          <w:p w14:paraId="1D7A1523" w14:textId="271308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DAA23EF" w14:textId="77777777" w:rsidTr="00555190">
        <w:tc>
          <w:tcPr>
            <w:tcW w:w="638" w:type="dxa"/>
            <w:vAlign w:val="center"/>
          </w:tcPr>
          <w:p w14:paraId="1052DD43" w14:textId="786645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55FF1833" w14:textId="51E095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6503398" w14:textId="284C773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Sadara Chemical Co</w:t>
            </w:r>
          </w:p>
        </w:tc>
        <w:tc>
          <w:tcPr>
            <w:tcW w:w="850" w:type="dxa"/>
            <w:vAlign w:val="center"/>
          </w:tcPr>
          <w:p w14:paraId="3DD82A9B" w14:textId="751868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3959.7</w:t>
            </w:r>
          </w:p>
        </w:tc>
        <w:tc>
          <w:tcPr>
            <w:tcW w:w="3260" w:type="dxa"/>
            <w:vAlign w:val="center"/>
          </w:tcPr>
          <w:p w14:paraId="28E754BA" w14:textId="74ED8B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F563A10" w14:textId="77777777" w:rsidTr="00555190">
        <w:tc>
          <w:tcPr>
            <w:tcW w:w="638" w:type="dxa"/>
            <w:vAlign w:val="center"/>
          </w:tcPr>
          <w:p w14:paraId="133162CA" w14:textId="39C5E46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68A7A67D" w14:textId="3186B39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2AAF1B7" w14:textId="4AECC4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Al-Jubail Petrochemical Company</w:t>
            </w:r>
          </w:p>
        </w:tc>
        <w:tc>
          <w:tcPr>
            <w:tcW w:w="850" w:type="dxa"/>
            <w:vAlign w:val="center"/>
          </w:tcPr>
          <w:p w14:paraId="7307A6F6" w14:textId="5FA21DC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1200</w:t>
            </w:r>
          </w:p>
        </w:tc>
        <w:tc>
          <w:tcPr>
            <w:tcW w:w="3260" w:type="dxa"/>
            <w:vAlign w:val="center"/>
          </w:tcPr>
          <w:p w14:paraId="079D0F07" w14:textId="37DD6A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3E9A242" w14:textId="77777777" w:rsidTr="00555190">
        <w:tc>
          <w:tcPr>
            <w:tcW w:w="638" w:type="dxa"/>
            <w:vAlign w:val="center"/>
          </w:tcPr>
          <w:p w14:paraId="19FE4C56" w14:textId="2D51B6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4BC32E86" w14:textId="4D2CAE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9DC95C3" w14:textId="075914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Rabigh Independent Power Plant</w:t>
            </w:r>
          </w:p>
        </w:tc>
        <w:tc>
          <w:tcPr>
            <w:tcW w:w="850" w:type="dxa"/>
            <w:vAlign w:val="center"/>
          </w:tcPr>
          <w:p w14:paraId="3E6A0D77" w14:textId="034A41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1176.8</w:t>
            </w:r>
          </w:p>
        </w:tc>
        <w:tc>
          <w:tcPr>
            <w:tcW w:w="3260" w:type="dxa"/>
            <w:vAlign w:val="center"/>
          </w:tcPr>
          <w:p w14:paraId="05936DD8" w14:textId="7C684F2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4ADC47F6" w14:textId="77777777" w:rsidTr="00555190">
        <w:tc>
          <w:tcPr>
            <w:tcW w:w="638" w:type="dxa"/>
            <w:vAlign w:val="center"/>
          </w:tcPr>
          <w:p w14:paraId="35026697" w14:textId="737DF85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38267391" w14:textId="2D213C7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62C4ACF" w14:textId="1E5F51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International Diol Company</w:t>
            </w:r>
          </w:p>
        </w:tc>
        <w:tc>
          <w:tcPr>
            <w:tcW w:w="850" w:type="dxa"/>
            <w:vAlign w:val="center"/>
          </w:tcPr>
          <w:p w14:paraId="5C3EA577" w14:textId="19312B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268.8</w:t>
            </w:r>
          </w:p>
        </w:tc>
        <w:tc>
          <w:tcPr>
            <w:tcW w:w="3260" w:type="dxa"/>
            <w:vAlign w:val="center"/>
          </w:tcPr>
          <w:p w14:paraId="6A5E9DE5" w14:textId="64A99A8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349E9664" w14:textId="77777777" w:rsidTr="00555190">
        <w:tc>
          <w:tcPr>
            <w:tcW w:w="638" w:type="dxa"/>
            <w:vAlign w:val="center"/>
          </w:tcPr>
          <w:p w14:paraId="7FC1862D" w14:textId="0357B1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3E455612" w14:textId="411EEF9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503D5C5" w14:textId="11B3184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Polysilicon Technology Co</w:t>
            </w:r>
          </w:p>
        </w:tc>
        <w:tc>
          <w:tcPr>
            <w:tcW w:w="850" w:type="dxa"/>
            <w:vAlign w:val="center"/>
          </w:tcPr>
          <w:p w14:paraId="7F2CA940" w14:textId="638329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330.6</w:t>
            </w:r>
          </w:p>
        </w:tc>
        <w:tc>
          <w:tcPr>
            <w:tcW w:w="3260" w:type="dxa"/>
            <w:vAlign w:val="center"/>
          </w:tcPr>
          <w:p w14:paraId="6F65EF6A" w14:textId="26D611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309295E" w14:textId="77777777" w:rsidTr="00555190">
        <w:tc>
          <w:tcPr>
            <w:tcW w:w="638" w:type="dxa"/>
            <w:vAlign w:val="center"/>
          </w:tcPr>
          <w:p w14:paraId="42FC4EEC" w14:textId="2C2352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646C9058" w14:textId="311425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33EA6D4A" w14:textId="58DDF8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QGTC LNG Shipbuilding</w:t>
            </w:r>
          </w:p>
        </w:tc>
        <w:tc>
          <w:tcPr>
            <w:tcW w:w="850" w:type="dxa"/>
            <w:vAlign w:val="center"/>
          </w:tcPr>
          <w:p w14:paraId="436F8A3F" w14:textId="2D4E396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917.2</w:t>
            </w:r>
          </w:p>
        </w:tc>
        <w:tc>
          <w:tcPr>
            <w:tcW w:w="3260" w:type="dxa"/>
            <w:vAlign w:val="center"/>
          </w:tcPr>
          <w:p w14:paraId="29176EFA" w14:textId="0C15B8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5AC3F09B" w14:textId="77777777" w:rsidTr="00555190">
        <w:tc>
          <w:tcPr>
            <w:tcW w:w="638" w:type="dxa"/>
            <w:vAlign w:val="center"/>
          </w:tcPr>
          <w:p w14:paraId="1184A5A3" w14:textId="166D707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28D31152" w14:textId="2634D33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444C3C9F" w14:textId="203E56D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Rasgas II LNG Vessels</w:t>
            </w:r>
          </w:p>
        </w:tc>
        <w:tc>
          <w:tcPr>
            <w:tcW w:w="850" w:type="dxa"/>
            <w:vAlign w:val="center"/>
          </w:tcPr>
          <w:p w14:paraId="3BBE84B1" w14:textId="358F94F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425</w:t>
            </w:r>
          </w:p>
        </w:tc>
        <w:tc>
          <w:tcPr>
            <w:tcW w:w="3260" w:type="dxa"/>
            <w:vAlign w:val="center"/>
          </w:tcPr>
          <w:p w14:paraId="16F5477B" w14:textId="6287F09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39AE085B" w14:textId="77777777" w:rsidTr="00555190">
        <w:tc>
          <w:tcPr>
            <w:tcW w:w="638" w:type="dxa"/>
            <w:vAlign w:val="center"/>
          </w:tcPr>
          <w:p w14:paraId="29F2499E" w14:textId="12D3566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4EFF0E09" w14:textId="1EAE4B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29CA4EBB" w14:textId="01751E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Abu </w:t>
            </w:r>
            <w:proofErr w:type="spellStart"/>
            <w:r w:rsidRPr="00802732">
              <w:rPr>
                <w:rFonts w:asciiTheme="majorBidi" w:hAnsiTheme="majorBidi" w:cstheme="majorBidi"/>
                <w:color w:val="000000"/>
                <w:sz w:val="20"/>
                <w:szCs w:val="20"/>
              </w:rPr>
              <w:t>Fontas</w:t>
            </w:r>
            <w:proofErr w:type="spellEnd"/>
            <w:r w:rsidRPr="00802732">
              <w:rPr>
                <w:rFonts w:asciiTheme="majorBidi" w:hAnsiTheme="majorBidi" w:cstheme="majorBidi"/>
                <w:color w:val="000000"/>
                <w:sz w:val="20"/>
                <w:szCs w:val="20"/>
              </w:rPr>
              <w:t xml:space="preserve"> A2 Expansion</w:t>
            </w:r>
          </w:p>
        </w:tc>
        <w:tc>
          <w:tcPr>
            <w:tcW w:w="850" w:type="dxa"/>
            <w:vAlign w:val="center"/>
          </w:tcPr>
          <w:p w14:paraId="513B1F25" w14:textId="4229B0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426.3</w:t>
            </w:r>
          </w:p>
        </w:tc>
        <w:tc>
          <w:tcPr>
            <w:tcW w:w="3260" w:type="dxa"/>
            <w:vAlign w:val="center"/>
          </w:tcPr>
          <w:p w14:paraId="6426A5A8" w14:textId="6EEAF47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7E86EDF" w14:textId="77777777" w:rsidTr="00555190">
        <w:tc>
          <w:tcPr>
            <w:tcW w:w="638" w:type="dxa"/>
            <w:vAlign w:val="center"/>
          </w:tcPr>
          <w:p w14:paraId="64835B3B" w14:textId="1377CB4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1E4FCDE9" w14:textId="6F75DE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69B3790" w14:textId="3F00DF68"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Shuweihat</w:t>
            </w:r>
            <w:proofErr w:type="spellEnd"/>
            <w:r w:rsidRPr="00802732">
              <w:rPr>
                <w:rFonts w:asciiTheme="majorBidi" w:hAnsiTheme="majorBidi" w:cstheme="majorBidi"/>
                <w:color w:val="000000"/>
                <w:sz w:val="20"/>
                <w:szCs w:val="20"/>
              </w:rPr>
              <w:t xml:space="preserve"> IWPP</w:t>
            </w:r>
          </w:p>
        </w:tc>
        <w:tc>
          <w:tcPr>
            <w:tcW w:w="850" w:type="dxa"/>
            <w:vAlign w:val="center"/>
          </w:tcPr>
          <w:p w14:paraId="3BAF79F0" w14:textId="2756D13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1164</w:t>
            </w:r>
          </w:p>
        </w:tc>
        <w:tc>
          <w:tcPr>
            <w:tcW w:w="3260" w:type="dxa"/>
            <w:vAlign w:val="center"/>
          </w:tcPr>
          <w:p w14:paraId="55E5B1F2" w14:textId="559DEB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BFC8D96" w14:textId="77777777" w:rsidTr="00555190">
        <w:tc>
          <w:tcPr>
            <w:tcW w:w="638" w:type="dxa"/>
            <w:vAlign w:val="center"/>
          </w:tcPr>
          <w:p w14:paraId="5AF258AC" w14:textId="7CBD9F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lastRenderedPageBreak/>
              <w:t>2013</w:t>
            </w:r>
          </w:p>
        </w:tc>
        <w:tc>
          <w:tcPr>
            <w:tcW w:w="1336" w:type="dxa"/>
            <w:vAlign w:val="center"/>
          </w:tcPr>
          <w:p w14:paraId="1E409B66" w14:textId="7BF058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2F965486" w14:textId="3B4D3C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EMAL</w:t>
            </w:r>
          </w:p>
        </w:tc>
        <w:tc>
          <w:tcPr>
            <w:tcW w:w="850" w:type="dxa"/>
            <w:vAlign w:val="center"/>
          </w:tcPr>
          <w:p w14:paraId="3535628F" w14:textId="5F9BED4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4600</w:t>
            </w:r>
          </w:p>
        </w:tc>
        <w:tc>
          <w:tcPr>
            <w:tcW w:w="3260" w:type="dxa"/>
            <w:vAlign w:val="center"/>
          </w:tcPr>
          <w:p w14:paraId="5C12E589" w14:textId="1AF69A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61AACB90" w14:textId="77777777" w:rsidTr="00555190">
        <w:tc>
          <w:tcPr>
            <w:tcW w:w="638" w:type="dxa"/>
            <w:vAlign w:val="center"/>
          </w:tcPr>
          <w:p w14:paraId="02D0A503" w14:textId="3346D7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19571EB0" w14:textId="69F8C7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E40FB10" w14:textId="5FAD49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Muscat City Desalination Co</w:t>
            </w:r>
          </w:p>
        </w:tc>
        <w:tc>
          <w:tcPr>
            <w:tcW w:w="850" w:type="dxa"/>
            <w:vAlign w:val="center"/>
          </w:tcPr>
          <w:p w14:paraId="5DEC7D56" w14:textId="1BE1DB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270</w:t>
            </w:r>
          </w:p>
        </w:tc>
        <w:tc>
          <w:tcPr>
            <w:tcW w:w="3260" w:type="dxa"/>
            <w:vAlign w:val="center"/>
          </w:tcPr>
          <w:p w14:paraId="549134FE" w14:textId="0B4AE2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89A43C5" w14:textId="77777777" w:rsidTr="00555190">
        <w:tc>
          <w:tcPr>
            <w:tcW w:w="638" w:type="dxa"/>
            <w:vAlign w:val="center"/>
          </w:tcPr>
          <w:p w14:paraId="7050449A" w14:textId="2EF449F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2013</w:t>
            </w:r>
          </w:p>
        </w:tc>
        <w:tc>
          <w:tcPr>
            <w:tcW w:w="1336" w:type="dxa"/>
            <w:vAlign w:val="center"/>
          </w:tcPr>
          <w:p w14:paraId="5264BA5C" w14:textId="2BD5C04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7D4E4358" w14:textId="76E3DF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Zour</w:t>
            </w:r>
            <w:proofErr w:type="spellEnd"/>
            <w:r w:rsidRPr="00802732">
              <w:rPr>
                <w:rFonts w:asciiTheme="majorBidi" w:hAnsiTheme="majorBidi" w:cstheme="majorBidi"/>
                <w:color w:val="000000"/>
                <w:sz w:val="20"/>
                <w:szCs w:val="20"/>
              </w:rPr>
              <w:t xml:space="preserve"> IWPP</w:t>
            </w:r>
          </w:p>
        </w:tc>
        <w:tc>
          <w:tcPr>
            <w:tcW w:w="850" w:type="dxa"/>
            <w:vAlign w:val="center"/>
          </w:tcPr>
          <w:p w14:paraId="3E7A84B3" w14:textId="4DE1DE1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1387</w:t>
            </w:r>
          </w:p>
        </w:tc>
        <w:tc>
          <w:tcPr>
            <w:tcW w:w="3260" w:type="dxa"/>
            <w:vAlign w:val="center"/>
          </w:tcPr>
          <w:p w14:paraId="7D419912" w14:textId="7F8C228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065276D" w14:textId="77777777" w:rsidTr="00555190">
        <w:tc>
          <w:tcPr>
            <w:tcW w:w="638" w:type="dxa"/>
            <w:vAlign w:val="center"/>
          </w:tcPr>
          <w:p w14:paraId="3126BCB3" w14:textId="767CFE9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3621FA97" w14:textId="7FE3B33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0974B58" w14:textId="009075D9"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Waad</w:t>
            </w:r>
            <w:proofErr w:type="spellEnd"/>
            <w:r w:rsidRPr="00802732">
              <w:rPr>
                <w:rFonts w:asciiTheme="majorBidi" w:hAnsiTheme="majorBidi" w:cstheme="majorBidi"/>
                <w:color w:val="000000"/>
                <w:sz w:val="20"/>
                <w:szCs w:val="20"/>
              </w:rPr>
              <w:t xml:space="preserve"> Al Shamal</w:t>
            </w:r>
          </w:p>
        </w:tc>
        <w:tc>
          <w:tcPr>
            <w:tcW w:w="850" w:type="dxa"/>
            <w:vAlign w:val="center"/>
          </w:tcPr>
          <w:p w14:paraId="57325CAA" w14:textId="11A6144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3783.5</w:t>
            </w:r>
          </w:p>
        </w:tc>
        <w:tc>
          <w:tcPr>
            <w:tcW w:w="3260" w:type="dxa"/>
            <w:vAlign w:val="center"/>
          </w:tcPr>
          <w:p w14:paraId="4219BC9A" w14:textId="3E20EA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5527559B" w14:textId="77777777" w:rsidTr="00555190">
        <w:tc>
          <w:tcPr>
            <w:tcW w:w="638" w:type="dxa"/>
            <w:vAlign w:val="center"/>
          </w:tcPr>
          <w:p w14:paraId="73A66560" w14:textId="305833B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518BF98D" w14:textId="215F2F2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1F182CC" w14:textId="6DFBB1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Abqaiq </w:t>
            </w:r>
            <w:proofErr w:type="spellStart"/>
            <w:r w:rsidRPr="00802732">
              <w:rPr>
                <w:rFonts w:asciiTheme="majorBidi" w:hAnsiTheme="majorBidi" w:cstheme="majorBidi"/>
                <w:color w:val="000000"/>
                <w:sz w:val="20"/>
                <w:szCs w:val="20"/>
              </w:rPr>
              <w:t>Hawiyah</w:t>
            </w:r>
            <w:proofErr w:type="spellEnd"/>
            <w:r w:rsidRPr="00802732">
              <w:rPr>
                <w:rFonts w:asciiTheme="majorBidi" w:hAnsiTheme="majorBidi" w:cstheme="majorBidi"/>
                <w:color w:val="000000"/>
                <w:sz w:val="20"/>
                <w:szCs w:val="20"/>
              </w:rPr>
              <w:t xml:space="preserve"> Ras Tanura CHP</w:t>
            </w:r>
          </w:p>
        </w:tc>
        <w:tc>
          <w:tcPr>
            <w:tcW w:w="850" w:type="dxa"/>
            <w:vAlign w:val="center"/>
          </w:tcPr>
          <w:p w14:paraId="29338728" w14:textId="0294446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320</w:t>
            </w:r>
          </w:p>
        </w:tc>
        <w:tc>
          <w:tcPr>
            <w:tcW w:w="3260" w:type="dxa"/>
            <w:vAlign w:val="center"/>
          </w:tcPr>
          <w:p w14:paraId="38D4C21B" w14:textId="00FBE0A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6C3AAC3" w14:textId="77777777" w:rsidTr="00555190">
        <w:tc>
          <w:tcPr>
            <w:tcW w:w="638" w:type="dxa"/>
            <w:vAlign w:val="center"/>
          </w:tcPr>
          <w:p w14:paraId="610C064E" w14:textId="44CB512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255AC6DD" w14:textId="66C1B92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68BCEAC" w14:textId="72F89D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Rabigh Independent Power Plant</w:t>
            </w:r>
          </w:p>
        </w:tc>
        <w:tc>
          <w:tcPr>
            <w:tcW w:w="850" w:type="dxa"/>
            <w:vAlign w:val="center"/>
          </w:tcPr>
          <w:p w14:paraId="5C8473C6" w14:textId="69F9D11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214</w:t>
            </w:r>
          </w:p>
        </w:tc>
        <w:tc>
          <w:tcPr>
            <w:tcW w:w="3260" w:type="dxa"/>
            <w:vAlign w:val="center"/>
          </w:tcPr>
          <w:p w14:paraId="605A6438" w14:textId="7055125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4B3B17F" w14:textId="77777777" w:rsidTr="00555190">
        <w:tc>
          <w:tcPr>
            <w:tcW w:w="638" w:type="dxa"/>
            <w:vAlign w:val="center"/>
          </w:tcPr>
          <w:p w14:paraId="1B7ABC54" w14:textId="3DE7369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4E97B2EA" w14:textId="38B7FFE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CB79107" w14:textId="39FFE48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King Abdullah Port Expansion</w:t>
            </w:r>
          </w:p>
        </w:tc>
        <w:tc>
          <w:tcPr>
            <w:tcW w:w="850" w:type="dxa"/>
            <w:vAlign w:val="center"/>
          </w:tcPr>
          <w:p w14:paraId="1943811A" w14:textId="58982A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140.8</w:t>
            </w:r>
          </w:p>
        </w:tc>
        <w:tc>
          <w:tcPr>
            <w:tcW w:w="3260" w:type="dxa"/>
            <w:vAlign w:val="center"/>
          </w:tcPr>
          <w:p w14:paraId="4DBC87D4" w14:textId="7FC9D9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r w:rsidR="00802732" w:rsidRPr="00802732" w14:paraId="14FBD20B" w14:textId="77777777" w:rsidTr="00555190">
        <w:tc>
          <w:tcPr>
            <w:tcW w:w="638" w:type="dxa"/>
            <w:vAlign w:val="center"/>
          </w:tcPr>
          <w:p w14:paraId="0CAD3B0B" w14:textId="09EB31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6CBEC9AB" w14:textId="0A1707B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6E4B998F" w14:textId="7ABF1D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Emirates Steel Plant</w:t>
            </w:r>
          </w:p>
        </w:tc>
        <w:tc>
          <w:tcPr>
            <w:tcW w:w="850" w:type="dxa"/>
            <w:vAlign w:val="center"/>
          </w:tcPr>
          <w:p w14:paraId="654EE747" w14:textId="06B7EB6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1299.9</w:t>
            </w:r>
          </w:p>
        </w:tc>
        <w:tc>
          <w:tcPr>
            <w:tcW w:w="3260" w:type="dxa"/>
            <w:vAlign w:val="center"/>
          </w:tcPr>
          <w:p w14:paraId="1F0B7107" w14:textId="6875EC9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05056816" w14:textId="77777777" w:rsidTr="00555190">
        <w:tc>
          <w:tcPr>
            <w:tcW w:w="638" w:type="dxa"/>
            <w:vAlign w:val="center"/>
          </w:tcPr>
          <w:p w14:paraId="1BB5A1D3" w14:textId="0D6D93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220DED7A" w14:textId="7EC5EBB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B5C2249" w14:textId="0FE97D0D"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Mirfa</w:t>
            </w:r>
            <w:proofErr w:type="spellEnd"/>
            <w:r w:rsidRPr="00802732">
              <w:rPr>
                <w:rFonts w:asciiTheme="majorBidi" w:hAnsiTheme="majorBidi" w:cstheme="majorBidi"/>
                <w:color w:val="000000"/>
                <w:sz w:val="20"/>
                <w:szCs w:val="20"/>
              </w:rPr>
              <w:t xml:space="preserve"> IWPP</w:t>
            </w:r>
          </w:p>
        </w:tc>
        <w:tc>
          <w:tcPr>
            <w:tcW w:w="850" w:type="dxa"/>
            <w:vAlign w:val="center"/>
          </w:tcPr>
          <w:p w14:paraId="689C1080" w14:textId="3D84964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1207.2</w:t>
            </w:r>
          </w:p>
        </w:tc>
        <w:tc>
          <w:tcPr>
            <w:tcW w:w="3260" w:type="dxa"/>
            <w:vAlign w:val="center"/>
          </w:tcPr>
          <w:p w14:paraId="4631F15D" w14:textId="7125BB1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6BD6D5D" w14:textId="77777777" w:rsidTr="00555190">
        <w:tc>
          <w:tcPr>
            <w:tcW w:w="638" w:type="dxa"/>
            <w:vAlign w:val="center"/>
          </w:tcPr>
          <w:p w14:paraId="3B76CBAA" w14:textId="39A815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57701106" w14:textId="139AC4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0149EBF9" w14:textId="045A19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Fujairah ENOC Vopak Oil</w:t>
            </w:r>
          </w:p>
        </w:tc>
        <w:tc>
          <w:tcPr>
            <w:tcW w:w="850" w:type="dxa"/>
            <w:vAlign w:val="center"/>
          </w:tcPr>
          <w:p w14:paraId="0BEE6C4D" w14:textId="432952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90</w:t>
            </w:r>
          </w:p>
        </w:tc>
        <w:tc>
          <w:tcPr>
            <w:tcW w:w="3260" w:type="dxa"/>
            <w:vAlign w:val="center"/>
          </w:tcPr>
          <w:p w14:paraId="54BD8C55" w14:textId="1194A15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6A1EFB7" w14:textId="77777777" w:rsidTr="00555190">
        <w:tc>
          <w:tcPr>
            <w:tcW w:w="638" w:type="dxa"/>
            <w:vAlign w:val="center"/>
          </w:tcPr>
          <w:p w14:paraId="2C1947BA" w14:textId="5150C8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60E17439" w14:textId="491E919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4349DC0" w14:textId="59C82159"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Taweelah</w:t>
            </w:r>
            <w:proofErr w:type="spellEnd"/>
            <w:r w:rsidRPr="00802732">
              <w:rPr>
                <w:rFonts w:asciiTheme="majorBidi" w:hAnsiTheme="majorBidi" w:cstheme="majorBidi"/>
                <w:color w:val="000000"/>
                <w:sz w:val="20"/>
                <w:szCs w:val="20"/>
              </w:rPr>
              <w:t xml:space="preserve"> Aluminium Extrusion</w:t>
            </w:r>
          </w:p>
        </w:tc>
        <w:tc>
          <w:tcPr>
            <w:tcW w:w="850" w:type="dxa"/>
            <w:vAlign w:val="center"/>
          </w:tcPr>
          <w:p w14:paraId="3194AFEF" w14:textId="381855E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139.8</w:t>
            </w:r>
          </w:p>
        </w:tc>
        <w:tc>
          <w:tcPr>
            <w:tcW w:w="3260" w:type="dxa"/>
            <w:vAlign w:val="center"/>
          </w:tcPr>
          <w:p w14:paraId="302E2DDB" w14:textId="7E64E39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2DA5AE19" w14:textId="77777777" w:rsidTr="00555190">
        <w:tc>
          <w:tcPr>
            <w:tcW w:w="638" w:type="dxa"/>
            <w:vAlign w:val="center"/>
          </w:tcPr>
          <w:p w14:paraId="3D76326C" w14:textId="7874847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7A792549" w14:textId="7721773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14984960" w14:textId="4714711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Zora Gas Field</w:t>
            </w:r>
          </w:p>
        </w:tc>
        <w:tc>
          <w:tcPr>
            <w:tcW w:w="850" w:type="dxa"/>
            <w:vAlign w:val="center"/>
          </w:tcPr>
          <w:p w14:paraId="31439210" w14:textId="353720E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08472D68" w14:textId="74532B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0FF0F8F8" w14:textId="77777777" w:rsidTr="00555190">
        <w:tc>
          <w:tcPr>
            <w:tcW w:w="638" w:type="dxa"/>
            <w:vAlign w:val="center"/>
          </w:tcPr>
          <w:p w14:paraId="4814BB37" w14:textId="6D892DC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5E5F076B" w14:textId="337BE2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EAC76EC" w14:textId="45B065D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Tethys Oil Block 3 &amp; 4</w:t>
            </w:r>
          </w:p>
        </w:tc>
        <w:tc>
          <w:tcPr>
            <w:tcW w:w="850" w:type="dxa"/>
            <w:vAlign w:val="center"/>
          </w:tcPr>
          <w:p w14:paraId="395B40E2" w14:textId="5C7EAE1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100</w:t>
            </w:r>
          </w:p>
        </w:tc>
        <w:tc>
          <w:tcPr>
            <w:tcW w:w="3260" w:type="dxa"/>
            <w:vAlign w:val="center"/>
          </w:tcPr>
          <w:p w14:paraId="7CD4EF65" w14:textId="78F776E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470E1F0" w14:textId="77777777" w:rsidTr="00555190">
        <w:tc>
          <w:tcPr>
            <w:tcW w:w="638" w:type="dxa"/>
            <w:vAlign w:val="center"/>
          </w:tcPr>
          <w:p w14:paraId="2A8BFE90" w14:textId="4D2B878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57B1A431" w14:textId="7F3A89F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4F4C963" w14:textId="49B50B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CC Energy Development Ltd</w:t>
            </w:r>
          </w:p>
        </w:tc>
        <w:tc>
          <w:tcPr>
            <w:tcW w:w="850" w:type="dxa"/>
            <w:vAlign w:val="center"/>
          </w:tcPr>
          <w:p w14:paraId="4DDEAFC8" w14:textId="447CE97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150</w:t>
            </w:r>
          </w:p>
        </w:tc>
        <w:tc>
          <w:tcPr>
            <w:tcW w:w="3260" w:type="dxa"/>
            <w:vAlign w:val="center"/>
          </w:tcPr>
          <w:p w14:paraId="730A7D2B" w14:textId="5CF5B24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46382B5" w14:textId="77777777" w:rsidTr="00555190">
        <w:tc>
          <w:tcPr>
            <w:tcW w:w="638" w:type="dxa"/>
            <w:vAlign w:val="center"/>
          </w:tcPr>
          <w:p w14:paraId="2998B631" w14:textId="256A94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62922EF8" w14:textId="3AA6FD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D20D0A3" w14:textId="332A4D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ORPIC</w:t>
            </w:r>
          </w:p>
        </w:tc>
        <w:tc>
          <w:tcPr>
            <w:tcW w:w="850" w:type="dxa"/>
            <w:vAlign w:val="center"/>
          </w:tcPr>
          <w:p w14:paraId="0EF0D050" w14:textId="62C123B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2850.9</w:t>
            </w:r>
          </w:p>
        </w:tc>
        <w:tc>
          <w:tcPr>
            <w:tcW w:w="3260" w:type="dxa"/>
            <w:vAlign w:val="center"/>
          </w:tcPr>
          <w:p w14:paraId="47745166" w14:textId="2AFCC5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6E2B0A92" w14:textId="77777777" w:rsidTr="00555190">
        <w:tc>
          <w:tcPr>
            <w:tcW w:w="638" w:type="dxa"/>
            <w:vAlign w:val="center"/>
          </w:tcPr>
          <w:p w14:paraId="089A2CA1" w14:textId="663298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2014</w:t>
            </w:r>
          </w:p>
        </w:tc>
        <w:tc>
          <w:tcPr>
            <w:tcW w:w="1336" w:type="dxa"/>
            <w:vAlign w:val="center"/>
          </w:tcPr>
          <w:p w14:paraId="1DAECBEC" w14:textId="0B9704B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55D1CF63" w14:textId="6E52859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New Gathering </w:t>
            </w:r>
            <w:proofErr w:type="spellStart"/>
            <w:r w:rsidRPr="00802732">
              <w:rPr>
                <w:rFonts w:asciiTheme="majorBidi" w:hAnsiTheme="majorBidi" w:cstheme="majorBidi"/>
                <w:color w:val="000000"/>
                <w:sz w:val="20"/>
                <w:szCs w:val="20"/>
              </w:rPr>
              <w:t>Center</w:t>
            </w:r>
            <w:proofErr w:type="spellEnd"/>
            <w:r w:rsidRPr="00802732">
              <w:rPr>
                <w:rFonts w:asciiTheme="majorBidi" w:hAnsiTheme="majorBidi" w:cstheme="majorBidi"/>
                <w:color w:val="000000"/>
                <w:sz w:val="20"/>
                <w:szCs w:val="20"/>
              </w:rPr>
              <w:t xml:space="preserve"> 16</w:t>
            </w:r>
          </w:p>
        </w:tc>
        <w:tc>
          <w:tcPr>
            <w:tcW w:w="850" w:type="dxa"/>
            <w:vAlign w:val="center"/>
          </w:tcPr>
          <w:p w14:paraId="6D0DDAB6" w14:textId="73B458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56.8</w:t>
            </w:r>
          </w:p>
        </w:tc>
        <w:tc>
          <w:tcPr>
            <w:tcW w:w="3260" w:type="dxa"/>
            <w:vAlign w:val="center"/>
          </w:tcPr>
          <w:p w14:paraId="478C587A" w14:textId="7913DD6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42FF54BB" w14:textId="77777777" w:rsidTr="00555190">
        <w:tc>
          <w:tcPr>
            <w:tcW w:w="638" w:type="dxa"/>
            <w:vAlign w:val="center"/>
          </w:tcPr>
          <w:p w14:paraId="04418378" w14:textId="47DD3E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605D52F5" w14:textId="1A409F3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7445BF7" w14:textId="5D6C33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Jizan Air Separation</w:t>
            </w:r>
          </w:p>
        </w:tc>
        <w:tc>
          <w:tcPr>
            <w:tcW w:w="850" w:type="dxa"/>
            <w:vAlign w:val="center"/>
          </w:tcPr>
          <w:p w14:paraId="14890034" w14:textId="24D8FE3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1789</w:t>
            </w:r>
          </w:p>
        </w:tc>
        <w:tc>
          <w:tcPr>
            <w:tcW w:w="3260" w:type="dxa"/>
            <w:vAlign w:val="center"/>
          </w:tcPr>
          <w:p w14:paraId="66D98CE7" w14:textId="33C999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06A79847" w14:textId="77777777" w:rsidTr="00555190">
        <w:tc>
          <w:tcPr>
            <w:tcW w:w="638" w:type="dxa"/>
            <w:vAlign w:val="center"/>
          </w:tcPr>
          <w:p w14:paraId="58626977" w14:textId="1B8074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5274EAC6" w14:textId="3E3DE36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A5F8106" w14:textId="057DB5A1"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Petrorabigh</w:t>
            </w:r>
            <w:proofErr w:type="spellEnd"/>
            <w:r w:rsidRPr="00802732">
              <w:rPr>
                <w:rFonts w:asciiTheme="majorBidi" w:hAnsiTheme="majorBidi" w:cstheme="majorBidi"/>
                <w:color w:val="000000"/>
                <w:sz w:val="20"/>
                <w:szCs w:val="20"/>
              </w:rPr>
              <w:t xml:space="preserve"> 1</w:t>
            </w:r>
          </w:p>
        </w:tc>
        <w:tc>
          <w:tcPr>
            <w:tcW w:w="850" w:type="dxa"/>
            <w:vAlign w:val="center"/>
          </w:tcPr>
          <w:p w14:paraId="6CE5ADE0" w14:textId="1778021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5200</w:t>
            </w:r>
          </w:p>
        </w:tc>
        <w:tc>
          <w:tcPr>
            <w:tcW w:w="3260" w:type="dxa"/>
            <w:vAlign w:val="center"/>
          </w:tcPr>
          <w:p w14:paraId="424C5D64" w14:textId="3E8E1E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D69551B" w14:textId="77777777" w:rsidTr="00555190">
        <w:tc>
          <w:tcPr>
            <w:tcW w:w="638" w:type="dxa"/>
            <w:vAlign w:val="center"/>
          </w:tcPr>
          <w:p w14:paraId="66899230" w14:textId="15959E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46BA36B2" w14:textId="4BD7AD0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0D11CC8" w14:textId="520F7856"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Petrorabigh</w:t>
            </w:r>
            <w:proofErr w:type="spellEnd"/>
            <w:r w:rsidRPr="00802732">
              <w:rPr>
                <w:rFonts w:asciiTheme="majorBidi" w:hAnsiTheme="majorBidi" w:cstheme="majorBidi"/>
                <w:color w:val="000000"/>
                <w:sz w:val="20"/>
                <w:szCs w:val="20"/>
              </w:rPr>
              <w:t xml:space="preserve"> 2</w:t>
            </w:r>
          </w:p>
        </w:tc>
        <w:tc>
          <w:tcPr>
            <w:tcW w:w="850" w:type="dxa"/>
            <w:vAlign w:val="center"/>
          </w:tcPr>
          <w:p w14:paraId="214A27DC" w14:textId="2620E4B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2000</w:t>
            </w:r>
          </w:p>
        </w:tc>
        <w:tc>
          <w:tcPr>
            <w:tcW w:w="3260" w:type="dxa"/>
            <w:vAlign w:val="center"/>
          </w:tcPr>
          <w:p w14:paraId="34E7D87F" w14:textId="490039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7AD5279E" w14:textId="77777777" w:rsidTr="00555190">
        <w:tc>
          <w:tcPr>
            <w:tcW w:w="638" w:type="dxa"/>
            <w:vAlign w:val="center"/>
          </w:tcPr>
          <w:p w14:paraId="0CF2C5E7" w14:textId="7AFB0E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589EE145" w14:textId="26FFCA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6234F04D" w14:textId="155BC2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Umm </w:t>
            </w:r>
            <w:proofErr w:type="spellStart"/>
            <w:r w:rsidRPr="00802732">
              <w:rPr>
                <w:rFonts w:asciiTheme="majorBidi" w:hAnsiTheme="majorBidi" w:cstheme="majorBidi"/>
                <w:color w:val="000000"/>
                <w:sz w:val="20"/>
                <w:szCs w:val="20"/>
              </w:rPr>
              <w:t>Wual</w:t>
            </w:r>
            <w:proofErr w:type="spellEnd"/>
            <w:r w:rsidRPr="00802732">
              <w:rPr>
                <w:rFonts w:asciiTheme="majorBidi" w:hAnsiTheme="majorBidi" w:cstheme="majorBidi"/>
                <w:color w:val="000000"/>
                <w:sz w:val="20"/>
                <w:szCs w:val="20"/>
              </w:rPr>
              <w:t xml:space="preserve"> </w:t>
            </w:r>
            <w:proofErr w:type="spellStart"/>
            <w:r w:rsidRPr="00802732">
              <w:rPr>
                <w:rFonts w:asciiTheme="majorBidi" w:hAnsiTheme="majorBidi" w:cstheme="majorBidi"/>
                <w:color w:val="000000"/>
                <w:sz w:val="20"/>
                <w:szCs w:val="20"/>
              </w:rPr>
              <w:t>Ma</w:t>
            </w:r>
            <w:r w:rsidR="00810EC1" w:rsidRPr="00810EC1">
              <w:rPr>
                <w:rFonts w:asciiTheme="majorBidi" w:hAnsiTheme="majorBidi" w:cstheme="majorBidi"/>
                <w:color w:val="000000"/>
                <w:sz w:val="20"/>
                <w:szCs w:val="20"/>
              </w:rPr>
              <w:t>'</w:t>
            </w:r>
            <w:r w:rsidRPr="00802732">
              <w:rPr>
                <w:rFonts w:asciiTheme="majorBidi" w:hAnsiTheme="majorBidi" w:cstheme="majorBidi"/>
                <w:color w:val="000000"/>
                <w:sz w:val="20"/>
                <w:szCs w:val="20"/>
              </w:rPr>
              <w:t>aden</w:t>
            </w:r>
            <w:proofErr w:type="spellEnd"/>
            <w:r w:rsidRPr="00802732">
              <w:rPr>
                <w:rFonts w:asciiTheme="majorBidi" w:hAnsiTheme="majorBidi" w:cstheme="majorBidi"/>
                <w:color w:val="000000"/>
                <w:sz w:val="20"/>
                <w:szCs w:val="20"/>
              </w:rPr>
              <w:t xml:space="preserve"> Phosphate</w:t>
            </w:r>
          </w:p>
        </w:tc>
        <w:tc>
          <w:tcPr>
            <w:tcW w:w="850" w:type="dxa"/>
            <w:vAlign w:val="center"/>
          </w:tcPr>
          <w:p w14:paraId="23F3AAD1" w14:textId="3452B74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3099.6</w:t>
            </w:r>
          </w:p>
        </w:tc>
        <w:tc>
          <w:tcPr>
            <w:tcW w:w="3260" w:type="dxa"/>
            <w:vAlign w:val="center"/>
          </w:tcPr>
          <w:p w14:paraId="55ECDC88" w14:textId="3B51A2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604AA58A" w14:textId="77777777" w:rsidTr="00555190">
        <w:tc>
          <w:tcPr>
            <w:tcW w:w="638" w:type="dxa"/>
            <w:vAlign w:val="center"/>
          </w:tcPr>
          <w:p w14:paraId="5E5DCCE9" w14:textId="0C59D31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4F8AF1DE" w14:textId="753DF7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06DA8B8" w14:textId="23685B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Al-Zamil Petrochemical Company</w:t>
            </w:r>
          </w:p>
        </w:tc>
        <w:tc>
          <w:tcPr>
            <w:tcW w:w="850" w:type="dxa"/>
            <w:vAlign w:val="center"/>
          </w:tcPr>
          <w:p w14:paraId="29EE50DE" w14:textId="56DCDB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622.9</w:t>
            </w:r>
          </w:p>
        </w:tc>
        <w:tc>
          <w:tcPr>
            <w:tcW w:w="3260" w:type="dxa"/>
            <w:vAlign w:val="center"/>
          </w:tcPr>
          <w:p w14:paraId="36A12D11" w14:textId="721F4E7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3D7BB1F" w14:textId="77777777" w:rsidTr="00555190">
        <w:tc>
          <w:tcPr>
            <w:tcW w:w="638" w:type="dxa"/>
            <w:vAlign w:val="center"/>
          </w:tcPr>
          <w:p w14:paraId="2ABD7A19" w14:textId="65D620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4201D830" w14:textId="73B4193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BCF91BC" w14:textId="2AF1204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Riyadh Water </w:t>
            </w:r>
            <w:proofErr w:type="spellStart"/>
            <w:r w:rsidRPr="00802732">
              <w:rPr>
                <w:rFonts w:asciiTheme="majorBidi" w:hAnsiTheme="majorBidi" w:cstheme="majorBidi"/>
                <w:color w:val="000000"/>
                <w:sz w:val="20"/>
                <w:szCs w:val="20"/>
              </w:rPr>
              <w:t>Prodn</w:t>
            </w:r>
            <w:proofErr w:type="spellEnd"/>
          </w:p>
        </w:tc>
        <w:tc>
          <w:tcPr>
            <w:tcW w:w="850" w:type="dxa"/>
            <w:vAlign w:val="center"/>
          </w:tcPr>
          <w:p w14:paraId="4516D381" w14:textId="2F8C1EA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65</w:t>
            </w:r>
          </w:p>
        </w:tc>
        <w:tc>
          <w:tcPr>
            <w:tcW w:w="3260" w:type="dxa"/>
            <w:vAlign w:val="center"/>
          </w:tcPr>
          <w:p w14:paraId="17BCDF85" w14:textId="2998006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965BE1A" w14:textId="77777777" w:rsidTr="00555190">
        <w:tc>
          <w:tcPr>
            <w:tcW w:w="638" w:type="dxa"/>
            <w:vAlign w:val="center"/>
          </w:tcPr>
          <w:p w14:paraId="46326AE1" w14:textId="7D2B32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173B12AE" w14:textId="2602BE9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504867FD" w14:textId="763C0B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Riyadh Cooling</w:t>
            </w:r>
          </w:p>
        </w:tc>
        <w:tc>
          <w:tcPr>
            <w:tcW w:w="850" w:type="dxa"/>
            <w:vAlign w:val="center"/>
          </w:tcPr>
          <w:p w14:paraId="04CA3965" w14:textId="06CE908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120.8</w:t>
            </w:r>
          </w:p>
        </w:tc>
        <w:tc>
          <w:tcPr>
            <w:tcW w:w="3260" w:type="dxa"/>
            <w:vAlign w:val="center"/>
          </w:tcPr>
          <w:p w14:paraId="5D087B0E" w14:textId="1B898F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Industry</w:t>
            </w:r>
          </w:p>
        </w:tc>
      </w:tr>
      <w:tr w:rsidR="00802732" w:rsidRPr="00802732" w14:paraId="0CEE826A" w14:textId="77777777" w:rsidTr="00555190">
        <w:tc>
          <w:tcPr>
            <w:tcW w:w="638" w:type="dxa"/>
            <w:vAlign w:val="center"/>
          </w:tcPr>
          <w:p w14:paraId="3F3AA225" w14:textId="450A690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476B2FD8" w14:textId="39B00F4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6175977" w14:textId="635FAC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Saudi </w:t>
            </w:r>
            <w:proofErr w:type="spellStart"/>
            <w:r w:rsidRPr="00802732">
              <w:rPr>
                <w:rFonts w:asciiTheme="majorBidi" w:hAnsiTheme="majorBidi" w:cstheme="majorBidi"/>
                <w:color w:val="000000"/>
                <w:sz w:val="20"/>
                <w:szCs w:val="20"/>
              </w:rPr>
              <w:t>Tabreed</w:t>
            </w:r>
            <w:proofErr w:type="spellEnd"/>
            <w:r w:rsidRPr="00802732">
              <w:rPr>
                <w:rFonts w:asciiTheme="majorBidi" w:hAnsiTheme="majorBidi" w:cstheme="majorBidi"/>
                <w:color w:val="000000"/>
                <w:sz w:val="20"/>
                <w:szCs w:val="20"/>
              </w:rPr>
              <w:t xml:space="preserve"> </w:t>
            </w:r>
            <w:proofErr w:type="spellStart"/>
            <w:r w:rsidRPr="00802732">
              <w:rPr>
                <w:rFonts w:asciiTheme="majorBidi" w:hAnsiTheme="majorBidi" w:cstheme="majorBidi"/>
                <w:color w:val="000000"/>
                <w:sz w:val="20"/>
                <w:szCs w:val="20"/>
              </w:rPr>
              <w:t>Jabar</w:t>
            </w:r>
            <w:proofErr w:type="spellEnd"/>
            <w:r w:rsidRPr="00802732">
              <w:rPr>
                <w:rFonts w:asciiTheme="majorBidi" w:hAnsiTheme="majorBidi" w:cstheme="majorBidi"/>
                <w:color w:val="000000"/>
                <w:sz w:val="20"/>
                <w:szCs w:val="20"/>
              </w:rPr>
              <w:t xml:space="preserve"> Omar</w:t>
            </w:r>
          </w:p>
        </w:tc>
        <w:tc>
          <w:tcPr>
            <w:tcW w:w="850" w:type="dxa"/>
            <w:vAlign w:val="center"/>
          </w:tcPr>
          <w:p w14:paraId="78D02EED" w14:textId="0904259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180</w:t>
            </w:r>
          </w:p>
        </w:tc>
        <w:tc>
          <w:tcPr>
            <w:tcW w:w="3260" w:type="dxa"/>
            <w:vAlign w:val="center"/>
          </w:tcPr>
          <w:p w14:paraId="65A52E4F" w14:textId="7135FF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Industry</w:t>
            </w:r>
          </w:p>
        </w:tc>
      </w:tr>
      <w:tr w:rsidR="00802732" w:rsidRPr="00802732" w14:paraId="3A44652E" w14:textId="77777777" w:rsidTr="00555190">
        <w:tc>
          <w:tcPr>
            <w:tcW w:w="638" w:type="dxa"/>
            <w:vAlign w:val="center"/>
          </w:tcPr>
          <w:p w14:paraId="350DDDB2" w14:textId="71BF6C7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6FFED08D" w14:textId="2A3F2FC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1D9397BA" w14:textId="0C4D18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222222"/>
                <w:sz w:val="20"/>
                <w:szCs w:val="20"/>
              </w:rPr>
              <w:t>Al-</w:t>
            </w:r>
            <w:proofErr w:type="spellStart"/>
            <w:r w:rsidRPr="00802732">
              <w:rPr>
                <w:rFonts w:asciiTheme="majorBidi" w:hAnsiTheme="majorBidi" w:cstheme="majorBidi"/>
                <w:color w:val="222222"/>
                <w:sz w:val="20"/>
                <w:szCs w:val="20"/>
              </w:rPr>
              <w:t>Karaana</w:t>
            </w:r>
            <w:proofErr w:type="spellEnd"/>
            <w:r w:rsidRPr="00802732">
              <w:rPr>
                <w:rFonts w:asciiTheme="majorBidi" w:hAnsiTheme="majorBidi" w:cstheme="majorBidi"/>
                <w:color w:val="222222"/>
                <w:sz w:val="20"/>
                <w:szCs w:val="20"/>
              </w:rPr>
              <w:t xml:space="preserve"> Petrochemical</w:t>
            </w:r>
          </w:p>
        </w:tc>
        <w:tc>
          <w:tcPr>
            <w:tcW w:w="850" w:type="dxa"/>
            <w:vAlign w:val="center"/>
          </w:tcPr>
          <w:p w14:paraId="423080A1" w14:textId="61CA191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860</w:t>
            </w:r>
          </w:p>
        </w:tc>
        <w:tc>
          <w:tcPr>
            <w:tcW w:w="3260" w:type="dxa"/>
            <w:vAlign w:val="center"/>
          </w:tcPr>
          <w:p w14:paraId="59C373F5" w14:textId="2C8819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2D177214" w14:textId="77777777" w:rsidTr="00555190">
        <w:tc>
          <w:tcPr>
            <w:tcW w:w="638" w:type="dxa"/>
            <w:vAlign w:val="center"/>
          </w:tcPr>
          <w:p w14:paraId="6CEA741E" w14:textId="6D93E2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79759E01" w14:textId="1E05E8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03B76FD" w14:textId="110981C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DEWA Solar</w:t>
            </w:r>
          </w:p>
        </w:tc>
        <w:tc>
          <w:tcPr>
            <w:tcW w:w="850" w:type="dxa"/>
            <w:vAlign w:val="center"/>
          </w:tcPr>
          <w:p w14:paraId="74508DAA" w14:textId="7FD6F8D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260.1</w:t>
            </w:r>
          </w:p>
        </w:tc>
        <w:tc>
          <w:tcPr>
            <w:tcW w:w="3260" w:type="dxa"/>
            <w:vAlign w:val="center"/>
          </w:tcPr>
          <w:p w14:paraId="5157B715" w14:textId="7D4434D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12FBCDF" w14:textId="77777777" w:rsidTr="00555190">
        <w:tc>
          <w:tcPr>
            <w:tcW w:w="638" w:type="dxa"/>
            <w:vAlign w:val="center"/>
          </w:tcPr>
          <w:p w14:paraId="77802DBF" w14:textId="177503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0B67F958" w14:textId="404C8FC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2ED5494F" w14:textId="587D48A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Zayed University</w:t>
            </w:r>
          </w:p>
        </w:tc>
        <w:tc>
          <w:tcPr>
            <w:tcW w:w="850" w:type="dxa"/>
            <w:vAlign w:val="center"/>
          </w:tcPr>
          <w:p w14:paraId="476A3936" w14:textId="76249D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833.5</w:t>
            </w:r>
          </w:p>
        </w:tc>
        <w:tc>
          <w:tcPr>
            <w:tcW w:w="3260" w:type="dxa"/>
            <w:vAlign w:val="center"/>
          </w:tcPr>
          <w:p w14:paraId="51219A78" w14:textId="14D6FD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71C4DC4E" w14:textId="77777777" w:rsidTr="00555190">
        <w:tc>
          <w:tcPr>
            <w:tcW w:w="638" w:type="dxa"/>
            <w:vAlign w:val="center"/>
          </w:tcPr>
          <w:p w14:paraId="6F6D713A" w14:textId="056F97C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549DC371" w14:textId="264BA3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35FAC2E" w14:textId="06C46F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Dubai Pks &amp; Resorts District</w:t>
            </w:r>
          </w:p>
        </w:tc>
        <w:tc>
          <w:tcPr>
            <w:tcW w:w="850" w:type="dxa"/>
            <w:vAlign w:val="center"/>
          </w:tcPr>
          <w:p w14:paraId="485D2A4A" w14:textId="5D6D345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53</w:t>
            </w:r>
          </w:p>
        </w:tc>
        <w:tc>
          <w:tcPr>
            <w:tcW w:w="3260" w:type="dxa"/>
            <w:vAlign w:val="center"/>
          </w:tcPr>
          <w:p w14:paraId="392C40F5" w14:textId="22D7A89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67FA9C57" w14:textId="77777777" w:rsidTr="00555190">
        <w:tc>
          <w:tcPr>
            <w:tcW w:w="638" w:type="dxa"/>
            <w:vAlign w:val="center"/>
          </w:tcPr>
          <w:p w14:paraId="28448C5B" w14:textId="2ED94C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68C947D0" w14:textId="7D1C81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CD4DEB7" w14:textId="56341E0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 Sharqiyah Desalination Co</w:t>
            </w:r>
          </w:p>
        </w:tc>
        <w:tc>
          <w:tcPr>
            <w:tcW w:w="850" w:type="dxa"/>
            <w:vAlign w:val="center"/>
          </w:tcPr>
          <w:p w14:paraId="5D70D863" w14:textId="0A4F3D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166.8</w:t>
            </w:r>
          </w:p>
        </w:tc>
        <w:tc>
          <w:tcPr>
            <w:tcW w:w="3260" w:type="dxa"/>
            <w:vAlign w:val="center"/>
          </w:tcPr>
          <w:p w14:paraId="4D2A39DC" w14:textId="3C56388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F6FCDC6" w14:textId="77777777" w:rsidTr="00555190">
        <w:tc>
          <w:tcPr>
            <w:tcW w:w="638" w:type="dxa"/>
            <w:vAlign w:val="center"/>
          </w:tcPr>
          <w:p w14:paraId="144C9345" w14:textId="067DD53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58BA737D" w14:textId="65F4CE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3ED6FCF" w14:textId="16F75227"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IWPP Expansion</w:t>
            </w:r>
          </w:p>
        </w:tc>
        <w:tc>
          <w:tcPr>
            <w:tcW w:w="850" w:type="dxa"/>
            <w:vAlign w:val="center"/>
          </w:tcPr>
          <w:p w14:paraId="46E7132B" w14:textId="02008CC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70</w:t>
            </w:r>
          </w:p>
        </w:tc>
        <w:tc>
          <w:tcPr>
            <w:tcW w:w="3260" w:type="dxa"/>
            <w:vAlign w:val="center"/>
          </w:tcPr>
          <w:p w14:paraId="29D73097" w14:textId="5CDEE1B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DA1D801" w14:textId="77777777" w:rsidTr="00555190">
        <w:tc>
          <w:tcPr>
            <w:tcW w:w="638" w:type="dxa"/>
            <w:vAlign w:val="center"/>
          </w:tcPr>
          <w:p w14:paraId="3F35F242" w14:textId="3BB82E0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139B92D7" w14:textId="415F58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25CF2CF" w14:textId="0B5927A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Musandam IPP</w:t>
            </w:r>
          </w:p>
        </w:tc>
        <w:tc>
          <w:tcPr>
            <w:tcW w:w="850" w:type="dxa"/>
            <w:vAlign w:val="center"/>
          </w:tcPr>
          <w:p w14:paraId="52DBCB96" w14:textId="09B1808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235</w:t>
            </w:r>
          </w:p>
        </w:tc>
        <w:tc>
          <w:tcPr>
            <w:tcW w:w="3260" w:type="dxa"/>
            <w:vAlign w:val="center"/>
          </w:tcPr>
          <w:p w14:paraId="551E11E8" w14:textId="18646BD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FF6D793" w14:textId="77777777" w:rsidTr="00555190">
        <w:tc>
          <w:tcPr>
            <w:tcW w:w="638" w:type="dxa"/>
            <w:vAlign w:val="center"/>
          </w:tcPr>
          <w:p w14:paraId="44E89FB1" w14:textId="43AF0D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2B43108F" w14:textId="3DD3CF9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46DF0DD3" w14:textId="15646D11"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Qurayyat</w:t>
            </w:r>
            <w:proofErr w:type="spellEnd"/>
            <w:r w:rsidRPr="00802732">
              <w:rPr>
                <w:rFonts w:asciiTheme="majorBidi" w:hAnsiTheme="majorBidi" w:cstheme="majorBidi"/>
                <w:color w:val="000000"/>
                <w:sz w:val="20"/>
                <w:szCs w:val="20"/>
              </w:rPr>
              <w:t xml:space="preserve"> Reverse Osmosis</w:t>
            </w:r>
          </w:p>
        </w:tc>
        <w:tc>
          <w:tcPr>
            <w:tcW w:w="850" w:type="dxa"/>
            <w:vAlign w:val="center"/>
          </w:tcPr>
          <w:p w14:paraId="76222341" w14:textId="7690250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188.1</w:t>
            </w:r>
          </w:p>
        </w:tc>
        <w:tc>
          <w:tcPr>
            <w:tcW w:w="3260" w:type="dxa"/>
            <w:vAlign w:val="center"/>
          </w:tcPr>
          <w:p w14:paraId="16AF5905" w14:textId="0A7F8F1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529A713" w14:textId="77777777" w:rsidTr="00555190">
        <w:tc>
          <w:tcPr>
            <w:tcW w:w="638" w:type="dxa"/>
            <w:vAlign w:val="center"/>
          </w:tcPr>
          <w:p w14:paraId="1BB91C8A" w14:textId="7EB8F9F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2015</w:t>
            </w:r>
          </w:p>
        </w:tc>
        <w:tc>
          <w:tcPr>
            <w:tcW w:w="1336" w:type="dxa"/>
            <w:vAlign w:val="center"/>
          </w:tcPr>
          <w:p w14:paraId="27889075" w14:textId="5CB3C2E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D1AA66E" w14:textId="1F75BB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2 IWPP</w:t>
            </w:r>
          </w:p>
        </w:tc>
        <w:tc>
          <w:tcPr>
            <w:tcW w:w="850" w:type="dxa"/>
            <w:vAlign w:val="center"/>
          </w:tcPr>
          <w:p w14:paraId="426FA034" w14:textId="15BEB88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248.5</w:t>
            </w:r>
          </w:p>
        </w:tc>
        <w:tc>
          <w:tcPr>
            <w:tcW w:w="3260" w:type="dxa"/>
            <w:vAlign w:val="center"/>
          </w:tcPr>
          <w:p w14:paraId="4F61C75A" w14:textId="292C01E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C4FAA0F" w14:textId="77777777" w:rsidTr="00555190">
        <w:tc>
          <w:tcPr>
            <w:tcW w:w="638" w:type="dxa"/>
            <w:vAlign w:val="center"/>
          </w:tcPr>
          <w:p w14:paraId="59FB8CDF" w14:textId="16BAC3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2258225A" w14:textId="1EBA4A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2A2A9A48" w14:textId="2C670485"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Dhuruma</w:t>
            </w:r>
            <w:proofErr w:type="spellEnd"/>
            <w:r w:rsidRPr="00802732">
              <w:rPr>
                <w:rFonts w:asciiTheme="majorBidi" w:hAnsiTheme="majorBidi" w:cstheme="majorBidi"/>
                <w:color w:val="000000"/>
                <w:sz w:val="20"/>
                <w:szCs w:val="20"/>
              </w:rPr>
              <w:t xml:space="preserve"> Electricity Co</w:t>
            </w:r>
          </w:p>
        </w:tc>
        <w:tc>
          <w:tcPr>
            <w:tcW w:w="850" w:type="dxa"/>
            <w:vAlign w:val="center"/>
          </w:tcPr>
          <w:p w14:paraId="3F6D8FDA" w14:textId="3956A9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1450.9</w:t>
            </w:r>
          </w:p>
        </w:tc>
        <w:tc>
          <w:tcPr>
            <w:tcW w:w="3260" w:type="dxa"/>
            <w:vAlign w:val="center"/>
          </w:tcPr>
          <w:p w14:paraId="693473E9" w14:textId="2EDE134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16AA661" w14:textId="77777777" w:rsidTr="00555190">
        <w:tc>
          <w:tcPr>
            <w:tcW w:w="638" w:type="dxa"/>
            <w:vAlign w:val="center"/>
          </w:tcPr>
          <w:p w14:paraId="373BB0F4" w14:textId="74A6D7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080060A1" w14:textId="6B3034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187A7C1" w14:textId="3FB7CCA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Rabigh Independent Power Plant</w:t>
            </w:r>
          </w:p>
        </w:tc>
        <w:tc>
          <w:tcPr>
            <w:tcW w:w="850" w:type="dxa"/>
            <w:vAlign w:val="center"/>
          </w:tcPr>
          <w:p w14:paraId="1C3B517C" w14:textId="07FECB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1814.5</w:t>
            </w:r>
          </w:p>
        </w:tc>
        <w:tc>
          <w:tcPr>
            <w:tcW w:w="3260" w:type="dxa"/>
            <w:vAlign w:val="center"/>
          </w:tcPr>
          <w:p w14:paraId="2AB1C8A2" w14:textId="1639B15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E5A3A4B" w14:textId="77777777" w:rsidTr="00555190">
        <w:tc>
          <w:tcPr>
            <w:tcW w:w="638" w:type="dxa"/>
            <w:vAlign w:val="center"/>
          </w:tcPr>
          <w:p w14:paraId="737D7B33" w14:textId="3990ED8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2FEC5AED" w14:textId="54891A1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968FDCF" w14:textId="49642B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Yanbu Aramco Sinopec Refining</w:t>
            </w:r>
          </w:p>
        </w:tc>
        <w:tc>
          <w:tcPr>
            <w:tcW w:w="850" w:type="dxa"/>
            <w:vAlign w:val="center"/>
          </w:tcPr>
          <w:p w14:paraId="6BDD9B27" w14:textId="1EFD168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4700</w:t>
            </w:r>
          </w:p>
        </w:tc>
        <w:tc>
          <w:tcPr>
            <w:tcW w:w="3260" w:type="dxa"/>
            <w:vAlign w:val="center"/>
          </w:tcPr>
          <w:p w14:paraId="2F9626C6" w14:textId="5042995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07F11F8" w14:textId="77777777" w:rsidTr="00555190">
        <w:tc>
          <w:tcPr>
            <w:tcW w:w="638" w:type="dxa"/>
            <w:vAlign w:val="center"/>
          </w:tcPr>
          <w:p w14:paraId="567B2A35" w14:textId="4E2CBC1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4E0F20B9" w14:textId="254B2D3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35674182" w14:textId="174CE3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Facility D IWPP</w:t>
            </w:r>
          </w:p>
        </w:tc>
        <w:tc>
          <w:tcPr>
            <w:tcW w:w="850" w:type="dxa"/>
            <w:vAlign w:val="center"/>
          </w:tcPr>
          <w:p w14:paraId="5548EC12" w14:textId="750E008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2565</w:t>
            </w:r>
          </w:p>
        </w:tc>
        <w:tc>
          <w:tcPr>
            <w:tcW w:w="3260" w:type="dxa"/>
            <w:vAlign w:val="center"/>
          </w:tcPr>
          <w:p w14:paraId="69955231" w14:textId="45AC213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370A894A" w14:textId="77777777" w:rsidTr="00555190">
        <w:tc>
          <w:tcPr>
            <w:tcW w:w="638" w:type="dxa"/>
            <w:vAlign w:val="center"/>
          </w:tcPr>
          <w:p w14:paraId="45E12DB6" w14:textId="20A7F97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6AA3780E" w14:textId="102EEFE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Qatar</w:t>
            </w:r>
          </w:p>
        </w:tc>
        <w:tc>
          <w:tcPr>
            <w:tcW w:w="3550" w:type="dxa"/>
            <w:vAlign w:val="center"/>
          </w:tcPr>
          <w:p w14:paraId="1C41A23B" w14:textId="3D34D4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Ras Abu </w:t>
            </w:r>
            <w:proofErr w:type="spellStart"/>
            <w:r w:rsidRPr="00802732">
              <w:rPr>
                <w:rFonts w:asciiTheme="majorBidi" w:hAnsiTheme="majorBidi" w:cstheme="majorBidi"/>
                <w:color w:val="000000"/>
                <w:sz w:val="20"/>
                <w:szCs w:val="20"/>
              </w:rPr>
              <w:t>Fontas</w:t>
            </w:r>
            <w:proofErr w:type="spellEnd"/>
            <w:r w:rsidRPr="00802732">
              <w:rPr>
                <w:rFonts w:asciiTheme="majorBidi" w:hAnsiTheme="majorBidi" w:cstheme="majorBidi"/>
                <w:color w:val="000000"/>
                <w:sz w:val="20"/>
                <w:szCs w:val="20"/>
              </w:rPr>
              <w:t xml:space="preserve"> 3 Desalination</w:t>
            </w:r>
          </w:p>
        </w:tc>
        <w:tc>
          <w:tcPr>
            <w:tcW w:w="850" w:type="dxa"/>
            <w:vAlign w:val="center"/>
          </w:tcPr>
          <w:p w14:paraId="1CF96F8D" w14:textId="023272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399.9</w:t>
            </w:r>
          </w:p>
        </w:tc>
        <w:tc>
          <w:tcPr>
            <w:tcW w:w="3260" w:type="dxa"/>
            <w:vAlign w:val="center"/>
          </w:tcPr>
          <w:p w14:paraId="28393DF4" w14:textId="3267350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3904A40" w14:textId="77777777" w:rsidTr="00555190">
        <w:tc>
          <w:tcPr>
            <w:tcW w:w="638" w:type="dxa"/>
            <w:vAlign w:val="center"/>
          </w:tcPr>
          <w:p w14:paraId="2A41B8F2" w14:textId="79D8E41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3660E652" w14:textId="231D3DF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E70996D" w14:textId="031EFE8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Wathba</w:t>
            </w:r>
            <w:proofErr w:type="spellEnd"/>
            <w:r w:rsidRPr="00802732">
              <w:rPr>
                <w:rFonts w:asciiTheme="majorBidi" w:hAnsiTheme="majorBidi" w:cstheme="majorBidi"/>
                <w:color w:val="000000"/>
                <w:sz w:val="20"/>
                <w:szCs w:val="20"/>
              </w:rPr>
              <w:t xml:space="preserve"> Al </w:t>
            </w:r>
            <w:proofErr w:type="spellStart"/>
            <w:r w:rsidRPr="00802732">
              <w:rPr>
                <w:rFonts w:asciiTheme="majorBidi" w:hAnsiTheme="majorBidi" w:cstheme="majorBidi"/>
                <w:color w:val="000000"/>
                <w:sz w:val="20"/>
                <w:szCs w:val="20"/>
              </w:rPr>
              <w:t>Allahamah</w:t>
            </w:r>
            <w:proofErr w:type="spellEnd"/>
          </w:p>
        </w:tc>
        <w:tc>
          <w:tcPr>
            <w:tcW w:w="850" w:type="dxa"/>
            <w:vAlign w:val="center"/>
          </w:tcPr>
          <w:p w14:paraId="00BAC8F0" w14:textId="4FF3972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345</w:t>
            </w:r>
          </w:p>
        </w:tc>
        <w:tc>
          <w:tcPr>
            <w:tcW w:w="3260" w:type="dxa"/>
            <w:vAlign w:val="center"/>
          </w:tcPr>
          <w:p w14:paraId="18BB469A" w14:textId="0BAA6E8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6FF55D2F" w14:textId="77777777" w:rsidTr="00555190">
        <w:tc>
          <w:tcPr>
            <w:tcW w:w="638" w:type="dxa"/>
            <w:vAlign w:val="center"/>
          </w:tcPr>
          <w:p w14:paraId="317D6975" w14:textId="4332B57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33437463" w14:textId="2DEB4BA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DD4CD5C" w14:textId="66F98A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Steel Pipeline Manufacturing</w:t>
            </w:r>
          </w:p>
        </w:tc>
        <w:tc>
          <w:tcPr>
            <w:tcW w:w="850" w:type="dxa"/>
            <w:vAlign w:val="center"/>
          </w:tcPr>
          <w:p w14:paraId="27D722A2" w14:textId="3415838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123.5</w:t>
            </w:r>
          </w:p>
        </w:tc>
        <w:tc>
          <w:tcPr>
            <w:tcW w:w="3260" w:type="dxa"/>
            <w:vAlign w:val="center"/>
          </w:tcPr>
          <w:p w14:paraId="03585D06" w14:textId="731392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09F3169F" w14:textId="77777777" w:rsidTr="00555190">
        <w:tc>
          <w:tcPr>
            <w:tcW w:w="638" w:type="dxa"/>
            <w:vAlign w:val="center"/>
          </w:tcPr>
          <w:p w14:paraId="3304C225" w14:textId="46850D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5898D8D6" w14:textId="0BC1F34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AC369F2" w14:textId="22B4888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ENEC Barakah One Nuclear Power</w:t>
            </w:r>
          </w:p>
        </w:tc>
        <w:tc>
          <w:tcPr>
            <w:tcW w:w="850" w:type="dxa"/>
            <w:vAlign w:val="center"/>
          </w:tcPr>
          <w:p w14:paraId="35C471CF" w14:textId="641A44A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312.5</w:t>
            </w:r>
          </w:p>
        </w:tc>
        <w:tc>
          <w:tcPr>
            <w:tcW w:w="3260" w:type="dxa"/>
            <w:vAlign w:val="center"/>
          </w:tcPr>
          <w:p w14:paraId="4C4EE6A5" w14:textId="7981C96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9D7FDC2" w14:textId="77777777" w:rsidTr="00555190">
        <w:tc>
          <w:tcPr>
            <w:tcW w:w="638" w:type="dxa"/>
            <w:vAlign w:val="center"/>
          </w:tcPr>
          <w:p w14:paraId="4DB77A99" w14:textId="4CABDCC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12E71933" w14:textId="355A487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46BE764B" w14:textId="501B2D6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DEWA Coal</w:t>
            </w:r>
          </w:p>
        </w:tc>
        <w:tc>
          <w:tcPr>
            <w:tcW w:w="850" w:type="dxa"/>
            <w:vAlign w:val="center"/>
          </w:tcPr>
          <w:p w14:paraId="13CD0100" w14:textId="326331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2349.9</w:t>
            </w:r>
          </w:p>
        </w:tc>
        <w:tc>
          <w:tcPr>
            <w:tcW w:w="3260" w:type="dxa"/>
            <w:vAlign w:val="center"/>
          </w:tcPr>
          <w:p w14:paraId="3AAC2A1A" w14:textId="6968465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B0158AF" w14:textId="77777777" w:rsidTr="00555190">
        <w:tc>
          <w:tcPr>
            <w:tcW w:w="638" w:type="dxa"/>
            <w:vAlign w:val="center"/>
          </w:tcPr>
          <w:p w14:paraId="6E2F0544" w14:textId="3EE4CC3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1CEA0368" w14:textId="1140EAD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8917071" w14:textId="2588A626"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Barka</w:t>
            </w:r>
            <w:proofErr w:type="spellEnd"/>
            <w:r w:rsidRPr="00802732">
              <w:rPr>
                <w:rFonts w:asciiTheme="majorBidi" w:hAnsiTheme="majorBidi" w:cstheme="majorBidi"/>
                <w:color w:val="000000"/>
                <w:sz w:val="20"/>
                <w:szCs w:val="20"/>
              </w:rPr>
              <w:t xml:space="preserve"> Independent Water</w:t>
            </w:r>
          </w:p>
        </w:tc>
        <w:tc>
          <w:tcPr>
            <w:tcW w:w="850" w:type="dxa"/>
            <w:vAlign w:val="center"/>
          </w:tcPr>
          <w:p w14:paraId="5E9379B6" w14:textId="6650F8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273.6</w:t>
            </w:r>
          </w:p>
        </w:tc>
        <w:tc>
          <w:tcPr>
            <w:tcW w:w="3260" w:type="dxa"/>
            <w:vAlign w:val="center"/>
          </w:tcPr>
          <w:p w14:paraId="5AB13313" w14:textId="403B1F7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60C0B99" w14:textId="77777777" w:rsidTr="00555190">
        <w:tc>
          <w:tcPr>
            <w:tcW w:w="638" w:type="dxa"/>
            <w:vAlign w:val="center"/>
          </w:tcPr>
          <w:p w14:paraId="5DB42A48" w14:textId="1BBBD96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63C6FDE5" w14:textId="15B1AEA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6407300D" w14:textId="3483F446"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Ibri</w:t>
            </w:r>
            <w:proofErr w:type="spellEnd"/>
            <w:r w:rsidRPr="00802732">
              <w:rPr>
                <w:rFonts w:asciiTheme="majorBidi" w:hAnsiTheme="majorBidi" w:cstheme="majorBidi"/>
                <w:color w:val="000000"/>
                <w:sz w:val="20"/>
                <w:szCs w:val="20"/>
              </w:rPr>
              <w:t xml:space="preserve"> Mega Gas Fired</w:t>
            </w:r>
          </w:p>
        </w:tc>
        <w:tc>
          <w:tcPr>
            <w:tcW w:w="850" w:type="dxa"/>
            <w:vAlign w:val="center"/>
          </w:tcPr>
          <w:p w14:paraId="02CB5837" w14:textId="1D00AE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663.3</w:t>
            </w:r>
          </w:p>
        </w:tc>
        <w:tc>
          <w:tcPr>
            <w:tcW w:w="3260" w:type="dxa"/>
            <w:vAlign w:val="center"/>
          </w:tcPr>
          <w:p w14:paraId="4E03E243" w14:textId="1E26A9F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198ED2AA" w14:textId="77777777" w:rsidTr="00555190">
        <w:tc>
          <w:tcPr>
            <w:tcW w:w="638" w:type="dxa"/>
            <w:vAlign w:val="center"/>
          </w:tcPr>
          <w:p w14:paraId="17259C3D" w14:textId="0AA7486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18E797B8" w14:textId="625EB0C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7B4333B" w14:textId="2A051A2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Liwa Plastics Plant</w:t>
            </w:r>
          </w:p>
        </w:tc>
        <w:tc>
          <w:tcPr>
            <w:tcW w:w="850" w:type="dxa"/>
            <w:vAlign w:val="center"/>
          </w:tcPr>
          <w:p w14:paraId="271E198E" w14:textId="7A391E3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3800</w:t>
            </w:r>
          </w:p>
        </w:tc>
        <w:tc>
          <w:tcPr>
            <w:tcW w:w="3260" w:type="dxa"/>
            <w:vAlign w:val="center"/>
          </w:tcPr>
          <w:p w14:paraId="48C71C20" w14:textId="174112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0D152F7E" w14:textId="77777777" w:rsidTr="00555190">
        <w:tc>
          <w:tcPr>
            <w:tcW w:w="638" w:type="dxa"/>
            <w:vAlign w:val="center"/>
          </w:tcPr>
          <w:p w14:paraId="173491D6" w14:textId="594B70C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56CB7C8F" w14:textId="29C3BB8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7764E2B" w14:textId="30B6BD7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Mega Gas Fired</w:t>
            </w:r>
          </w:p>
        </w:tc>
        <w:tc>
          <w:tcPr>
            <w:tcW w:w="850" w:type="dxa"/>
            <w:vAlign w:val="center"/>
          </w:tcPr>
          <w:p w14:paraId="70A1A7C0" w14:textId="2AE86D9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605.7</w:t>
            </w:r>
          </w:p>
        </w:tc>
        <w:tc>
          <w:tcPr>
            <w:tcW w:w="3260" w:type="dxa"/>
            <w:vAlign w:val="center"/>
          </w:tcPr>
          <w:p w14:paraId="04AD72AE" w14:textId="79BE567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23D1B51E" w14:textId="77777777" w:rsidTr="00555190">
        <w:tc>
          <w:tcPr>
            <w:tcW w:w="638" w:type="dxa"/>
            <w:vAlign w:val="center"/>
          </w:tcPr>
          <w:p w14:paraId="00CBA3AF" w14:textId="7561DF7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1F5318D0" w14:textId="6AC256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51EBABCB" w14:textId="2652BF3B"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Mazoon</w:t>
            </w:r>
            <w:proofErr w:type="spellEnd"/>
            <w:r w:rsidRPr="00802732">
              <w:rPr>
                <w:rFonts w:asciiTheme="majorBidi" w:hAnsiTheme="majorBidi" w:cstheme="majorBidi"/>
                <w:color w:val="000000"/>
                <w:sz w:val="20"/>
                <w:szCs w:val="20"/>
              </w:rPr>
              <w:t xml:space="preserve"> </w:t>
            </w:r>
            <w:proofErr w:type="spellStart"/>
            <w:r w:rsidRPr="00802732">
              <w:rPr>
                <w:rFonts w:asciiTheme="majorBidi" w:hAnsiTheme="majorBidi" w:cstheme="majorBidi"/>
                <w:color w:val="000000"/>
                <w:sz w:val="20"/>
                <w:szCs w:val="20"/>
              </w:rPr>
              <w:t>Petrogas</w:t>
            </w:r>
            <w:proofErr w:type="spellEnd"/>
            <w:r w:rsidRPr="00802732">
              <w:rPr>
                <w:rFonts w:asciiTheme="majorBidi" w:hAnsiTheme="majorBidi" w:cstheme="majorBidi"/>
                <w:color w:val="000000"/>
                <w:sz w:val="20"/>
                <w:szCs w:val="20"/>
              </w:rPr>
              <w:t xml:space="preserve"> SAOC</w:t>
            </w:r>
          </w:p>
        </w:tc>
        <w:tc>
          <w:tcPr>
            <w:tcW w:w="850" w:type="dxa"/>
            <w:vAlign w:val="center"/>
          </w:tcPr>
          <w:p w14:paraId="592A73FB" w14:textId="5434ACE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264.9</w:t>
            </w:r>
          </w:p>
        </w:tc>
        <w:tc>
          <w:tcPr>
            <w:tcW w:w="3260" w:type="dxa"/>
            <w:vAlign w:val="center"/>
          </w:tcPr>
          <w:p w14:paraId="4CB055A0" w14:textId="66F1465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95FB875" w14:textId="77777777" w:rsidTr="00555190">
        <w:tc>
          <w:tcPr>
            <w:tcW w:w="638" w:type="dxa"/>
            <w:vAlign w:val="center"/>
          </w:tcPr>
          <w:p w14:paraId="3F1DF925" w14:textId="6BEA4E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7BEBD196" w14:textId="5F3F80A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20D45CD5" w14:textId="5C79962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Wusta</w:t>
            </w:r>
            <w:proofErr w:type="spellEnd"/>
            <w:r w:rsidRPr="00802732">
              <w:rPr>
                <w:rFonts w:asciiTheme="majorBidi" w:hAnsiTheme="majorBidi" w:cstheme="majorBidi"/>
                <w:color w:val="000000"/>
                <w:sz w:val="20"/>
                <w:szCs w:val="20"/>
              </w:rPr>
              <w:t xml:space="preserve"> Block 7 Oil Field</w:t>
            </w:r>
          </w:p>
        </w:tc>
        <w:tc>
          <w:tcPr>
            <w:tcW w:w="850" w:type="dxa"/>
            <w:vAlign w:val="center"/>
          </w:tcPr>
          <w:p w14:paraId="0DFA1C3E" w14:textId="5D2285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50</w:t>
            </w:r>
          </w:p>
        </w:tc>
        <w:tc>
          <w:tcPr>
            <w:tcW w:w="3260" w:type="dxa"/>
            <w:vAlign w:val="center"/>
          </w:tcPr>
          <w:p w14:paraId="4F1A273A" w14:textId="67C1CD8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6D547508" w14:textId="77777777" w:rsidTr="00555190">
        <w:tc>
          <w:tcPr>
            <w:tcW w:w="638" w:type="dxa"/>
            <w:vAlign w:val="center"/>
          </w:tcPr>
          <w:p w14:paraId="283438EC" w14:textId="6667644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76787618" w14:textId="55BBFE9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657780D" w14:textId="31CC598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Mina Petroleum LLC</w:t>
            </w:r>
          </w:p>
        </w:tc>
        <w:tc>
          <w:tcPr>
            <w:tcW w:w="850" w:type="dxa"/>
            <w:vAlign w:val="center"/>
          </w:tcPr>
          <w:p w14:paraId="64A52B9D" w14:textId="498668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49</w:t>
            </w:r>
          </w:p>
        </w:tc>
        <w:tc>
          <w:tcPr>
            <w:tcW w:w="3260" w:type="dxa"/>
            <w:vAlign w:val="center"/>
          </w:tcPr>
          <w:p w14:paraId="2F871C46" w14:textId="0515696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5CA0C502" w14:textId="77777777" w:rsidTr="00555190">
        <w:tc>
          <w:tcPr>
            <w:tcW w:w="638" w:type="dxa"/>
            <w:vAlign w:val="center"/>
          </w:tcPr>
          <w:p w14:paraId="5C1A984F" w14:textId="66690A8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0351F7D4" w14:textId="5143DA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A9D2D6B" w14:textId="727670C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Sohar Independent Water</w:t>
            </w:r>
          </w:p>
        </w:tc>
        <w:tc>
          <w:tcPr>
            <w:tcW w:w="850" w:type="dxa"/>
            <w:vAlign w:val="center"/>
          </w:tcPr>
          <w:p w14:paraId="7AE464EB" w14:textId="4DF6CEE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213.2</w:t>
            </w:r>
          </w:p>
        </w:tc>
        <w:tc>
          <w:tcPr>
            <w:tcW w:w="3260" w:type="dxa"/>
            <w:vAlign w:val="center"/>
          </w:tcPr>
          <w:p w14:paraId="270096AA" w14:textId="0D169B5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CB2B663" w14:textId="77777777" w:rsidTr="00555190">
        <w:tc>
          <w:tcPr>
            <w:tcW w:w="638" w:type="dxa"/>
            <w:vAlign w:val="center"/>
          </w:tcPr>
          <w:p w14:paraId="1EB2C1FC" w14:textId="713EFFA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4AC8955F" w14:textId="5A9609C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Kuwait</w:t>
            </w:r>
          </w:p>
        </w:tc>
        <w:tc>
          <w:tcPr>
            <w:tcW w:w="3550" w:type="dxa"/>
            <w:vAlign w:val="center"/>
          </w:tcPr>
          <w:p w14:paraId="0C173987" w14:textId="0FDC694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Clean Fuels Scheme</w:t>
            </w:r>
          </w:p>
        </w:tc>
        <w:tc>
          <w:tcPr>
            <w:tcW w:w="850" w:type="dxa"/>
            <w:vAlign w:val="center"/>
          </w:tcPr>
          <w:p w14:paraId="7206A59D" w14:textId="6E34930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3980</w:t>
            </w:r>
          </w:p>
        </w:tc>
        <w:tc>
          <w:tcPr>
            <w:tcW w:w="3260" w:type="dxa"/>
            <w:vAlign w:val="center"/>
          </w:tcPr>
          <w:p w14:paraId="040C735F" w14:textId="2FBFA3B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60012474" w14:textId="77777777" w:rsidTr="00555190">
        <w:tc>
          <w:tcPr>
            <w:tcW w:w="638" w:type="dxa"/>
            <w:vAlign w:val="center"/>
          </w:tcPr>
          <w:p w14:paraId="1F0BDA9E" w14:textId="248BC65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24CEB38B" w14:textId="49D8710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28CAB4AA" w14:textId="76D71FC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Alum Bahrain Sixth </w:t>
            </w:r>
            <w:proofErr w:type="spellStart"/>
            <w:r w:rsidRPr="00802732">
              <w:rPr>
                <w:rFonts w:asciiTheme="majorBidi" w:hAnsiTheme="majorBidi" w:cstheme="majorBidi"/>
                <w:color w:val="000000"/>
                <w:sz w:val="20"/>
                <w:szCs w:val="20"/>
              </w:rPr>
              <w:t>Potline</w:t>
            </w:r>
            <w:proofErr w:type="spellEnd"/>
          </w:p>
        </w:tc>
        <w:tc>
          <w:tcPr>
            <w:tcW w:w="850" w:type="dxa"/>
            <w:vAlign w:val="center"/>
          </w:tcPr>
          <w:p w14:paraId="03819715" w14:textId="7BA0720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1500.1</w:t>
            </w:r>
          </w:p>
        </w:tc>
        <w:tc>
          <w:tcPr>
            <w:tcW w:w="3260" w:type="dxa"/>
            <w:vAlign w:val="center"/>
          </w:tcPr>
          <w:p w14:paraId="1D8DB262" w14:textId="2749811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233BBF64" w14:textId="77777777" w:rsidTr="00555190">
        <w:tc>
          <w:tcPr>
            <w:tcW w:w="638" w:type="dxa"/>
            <w:vAlign w:val="center"/>
          </w:tcPr>
          <w:p w14:paraId="26E06197" w14:textId="5CA2260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2016</w:t>
            </w:r>
          </w:p>
        </w:tc>
        <w:tc>
          <w:tcPr>
            <w:tcW w:w="1336" w:type="dxa"/>
            <w:vAlign w:val="center"/>
          </w:tcPr>
          <w:p w14:paraId="090CA378" w14:textId="6E1CACF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44E7DC41" w14:textId="7DF961C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 LNG Import Terminal</w:t>
            </w:r>
          </w:p>
        </w:tc>
        <w:tc>
          <w:tcPr>
            <w:tcW w:w="850" w:type="dxa"/>
            <w:vAlign w:val="center"/>
          </w:tcPr>
          <w:p w14:paraId="0DF98328" w14:textId="515FD74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741.1</w:t>
            </w:r>
          </w:p>
        </w:tc>
        <w:tc>
          <w:tcPr>
            <w:tcW w:w="3260" w:type="dxa"/>
            <w:vAlign w:val="center"/>
          </w:tcPr>
          <w:p w14:paraId="38294B55" w14:textId="1954383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1CC0B930" w14:textId="77777777" w:rsidTr="00555190">
        <w:tc>
          <w:tcPr>
            <w:tcW w:w="638" w:type="dxa"/>
            <w:vAlign w:val="center"/>
          </w:tcPr>
          <w:p w14:paraId="462A2C0E" w14:textId="57F7607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5AE8EEEC" w14:textId="393766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3522CBC5" w14:textId="2620A148"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Ma</w:t>
            </w:r>
            <w:r w:rsidR="00810EC1" w:rsidRPr="00810EC1">
              <w:rPr>
                <w:rFonts w:asciiTheme="majorBidi" w:hAnsiTheme="majorBidi" w:cstheme="majorBidi"/>
                <w:color w:val="000000"/>
                <w:sz w:val="20"/>
                <w:szCs w:val="20"/>
              </w:rPr>
              <w:t>'</w:t>
            </w:r>
            <w:r w:rsidRPr="00802732">
              <w:rPr>
                <w:rFonts w:asciiTheme="majorBidi" w:hAnsiTheme="majorBidi" w:cstheme="majorBidi"/>
                <w:color w:val="000000"/>
                <w:sz w:val="20"/>
                <w:szCs w:val="20"/>
              </w:rPr>
              <w:t>aden</w:t>
            </w:r>
            <w:proofErr w:type="spellEnd"/>
            <w:r w:rsidRPr="00802732">
              <w:rPr>
                <w:rFonts w:asciiTheme="majorBidi" w:hAnsiTheme="majorBidi" w:cstheme="majorBidi"/>
                <w:color w:val="000000"/>
                <w:sz w:val="20"/>
                <w:szCs w:val="20"/>
              </w:rPr>
              <w:t xml:space="preserve"> Alcoa Alumina Refinery</w:t>
            </w:r>
          </w:p>
        </w:tc>
        <w:tc>
          <w:tcPr>
            <w:tcW w:w="850" w:type="dxa"/>
            <w:vAlign w:val="center"/>
          </w:tcPr>
          <w:p w14:paraId="12F01DF5" w14:textId="5486FC0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1780</w:t>
            </w:r>
          </w:p>
        </w:tc>
        <w:tc>
          <w:tcPr>
            <w:tcW w:w="3260" w:type="dxa"/>
            <w:vAlign w:val="center"/>
          </w:tcPr>
          <w:p w14:paraId="20BA0E3B" w14:textId="211379C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08B0410C" w14:textId="77777777" w:rsidTr="00555190">
        <w:tc>
          <w:tcPr>
            <w:tcW w:w="638" w:type="dxa"/>
            <w:vAlign w:val="center"/>
          </w:tcPr>
          <w:p w14:paraId="288D326B" w14:textId="4547A45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4BD3ED64" w14:textId="15CFABD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1C46E9DA" w14:textId="49A36E3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Fadhili IPP</w:t>
            </w:r>
          </w:p>
        </w:tc>
        <w:tc>
          <w:tcPr>
            <w:tcW w:w="850" w:type="dxa"/>
            <w:vAlign w:val="center"/>
          </w:tcPr>
          <w:p w14:paraId="6785FF79" w14:textId="46C5F6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435</w:t>
            </w:r>
          </w:p>
        </w:tc>
        <w:tc>
          <w:tcPr>
            <w:tcW w:w="3260" w:type="dxa"/>
            <w:vAlign w:val="center"/>
          </w:tcPr>
          <w:p w14:paraId="1AA6B667" w14:textId="55CB82F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637FEDC" w14:textId="77777777" w:rsidTr="00555190">
        <w:tc>
          <w:tcPr>
            <w:tcW w:w="638" w:type="dxa"/>
            <w:vAlign w:val="center"/>
          </w:tcPr>
          <w:p w14:paraId="6CBC229A" w14:textId="6F51E92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08886576" w14:textId="7AB92DC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73A9088D" w14:textId="171943A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Shuaiba IWPP</w:t>
            </w:r>
          </w:p>
        </w:tc>
        <w:tc>
          <w:tcPr>
            <w:tcW w:w="850" w:type="dxa"/>
            <w:vAlign w:val="center"/>
          </w:tcPr>
          <w:p w14:paraId="36B9FB44" w14:textId="73A7E7F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275</w:t>
            </w:r>
          </w:p>
        </w:tc>
        <w:tc>
          <w:tcPr>
            <w:tcW w:w="3260" w:type="dxa"/>
            <w:vAlign w:val="center"/>
          </w:tcPr>
          <w:p w14:paraId="17E924DD" w14:textId="7CFAE26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646D5C08" w14:textId="77777777" w:rsidTr="00555190">
        <w:tc>
          <w:tcPr>
            <w:tcW w:w="638" w:type="dxa"/>
            <w:vAlign w:val="center"/>
          </w:tcPr>
          <w:p w14:paraId="0D393031" w14:textId="3017085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65FA7B59" w14:textId="187973A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55B0456" w14:textId="635FDE99"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Sweihan</w:t>
            </w:r>
            <w:proofErr w:type="spellEnd"/>
            <w:r w:rsidRPr="00802732">
              <w:rPr>
                <w:rFonts w:asciiTheme="majorBidi" w:hAnsiTheme="majorBidi" w:cstheme="majorBidi"/>
                <w:color w:val="000000"/>
                <w:sz w:val="20"/>
                <w:szCs w:val="20"/>
              </w:rPr>
              <w:t xml:space="preserve"> Solar Photovoltaic</w:t>
            </w:r>
          </w:p>
        </w:tc>
        <w:tc>
          <w:tcPr>
            <w:tcW w:w="850" w:type="dxa"/>
            <w:vAlign w:val="center"/>
          </w:tcPr>
          <w:p w14:paraId="1FC22C83" w14:textId="36CE8E8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708</w:t>
            </w:r>
          </w:p>
        </w:tc>
        <w:tc>
          <w:tcPr>
            <w:tcW w:w="3260" w:type="dxa"/>
            <w:vAlign w:val="center"/>
          </w:tcPr>
          <w:p w14:paraId="77326C30" w14:textId="5588104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DBF990B" w14:textId="77777777" w:rsidTr="00555190">
        <w:tc>
          <w:tcPr>
            <w:tcW w:w="638" w:type="dxa"/>
            <w:vAlign w:val="center"/>
          </w:tcPr>
          <w:p w14:paraId="52707CA4" w14:textId="13D3322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406A8255" w14:textId="0F34725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5116E027" w14:textId="575C8617"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Shuaa</w:t>
            </w:r>
            <w:proofErr w:type="spellEnd"/>
            <w:r w:rsidRPr="00802732">
              <w:rPr>
                <w:rFonts w:asciiTheme="majorBidi" w:hAnsiTheme="majorBidi" w:cstheme="majorBidi"/>
                <w:color w:val="000000"/>
                <w:sz w:val="20"/>
                <w:szCs w:val="20"/>
              </w:rPr>
              <w:t xml:space="preserve"> Energy 2 P.S.C.</w:t>
            </w:r>
          </w:p>
        </w:tc>
        <w:tc>
          <w:tcPr>
            <w:tcW w:w="850" w:type="dxa"/>
            <w:vAlign w:val="center"/>
          </w:tcPr>
          <w:p w14:paraId="75A219DF" w14:textId="3FC374D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655.2</w:t>
            </w:r>
          </w:p>
        </w:tc>
        <w:tc>
          <w:tcPr>
            <w:tcW w:w="3260" w:type="dxa"/>
            <w:vAlign w:val="center"/>
          </w:tcPr>
          <w:p w14:paraId="66C77AD1" w14:textId="066C35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220AC89C" w14:textId="77777777" w:rsidTr="00555190">
        <w:tc>
          <w:tcPr>
            <w:tcW w:w="638" w:type="dxa"/>
            <w:vAlign w:val="center"/>
          </w:tcPr>
          <w:p w14:paraId="0A5EEACE" w14:textId="1D4F40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76628FF6" w14:textId="5659412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E39DA3C" w14:textId="4BB58F8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Paris Sorbonne University</w:t>
            </w:r>
          </w:p>
        </w:tc>
        <w:tc>
          <w:tcPr>
            <w:tcW w:w="850" w:type="dxa"/>
            <w:vAlign w:val="center"/>
          </w:tcPr>
          <w:p w14:paraId="4C761207" w14:textId="1EF4A3D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236.8</w:t>
            </w:r>
          </w:p>
        </w:tc>
        <w:tc>
          <w:tcPr>
            <w:tcW w:w="3260" w:type="dxa"/>
            <w:vAlign w:val="center"/>
          </w:tcPr>
          <w:p w14:paraId="689E7566" w14:textId="299CA40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Leisure &amp; Property</w:t>
            </w:r>
          </w:p>
        </w:tc>
      </w:tr>
      <w:tr w:rsidR="00802732" w:rsidRPr="00802732" w14:paraId="5BBAC52A" w14:textId="77777777" w:rsidTr="00555190">
        <w:tc>
          <w:tcPr>
            <w:tcW w:w="638" w:type="dxa"/>
            <w:vAlign w:val="center"/>
          </w:tcPr>
          <w:p w14:paraId="12BEDA7F" w14:textId="15BF97B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3ED0FB1A" w14:textId="40B4372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723DDA6D" w14:textId="0C159BE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Fujairah Independent Water</w:t>
            </w:r>
          </w:p>
        </w:tc>
        <w:tc>
          <w:tcPr>
            <w:tcW w:w="850" w:type="dxa"/>
            <w:vAlign w:val="center"/>
          </w:tcPr>
          <w:p w14:paraId="49F17A76" w14:textId="1A55AAB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891.8</w:t>
            </w:r>
          </w:p>
        </w:tc>
        <w:tc>
          <w:tcPr>
            <w:tcW w:w="3260" w:type="dxa"/>
            <w:vAlign w:val="center"/>
          </w:tcPr>
          <w:p w14:paraId="4FF3EC3D" w14:textId="3CED26D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1D430943" w14:textId="77777777" w:rsidTr="00555190">
        <w:tc>
          <w:tcPr>
            <w:tcW w:w="638" w:type="dxa"/>
            <w:vAlign w:val="center"/>
          </w:tcPr>
          <w:p w14:paraId="272AB067" w14:textId="1342C66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lastRenderedPageBreak/>
              <w:t>2017</w:t>
            </w:r>
          </w:p>
        </w:tc>
        <w:tc>
          <w:tcPr>
            <w:tcW w:w="1336" w:type="dxa"/>
            <w:vAlign w:val="center"/>
          </w:tcPr>
          <w:p w14:paraId="2BBE3896" w14:textId="2F8601E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3B8D8BD0" w14:textId="2E18CF1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LPG</w:t>
            </w:r>
          </w:p>
        </w:tc>
        <w:tc>
          <w:tcPr>
            <w:tcW w:w="850" w:type="dxa"/>
            <w:vAlign w:val="center"/>
          </w:tcPr>
          <w:p w14:paraId="403982AE" w14:textId="37CFF91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639.8</w:t>
            </w:r>
          </w:p>
        </w:tc>
        <w:tc>
          <w:tcPr>
            <w:tcW w:w="3260" w:type="dxa"/>
            <w:vAlign w:val="center"/>
          </w:tcPr>
          <w:p w14:paraId="79571810" w14:textId="1B3A6C5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B30D1AB" w14:textId="77777777" w:rsidTr="00555190">
        <w:tc>
          <w:tcPr>
            <w:tcW w:w="638" w:type="dxa"/>
            <w:vAlign w:val="center"/>
          </w:tcPr>
          <w:p w14:paraId="2FC71519" w14:textId="08E568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03813E0C" w14:textId="77DE2A7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035FD4C" w14:textId="6B694C0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Methanol Plant</w:t>
            </w:r>
          </w:p>
        </w:tc>
        <w:tc>
          <w:tcPr>
            <w:tcW w:w="850" w:type="dxa"/>
            <w:vAlign w:val="center"/>
          </w:tcPr>
          <w:p w14:paraId="02430329" w14:textId="4D7B063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728</w:t>
            </w:r>
          </w:p>
        </w:tc>
        <w:tc>
          <w:tcPr>
            <w:tcW w:w="3260" w:type="dxa"/>
            <w:vAlign w:val="center"/>
          </w:tcPr>
          <w:p w14:paraId="5FDCF85C" w14:textId="1CBFA0E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4D696C3F" w14:textId="77777777" w:rsidTr="00555190">
        <w:tc>
          <w:tcPr>
            <w:tcW w:w="638" w:type="dxa"/>
            <w:vAlign w:val="center"/>
          </w:tcPr>
          <w:p w14:paraId="5AE85B58" w14:textId="0A8E8BD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2017</w:t>
            </w:r>
          </w:p>
        </w:tc>
        <w:tc>
          <w:tcPr>
            <w:tcW w:w="1336" w:type="dxa"/>
            <w:vAlign w:val="center"/>
          </w:tcPr>
          <w:p w14:paraId="1F053116" w14:textId="400BA1F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2538E4F9" w14:textId="4A91A79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Alum Bahrain Sixth </w:t>
            </w:r>
            <w:proofErr w:type="spellStart"/>
            <w:r w:rsidRPr="00802732">
              <w:rPr>
                <w:rFonts w:asciiTheme="majorBidi" w:hAnsiTheme="majorBidi" w:cstheme="majorBidi"/>
                <w:color w:val="000000"/>
                <w:sz w:val="20"/>
                <w:szCs w:val="20"/>
              </w:rPr>
              <w:t>Potline</w:t>
            </w:r>
            <w:proofErr w:type="spellEnd"/>
          </w:p>
        </w:tc>
        <w:tc>
          <w:tcPr>
            <w:tcW w:w="850" w:type="dxa"/>
            <w:vAlign w:val="center"/>
          </w:tcPr>
          <w:p w14:paraId="12B4DEFB" w14:textId="1710DA8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725.5</w:t>
            </w:r>
          </w:p>
        </w:tc>
        <w:tc>
          <w:tcPr>
            <w:tcW w:w="3260" w:type="dxa"/>
            <w:vAlign w:val="center"/>
          </w:tcPr>
          <w:p w14:paraId="3FDAF157" w14:textId="7DB4CB7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Mining</w:t>
            </w:r>
          </w:p>
        </w:tc>
      </w:tr>
      <w:tr w:rsidR="00802732" w:rsidRPr="00802732" w14:paraId="3D2B9ABB" w14:textId="77777777" w:rsidTr="00555190">
        <w:tc>
          <w:tcPr>
            <w:tcW w:w="638" w:type="dxa"/>
            <w:vAlign w:val="center"/>
          </w:tcPr>
          <w:p w14:paraId="606A9E54" w14:textId="32F95968"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7548D680" w14:textId="2DC598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0659F27A" w14:textId="0BB70A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 Dur IWPP</w:t>
            </w:r>
          </w:p>
        </w:tc>
        <w:tc>
          <w:tcPr>
            <w:tcW w:w="850" w:type="dxa"/>
            <w:vAlign w:val="center"/>
          </w:tcPr>
          <w:p w14:paraId="43B7DD1B" w14:textId="5EB7CF6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1299.6</w:t>
            </w:r>
          </w:p>
        </w:tc>
        <w:tc>
          <w:tcPr>
            <w:tcW w:w="3260" w:type="dxa"/>
            <w:vAlign w:val="center"/>
          </w:tcPr>
          <w:p w14:paraId="7FAA23C8" w14:textId="059D48A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04D08C15" w14:textId="77777777" w:rsidTr="00555190">
        <w:tc>
          <w:tcPr>
            <w:tcW w:w="638" w:type="dxa"/>
            <w:vAlign w:val="center"/>
          </w:tcPr>
          <w:p w14:paraId="4CDBC123" w14:textId="74A071A3"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258D4750" w14:textId="59B9731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Bahrain</w:t>
            </w:r>
          </w:p>
        </w:tc>
        <w:tc>
          <w:tcPr>
            <w:tcW w:w="3550" w:type="dxa"/>
            <w:vAlign w:val="center"/>
          </w:tcPr>
          <w:p w14:paraId="37F59B9C" w14:textId="7C66F77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Al-</w:t>
            </w:r>
            <w:proofErr w:type="spellStart"/>
            <w:r w:rsidRPr="00802732">
              <w:rPr>
                <w:rFonts w:asciiTheme="majorBidi" w:hAnsiTheme="majorBidi" w:cstheme="majorBidi"/>
                <w:color w:val="000000"/>
                <w:sz w:val="20"/>
                <w:szCs w:val="20"/>
              </w:rPr>
              <w:t>Ezzal</w:t>
            </w:r>
            <w:proofErr w:type="spellEnd"/>
            <w:r w:rsidRPr="00802732">
              <w:rPr>
                <w:rFonts w:asciiTheme="majorBidi" w:hAnsiTheme="majorBidi" w:cstheme="majorBidi"/>
                <w:color w:val="000000"/>
                <w:sz w:val="20"/>
                <w:szCs w:val="20"/>
              </w:rPr>
              <w:t xml:space="preserve"> Bahraini</w:t>
            </w:r>
          </w:p>
        </w:tc>
        <w:tc>
          <w:tcPr>
            <w:tcW w:w="850" w:type="dxa"/>
            <w:vAlign w:val="center"/>
          </w:tcPr>
          <w:p w14:paraId="645F7774" w14:textId="5C39A44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243</w:t>
            </w:r>
          </w:p>
        </w:tc>
        <w:tc>
          <w:tcPr>
            <w:tcW w:w="3260" w:type="dxa"/>
            <w:vAlign w:val="center"/>
          </w:tcPr>
          <w:p w14:paraId="3D76776E" w14:textId="29170AF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5483DC6D" w14:textId="77777777" w:rsidTr="00555190">
        <w:tc>
          <w:tcPr>
            <w:tcW w:w="638" w:type="dxa"/>
            <w:vAlign w:val="center"/>
          </w:tcPr>
          <w:p w14:paraId="4F9AC24B" w14:textId="1CF747B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7F1C87B7" w14:textId="10FF1D2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048F7AD5" w14:textId="759F4360" w:rsidR="00802732" w:rsidRPr="00802732" w:rsidRDefault="00802732" w:rsidP="00802732">
            <w:pPr>
              <w:jc w:val="center"/>
              <w:rPr>
                <w:rFonts w:asciiTheme="majorBidi" w:hAnsiTheme="majorBidi" w:cstheme="majorBidi"/>
                <w:sz w:val="20"/>
                <w:szCs w:val="20"/>
              </w:rPr>
            </w:pPr>
            <w:proofErr w:type="spellStart"/>
            <w:r w:rsidRPr="00802732">
              <w:rPr>
                <w:rFonts w:asciiTheme="majorBidi" w:hAnsiTheme="majorBidi" w:cstheme="majorBidi"/>
                <w:color w:val="000000"/>
                <w:sz w:val="20"/>
                <w:szCs w:val="20"/>
              </w:rPr>
              <w:t>Sakakah</w:t>
            </w:r>
            <w:proofErr w:type="spellEnd"/>
            <w:r w:rsidRPr="00802732">
              <w:rPr>
                <w:rFonts w:asciiTheme="majorBidi" w:hAnsiTheme="majorBidi" w:cstheme="majorBidi"/>
                <w:color w:val="000000"/>
                <w:sz w:val="20"/>
                <w:szCs w:val="20"/>
              </w:rPr>
              <w:t xml:space="preserve"> Solar PV Plant</w:t>
            </w:r>
          </w:p>
        </w:tc>
        <w:tc>
          <w:tcPr>
            <w:tcW w:w="850" w:type="dxa"/>
            <w:vAlign w:val="center"/>
          </w:tcPr>
          <w:p w14:paraId="0F6800E5" w14:textId="6C38110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222</w:t>
            </w:r>
          </w:p>
        </w:tc>
        <w:tc>
          <w:tcPr>
            <w:tcW w:w="3260" w:type="dxa"/>
            <w:vAlign w:val="center"/>
          </w:tcPr>
          <w:p w14:paraId="23F6F78F" w14:textId="3DF3097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06D1EE3" w14:textId="77777777" w:rsidTr="00555190">
        <w:tc>
          <w:tcPr>
            <w:tcW w:w="638" w:type="dxa"/>
            <w:vAlign w:val="center"/>
          </w:tcPr>
          <w:p w14:paraId="61AC1345" w14:textId="309C5FA1"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216C1775" w14:textId="7099A7B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Saudi Arabia</w:t>
            </w:r>
          </w:p>
        </w:tc>
        <w:tc>
          <w:tcPr>
            <w:tcW w:w="3550" w:type="dxa"/>
            <w:vAlign w:val="center"/>
          </w:tcPr>
          <w:p w14:paraId="4ACCB1BB" w14:textId="40B7CB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Yanbu Linear Alkyl Benzene</w:t>
            </w:r>
          </w:p>
        </w:tc>
        <w:tc>
          <w:tcPr>
            <w:tcW w:w="850" w:type="dxa"/>
            <w:vAlign w:val="center"/>
          </w:tcPr>
          <w:p w14:paraId="29CB1EB0" w14:textId="7FBF9BF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870</w:t>
            </w:r>
          </w:p>
        </w:tc>
        <w:tc>
          <w:tcPr>
            <w:tcW w:w="3260" w:type="dxa"/>
            <w:vAlign w:val="center"/>
          </w:tcPr>
          <w:p w14:paraId="706511EA" w14:textId="26B1B00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Petrochemicals</w:t>
            </w:r>
          </w:p>
        </w:tc>
      </w:tr>
      <w:tr w:rsidR="00802732" w:rsidRPr="00802732" w14:paraId="1A3D5562" w14:textId="77777777" w:rsidTr="00555190">
        <w:tc>
          <w:tcPr>
            <w:tcW w:w="638" w:type="dxa"/>
            <w:vAlign w:val="center"/>
          </w:tcPr>
          <w:p w14:paraId="2546E56D" w14:textId="7A6D0BFE"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2BDC3CEC" w14:textId="655E5D5C"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UAE</w:t>
            </w:r>
          </w:p>
        </w:tc>
        <w:tc>
          <w:tcPr>
            <w:tcW w:w="3550" w:type="dxa"/>
            <w:vAlign w:val="center"/>
          </w:tcPr>
          <w:p w14:paraId="3B19F7A9" w14:textId="10C3C95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Sharjah WTE</w:t>
            </w:r>
          </w:p>
        </w:tc>
        <w:tc>
          <w:tcPr>
            <w:tcW w:w="850" w:type="dxa"/>
            <w:vAlign w:val="center"/>
          </w:tcPr>
          <w:p w14:paraId="6E3EE4A2" w14:textId="618CA9F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163.2</w:t>
            </w:r>
          </w:p>
        </w:tc>
        <w:tc>
          <w:tcPr>
            <w:tcW w:w="3260" w:type="dxa"/>
            <w:vAlign w:val="center"/>
          </w:tcPr>
          <w:p w14:paraId="7DD61DAC" w14:textId="6C61C47E" w:rsidR="00802732" w:rsidRPr="00802732" w:rsidRDefault="00802732" w:rsidP="00802732">
            <w:pPr>
              <w:jc w:val="center"/>
              <w:rPr>
                <w:rFonts w:asciiTheme="majorBidi" w:hAnsiTheme="majorBidi" w:cstheme="majorBidi"/>
                <w:sz w:val="20"/>
                <w:szCs w:val="20"/>
              </w:rPr>
            </w:pPr>
          </w:p>
        </w:tc>
      </w:tr>
      <w:tr w:rsidR="00802732" w:rsidRPr="00802732" w14:paraId="058E1F15" w14:textId="77777777" w:rsidTr="00555190">
        <w:tc>
          <w:tcPr>
            <w:tcW w:w="638" w:type="dxa"/>
            <w:vAlign w:val="center"/>
          </w:tcPr>
          <w:p w14:paraId="3E015ADB" w14:textId="3236D9E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55075D9F" w14:textId="6E3A0F9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169F8357" w14:textId="6722C45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Duqm Refinery</w:t>
            </w:r>
          </w:p>
        </w:tc>
        <w:tc>
          <w:tcPr>
            <w:tcW w:w="850" w:type="dxa"/>
            <w:vAlign w:val="center"/>
          </w:tcPr>
          <w:p w14:paraId="007E6DA3" w14:textId="3CA4A4E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4608.9</w:t>
            </w:r>
          </w:p>
        </w:tc>
        <w:tc>
          <w:tcPr>
            <w:tcW w:w="3260" w:type="dxa"/>
            <w:vAlign w:val="center"/>
          </w:tcPr>
          <w:p w14:paraId="0D40AF34" w14:textId="6FB2197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Oil &amp; Gas</w:t>
            </w:r>
          </w:p>
        </w:tc>
      </w:tr>
      <w:tr w:rsidR="00802732" w:rsidRPr="00802732" w14:paraId="36256CE1" w14:textId="77777777" w:rsidTr="00555190">
        <w:tc>
          <w:tcPr>
            <w:tcW w:w="638" w:type="dxa"/>
            <w:vAlign w:val="center"/>
          </w:tcPr>
          <w:p w14:paraId="384B28A8" w14:textId="66E4BDD0"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366383D2" w14:textId="349F560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22C4D5B9" w14:textId="2DE4917A"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 xml:space="preserve">Al </w:t>
            </w:r>
            <w:proofErr w:type="spellStart"/>
            <w:r w:rsidRPr="00802732">
              <w:rPr>
                <w:rFonts w:asciiTheme="majorBidi" w:hAnsiTheme="majorBidi" w:cstheme="majorBidi"/>
                <w:color w:val="000000"/>
                <w:sz w:val="20"/>
                <w:szCs w:val="20"/>
              </w:rPr>
              <w:t>Asilah</w:t>
            </w:r>
            <w:proofErr w:type="spellEnd"/>
            <w:r w:rsidRPr="00802732">
              <w:rPr>
                <w:rFonts w:asciiTheme="majorBidi" w:hAnsiTheme="majorBidi" w:cstheme="majorBidi"/>
                <w:color w:val="000000"/>
                <w:sz w:val="20"/>
                <w:szCs w:val="20"/>
              </w:rPr>
              <w:t xml:space="preserve"> Desalination Co </w:t>
            </w:r>
            <w:proofErr w:type="spellStart"/>
            <w:r w:rsidRPr="00802732">
              <w:rPr>
                <w:rFonts w:asciiTheme="majorBidi" w:hAnsiTheme="majorBidi" w:cstheme="majorBidi"/>
                <w:color w:val="000000"/>
                <w:sz w:val="20"/>
                <w:szCs w:val="20"/>
              </w:rPr>
              <w:t>Saoc</w:t>
            </w:r>
            <w:proofErr w:type="spellEnd"/>
          </w:p>
        </w:tc>
        <w:tc>
          <w:tcPr>
            <w:tcW w:w="850" w:type="dxa"/>
            <w:vAlign w:val="center"/>
          </w:tcPr>
          <w:p w14:paraId="7447EA27" w14:textId="0736D48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111.6</w:t>
            </w:r>
          </w:p>
        </w:tc>
        <w:tc>
          <w:tcPr>
            <w:tcW w:w="3260" w:type="dxa"/>
            <w:vAlign w:val="center"/>
          </w:tcPr>
          <w:p w14:paraId="05EED31B" w14:textId="0B3D4C16"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7A742E9" w14:textId="77777777" w:rsidTr="00555190">
        <w:tc>
          <w:tcPr>
            <w:tcW w:w="638" w:type="dxa"/>
            <w:vAlign w:val="center"/>
          </w:tcPr>
          <w:p w14:paraId="54CEC4CF" w14:textId="18A6150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1B612792" w14:textId="1C4B904D"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7937D4DE" w14:textId="7F72A5DB"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Salalah IWP</w:t>
            </w:r>
          </w:p>
        </w:tc>
        <w:tc>
          <w:tcPr>
            <w:tcW w:w="850" w:type="dxa"/>
            <w:vAlign w:val="center"/>
          </w:tcPr>
          <w:p w14:paraId="6DEE37C4" w14:textId="1730CA05"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120</w:t>
            </w:r>
          </w:p>
        </w:tc>
        <w:tc>
          <w:tcPr>
            <w:tcW w:w="3260" w:type="dxa"/>
            <w:vAlign w:val="center"/>
          </w:tcPr>
          <w:p w14:paraId="66DE426D" w14:textId="626B82A7"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Utilities (Power &amp; Water)</w:t>
            </w:r>
          </w:p>
        </w:tc>
      </w:tr>
      <w:tr w:rsidR="00802732" w:rsidRPr="00802732" w14:paraId="78D1F76F" w14:textId="77777777" w:rsidTr="00555190">
        <w:tc>
          <w:tcPr>
            <w:tcW w:w="638" w:type="dxa"/>
            <w:vAlign w:val="center"/>
          </w:tcPr>
          <w:p w14:paraId="66BED363" w14:textId="3CC4A509"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2018</w:t>
            </w:r>
          </w:p>
        </w:tc>
        <w:tc>
          <w:tcPr>
            <w:tcW w:w="1336" w:type="dxa"/>
            <w:vAlign w:val="center"/>
          </w:tcPr>
          <w:p w14:paraId="41C068C9" w14:textId="0727F8B2"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Oman</w:t>
            </w:r>
          </w:p>
        </w:tc>
        <w:tc>
          <w:tcPr>
            <w:tcW w:w="3550" w:type="dxa"/>
            <w:vAlign w:val="center"/>
          </w:tcPr>
          <w:p w14:paraId="0D80CF79" w14:textId="7AAC3CA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Dune LNG Carrier SA</w:t>
            </w:r>
          </w:p>
        </w:tc>
        <w:tc>
          <w:tcPr>
            <w:tcW w:w="850" w:type="dxa"/>
            <w:vAlign w:val="center"/>
          </w:tcPr>
          <w:p w14:paraId="21A41061" w14:textId="48DF90C4"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30</w:t>
            </w:r>
          </w:p>
        </w:tc>
        <w:tc>
          <w:tcPr>
            <w:tcW w:w="3260" w:type="dxa"/>
            <w:vAlign w:val="center"/>
          </w:tcPr>
          <w:p w14:paraId="2E150E4A" w14:textId="727C9F1F" w:rsidR="00802732" w:rsidRPr="00802732" w:rsidRDefault="00802732" w:rsidP="00802732">
            <w:pPr>
              <w:jc w:val="center"/>
              <w:rPr>
                <w:rFonts w:asciiTheme="majorBidi" w:hAnsiTheme="majorBidi" w:cstheme="majorBidi"/>
                <w:sz w:val="20"/>
                <w:szCs w:val="20"/>
              </w:rPr>
            </w:pPr>
            <w:r w:rsidRPr="00802732">
              <w:rPr>
                <w:rFonts w:asciiTheme="majorBidi" w:hAnsiTheme="majorBidi" w:cstheme="majorBidi"/>
                <w:color w:val="000000"/>
                <w:sz w:val="20"/>
                <w:szCs w:val="20"/>
              </w:rPr>
              <w:t>Transportation &amp; Infrastructure</w:t>
            </w:r>
          </w:p>
        </w:tc>
      </w:tr>
    </w:tbl>
    <w:p w14:paraId="11B64213" w14:textId="77777777" w:rsidR="00A92EC3" w:rsidRDefault="00A92EC3" w:rsidP="00DB6A2F">
      <w:pPr>
        <w:spacing w:line="360" w:lineRule="auto"/>
        <w:jc w:val="center"/>
        <w:rPr>
          <w:rFonts w:asciiTheme="majorBidi" w:hAnsiTheme="majorBidi" w:cstheme="majorBidi"/>
          <w:sz w:val="24"/>
          <w:szCs w:val="24"/>
        </w:rPr>
      </w:pPr>
    </w:p>
    <w:p w14:paraId="2EE08A68" w14:textId="77777777" w:rsidR="00802732" w:rsidRDefault="00802732" w:rsidP="00A92EC3">
      <w:pPr>
        <w:spacing w:line="360" w:lineRule="auto"/>
        <w:jc w:val="center"/>
        <w:rPr>
          <w:rFonts w:asciiTheme="majorBidi" w:hAnsiTheme="majorBidi" w:cstheme="majorBidi"/>
          <w:sz w:val="24"/>
          <w:szCs w:val="24"/>
        </w:rPr>
      </w:pPr>
    </w:p>
    <w:p w14:paraId="333EBF2E" w14:textId="77777777" w:rsidR="00802732" w:rsidRDefault="00802732" w:rsidP="00A92EC3">
      <w:pPr>
        <w:spacing w:line="360" w:lineRule="auto"/>
        <w:jc w:val="center"/>
        <w:rPr>
          <w:rFonts w:asciiTheme="majorBidi" w:hAnsiTheme="majorBidi" w:cstheme="majorBidi"/>
          <w:sz w:val="24"/>
          <w:szCs w:val="24"/>
        </w:rPr>
      </w:pPr>
    </w:p>
    <w:p w14:paraId="70AEE58C" w14:textId="77777777" w:rsidR="00802732" w:rsidRDefault="00802732" w:rsidP="00A92EC3">
      <w:pPr>
        <w:spacing w:line="360" w:lineRule="auto"/>
        <w:jc w:val="center"/>
        <w:rPr>
          <w:rFonts w:asciiTheme="majorBidi" w:hAnsiTheme="majorBidi" w:cstheme="majorBidi"/>
          <w:sz w:val="24"/>
          <w:szCs w:val="24"/>
        </w:rPr>
      </w:pPr>
    </w:p>
    <w:p w14:paraId="71911BA6" w14:textId="77777777" w:rsidR="00802732" w:rsidRDefault="00802732" w:rsidP="00A92EC3">
      <w:pPr>
        <w:spacing w:line="360" w:lineRule="auto"/>
        <w:jc w:val="center"/>
        <w:rPr>
          <w:rFonts w:asciiTheme="majorBidi" w:hAnsiTheme="majorBidi" w:cstheme="majorBidi"/>
          <w:sz w:val="24"/>
          <w:szCs w:val="24"/>
        </w:rPr>
      </w:pPr>
    </w:p>
    <w:p w14:paraId="04F4EE7D" w14:textId="4246C392" w:rsidR="00802732" w:rsidRDefault="00802732" w:rsidP="00A92EC3">
      <w:pPr>
        <w:spacing w:line="360" w:lineRule="auto"/>
        <w:jc w:val="center"/>
        <w:rPr>
          <w:rFonts w:asciiTheme="majorBidi" w:hAnsiTheme="majorBidi" w:cstheme="majorBidi"/>
          <w:sz w:val="24"/>
          <w:szCs w:val="24"/>
        </w:rPr>
      </w:pPr>
    </w:p>
    <w:p w14:paraId="2FC99507" w14:textId="6366F0FA" w:rsidR="0033341E" w:rsidRDefault="0033341E" w:rsidP="00A92EC3">
      <w:pPr>
        <w:spacing w:line="360" w:lineRule="auto"/>
        <w:jc w:val="center"/>
        <w:rPr>
          <w:rFonts w:asciiTheme="majorBidi" w:hAnsiTheme="majorBidi" w:cstheme="majorBidi"/>
          <w:sz w:val="24"/>
          <w:szCs w:val="24"/>
        </w:rPr>
      </w:pPr>
    </w:p>
    <w:p w14:paraId="7F3792F0" w14:textId="120D0584" w:rsidR="0033341E" w:rsidRDefault="0033341E" w:rsidP="00A92EC3">
      <w:pPr>
        <w:spacing w:line="360" w:lineRule="auto"/>
        <w:jc w:val="center"/>
        <w:rPr>
          <w:rFonts w:asciiTheme="majorBidi" w:hAnsiTheme="majorBidi" w:cstheme="majorBidi"/>
          <w:sz w:val="24"/>
          <w:szCs w:val="24"/>
        </w:rPr>
      </w:pPr>
    </w:p>
    <w:p w14:paraId="1899440A" w14:textId="4AD3F81E" w:rsidR="0033341E" w:rsidRDefault="0033341E" w:rsidP="00A92EC3">
      <w:pPr>
        <w:spacing w:line="360" w:lineRule="auto"/>
        <w:jc w:val="center"/>
        <w:rPr>
          <w:rFonts w:asciiTheme="majorBidi" w:hAnsiTheme="majorBidi" w:cstheme="majorBidi"/>
          <w:sz w:val="24"/>
          <w:szCs w:val="24"/>
        </w:rPr>
      </w:pPr>
    </w:p>
    <w:p w14:paraId="40E2717D" w14:textId="4A28930A" w:rsidR="0033341E" w:rsidRDefault="0033341E" w:rsidP="00A92EC3">
      <w:pPr>
        <w:spacing w:line="360" w:lineRule="auto"/>
        <w:jc w:val="center"/>
        <w:rPr>
          <w:rFonts w:asciiTheme="majorBidi" w:hAnsiTheme="majorBidi" w:cstheme="majorBidi"/>
          <w:sz w:val="24"/>
          <w:szCs w:val="24"/>
        </w:rPr>
      </w:pPr>
    </w:p>
    <w:p w14:paraId="119DBD2E" w14:textId="6B6F3951" w:rsidR="0033341E" w:rsidRDefault="0033341E" w:rsidP="00A92EC3">
      <w:pPr>
        <w:spacing w:line="360" w:lineRule="auto"/>
        <w:jc w:val="center"/>
        <w:rPr>
          <w:rFonts w:asciiTheme="majorBidi" w:hAnsiTheme="majorBidi" w:cstheme="majorBidi"/>
          <w:sz w:val="24"/>
          <w:szCs w:val="24"/>
        </w:rPr>
      </w:pPr>
    </w:p>
    <w:p w14:paraId="24F6CDB1" w14:textId="2B3DBD1E" w:rsidR="0033341E" w:rsidRDefault="0033341E" w:rsidP="00A92EC3">
      <w:pPr>
        <w:spacing w:line="360" w:lineRule="auto"/>
        <w:jc w:val="center"/>
        <w:rPr>
          <w:rFonts w:asciiTheme="majorBidi" w:hAnsiTheme="majorBidi" w:cstheme="majorBidi"/>
          <w:sz w:val="24"/>
          <w:szCs w:val="24"/>
        </w:rPr>
      </w:pPr>
    </w:p>
    <w:p w14:paraId="7A8CFC1D" w14:textId="3D208371" w:rsidR="0033341E" w:rsidRDefault="0033341E" w:rsidP="00A92EC3">
      <w:pPr>
        <w:spacing w:line="360" w:lineRule="auto"/>
        <w:jc w:val="center"/>
        <w:rPr>
          <w:rFonts w:asciiTheme="majorBidi" w:hAnsiTheme="majorBidi" w:cstheme="majorBidi"/>
          <w:sz w:val="24"/>
          <w:szCs w:val="24"/>
        </w:rPr>
      </w:pPr>
    </w:p>
    <w:p w14:paraId="235F48E4" w14:textId="197C0735" w:rsidR="00A86224" w:rsidRDefault="00A86224" w:rsidP="00A92EC3">
      <w:pPr>
        <w:spacing w:line="360" w:lineRule="auto"/>
        <w:jc w:val="center"/>
        <w:rPr>
          <w:rFonts w:asciiTheme="majorBidi" w:hAnsiTheme="majorBidi" w:cstheme="majorBidi"/>
          <w:sz w:val="24"/>
          <w:szCs w:val="24"/>
        </w:rPr>
      </w:pPr>
    </w:p>
    <w:p w14:paraId="462D2E75" w14:textId="4E5C0CCE" w:rsidR="00A86224" w:rsidRDefault="00A86224" w:rsidP="00A92EC3">
      <w:pPr>
        <w:spacing w:line="360" w:lineRule="auto"/>
        <w:jc w:val="center"/>
        <w:rPr>
          <w:rFonts w:asciiTheme="majorBidi" w:hAnsiTheme="majorBidi" w:cstheme="majorBidi"/>
          <w:sz w:val="24"/>
          <w:szCs w:val="24"/>
        </w:rPr>
      </w:pPr>
    </w:p>
    <w:p w14:paraId="3C640D8F" w14:textId="6568EECE" w:rsidR="00A86224" w:rsidRDefault="00A86224" w:rsidP="00A92EC3">
      <w:pPr>
        <w:spacing w:line="360" w:lineRule="auto"/>
        <w:jc w:val="center"/>
        <w:rPr>
          <w:rFonts w:asciiTheme="majorBidi" w:hAnsiTheme="majorBidi" w:cstheme="majorBidi"/>
          <w:sz w:val="24"/>
          <w:szCs w:val="24"/>
        </w:rPr>
      </w:pPr>
    </w:p>
    <w:p w14:paraId="059E3619" w14:textId="218E07B8" w:rsidR="00A86224" w:rsidRDefault="00A86224" w:rsidP="00A92EC3">
      <w:pPr>
        <w:spacing w:line="360" w:lineRule="auto"/>
        <w:jc w:val="center"/>
        <w:rPr>
          <w:rFonts w:asciiTheme="majorBidi" w:hAnsiTheme="majorBidi" w:cstheme="majorBidi"/>
          <w:sz w:val="24"/>
          <w:szCs w:val="24"/>
        </w:rPr>
      </w:pPr>
    </w:p>
    <w:p w14:paraId="60CADEE1" w14:textId="77777777" w:rsidR="00A86224" w:rsidRDefault="00A86224" w:rsidP="00A92EC3">
      <w:pPr>
        <w:spacing w:line="360" w:lineRule="auto"/>
        <w:jc w:val="center"/>
        <w:rPr>
          <w:rFonts w:asciiTheme="majorBidi" w:hAnsiTheme="majorBidi" w:cstheme="majorBidi"/>
          <w:sz w:val="24"/>
          <w:szCs w:val="24"/>
        </w:rPr>
      </w:pPr>
    </w:p>
    <w:p w14:paraId="6A5D0559" w14:textId="784E0442" w:rsidR="00802732" w:rsidRDefault="00802732" w:rsidP="00A92EC3">
      <w:pPr>
        <w:spacing w:line="360" w:lineRule="auto"/>
        <w:jc w:val="center"/>
        <w:rPr>
          <w:rFonts w:asciiTheme="majorBidi" w:hAnsiTheme="majorBidi" w:cstheme="majorBidi"/>
          <w:sz w:val="24"/>
          <w:szCs w:val="24"/>
        </w:rPr>
      </w:pPr>
    </w:p>
    <w:p w14:paraId="64065CD3" w14:textId="77777777" w:rsidR="00E37476" w:rsidRDefault="00E37476" w:rsidP="00A92EC3">
      <w:pPr>
        <w:spacing w:line="360" w:lineRule="auto"/>
        <w:jc w:val="center"/>
        <w:rPr>
          <w:rFonts w:asciiTheme="majorBidi" w:hAnsiTheme="majorBidi" w:cstheme="majorBidi"/>
          <w:sz w:val="24"/>
          <w:szCs w:val="24"/>
        </w:rPr>
      </w:pPr>
    </w:p>
    <w:p w14:paraId="7266FB50" w14:textId="420223BD" w:rsidR="00A92EC3" w:rsidRDefault="00A92EC3" w:rsidP="00555190">
      <w:pPr>
        <w:spacing w:line="360" w:lineRule="auto"/>
        <w:jc w:val="right"/>
        <w:rPr>
          <w:rFonts w:asciiTheme="majorBidi" w:hAnsiTheme="majorBidi" w:cstheme="majorBidi"/>
          <w:sz w:val="24"/>
          <w:szCs w:val="24"/>
        </w:rPr>
      </w:pPr>
      <w:r w:rsidRPr="00DB6A2F">
        <w:rPr>
          <w:rFonts w:asciiTheme="majorBidi" w:hAnsiTheme="majorBidi" w:cstheme="majorBidi"/>
          <w:sz w:val="24"/>
          <w:szCs w:val="24"/>
        </w:rPr>
        <w:lastRenderedPageBreak/>
        <w:t xml:space="preserve">Appendix </w:t>
      </w:r>
      <w:r>
        <w:rPr>
          <w:rFonts w:asciiTheme="majorBidi" w:hAnsiTheme="majorBidi" w:cstheme="majorBidi"/>
          <w:sz w:val="24"/>
          <w:szCs w:val="24"/>
        </w:rPr>
        <w:t>4</w:t>
      </w:r>
    </w:p>
    <w:p w14:paraId="695127A4" w14:textId="65B3BAF1" w:rsidR="004E6A46" w:rsidRPr="004E6A46" w:rsidRDefault="004E6A46" w:rsidP="00A92EC3">
      <w:pPr>
        <w:spacing w:line="360" w:lineRule="auto"/>
        <w:jc w:val="center"/>
        <w:rPr>
          <w:rFonts w:asciiTheme="majorBidi" w:hAnsiTheme="majorBidi" w:cstheme="majorBidi"/>
          <w:sz w:val="24"/>
          <w:szCs w:val="24"/>
        </w:rPr>
      </w:pPr>
      <w:r w:rsidRPr="004E6A46">
        <w:rPr>
          <w:rFonts w:asciiTheme="majorBidi" w:hAnsiTheme="majorBidi" w:cstheme="majorBidi"/>
          <w:sz w:val="24"/>
          <w:szCs w:val="24"/>
        </w:rPr>
        <w:t xml:space="preserve">Idle funds in the </w:t>
      </w:r>
      <w:r w:rsidR="00625C6D">
        <w:rPr>
          <w:rFonts w:asciiTheme="majorBidi" w:hAnsiTheme="majorBidi" w:cstheme="majorBidi"/>
          <w:sz w:val="24"/>
          <w:szCs w:val="24"/>
        </w:rPr>
        <w:t xml:space="preserve">Syrian </w:t>
      </w:r>
      <w:r w:rsidRPr="004E6A46">
        <w:rPr>
          <w:rFonts w:asciiTheme="majorBidi" w:hAnsiTheme="majorBidi" w:cstheme="majorBidi"/>
          <w:sz w:val="24"/>
          <w:szCs w:val="24"/>
        </w:rPr>
        <w:t>banking sector until the end of 2018 (SP bn)</w:t>
      </w:r>
    </w:p>
    <w:tbl>
      <w:tblPr>
        <w:tblStyle w:val="TableGrid"/>
        <w:tblW w:w="0" w:type="auto"/>
        <w:tblInd w:w="0" w:type="dxa"/>
        <w:tblLook w:val="04A0" w:firstRow="1" w:lastRow="0" w:firstColumn="1" w:lastColumn="0" w:noHBand="0" w:noVBand="1"/>
      </w:tblPr>
      <w:tblGrid>
        <w:gridCol w:w="2685"/>
        <w:gridCol w:w="1015"/>
        <w:gridCol w:w="1453"/>
        <w:gridCol w:w="1146"/>
        <w:gridCol w:w="1090"/>
        <w:gridCol w:w="1090"/>
        <w:gridCol w:w="1142"/>
      </w:tblGrid>
      <w:tr w:rsidR="004E6A46" w14:paraId="506EFF2D" w14:textId="77777777" w:rsidTr="00555190">
        <w:trPr>
          <w:trHeight w:val="841"/>
        </w:trPr>
        <w:tc>
          <w:tcPr>
            <w:tcW w:w="2685" w:type="dxa"/>
            <w:vAlign w:val="center"/>
          </w:tcPr>
          <w:p w14:paraId="65A2BE27" w14:textId="2FA3F8F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Bank</w:t>
            </w:r>
          </w:p>
        </w:tc>
        <w:tc>
          <w:tcPr>
            <w:tcW w:w="1015" w:type="dxa"/>
            <w:vAlign w:val="center"/>
          </w:tcPr>
          <w:p w14:paraId="2F65C6EB" w14:textId="409295F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Deposits</w:t>
            </w:r>
          </w:p>
        </w:tc>
        <w:tc>
          <w:tcPr>
            <w:tcW w:w="1453" w:type="dxa"/>
            <w:vAlign w:val="center"/>
          </w:tcPr>
          <w:p w14:paraId="6E8CFCA9" w14:textId="528FD8B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Reserve requirements</w:t>
            </w:r>
          </w:p>
        </w:tc>
        <w:tc>
          <w:tcPr>
            <w:tcW w:w="1146" w:type="dxa"/>
            <w:vAlign w:val="center"/>
          </w:tcPr>
          <w:p w14:paraId="31C5D0B0" w14:textId="737A5A0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Lendable funds</w:t>
            </w:r>
          </w:p>
        </w:tc>
        <w:tc>
          <w:tcPr>
            <w:tcW w:w="1090" w:type="dxa"/>
            <w:vAlign w:val="center"/>
          </w:tcPr>
          <w:p w14:paraId="0CE3BBFE" w14:textId="37DC54B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Credit &amp; loans</w:t>
            </w:r>
          </w:p>
        </w:tc>
        <w:tc>
          <w:tcPr>
            <w:tcW w:w="1090" w:type="dxa"/>
            <w:vAlign w:val="center"/>
          </w:tcPr>
          <w:p w14:paraId="17AFC0C3" w14:textId="1AAB0E0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Financial assets</w:t>
            </w:r>
          </w:p>
        </w:tc>
        <w:tc>
          <w:tcPr>
            <w:tcW w:w="1142" w:type="dxa"/>
            <w:vAlign w:val="center"/>
          </w:tcPr>
          <w:p w14:paraId="4C82C93D" w14:textId="2F47088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Idle funds</w:t>
            </w:r>
          </w:p>
        </w:tc>
      </w:tr>
      <w:tr w:rsidR="004E6A46" w14:paraId="625737E7" w14:textId="77777777" w:rsidTr="00555190">
        <w:trPr>
          <w:trHeight w:val="290"/>
        </w:trPr>
        <w:tc>
          <w:tcPr>
            <w:tcW w:w="2685" w:type="dxa"/>
            <w:vAlign w:val="center"/>
          </w:tcPr>
          <w:p w14:paraId="4D404F44" w14:textId="531FDE6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Commercial Bank of Syria</w:t>
            </w:r>
          </w:p>
        </w:tc>
        <w:tc>
          <w:tcPr>
            <w:tcW w:w="1015" w:type="dxa"/>
            <w:vAlign w:val="center"/>
          </w:tcPr>
          <w:p w14:paraId="372DCF73" w14:textId="08A4768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1,434.30 </w:t>
            </w:r>
          </w:p>
        </w:tc>
        <w:tc>
          <w:tcPr>
            <w:tcW w:w="1453" w:type="dxa"/>
            <w:vAlign w:val="center"/>
          </w:tcPr>
          <w:p w14:paraId="737C5042" w14:textId="2862FF3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71.71</w:t>
            </w:r>
          </w:p>
        </w:tc>
        <w:tc>
          <w:tcPr>
            <w:tcW w:w="1146" w:type="dxa"/>
            <w:vAlign w:val="center"/>
          </w:tcPr>
          <w:p w14:paraId="031FD9E2" w14:textId="78E5BE5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1362.58</w:t>
            </w:r>
          </w:p>
        </w:tc>
        <w:tc>
          <w:tcPr>
            <w:tcW w:w="1090" w:type="dxa"/>
            <w:vAlign w:val="center"/>
          </w:tcPr>
          <w:p w14:paraId="77F667C6" w14:textId="20C3F5E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631.50 </w:t>
            </w:r>
          </w:p>
        </w:tc>
        <w:tc>
          <w:tcPr>
            <w:tcW w:w="1090" w:type="dxa"/>
            <w:vAlign w:val="center"/>
          </w:tcPr>
          <w:p w14:paraId="42F80B5F" w14:textId="18BCB6B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40D91068" w14:textId="1AB98B1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731.08</w:t>
            </w:r>
          </w:p>
        </w:tc>
      </w:tr>
      <w:tr w:rsidR="004E6A46" w14:paraId="768439FB" w14:textId="77777777" w:rsidTr="00555190">
        <w:trPr>
          <w:trHeight w:val="290"/>
        </w:trPr>
        <w:tc>
          <w:tcPr>
            <w:tcW w:w="2685" w:type="dxa"/>
            <w:vAlign w:val="center"/>
          </w:tcPr>
          <w:p w14:paraId="470875C1" w14:textId="5B1A466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Real Estate Bank</w:t>
            </w:r>
          </w:p>
        </w:tc>
        <w:tc>
          <w:tcPr>
            <w:tcW w:w="1015" w:type="dxa"/>
            <w:vAlign w:val="center"/>
          </w:tcPr>
          <w:p w14:paraId="2A9A48FA" w14:textId="1A0ABA3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439.32 </w:t>
            </w:r>
          </w:p>
        </w:tc>
        <w:tc>
          <w:tcPr>
            <w:tcW w:w="1453" w:type="dxa"/>
            <w:vAlign w:val="center"/>
          </w:tcPr>
          <w:p w14:paraId="7BEE6CD1" w14:textId="2897056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21.97</w:t>
            </w:r>
          </w:p>
        </w:tc>
        <w:tc>
          <w:tcPr>
            <w:tcW w:w="1146" w:type="dxa"/>
            <w:vAlign w:val="center"/>
          </w:tcPr>
          <w:p w14:paraId="04D19181" w14:textId="44B650E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417.36</w:t>
            </w:r>
          </w:p>
        </w:tc>
        <w:tc>
          <w:tcPr>
            <w:tcW w:w="1090" w:type="dxa"/>
            <w:vAlign w:val="center"/>
          </w:tcPr>
          <w:p w14:paraId="76C7B3D6" w14:textId="214B632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385.35 </w:t>
            </w:r>
          </w:p>
        </w:tc>
        <w:tc>
          <w:tcPr>
            <w:tcW w:w="1090" w:type="dxa"/>
            <w:vAlign w:val="center"/>
          </w:tcPr>
          <w:p w14:paraId="664B1EDD" w14:textId="6427747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6AEBE384" w14:textId="58AC7E0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32.01</w:t>
            </w:r>
          </w:p>
        </w:tc>
      </w:tr>
      <w:tr w:rsidR="004E6A46" w14:paraId="59926688" w14:textId="77777777" w:rsidTr="00555190">
        <w:trPr>
          <w:trHeight w:val="581"/>
        </w:trPr>
        <w:tc>
          <w:tcPr>
            <w:tcW w:w="2685" w:type="dxa"/>
            <w:vAlign w:val="center"/>
          </w:tcPr>
          <w:p w14:paraId="49B15C47" w14:textId="6C6CC41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Agricultural Cooperative Bank</w:t>
            </w:r>
          </w:p>
        </w:tc>
        <w:tc>
          <w:tcPr>
            <w:tcW w:w="1015" w:type="dxa"/>
            <w:vAlign w:val="center"/>
          </w:tcPr>
          <w:p w14:paraId="342DE0A4" w14:textId="23AB7A8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72.52 </w:t>
            </w:r>
          </w:p>
        </w:tc>
        <w:tc>
          <w:tcPr>
            <w:tcW w:w="1453" w:type="dxa"/>
            <w:vAlign w:val="center"/>
          </w:tcPr>
          <w:p w14:paraId="5F0FCD0A" w14:textId="048759B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3.63</w:t>
            </w:r>
          </w:p>
        </w:tc>
        <w:tc>
          <w:tcPr>
            <w:tcW w:w="1146" w:type="dxa"/>
            <w:vAlign w:val="center"/>
          </w:tcPr>
          <w:p w14:paraId="7C39F430" w14:textId="578A8E5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68.89</w:t>
            </w:r>
          </w:p>
        </w:tc>
        <w:tc>
          <w:tcPr>
            <w:tcW w:w="1090" w:type="dxa"/>
            <w:vAlign w:val="center"/>
          </w:tcPr>
          <w:p w14:paraId="5659C36E" w14:textId="7982670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64.92 </w:t>
            </w:r>
          </w:p>
        </w:tc>
        <w:tc>
          <w:tcPr>
            <w:tcW w:w="1090" w:type="dxa"/>
            <w:vAlign w:val="center"/>
          </w:tcPr>
          <w:p w14:paraId="4CAB45AD" w14:textId="1AB875A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619CDB35" w14:textId="318755C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3.97</w:t>
            </w:r>
          </w:p>
        </w:tc>
      </w:tr>
      <w:tr w:rsidR="004E6A46" w14:paraId="37416A0D" w14:textId="77777777" w:rsidTr="00555190">
        <w:trPr>
          <w:trHeight w:val="290"/>
        </w:trPr>
        <w:tc>
          <w:tcPr>
            <w:tcW w:w="2685" w:type="dxa"/>
            <w:vAlign w:val="center"/>
          </w:tcPr>
          <w:p w14:paraId="607446EC" w14:textId="2FF2644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Saving Bank</w:t>
            </w:r>
          </w:p>
        </w:tc>
        <w:tc>
          <w:tcPr>
            <w:tcW w:w="1015" w:type="dxa"/>
            <w:vAlign w:val="center"/>
          </w:tcPr>
          <w:p w14:paraId="67D1AB91" w14:textId="00FE898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277.65 </w:t>
            </w:r>
          </w:p>
        </w:tc>
        <w:tc>
          <w:tcPr>
            <w:tcW w:w="1453" w:type="dxa"/>
            <w:vAlign w:val="center"/>
          </w:tcPr>
          <w:p w14:paraId="71AFBFBA" w14:textId="3FEE082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13.88</w:t>
            </w:r>
          </w:p>
        </w:tc>
        <w:tc>
          <w:tcPr>
            <w:tcW w:w="1146" w:type="dxa"/>
            <w:vAlign w:val="center"/>
          </w:tcPr>
          <w:p w14:paraId="7E5B2B8B" w14:textId="29BBCEC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263.77</w:t>
            </w:r>
          </w:p>
        </w:tc>
        <w:tc>
          <w:tcPr>
            <w:tcW w:w="1090" w:type="dxa"/>
            <w:vAlign w:val="center"/>
          </w:tcPr>
          <w:p w14:paraId="0AA25FC5" w14:textId="24F7C0D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239.78 </w:t>
            </w:r>
          </w:p>
        </w:tc>
        <w:tc>
          <w:tcPr>
            <w:tcW w:w="1090" w:type="dxa"/>
            <w:vAlign w:val="center"/>
          </w:tcPr>
          <w:p w14:paraId="1240CE2E" w14:textId="4FACF1A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5B32645F" w14:textId="38C0A5A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23.99</w:t>
            </w:r>
          </w:p>
        </w:tc>
      </w:tr>
      <w:tr w:rsidR="004E6A46" w14:paraId="5DC0FFD5" w14:textId="77777777" w:rsidTr="00555190">
        <w:trPr>
          <w:trHeight w:val="290"/>
        </w:trPr>
        <w:tc>
          <w:tcPr>
            <w:tcW w:w="2685" w:type="dxa"/>
            <w:vAlign w:val="center"/>
          </w:tcPr>
          <w:p w14:paraId="638E50E2" w14:textId="51A00B2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Popular Credit Bank</w:t>
            </w:r>
          </w:p>
        </w:tc>
        <w:tc>
          <w:tcPr>
            <w:tcW w:w="1015" w:type="dxa"/>
            <w:vAlign w:val="center"/>
          </w:tcPr>
          <w:p w14:paraId="65C1D7F9" w14:textId="03D7B67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171.98 </w:t>
            </w:r>
          </w:p>
        </w:tc>
        <w:tc>
          <w:tcPr>
            <w:tcW w:w="1453" w:type="dxa"/>
            <w:vAlign w:val="center"/>
          </w:tcPr>
          <w:p w14:paraId="58875E8C" w14:textId="057F1BD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8.60</w:t>
            </w:r>
          </w:p>
        </w:tc>
        <w:tc>
          <w:tcPr>
            <w:tcW w:w="1146" w:type="dxa"/>
            <w:vAlign w:val="center"/>
          </w:tcPr>
          <w:p w14:paraId="5C42FAB2" w14:textId="785CCF1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163.38</w:t>
            </w:r>
          </w:p>
        </w:tc>
        <w:tc>
          <w:tcPr>
            <w:tcW w:w="1090" w:type="dxa"/>
            <w:vAlign w:val="center"/>
          </w:tcPr>
          <w:p w14:paraId="109876B4" w14:textId="1B809A9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137.81 </w:t>
            </w:r>
          </w:p>
        </w:tc>
        <w:tc>
          <w:tcPr>
            <w:tcW w:w="1090" w:type="dxa"/>
            <w:vAlign w:val="center"/>
          </w:tcPr>
          <w:p w14:paraId="440E8A6B" w14:textId="2FB75D6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7CE0F918" w14:textId="288754B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25.57</w:t>
            </w:r>
          </w:p>
        </w:tc>
      </w:tr>
      <w:tr w:rsidR="004E6A46" w14:paraId="20B76826" w14:textId="77777777" w:rsidTr="00555190">
        <w:trPr>
          <w:trHeight w:val="290"/>
        </w:trPr>
        <w:tc>
          <w:tcPr>
            <w:tcW w:w="2685" w:type="dxa"/>
            <w:vAlign w:val="center"/>
          </w:tcPr>
          <w:p w14:paraId="502380CB" w14:textId="6AC9ECE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Industrial Bank of Syria</w:t>
            </w:r>
          </w:p>
        </w:tc>
        <w:tc>
          <w:tcPr>
            <w:tcW w:w="1015" w:type="dxa"/>
            <w:vAlign w:val="center"/>
          </w:tcPr>
          <w:p w14:paraId="7D10D398" w14:textId="5F9381B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64.23 </w:t>
            </w:r>
          </w:p>
        </w:tc>
        <w:tc>
          <w:tcPr>
            <w:tcW w:w="1453" w:type="dxa"/>
            <w:vAlign w:val="center"/>
          </w:tcPr>
          <w:p w14:paraId="099264FC" w14:textId="38E40AB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3.21</w:t>
            </w:r>
          </w:p>
        </w:tc>
        <w:tc>
          <w:tcPr>
            <w:tcW w:w="1146" w:type="dxa"/>
            <w:vAlign w:val="center"/>
          </w:tcPr>
          <w:p w14:paraId="5038C747" w14:textId="1F7CFCE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61.02</w:t>
            </w:r>
          </w:p>
        </w:tc>
        <w:tc>
          <w:tcPr>
            <w:tcW w:w="1090" w:type="dxa"/>
            <w:vAlign w:val="center"/>
          </w:tcPr>
          <w:p w14:paraId="2D41BD52" w14:textId="18FE261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57.64 </w:t>
            </w:r>
          </w:p>
        </w:tc>
        <w:tc>
          <w:tcPr>
            <w:tcW w:w="1090" w:type="dxa"/>
            <w:vAlign w:val="center"/>
          </w:tcPr>
          <w:p w14:paraId="4E08B40D" w14:textId="690939B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3EF03894" w14:textId="21F7319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3.38</w:t>
            </w:r>
          </w:p>
        </w:tc>
      </w:tr>
      <w:tr w:rsidR="004E6A46" w14:paraId="154A01DC" w14:textId="77777777" w:rsidTr="00555190">
        <w:trPr>
          <w:trHeight w:val="290"/>
        </w:trPr>
        <w:tc>
          <w:tcPr>
            <w:tcW w:w="2685" w:type="dxa"/>
            <w:vAlign w:val="center"/>
          </w:tcPr>
          <w:p w14:paraId="3723403D" w14:textId="2337269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Public banks</w:t>
            </w:r>
          </w:p>
        </w:tc>
        <w:tc>
          <w:tcPr>
            <w:tcW w:w="1015" w:type="dxa"/>
            <w:vAlign w:val="center"/>
          </w:tcPr>
          <w:p w14:paraId="5E64341B" w14:textId="15D0E89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 xml:space="preserve">2,460 </w:t>
            </w:r>
          </w:p>
        </w:tc>
        <w:tc>
          <w:tcPr>
            <w:tcW w:w="1453" w:type="dxa"/>
            <w:vAlign w:val="center"/>
          </w:tcPr>
          <w:p w14:paraId="452FE8BE" w14:textId="0A77D25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 xml:space="preserve">123 </w:t>
            </w:r>
          </w:p>
        </w:tc>
        <w:tc>
          <w:tcPr>
            <w:tcW w:w="1146" w:type="dxa"/>
            <w:vAlign w:val="center"/>
          </w:tcPr>
          <w:p w14:paraId="5A00A14E" w14:textId="31CDBD4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 xml:space="preserve">2,337 </w:t>
            </w:r>
          </w:p>
        </w:tc>
        <w:tc>
          <w:tcPr>
            <w:tcW w:w="1090" w:type="dxa"/>
            <w:vAlign w:val="center"/>
          </w:tcPr>
          <w:p w14:paraId="653916D5" w14:textId="3CE447C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 xml:space="preserve">1,517 </w:t>
            </w:r>
          </w:p>
        </w:tc>
        <w:tc>
          <w:tcPr>
            <w:tcW w:w="1090" w:type="dxa"/>
            <w:vAlign w:val="center"/>
          </w:tcPr>
          <w:p w14:paraId="5A2DDFFD" w14:textId="1CA2937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0</w:t>
            </w:r>
          </w:p>
        </w:tc>
        <w:tc>
          <w:tcPr>
            <w:tcW w:w="1142" w:type="dxa"/>
            <w:vAlign w:val="center"/>
          </w:tcPr>
          <w:p w14:paraId="2CF6DB5B" w14:textId="23FFB42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 xml:space="preserve">820 </w:t>
            </w:r>
          </w:p>
        </w:tc>
      </w:tr>
      <w:tr w:rsidR="004E6A46" w14:paraId="0B485772" w14:textId="77777777" w:rsidTr="00555190">
        <w:trPr>
          <w:trHeight w:val="290"/>
        </w:trPr>
        <w:tc>
          <w:tcPr>
            <w:tcW w:w="2685" w:type="dxa"/>
            <w:vAlign w:val="center"/>
          </w:tcPr>
          <w:p w14:paraId="5336198E" w14:textId="23AE8B3E" w:rsidR="004E6A46" w:rsidRPr="004E6A46" w:rsidRDefault="004E6A46" w:rsidP="00391329">
            <w:pPr>
              <w:spacing w:line="276" w:lineRule="auto"/>
              <w:jc w:val="center"/>
              <w:rPr>
                <w:rFonts w:asciiTheme="majorBidi" w:hAnsiTheme="majorBidi" w:cstheme="majorBidi"/>
                <w:sz w:val="20"/>
                <w:szCs w:val="20"/>
              </w:rPr>
            </w:pPr>
            <w:proofErr w:type="spellStart"/>
            <w:r w:rsidRPr="004E6A46">
              <w:rPr>
                <w:rFonts w:asciiTheme="majorBidi" w:hAnsiTheme="majorBidi" w:cstheme="majorBidi"/>
                <w:color w:val="000000"/>
                <w:sz w:val="20"/>
                <w:szCs w:val="20"/>
              </w:rPr>
              <w:t>Fransabank</w:t>
            </w:r>
            <w:proofErr w:type="spellEnd"/>
          </w:p>
        </w:tc>
        <w:tc>
          <w:tcPr>
            <w:tcW w:w="1015" w:type="dxa"/>
            <w:vAlign w:val="center"/>
          </w:tcPr>
          <w:p w14:paraId="5D7F451C" w14:textId="7A208BE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91.06 </w:t>
            </w:r>
          </w:p>
        </w:tc>
        <w:tc>
          <w:tcPr>
            <w:tcW w:w="1453" w:type="dxa"/>
            <w:vAlign w:val="center"/>
          </w:tcPr>
          <w:p w14:paraId="768B2BEB" w14:textId="4DA440E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4.55</w:t>
            </w:r>
          </w:p>
        </w:tc>
        <w:tc>
          <w:tcPr>
            <w:tcW w:w="1146" w:type="dxa"/>
            <w:vAlign w:val="center"/>
          </w:tcPr>
          <w:p w14:paraId="5420D406" w14:textId="315C023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86.51</w:t>
            </w:r>
          </w:p>
        </w:tc>
        <w:tc>
          <w:tcPr>
            <w:tcW w:w="1090" w:type="dxa"/>
            <w:vAlign w:val="center"/>
          </w:tcPr>
          <w:p w14:paraId="0A72DB8D" w14:textId="31CCE4D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26.99</w:t>
            </w:r>
          </w:p>
        </w:tc>
        <w:tc>
          <w:tcPr>
            <w:tcW w:w="1090" w:type="dxa"/>
            <w:vAlign w:val="center"/>
          </w:tcPr>
          <w:p w14:paraId="735D5CE1" w14:textId="1C73300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5FC10777" w14:textId="0A06009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59.52</w:t>
            </w:r>
          </w:p>
        </w:tc>
      </w:tr>
      <w:tr w:rsidR="004E6A46" w14:paraId="6C5E9D79" w14:textId="77777777" w:rsidTr="00555190">
        <w:trPr>
          <w:trHeight w:val="277"/>
        </w:trPr>
        <w:tc>
          <w:tcPr>
            <w:tcW w:w="2685" w:type="dxa"/>
            <w:vAlign w:val="center"/>
          </w:tcPr>
          <w:p w14:paraId="714F6383" w14:textId="2351735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Audi Bank</w:t>
            </w:r>
          </w:p>
        </w:tc>
        <w:tc>
          <w:tcPr>
            <w:tcW w:w="1015" w:type="dxa"/>
            <w:vAlign w:val="center"/>
          </w:tcPr>
          <w:p w14:paraId="0DA99426" w14:textId="06C31D0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91.47 </w:t>
            </w:r>
          </w:p>
        </w:tc>
        <w:tc>
          <w:tcPr>
            <w:tcW w:w="1453" w:type="dxa"/>
            <w:vAlign w:val="center"/>
          </w:tcPr>
          <w:p w14:paraId="3DA53D83" w14:textId="063CC35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4.57</w:t>
            </w:r>
          </w:p>
        </w:tc>
        <w:tc>
          <w:tcPr>
            <w:tcW w:w="1146" w:type="dxa"/>
            <w:vAlign w:val="center"/>
          </w:tcPr>
          <w:p w14:paraId="07359DEA" w14:textId="641EFD3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86.90</w:t>
            </w:r>
          </w:p>
        </w:tc>
        <w:tc>
          <w:tcPr>
            <w:tcW w:w="1090" w:type="dxa"/>
            <w:vAlign w:val="center"/>
          </w:tcPr>
          <w:p w14:paraId="2EF7CCE3" w14:textId="13E4A5D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11</w:t>
            </w:r>
          </w:p>
        </w:tc>
        <w:tc>
          <w:tcPr>
            <w:tcW w:w="1090" w:type="dxa"/>
            <w:vAlign w:val="center"/>
          </w:tcPr>
          <w:p w14:paraId="737BE0C0" w14:textId="45BBA6F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0.05 </w:t>
            </w:r>
          </w:p>
        </w:tc>
        <w:tc>
          <w:tcPr>
            <w:tcW w:w="1142" w:type="dxa"/>
            <w:vAlign w:val="center"/>
          </w:tcPr>
          <w:p w14:paraId="726A201B" w14:textId="4B01147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75.85</w:t>
            </w:r>
          </w:p>
        </w:tc>
      </w:tr>
      <w:tr w:rsidR="004E6A46" w14:paraId="7080C29B" w14:textId="77777777" w:rsidTr="00555190">
        <w:trPr>
          <w:trHeight w:val="290"/>
        </w:trPr>
        <w:tc>
          <w:tcPr>
            <w:tcW w:w="2685" w:type="dxa"/>
            <w:vAlign w:val="center"/>
          </w:tcPr>
          <w:p w14:paraId="04CC19EE" w14:textId="037BF98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Al-</w:t>
            </w:r>
            <w:proofErr w:type="spellStart"/>
            <w:r w:rsidRPr="004E6A46">
              <w:rPr>
                <w:rFonts w:asciiTheme="majorBidi" w:hAnsiTheme="majorBidi" w:cstheme="majorBidi"/>
                <w:color w:val="000000"/>
                <w:sz w:val="20"/>
                <w:szCs w:val="20"/>
              </w:rPr>
              <w:t>Sharq</w:t>
            </w:r>
            <w:proofErr w:type="spellEnd"/>
            <w:r w:rsidRPr="004E6A46">
              <w:rPr>
                <w:rFonts w:asciiTheme="majorBidi" w:hAnsiTheme="majorBidi" w:cstheme="majorBidi"/>
                <w:color w:val="000000"/>
                <w:sz w:val="20"/>
                <w:szCs w:val="20"/>
              </w:rPr>
              <w:t xml:space="preserve"> Bank</w:t>
            </w:r>
          </w:p>
        </w:tc>
        <w:tc>
          <w:tcPr>
            <w:tcW w:w="1015" w:type="dxa"/>
            <w:vAlign w:val="center"/>
          </w:tcPr>
          <w:p w14:paraId="250B7363" w14:textId="4621262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51.73 </w:t>
            </w:r>
          </w:p>
        </w:tc>
        <w:tc>
          <w:tcPr>
            <w:tcW w:w="1453" w:type="dxa"/>
            <w:vAlign w:val="center"/>
          </w:tcPr>
          <w:p w14:paraId="43567215" w14:textId="00C2A70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2.59</w:t>
            </w:r>
          </w:p>
        </w:tc>
        <w:tc>
          <w:tcPr>
            <w:tcW w:w="1146" w:type="dxa"/>
            <w:vAlign w:val="center"/>
          </w:tcPr>
          <w:p w14:paraId="666376A7" w14:textId="468D813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49.15</w:t>
            </w:r>
          </w:p>
        </w:tc>
        <w:tc>
          <w:tcPr>
            <w:tcW w:w="1090" w:type="dxa"/>
            <w:vAlign w:val="center"/>
          </w:tcPr>
          <w:p w14:paraId="10CBDB82" w14:textId="3DA403F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23.27</w:t>
            </w:r>
          </w:p>
        </w:tc>
        <w:tc>
          <w:tcPr>
            <w:tcW w:w="1090" w:type="dxa"/>
            <w:vAlign w:val="center"/>
          </w:tcPr>
          <w:p w14:paraId="77B0C0D9" w14:textId="5839C56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4.80 </w:t>
            </w:r>
          </w:p>
        </w:tc>
        <w:tc>
          <w:tcPr>
            <w:tcW w:w="1142" w:type="dxa"/>
            <w:vAlign w:val="center"/>
          </w:tcPr>
          <w:p w14:paraId="52E32EA1" w14:textId="3B568E4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21.07</w:t>
            </w:r>
          </w:p>
        </w:tc>
      </w:tr>
      <w:tr w:rsidR="004E6A46" w14:paraId="7FA98777" w14:textId="77777777" w:rsidTr="00555190">
        <w:trPr>
          <w:trHeight w:val="290"/>
        </w:trPr>
        <w:tc>
          <w:tcPr>
            <w:tcW w:w="2685" w:type="dxa"/>
            <w:vAlign w:val="center"/>
          </w:tcPr>
          <w:p w14:paraId="16B6B8A3" w14:textId="029D2AC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Qatar National Bank (QNB)</w:t>
            </w:r>
          </w:p>
        </w:tc>
        <w:tc>
          <w:tcPr>
            <w:tcW w:w="1015" w:type="dxa"/>
            <w:vAlign w:val="center"/>
          </w:tcPr>
          <w:p w14:paraId="7AD5F04C" w14:textId="627F378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27.87 </w:t>
            </w:r>
          </w:p>
        </w:tc>
        <w:tc>
          <w:tcPr>
            <w:tcW w:w="1453" w:type="dxa"/>
            <w:vAlign w:val="center"/>
          </w:tcPr>
          <w:p w14:paraId="7C707E74" w14:textId="4583614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1.39</w:t>
            </w:r>
          </w:p>
        </w:tc>
        <w:tc>
          <w:tcPr>
            <w:tcW w:w="1146" w:type="dxa"/>
            <w:vAlign w:val="center"/>
          </w:tcPr>
          <w:p w14:paraId="02B0293F" w14:textId="5C38136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26.47</w:t>
            </w:r>
          </w:p>
        </w:tc>
        <w:tc>
          <w:tcPr>
            <w:tcW w:w="1090" w:type="dxa"/>
            <w:vAlign w:val="center"/>
          </w:tcPr>
          <w:p w14:paraId="3B2B082A" w14:textId="6E4DF14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6.45</w:t>
            </w:r>
          </w:p>
        </w:tc>
        <w:tc>
          <w:tcPr>
            <w:tcW w:w="1090" w:type="dxa"/>
            <w:vAlign w:val="center"/>
          </w:tcPr>
          <w:p w14:paraId="7CE50886" w14:textId="3F2DD88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20.81 </w:t>
            </w:r>
          </w:p>
        </w:tc>
        <w:tc>
          <w:tcPr>
            <w:tcW w:w="1142" w:type="dxa"/>
            <w:vAlign w:val="center"/>
          </w:tcPr>
          <w:p w14:paraId="798508A4" w14:textId="5CD7B13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-0.78</w:t>
            </w:r>
          </w:p>
        </w:tc>
      </w:tr>
      <w:tr w:rsidR="004E6A46" w14:paraId="175AD2BF" w14:textId="77777777" w:rsidTr="00555190">
        <w:trPr>
          <w:trHeight w:val="290"/>
        </w:trPr>
        <w:tc>
          <w:tcPr>
            <w:tcW w:w="2685" w:type="dxa"/>
            <w:vAlign w:val="center"/>
          </w:tcPr>
          <w:p w14:paraId="25BEE53B" w14:textId="59B586F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Banque BEMO Saudi </w:t>
            </w:r>
            <w:proofErr w:type="spellStart"/>
            <w:r w:rsidRPr="004E6A46">
              <w:rPr>
                <w:rFonts w:asciiTheme="majorBidi" w:hAnsiTheme="majorBidi" w:cstheme="majorBidi"/>
                <w:color w:val="000000"/>
                <w:sz w:val="20"/>
                <w:szCs w:val="20"/>
              </w:rPr>
              <w:t>Fransi</w:t>
            </w:r>
            <w:proofErr w:type="spellEnd"/>
          </w:p>
        </w:tc>
        <w:tc>
          <w:tcPr>
            <w:tcW w:w="1015" w:type="dxa"/>
            <w:vAlign w:val="center"/>
          </w:tcPr>
          <w:p w14:paraId="276CCBCC" w14:textId="24073CE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254.13 </w:t>
            </w:r>
          </w:p>
        </w:tc>
        <w:tc>
          <w:tcPr>
            <w:tcW w:w="1453" w:type="dxa"/>
            <w:vAlign w:val="center"/>
          </w:tcPr>
          <w:p w14:paraId="13D30FE7" w14:textId="44B7F98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12.71</w:t>
            </w:r>
          </w:p>
        </w:tc>
        <w:tc>
          <w:tcPr>
            <w:tcW w:w="1146" w:type="dxa"/>
            <w:vAlign w:val="center"/>
          </w:tcPr>
          <w:p w14:paraId="2315CCA3" w14:textId="60EB9B4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241.42</w:t>
            </w:r>
          </w:p>
        </w:tc>
        <w:tc>
          <w:tcPr>
            <w:tcW w:w="1090" w:type="dxa"/>
            <w:vAlign w:val="center"/>
          </w:tcPr>
          <w:p w14:paraId="16585A24" w14:textId="49B2108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76.59</w:t>
            </w:r>
          </w:p>
        </w:tc>
        <w:tc>
          <w:tcPr>
            <w:tcW w:w="1090" w:type="dxa"/>
            <w:vAlign w:val="center"/>
          </w:tcPr>
          <w:p w14:paraId="5686D126" w14:textId="4F31A57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1.73 </w:t>
            </w:r>
          </w:p>
        </w:tc>
        <w:tc>
          <w:tcPr>
            <w:tcW w:w="1142" w:type="dxa"/>
            <w:vAlign w:val="center"/>
          </w:tcPr>
          <w:p w14:paraId="0D126FE1" w14:textId="3EA4F76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163.10</w:t>
            </w:r>
          </w:p>
        </w:tc>
      </w:tr>
      <w:tr w:rsidR="004E6A46" w14:paraId="0C27C19F" w14:textId="77777777" w:rsidTr="00555190">
        <w:trPr>
          <w:trHeight w:val="290"/>
        </w:trPr>
        <w:tc>
          <w:tcPr>
            <w:tcW w:w="2685" w:type="dxa"/>
            <w:vAlign w:val="center"/>
          </w:tcPr>
          <w:p w14:paraId="1253B238" w14:textId="59B4275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Bank of Jordan</w:t>
            </w:r>
          </w:p>
        </w:tc>
        <w:tc>
          <w:tcPr>
            <w:tcW w:w="1015" w:type="dxa"/>
            <w:vAlign w:val="center"/>
          </w:tcPr>
          <w:p w14:paraId="2FE8D71A" w14:textId="6F556D1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22.56 </w:t>
            </w:r>
          </w:p>
        </w:tc>
        <w:tc>
          <w:tcPr>
            <w:tcW w:w="1453" w:type="dxa"/>
            <w:vAlign w:val="center"/>
          </w:tcPr>
          <w:p w14:paraId="1290C23C" w14:textId="3B48338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1.13</w:t>
            </w:r>
          </w:p>
        </w:tc>
        <w:tc>
          <w:tcPr>
            <w:tcW w:w="1146" w:type="dxa"/>
            <w:vAlign w:val="center"/>
          </w:tcPr>
          <w:p w14:paraId="56783DB4" w14:textId="5BED7FD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21.44</w:t>
            </w:r>
          </w:p>
        </w:tc>
        <w:tc>
          <w:tcPr>
            <w:tcW w:w="1090" w:type="dxa"/>
            <w:vAlign w:val="center"/>
          </w:tcPr>
          <w:p w14:paraId="5DE40E49" w14:textId="414EEF2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8.37</w:t>
            </w:r>
          </w:p>
        </w:tc>
        <w:tc>
          <w:tcPr>
            <w:tcW w:w="1090" w:type="dxa"/>
            <w:vAlign w:val="center"/>
          </w:tcPr>
          <w:p w14:paraId="1104F5F1" w14:textId="0C39183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065BD5DA" w14:textId="0562AB2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13.07</w:t>
            </w:r>
          </w:p>
        </w:tc>
      </w:tr>
      <w:tr w:rsidR="004E6A46" w14:paraId="749D877F" w14:textId="77777777" w:rsidTr="00555190">
        <w:trPr>
          <w:trHeight w:val="290"/>
        </w:trPr>
        <w:tc>
          <w:tcPr>
            <w:tcW w:w="2685" w:type="dxa"/>
            <w:vAlign w:val="center"/>
          </w:tcPr>
          <w:p w14:paraId="6C3BB7CB" w14:textId="354DDC3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Bank of Syria and Overseas</w:t>
            </w:r>
          </w:p>
        </w:tc>
        <w:tc>
          <w:tcPr>
            <w:tcW w:w="1015" w:type="dxa"/>
            <w:vAlign w:val="center"/>
          </w:tcPr>
          <w:p w14:paraId="4A06C814" w14:textId="07057E3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138.50 </w:t>
            </w:r>
          </w:p>
        </w:tc>
        <w:tc>
          <w:tcPr>
            <w:tcW w:w="1453" w:type="dxa"/>
            <w:vAlign w:val="center"/>
          </w:tcPr>
          <w:p w14:paraId="01367F4F" w14:textId="78C8278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6.93</w:t>
            </w:r>
          </w:p>
        </w:tc>
        <w:tc>
          <w:tcPr>
            <w:tcW w:w="1146" w:type="dxa"/>
            <w:vAlign w:val="center"/>
          </w:tcPr>
          <w:p w14:paraId="22BEBD96" w14:textId="31A213B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131.58</w:t>
            </w:r>
          </w:p>
        </w:tc>
        <w:tc>
          <w:tcPr>
            <w:tcW w:w="1090" w:type="dxa"/>
            <w:vAlign w:val="center"/>
          </w:tcPr>
          <w:p w14:paraId="0A7BECB4" w14:textId="31DAC55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9.32</w:t>
            </w:r>
          </w:p>
        </w:tc>
        <w:tc>
          <w:tcPr>
            <w:tcW w:w="1090" w:type="dxa"/>
            <w:vAlign w:val="center"/>
          </w:tcPr>
          <w:p w14:paraId="4F345FC3" w14:textId="30D0A7F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0.19 </w:t>
            </w:r>
          </w:p>
        </w:tc>
        <w:tc>
          <w:tcPr>
            <w:tcW w:w="1142" w:type="dxa"/>
            <w:vAlign w:val="center"/>
          </w:tcPr>
          <w:p w14:paraId="274A9E09" w14:textId="4FC88C0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122.07</w:t>
            </w:r>
          </w:p>
        </w:tc>
      </w:tr>
      <w:tr w:rsidR="004E6A46" w14:paraId="7AE17CB3" w14:textId="77777777" w:rsidTr="00555190">
        <w:trPr>
          <w:trHeight w:val="290"/>
        </w:trPr>
        <w:tc>
          <w:tcPr>
            <w:tcW w:w="2685" w:type="dxa"/>
            <w:vAlign w:val="center"/>
          </w:tcPr>
          <w:p w14:paraId="5A64173C" w14:textId="5BB054C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Arab Bank</w:t>
            </w:r>
          </w:p>
        </w:tc>
        <w:tc>
          <w:tcPr>
            <w:tcW w:w="1015" w:type="dxa"/>
            <w:vAlign w:val="center"/>
          </w:tcPr>
          <w:p w14:paraId="4CDC3BA0" w14:textId="16B0987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51.04 </w:t>
            </w:r>
          </w:p>
        </w:tc>
        <w:tc>
          <w:tcPr>
            <w:tcW w:w="1453" w:type="dxa"/>
            <w:vAlign w:val="center"/>
          </w:tcPr>
          <w:p w14:paraId="37E8595E" w14:textId="0FD65FC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2.55</w:t>
            </w:r>
          </w:p>
        </w:tc>
        <w:tc>
          <w:tcPr>
            <w:tcW w:w="1146" w:type="dxa"/>
            <w:vAlign w:val="center"/>
          </w:tcPr>
          <w:p w14:paraId="67B948BB" w14:textId="2E253ED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48.49</w:t>
            </w:r>
          </w:p>
        </w:tc>
        <w:tc>
          <w:tcPr>
            <w:tcW w:w="1090" w:type="dxa"/>
            <w:vAlign w:val="center"/>
          </w:tcPr>
          <w:p w14:paraId="4A28291E" w14:textId="65E9A1D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7.29</w:t>
            </w:r>
          </w:p>
        </w:tc>
        <w:tc>
          <w:tcPr>
            <w:tcW w:w="1090" w:type="dxa"/>
            <w:vAlign w:val="center"/>
          </w:tcPr>
          <w:p w14:paraId="01BE2F0E" w14:textId="4EF3859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3.16 </w:t>
            </w:r>
          </w:p>
        </w:tc>
        <w:tc>
          <w:tcPr>
            <w:tcW w:w="1142" w:type="dxa"/>
            <w:vAlign w:val="center"/>
          </w:tcPr>
          <w:p w14:paraId="781FE6AD" w14:textId="6F5981D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38.04</w:t>
            </w:r>
          </w:p>
        </w:tc>
      </w:tr>
      <w:tr w:rsidR="004E6A46" w14:paraId="6A5A4EE6" w14:textId="77777777" w:rsidTr="00555190">
        <w:trPr>
          <w:trHeight w:val="290"/>
        </w:trPr>
        <w:tc>
          <w:tcPr>
            <w:tcW w:w="2685" w:type="dxa"/>
            <w:vAlign w:val="center"/>
          </w:tcPr>
          <w:p w14:paraId="3779C78E" w14:textId="57D722F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Byblos Bank</w:t>
            </w:r>
          </w:p>
        </w:tc>
        <w:tc>
          <w:tcPr>
            <w:tcW w:w="1015" w:type="dxa"/>
            <w:vAlign w:val="center"/>
          </w:tcPr>
          <w:p w14:paraId="55E9550C" w14:textId="736471E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55.34 </w:t>
            </w:r>
          </w:p>
        </w:tc>
        <w:tc>
          <w:tcPr>
            <w:tcW w:w="1453" w:type="dxa"/>
            <w:vAlign w:val="center"/>
          </w:tcPr>
          <w:p w14:paraId="73708B9E" w14:textId="6F72C2D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2.77</w:t>
            </w:r>
          </w:p>
        </w:tc>
        <w:tc>
          <w:tcPr>
            <w:tcW w:w="1146" w:type="dxa"/>
            <w:vAlign w:val="center"/>
          </w:tcPr>
          <w:p w14:paraId="3FA91992" w14:textId="20AACCF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52.58</w:t>
            </w:r>
          </w:p>
        </w:tc>
        <w:tc>
          <w:tcPr>
            <w:tcW w:w="1090" w:type="dxa"/>
            <w:vAlign w:val="center"/>
          </w:tcPr>
          <w:p w14:paraId="5546C28A" w14:textId="5384EAA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23.99</w:t>
            </w:r>
          </w:p>
        </w:tc>
        <w:tc>
          <w:tcPr>
            <w:tcW w:w="1090" w:type="dxa"/>
            <w:vAlign w:val="center"/>
          </w:tcPr>
          <w:p w14:paraId="16A2136F" w14:textId="2D29FB5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62D040FF" w14:textId="3E9C95D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28.59</w:t>
            </w:r>
          </w:p>
        </w:tc>
      </w:tr>
      <w:tr w:rsidR="004E6A46" w14:paraId="33CFE14A" w14:textId="77777777" w:rsidTr="00555190">
        <w:trPr>
          <w:trHeight w:val="567"/>
        </w:trPr>
        <w:tc>
          <w:tcPr>
            <w:tcW w:w="2685" w:type="dxa"/>
            <w:vAlign w:val="center"/>
          </w:tcPr>
          <w:p w14:paraId="2591CCB6" w14:textId="0399BE8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The International Bank for Trade &amp; Finance</w:t>
            </w:r>
          </w:p>
        </w:tc>
        <w:tc>
          <w:tcPr>
            <w:tcW w:w="1015" w:type="dxa"/>
            <w:vAlign w:val="center"/>
          </w:tcPr>
          <w:p w14:paraId="65671EF5" w14:textId="437CB69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122.47 </w:t>
            </w:r>
          </w:p>
        </w:tc>
        <w:tc>
          <w:tcPr>
            <w:tcW w:w="1453" w:type="dxa"/>
            <w:vAlign w:val="center"/>
          </w:tcPr>
          <w:p w14:paraId="401B89BA" w14:textId="22762B7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6.12</w:t>
            </w:r>
          </w:p>
        </w:tc>
        <w:tc>
          <w:tcPr>
            <w:tcW w:w="1146" w:type="dxa"/>
            <w:vAlign w:val="center"/>
          </w:tcPr>
          <w:p w14:paraId="7B7F6D8C" w14:textId="2A6ED8F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116.35</w:t>
            </w:r>
          </w:p>
        </w:tc>
        <w:tc>
          <w:tcPr>
            <w:tcW w:w="1090" w:type="dxa"/>
            <w:vAlign w:val="center"/>
          </w:tcPr>
          <w:p w14:paraId="629A90EA" w14:textId="79872A7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22.16</w:t>
            </w:r>
          </w:p>
        </w:tc>
        <w:tc>
          <w:tcPr>
            <w:tcW w:w="1090" w:type="dxa"/>
            <w:vAlign w:val="center"/>
          </w:tcPr>
          <w:p w14:paraId="5EB640FD" w14:textId="5174044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10E81DE7" w14:textId="6AD5A9F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94.19</w:t>
            </w:r>
          </w:p>
        </w:tc>
      </w:tr>
      <w:tr w:rsidR="004E6A46" w14:paraId="4D87EB58" w14:textId="77777777" w:rsidTr="00555190">
        <w:trPr>
          <w:trHeight w:val="290"/>
        </w:trPr>
        <w:tc>
          <w:tcPr>
            <w:tcW w:w="2685" w:type="dxa"/>
            <w:vAlign w:val="center"/>
          </w:tcPr>
          <w:p w14:paraId="49029A77" w14:textId="21E5E76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Syria Gulf Bank</w:t>
            </w:r>
          </w:p>
        </w:tc>
        <w:tc>
          <w:tcPr>
            <w:tcW w:w="1015" w:type="dxa"/>
            <w:vAlign w:val="center"/>
          </w:tcPr>
          <w:p w14:paraId="03ECA51F" w14:textId="0BEA6A4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44.84 </w:t>
            </w:r>
          </w:p>
        </w:tc>
        <w:tc>
          <w:tcPr>
            <w:tcW w:w="1453" w:type="dxa"/>
            <w:vAlign w:val="center"/>
          </w:tcPr>
          <w:p w14:paraId="28873A3B" w14:textId="3AFAF65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2.24</w:t>
            </w:r>
          </w:p>
        </w:tc>
        <w:tc>
          <w:tcPr>
            <w:tcW w:w="1146" w:type="dxa"/>
            <w:vAlign w:val="center"/>
          </w:tcPr>
          <w:p w14:paraId="66D1A41A" w14:textId="48C8257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42.60</w:t>
            </w:r>
          </w:p>
        </w:tc>
        <w:tc>
          <w:tcPr>
            <w:tcW w:w="1090" w:type="dxa"/>
            <w:vAlign w:val="center"/>
          </w:tcPr>
          <w:p w14:paraId="13915BE7" w14:textId="41522E3B"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6.65</w:t>
            </w:r>
          </w:p>
        </w:tc>
        <w:tc>
          <w:tcPr>
            <w:tcW w:w="1090" w:type="dxa"/>
            <w:vAlign w:val="center"/>
          </w:tcPr>
          <w:p w14:paraId="4A7F7A52" w14:textId="08C46BC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w:t>
            </w:r>
          </w:p>
        </w:tc>
        <w:tc>
          <w:tcPr>
            <w:tcW w:w="1142" w:type="dxa"/>
            <w:vAlign w:val="center"/>
          </w:tcPr>
          <w:p w14:paraId="1784679F" w14:textId="7267325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35.95</w:t>
            </w:r>
          </w:p>
        </w:tc>
      </w:tr>
      <w:tr w:rsidR="004E6A46" w14:paraId="0626425F" w14:textId="77777777" w:rsidTr="00555190">
        <w:trPr>
          <w:trHeight w:val="290"/>
        </w:trPr>
        <w:tc>
          <w:tcPr>
            <w:tcW w:w="2685" w:type="dxa"/>
            <w:vAlign w:val="center"/>
          </w:tcPr>
          <w:p w14:paraId="725C6BBA" w14:textId="7C03224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Private banks</w:t>
            </w:r>
          </w:p>
        </w:tc>
        <w:tc>
          <w:tcPr>
            <w:tcW w:w="1015" w:type="dxa"/>
            <w:vAlign w:val="center"/>
          </w:tcPr>
          <w:p w14:paraId="5E9DB9D3" w14:textId="1F46BC3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951.02</w:t>
            </w:r>
          </w:p>
        </w:tc>
        <w:tc>
          <w:tcPr>
            <w:tcW w:w="1453" w:type="dxa"/>
            <w:vAlign w:val="center"/>
          </w:tcPr>
          <w:p w14:paraId="63EECC36" w14:textId="77AF22E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47.55</w:t>
            </w:r>
          </w:p>
        </w:tc>
        <w:tc>
          <w:tcPr>
            <w:tcW w:w="1146" w:type="dxa"/>
            <w:vAlign w:val="center"/>
          </w:tcPr>
          <w:p w14:paraId="5B1D176C" w14:textId="14DBF0F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903.47</w:t>
            </w:r>
          </w:p>
        </w:tc>
        <w:tc>
          <w:tcPr>
            <w:tcW w:w="1090" w:type="dxa"/>
            <w:vAlign w:val="center"/>
          </w:tcPr>
          <w:p w14:paraId="061861FB" w14:textId="54B7C17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222.09</w:t>
            </w:r>
          </w:p>
        </w:tc>
        <w:tc>
          <w:tcPr>
            <w:tcW w:w="1090" w:type="dxa"/>
            <w:vAlign w:val="center"/>
          </w:tcPr>
          <w:p w14:paraId="70738231" w14:textId="2884EF1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30.73</w:t>
            </w:r>
          </w:p>
        </w:tc>
        <w:tc>
          <w:tcPr>
            <w:tcW w:w="1142" w:type="dxa"/>
            <w:vAlign w:val="center"/>
          </w:tcPr>
          <w:p w14:paraId="1A5691DB" w14:textId="0ED5BD9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650.66</w:t>
            </w:r>
          </w:p>
        </w:tc>
      </w:tr>
      <w:tr w:rsidR="004E6A46" w14:paraId="41848403" w14:textId="77777777" w:rsidTr="00555190">
        <w:trPr>
          <w:trHeight w:val="581"/>
        </w:trPr>
        <w:tc>
          <w:tcPr>
            <w:tcW w:w="2685" w:type="dxa"/>
            <w:vAlign w:val="center"/>
          </w:tcPr>
          <w:p w14:paraId="04CCF8C1" w14:textId="38D7417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Syria International Islamic Bank</w:t>
            </w:r>
          </w:p>
        </w:tc>
        <w:tc>
          <w:tcPr>
            <w:tcW w:w="1015" w:type="dxa"/>
            <w:vAlign w:val="center"/>
          </w:tcPr>
          <w:p w14:paraId="466FA71B" w14:textId="34F661F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136.95 </w:t>
            </w:r>
          </w:p>
        </w:tc>
        <w:tc>
          <w:tcPr>
            <w:tcW w:w="1453" w:type="dxa"/>
            <w:vAlign w:val="center"/>
          </w:tcPr>
          <w:p w14:paraId="446A89FB" w14:textId="6B1A343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6.85</w:t>
            </w:r>
          </w:p>
        </w:tc>
        <w:tc>
          <w:tcPr>
            <w:tcW w:w="1146" w:type="dxa"/>
            <w:vAlign w:val="center"/>
          </w:tcPr>
          <w:p w14:paraId="463C2D7D" w14:textId="67525E93"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130.11</w:t>
            </w:r>
          </w:p>
        </w:tc>
        <w:tc>
          <w:tcPr>
            <w:tcW w:w="1090" w:type="dxa"/>
            <w:vAlign w:val="center"/>
          </w:tcPr>
          <w:p w14:paraId="0DA9DCF2" w14:textId="5E030E9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121.33</w:t>
            </w:r>
          </w:p>
        </w:tc>
        <w:tc>
          <w:tcPr>
            <w:tcW w:w="1090" w:type="dxa"/>
            <w:vAlign w:val="center"/>
          </w:tcPr>
          <w:p w14:paraId="488DDCCC" w14:textId="36535A8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0.54</w:t>
            </w:r>
          </w:p>
        </w:tc>
        <w:tc>
          <w:tcPr>
            <w:tcW w:w="1142" w:type="dxa"/>
            <w:vAlign w:val="center"/>
          </w:tcPr>
          <w:p w14:paraId="055C5062" w14:textId="36C48BD7"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8.23</w:t>
            </w:r>
          </w:p>
        </w:tc>
      </w:tr>
      <w:tr w:rsidR="004E6A46" w14:paraId="5369C22E" w14:textId="77777777" w:rsidTr="00555190">
        <w:trPr>
          <w:trHeight w:val="290"/>
        </w:trPr>
        <w:tc>
          <w:tcPr>
            <w:tcW w:w="2685" w:type="dxa"/>
            <w:vAlign w:val="center"/>
          </w:tcPr>
          <w:p w14:paraId="13C93AB6" w14:textId="2D3583A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Cham Bank</w:t>
            </w:r>
          </w:p>
        </w:tc>
        <w:tc>
          <w:tcPr>
            <w:tcW w:w="1015" w:type="dxa"/>
            <w:vAlign w:val="center"/>
          </w:tcPr>
          <w:p w14:paraId="29DE26DE" w14:textId="79099C7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82.19 </w:t>
            </w:r>
          </w:p>
        </w:tc>
        <w:tc>
          <w:tcPr>
            <w:tcW w:w="1453" w:type="dxa"/>
            <w:vAlign w:val="center"/>
          </w:tcPr>
          <w:p w14:paraId="4A85E8D1" w14:textId="00C4CE3D"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4.11</w:t>
            </w:r>
          </w:p>
        </w:tc>
        <w:tc>
          <w:tcPr>
            <w:tcW w:w="1146" w:type="dxa"/>
            <w:vAlign w:val="center"/>
          </w:tcPr>
          <w:p w14:paraId="0E416F6C" w14:textId="1928AC71"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78.08</w:t>
            </w:r>
          </w:p>
        </w:tc>
        <w:tc>
          <w:tcPr>
            <w:tcW w:w="1090" w:type="dxa"/>
            <w:vAlign w:val="center"/>
          </w:tcPr>
          <w:p w14:paraId="7F5C3F5F" w14:textId="486C19F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47.98</w:t>
            </w:r>
          </w:p>
        </w:tc>
        <w:tc>
          <w:tcPr>
            <w:tcW w:w="1090" w:type="dxa"/>
            <w:vAlign w:val="center"/>
          </w:tcPr>
          <w:p w14:paraId="10F8281C" w14:textId="762CA61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2.52</w:t>
            </w:r>
          </w:p>
        </w:tc>
        <w:tc>
          <w:tcPr>
            <w:tcW w:w="1142" w:type="dxa"/>
            <w:vAlign w:val="center"/>
          </w:tcPr>
          <w:p w14:paraId="1B2772BF" w14:textId="29ED30B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27.58</w:t>
            </w:r>
          </w:p>
        </w:tc>
      </w:tr>
      <w:tr w:rsidR="004E6A46" w14:paraId="06EEBB7F" w14:textId="77777777" w:rsidTr="00555190">
        <w:trPr>
          <w:trHeight w:val="290"/>
        </w:trPr>
        <w:tc>
          <w:tcPr>
            <w:tcW w:w="2685" w:type="dxa"/>
            <w:vAlign w:val="center"/>
          </w:tcPr>
          <w:p w14:paraId="1B4B52C7" w14:textId="0B731E0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Al-Baraka Bank</w:t>
            </w:r>
          </w:p>
        </w:tc>
        <w:tc>
          <w:tcPr>
            <w:tcW w:w="1015" w:type="dxa"/>
            <w:vAlign w:val="center"/>
          </w:tcPr>
          <w:p w14:paraId="33B35DA2" w14:textId="5A538679"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 xml:space="preserve">269.46 </w:t>
            </w:r>
          </w:p>
        </w:tc>
        <w:tc>
          <w:tcPr>
            <w:tcW w:w="1453" w:type="dxa"/>
            <w:vAlign w:val="center"/>
          </w:tcPr>
          <w:p w14:paraId="031BD251" w14:textId="515AB5E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13.47</w:t>
            </w:r>
          </w:p>
        </w:tc>
        <w:tc>
          <w:tcPr>
            <w:tcW w:w="1146" w:type="dxa"/>
            <w:vAlign w:val="center"/>
          </w:tcPr>
          <w:p w14:paraId="5D602552" w14:textId="200273D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255.98</w:t>
            </w:r>
          </w:p>
        </w:tc>
        <w:tc>
          <w:tcPr>
            <w:tcW w:w="1090" w:type="dxa"/>
            <w:vAlign w:val="center"/>
          </w:tcPr>
          <w:p w14:paraId="4C84A7F6" w14:textId="19227C5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37.99</w:t>
            </w:r>
          </w:p>
        </w:tc>
        <w:tc>
          <w:tcPr>
            <w:tcW w:w="1090" w:type="dxa"/>
            <w:vAlign w:val="center"/>
          </w:tcPr>
          <w:p w14:paraId="182C6BCD" w14:textId="5B08AD6E"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0.04</w:t>
            </w:r>
          </w:p>
        </w:tc>
        <w:tc>
          <w:tcPr>
            <w:tcW w:w="1142" w:type="dxa"/>
            <w:vAlign w:val="center"/>
          </w:tcPr>
          <w:p w14:paraId="7B304C5E" w14:textId="76F24C0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color w:val="000000"/>
                <w:sz w:val="20"/>
                <w:szCs w:val="20"/>
              </w:rPr>
              <w:t>217.96</w:t>
            </w:r>
          </w:p>
        </w:tc>
      </w:tr>
      <w:tr w:rsidR="004E6A46" w14:paraId="7F440F48" w14:textId="77777777" w:rsidTr="00555190">
        <w:trPr>
          <w:trHeight w:val="290"/>
        </w:trPr>
        <w:tc>
          <w:tcPr>
            <w:tcW w:w="2685" w:type="dxa"/>
            <w:vAlign w:val="center"/>
          </w:tcPr>
          <w:p w14:paraId="0F9BA8AB" w14:textId="485B4DB5"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Islamic banks</w:t>
            </w:r>
          </w:p>
        </w:tc>
        <w:tc>
          <w:tcPr>
            <w:tcW w:w="1015" w:type="dxa"/>
            <w:vAlign w:val="center"/>
          </w:tcPr>
          <w:p w14:paraId="61A25E11" w14:textId="71C0F63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488.60</w:t>
            </w:r>
          </w:p>
        </w:tc>
        <w:tc>
          <w:tcPr>
            <w:tcW w:w="1453" w:type="dxa"/>
            <w:vAlign w:val="center"/>
          </w:tcPr>
          <w:p w14:paraId="2CFFA9FD" w14:textId="12B17CB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24.43</w:t>
            </w:r>
          </w:p>
        </w:tc>
        <w:tc>
          <w:tcPr>
            <w:tcW w:w="1146" w:type="dxa"/>
            <w:vAlign w:val="center"/>
          </w:tcPr>
          <w:p w14:paraId="67291364" w14:textId="3E09191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464.17</w:t>
            </w:r>
          </w:p>
        </w:tc>
        <w:tc>
          <w:tcPr>
            <w:tcW w:w="1090" w:type="dxa"/>
            <w:vAlign w:val="center"/>
          </w:tcPr>
          <w:p w14:paraId="2DD9E448" w14:textId="7E15820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207.30</w:t>
            </w:r>
          </w:p>
        </w:tc>
        <w:tc>
          <w:tcPr>
            <w:tcW w:w="1090" w:type="dxa"/>
            <w:vAlign w:val="center"/>
          </w:tcPr>
          <w:p w14:paraId="1B1768CA" w14:textId="1A2ABA4A"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3.10</w:t>
            </w:r>
          </w:p>
        </w:tc>
        <w:tc>
          <w:tcPr>
            <w:tcW w:w="1142" w:type="dxa"/>
            <w:vAlign w:val="center"/>
          </w:tcPr>
          <w:p w14:paraId="6C1BBD8F" w14:textId="743957B6"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253.77</w:t>
            </w:r>
          </w:p>
        </w:tc>
      </w:tr>
      <w:tr w:rsidR="004E6A46" w14:paraId="130DF87F" w14:textId="77777777" w:rsidTr="00555190">
        <w:trPr>
          <w:trHeight w:val="277"/>
        </w:trPr>
        <w:tc>
          <w:tcPr>
            <w:tcW w:w="2685" w:type="dxa"/>
            <w:vAlign w:val="center"/>
          </w:tcPr>
          <w:p w14:paraId="710B3291" w14:textId="56E6CF1C"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Total</w:t>
            </w:r>
          </w:p>
        </w:tc>
        <w:tc>
          <w:tcPr>
            <w:tcW w:w="1015" w:type="dxa"/>
            <w:vAlign w:val="center"/>
          </w:tcPr>
          <w:p w14:paraId="559FD6CA" w14:textId="6FA457E2"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3900</w:t>
            </w:r>
          </w:p>
        </w:tc>
        <w:tc>
          <w:tcPr>
            <w:tcW w:w="1453" w:type="dxa"/>
            <w:vAlign w:val="center"/>
          </w:tcPr>
          <w:p w14:paraId="6FFFF5CC" w14:textId="0ECC7CD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195</w:t>
            </w:r>
          </w:p>
        </w:tc>
        <w:tc>
          <w:tcPr>
            <w:tcW w:w="1146" w:type="dxa"/>
            <w:vAlign w:val="center"/>
          </w:tcPr>
          <w:p w14:paraId="49857AF6" w14:textId="55DD9114"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3705</w:t>
            </w:r>
          </w:p>
        </w:tc>
        <w:tc>
          <w:tcPr>
            <w:tcW w:w="1090" w:type="dxa"/>
            <w:vAlign w:val="center"/>
          </w:tcPr>
          <w:p w14:paraId="20CAFFEB" w14:textId="301391B8"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1946</w:t>
            </w:r>
          </w:p>
        </w:tc>
        <w:tc>
          <w:tcPr>
            <w:tcW w:w="1090" w:type="dxa"/>
            <w:vAlign w:val="center"/>
          </w:tcPr>
          <w:p w14:paraId="26C897F7" w14:textId="79CA176F"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34</w:t>
            </w:r>
          </w:p>
        </w:tc>
        <w:tc>
          <w:tcPr>
            <w:tcW w:w="1142" w:type="dxa"/>
            <w:vAlign w:val="center"/>
          </w:tcPr>
          <w:p w14:paraId="787A9E0B" w14:textId="58F1E420" w:rsidR="004E6A46" w:rsidRPr="004E6A46" w:rsidRDefault="004E6A46" w:rsidP="00391329">
            <w:pPr>
              <w:spacing w:line="276" w:lineRule="auto"/>
              <w:jc w:val="center"/>
              <w:rPr>
                <w:rFonts w:asciiTheme="majorBidi" w:hAnsiTheme="majorBidi" w:cstheme="majorBidi"/>
                <w:sz w:val="20"/>
                <w:szCs w:val="20"/>
              </w:rPr>
            </w:pPr>
            <w:r w:rsidRPr="004E6A46">
              <w:rPr>
                <w:rFonts w:asciiTheme="majorBidi" w:hAnsiTheme="majorBidi" w:cstheme="majorBidi"/>
                <w:b/>
                <w:bCs/>
                <w:color w:val="000000"/>
                <w:sz w:val="20"/>
                <w:szCs w:val="20"/>
              </w:rPr>
              <w:t>1724</w:t>
            </w:r>
          </w:p>
        </w:tc>
      </w:tr>
    </w:tbl>
    <w:p w14:paraId="070640E3" w14:textId="77777777" w:rsidR="004E6A46" w:rsidRDefault="004E6A46" w:rsidP="00A92EC3">
      <w:pPr>
        <w:spacing w:line="360" w:lineRule="auto"/>
        <w:jc w:val="center"/>
        <w:rPr>
          <w:rFonts w:asciiTheme="majorBidi" w:hAnsiTheme="majorBidi" w:cstheme="majorBidi"/>
          <w:sz w:val="24"/>
          <w:szCs w:val="24"/>
        </w:rPr>
      </w:pPr>
    </w:p>
    <w:p w14:paraId="6EFD67F0" w14:textId="77777777" w:rsidR="004E6A46" w:rsidRDefault="004E6A46" w:rsidP="004E6A46">
      <w:pPr>
        <w:spacing w:line="360" w:lineRule="auto"/>
        <w:jc w:val="center"/>
        <w:rPr>
          <w:rFonts w:asciiTheme="majorBidi" w:hAnsiTheme="majorBidi" w:cstheme="majorBidi"/>
          <w:sz w:val="24"/>
          <w:szCs w:val="24"/>
        </w:rPr>
      </w:pPr>
    </w:p>
    <w:p w14:paraId="536549F0" w14:textId="5B6F7992" w:rsidR="004E6A46" w:rsidRDefault="004E6A46" w:rsidP="004E6A46">
      <w:pPr>
        <w:spacing w:line="360" w:lineRule="auto"/>
        <w:jc w:val="center"/>
        <w:rPr>
          <w:rFonts w:asciiTheme="majorBidi" w:hAnsiTheme="majorBidi" w:cstheme="majorBidi"/>
          <w:sz w:val="24"/>
          <w:szCs w:val="24"/>
        </w:rPr>
      </w:pPr>
    </w:p>
    <w:p w14:paraId="5E97BF16" w14:textId="7E8AA227" w:rsidR="00391329" w:rsidRDefault="00391329" w:rsidP="004E6A46">
      <w:pPr>
        <w:spacing w:line="360" w:lineRule="auto"/>
        <w:jc w:val="center"/>
        <w:rPr>
          <w:rFonts w:asciiTheme="majorBidi" w:hAnsiTheme="majorBidi" w:cstheme="majorBidi"/>
          <w:sz w:val="24"/>
          <w:szCs w:val="24"/>
        </w:rPr>
      </w:pPr>
    </w:p>
    <w:p w14:paraId="277BB957" w14:textId="50820C28" w:rsidR="00391329" w:rsidRDefault="00391329" w:rsidP="004E6A46">
      <w:pPr>
        <w:spacing w:line="360" w:lineRule="auto"/>
        <w:jc w:val="center"/>
        <w:rPr>
          <w:rFonts w:asciiTheme="majorBidi" w:hAnsiTheme="majorBidi" w:cstheme="majorBidi"/>
          <w:sz w:val="24"/>
          <w:szCs w:val="24"/>
        </w:rPr>
      </w:pPr>
    </w:p>
    <w:p w14:paraId="2819344C" w14:textId="69F81250" w:rsidR="00391329" w:rsidRDefault="00391329" w:rsidP="004E6A46">
      <w:pPr>
        <w:spacing w:line="360" w:lineRule="auto"/>
        <w:jc w:val="center"/>
        <w:rPr>
          <w:rFonts w:asciiTheme="majorBidi" w:hAnsiTheme="majorBidi" w:cstheme="majorBidi"/>
          <w:sz w:val="24"/>
          <w:szCs w:val="24"/>
        </w:rPr>
      </w:pPr>
    </w:p>
    <w:p w14:paraId="6CE36492" w14:textId="77777777" w:rsidR="00391329" w:rsidRDefault="00391329" w:rsidP="004E6A46">
      <w:pPr>
        <w:spacing w:line="360" w:lineRule="auto"/>
        <w:jc w:val="center"/>
        <w:rPr>
          <w:rFonts w:asciiTheme="majorBidi" w:hAnsiTheme="majorBidi" w:cstheme="majorBidi"/>
          <w:sz w:val="24"/>
          <w:szCs w:val="24"/>
        </w:rPr>
      </w:pPr>
    </w:p>
    <w:p w14:paraId="76AD9482" w14:textId="61D5510D" w:rsidR="004E6A46" w:rsidRDefault="004E6A46" w:rsidP="004E6A46">
      <w:pPr>
        <w:spacing w:line="360" w:lineRule="auto"/>
        <w:jc w:val="center"/>
        <w:rPr>
          <w:rFonts w:asciiTheme="majorBidi" w:hAnsiTheme="majorBidi" w:cstheme="majorBidi"/>
          <w:sz w:val="24"/>
          <w:szCs w:val="24"/>
        </w:rPr>
      </w:pPr>
    </w:p>
    <w:p w14:paraId="5CB04826" w14:textId="6FD26D07" w:rsidR="004E6A46" w:rsidRPr="00DB6A2F" w:rsidRDefault="004E6A46" w:rsidP="00337A6C">
      <w:pPr>
        <w:spacing w:line="360" w:lineRule="auto"/>
        <w:jc w:val="right"/>
        <w:rPr>
          <w:rFonts w:asciiTheme="majorBidi" w:hAnsiTheme="majorBidi" w:cstheme="majorBidi"/>
          <w:sz w:val="24"/>
          <w:szCs w:val="24"/>
        </w:rPr>
      </w:pPr>
      <w:r w:rsidRPr="00DB6A2F">
        <w:rPr>
          <w:rFonts w:asciiTheme="majorBidi" w:hAnsiTheme="majorBidi" w:cstheme="majorBidi"/>
          <w:sz w:val="24"/>
          <w:szCs w:val="24"/>
        </w:rPr>
        <w:lastRenderedPageBreak/>
        <w:t xml:space="preserve">Appendix </w:t>
      </w:r>
      <w:r>
        <w:rPr>
          <w:rFonts w:asciiTheme="majorBidi" w:hAnsiTheme="majorBidi" w:cstheme="majorBidi"/>
          <w:sz w:val="24"/>
          <w:szCs w:val="24"/>
        </w:rPr>
        <w:t>5</w:t>
      </w:r>
    </w:p>
    <w:p w14:paraId="1F70CC9F" w14:textId="77777777" w:rsidR="00DB6A2F" w:rsidRPr="00DB6A2F" w:rsidRDefault="00DB6A2F" w:rsidP="00DB6A2F">
      <w:pPr>
        <w:spacing w:line="360" w:lineRule="auto"/>
        <w:jc w:val="center"/>
        <w:rPr>
          <w:rFonts w:asciiTheme="majorBidi" w:hAnsiTheme="majorBidi" w:cstheme="majorBidi"/>
          <w:sz w:val="24"/>
          <w:szCs w:val="24"/>
        </w:rPr>
      </w:pPr>
      <w:r w:rsidRPr="00DB6A2F">
        <w:rPr>
          <w:rFonts w:asciiTheme="majorBidi" w:hAnsiTheme="majorBidi" w:cstheme="majorBidi"/>
          <w:sz w:val="24"/>
          <w:szCs w:val="24"/>
        </w:rPr>
        <w:t>Description of the components of the vectors, as well as the acceptable intervals for their change, given taking into account the quality requirements for the investment project</w:t>
      </w:r>
    </w:p>
    <w:tbl>
      <w:tblPr>
        <w:tblW w:w="9614" w:type="dxa"/>
        <w:tblCellMar>
          <w:left w:w="10" w:type="dxa"/>
          <w:right w:w="10" w:type="dxa"/>
        </w:tblCellMar>
        <w:tblLook w:val="0000" w:firstRow="0" w:lastRow="0" w:firstColumn="0" w:lastColumn="0" w:noHBand="0" w:noVBand="0"/>
      </w:tblPr>
      <w:tblGrid>
        <w:gridCol w:w="1273"/>
        <w:gridCol w:w="5632"/>
        <w:gridCol w:w="2709"/>
      </w:tblGrid>
      <w:tr w:rsidR="004555E9" w14:paraId="5F5FEB0D"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B2075" w14:textId="0A5F63D6" w:rsidR="004555E9" w:rsidRPr="0073057E" w:rsidRDefault="004555E9" w:rsidP="00B0771D">
            <w:pPr>
              <w:spacing w:after="0" w:line="276" w:lineRule="auto"/>
              <w:jc w:val="center"/>
              <w:rPr>
                <w:rFonts w:ascii="Times New Roman" w:hAnsi="Times New Roman" w:cs="Times New Roman"/>
                <w:b/>
                <w:bCs/>
                <w:sz w:val="20"/>
                <w:szCs w:val="20"/>
              </w:rPr>
            </w:pPr>
            <w:r w:rsidRPr="0073057E">
              <w:rPr>
                <w:rFonts w:ascii="Times New Roman" w:hAnsi="Times New Roman" w:cs="Times New Roman"/>
                <w:b/>
                <w:bCs/>
                <w:sz w:val="20"/>
                <w:szCs w:val="20"/>
              </w:rPr>
              <w:t xml:space="preserve">Vector </w:t>
            </w:r>
            <w:r w:rsidR="0073057E">
              <w:rPr>
                <w:rFonts w:ascii="Times New Roman" w:hAnsi="Times New Roman" w:cs="Times New Roman"/>
                <w:b/>
                <w:bCs/>
                <w:sz w:val="20"/>
                <w:szCs w:val="20"/>
              </w:rPr>
              <w:t>c</w:t>
            </w:r>
            <w:r w:rsidRPr="0073057E">
              <w:rPr>
                <w:rFonts w:ascii="Times New Roman" w:hAnsi="Times New Roman" w:cs="Times New Roman"/>
                <w:b/>
                <w:bCs/>
                <w:sz w:val="20"/>
                <w:szCs w:val="20"/>
              </w:rPr>
              <w:t>omponent</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90F4F" w14:textId="0EFCB1B9" w:rsidR="004555E9" w:rsidRPr="0073057E" w:rsidRDefault="004555E9" w:rsidP="00B0771D">
            <w:pPr>
              <w:spacing w:after="0" w:line="276" w:lineRule="auto"/>
              <w:jc w:val="center"/>
              <w:rPr>
                <w:rFonts w:ascii="Times New Roman" w:hAnsi="Times New Roman" w:cs="Times New Roman"/>
                <w:b/>
                <w:bCs/>
                <w:sz w:val="20"/>
                <w:szCs w:val="20"/>
              </w:rPr>
            </w:pPr>
            <w:r w:rsidRPr="0073057E">
              <w:rPr>
                <w:rFonts w:ascii="Times New Roman" w:hAnsi="Times New Roman" w:cs="Times New Roman"/>
                <w:b/>
                <w:bCs/>
                <w:sz w:val="20"/>
                <w:szCs w:val="20"/>
              </w:rPr>
              <w:t xml:space="preserve">Component </w:t>
            </w:r>
            <w:r w:rsidR="0073057E">
              <w:rPr>
                <w:rFonts w:ascii="Times New Roman" w:hAnsi="Times New Roman" w:cs="Times New Roman"/>
                <w:b/>
                <w:bCs/>
                <w:sz w:val="20"/>
                <w:szCs w:val="20"/>
              </w:rPr>
              <w:t>d</w:t>
            </w:r>
            <w:r w:rsidRPr="0073057E">
              <w:rPr>
                <w:rFonts w:ascii="Times New Roman" w:hAnsi="Times New Roman" w:cs="Times New Roman"/>
                <w:b/>
                <w:bCs/>
                <w:sz w:val="20"/>
                <w:szCs w:val="20"/>
              </w:rPr>
              <w:t>escription</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D0544" w14:textId="3FC9430F" w:rsidR="004555E9" w:rsidRPr="0073057E" w:rsidRDefault="004555E9" w:rsidP="00B0771D">
            <w:pPr>
              <w:spacing w:after="0" w:line="276" w:lineRule="auto"/>
              <w:jc w:val="center"/>
              <w:rPr>
                <w:rFonts w:ascii="Times New Roman" w:hAnsi="Times New Roman" w:cs="Times New Roman"/>
                <w:b/>
                <w:bCs/>
                <w:sz w:val="20"/>
                <w:szCs w:val="20"/>
              </w:rPr>
            </w:pPr>
            <w:r w:rsidRPr="0073057E">
              <w:rPr>
                <w:rFonts w:ascii="Times New Roman" w:hAnsi="Times New Roman" w:cs="Times New Roman"/>
                <w:b/>
                <w:bCs/>
                <w:sz w:val="20"/>
                <w:szCs w:val="20"/>
              </w:rPr>
              <w:t xml:space="preserve">Valid </w:t>
            </w:r>
            <w:r w:rsidR="0073057E">
              <w:rPr>
                <w:rFonts w:ascii="Times New Roman" w:hAnsi="Times New Roman" w:cs="Times New Roman"/>
                <w:b/>
                <w:bCs/>
                <w:sz w:val="20"/>
                <w:szCs w:val="20"/>
              </w:rPr>
              <w:t>c</w:t>
            </w:r>
            <w:r w:rsidRPr="0073057E">
              <w:rPr>
                <w:rFonts w:ascii="Times New Roman" w:hAnsi="Times New Roman" w:cs="Times New Roman"/>
                <w:b/>
                <w:bCs/>
                <w:sz w:val="20"/>
                <w:szCs w:val="20"/>
              </w:rPr>
              <w:t xml:space="preserve">hange </w:t>
            </w:r>
            <w:r w:rsidR="0073057E">
              <w:rPr>
                <w:rFonts w:ascii="Times New Roman" w:hAnsi="Times New Roman" w:cs="Times New Roman"/>
                <w:b/>
                <w:bCs/>
                <w:sz w:val="20"/>
                <w:szCs w:val="20"/>
              </w:rPr>
              <w:t>i</w:t>
            </w:r>
            <w:r w:rsidRPr="0073057E">
              <w:rPr>
                <w:rFonts w:ascii="Times New Roman" w:hAnsi="Times New Roman" w:cs="Times New Roman"/>
                <w:b/>
                <w:bCs/>
                <w:sz w:val="20"/>
                <w:szCs w:val="20"/>
              </w:rPr>
              <w:t>ntervals</w:t>
            </w:r>
          </w:p>
        </w:tc>
      </w:tr>
      <w:tr w:rsidR="004555E9" w14:paraId="29D99D90"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93A65" w14:textId="77777777" w:rsidR="004555E9" w:rsidRDefault="004555E9" w:rsidP="00B0771D">
            <w:pPr>
              <w:spacing w:after="0" w:line="276" w:lineRule="auto"/>
              <w:jc w:val="center"/>
              <w:rPr>
                <w:rFonts w:ascii="Times New Roman" w:hAnsi="Times New Roman" w:cs="Times New Roman"/>
                <w:b/>
                <w:bCs/>
                <w:sz w:val="20"/>
                <w:szCs w:val="20"/>
              </w:rPr>
            </w:pP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22B61" w14:textId="77777777" w:rsidR="004555E9" w:rsidRDefault="004555E9" w:rsidP="00B0771D">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Government support characteristics for the investment project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6F74A" w14:textId="77777777" w:rsidR="004555E9" w:rsidRDefault="004555E9" w:rsidP="00B0771D">
            <w:pPr>
              <w:spacing w:after="0" w:line="276" w:lineRule="auto"/>
              <w:jc w:val="center"/>
              <w:rPr>
                <w:rFonts w:ascii="Times New Roman" w:hAnsi="Times New Roman" w:cs="Times New Roman"/>
                <w:sz w:val="20"/>
                <w:szCs w:val="20"/>
              </w:rPr>
            </w:pPr>
          </w:p>
        </w:tc>
      </w:tr>
      <w:tr w:rsidR="004555E9" w14:paraId="2601EEFF"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E6253"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EC8CB"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Government involvement in the provision of guarantees,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9E7E3"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1min</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1max</m:t>
                    </m:r>
                  </m:sub>
                </m:sSub>
              </m:oMath>
            </m:oMathPara>
          </w:p>
        </w:tc>
      </w:tr>
      <w:tr w:rsidR="004555E9" w14:paraId="0D27D464"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A661C"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2</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BFFDC"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 xml:space="preserve">Tax reduction, score (1-10).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83E5"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2min</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2max</m:t>
                    </m:r>
                  </m:sub>
                </m:sSub>
              </m:oMath>
            </m:oMathPara>
          </w:p>
        </w:tc>
      </w:tr>
      <w:tr w:rsidR="004555E9" w14:paraId="39C90CB5"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BBEE5"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3</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7245D"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Incentives,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B0770"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3min</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3</m:t>
                    </m:r>
                  </m:sub>
                </m:sSub>
                <m:r>
                  <w:rPr>
                    <w:rFonts w:ascii="Cambria Math" w:hAns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3max</m:t>
                    </m:r>
                  </m:sub>
                </m:sSub>
              </m:oMath>
            </m:oMathPara>
          </w:p>
        </w:tc>
      </w:tr>
      <w:tr w:rsidR="004555E9" w14:paraId="04162F2B"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95E5B"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4</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5CAC3"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Government control on the product price or service fee,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05E80"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4min</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4</m:t>
                    </m:r>
                  </m:sub>
                </m:sSub>
                <m:r>
                  <w:rPr>
                    <w:rFonts w:ascii="Cambria Math" w:hAns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4max</m:t>
                    </m:r>
                  </m:sub>
                </m:sSub>
              </m:oMath>
            </m:oMathPara>
          </w:p>
        </w:tc>
      </w:tr>
      <w:tr w:rsidR="004555E9" w14:paraId="4A5E65DC"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C2FDA"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5</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4B6FA"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Government support for raw material supply,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C8D88"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5min</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5</m:t>
                    </m:r>
                  </m:sub>
                </m:sSub>
                <m:r>
                  <w:rPr>
                    <w:rFonts w:ascii="Cambria Math" w:hAns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5max</m:t>
                    </m:r>
                  </m:sub>
                </m:sSub>
              </m:oMath>
            </m:oMathPara>
          </w:p>
        </w:tc>
      </w:tr>
      <w:tr w:rsidR="004555E9" w14:paraId="6EF50848" w14:textId="77777777" w:rsidTr="00337A6C">
        <w:trPr>
          <w:trHeight w:val="264"/>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67F64" w14:textId="77777777" w:rsidR="004555E9" w:rsidRDefault="004555E9" w:rsidP="00B0771D">
            <w:pPr>
              <w:spacing w:after="0" w:line="276" w:lineRule="auto"/>
              <w:jc w:val="center"/>
              <w:rPr>
                <w:rFonts w:ascii="Times New Roman" w:hAnsi="Times New Roman" w:cs="Times New Roman"/>
                <w:b/>
                <w:bCs/>
                <w:sz w:val="20"/>
                <w:szCs w:val="20"/>
              </w:rPr>
            </w:pP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1EA55" w14:textId="77777777" w:rsidR="004555E9" w:rsidRDefault="004555E9" w:rsidP="00B0771D">
            <w:pPr>
              <w:spacing w:after="0" w:line="276" w:lineRule="auto"/>
              <w:jc w:val="center"/>
            </w:pPr>
            <w:r>
              <w:rPr>
                <w:rFonts w:ascii="Times New Roman" w:hAnsi="Times New Roman" w:cs="Times New Roman"/>
                <w:b/>
                <w:bCs/>
                <w:sz w:val="20"/>
                <w:szCs w:val="20"/>
              </w:rPr>
              <w:t>General characteristics of the investment project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791E6" w14:textId="77777777" w:rsidR="004555E9" w:rsidRDefault="004555E9" w:rsidP="00B0771D">
            <w:pPr>
              <w:spacing w:after="0" w:line="276" w:lineRule="auto"/>
              <w:jc w:val="center"/>
              <w:rPr>
                <w:rFonts w:ascii="Times New Roman" w:hAnsi="Times New Roman" w:cs="Times New Roman"/>
                <w:sz w:val="20"/>
                <w:szCs w:val="20"/>
              </w:rPr>
            </w:pPr>
          </w:p>
        </w:tc>
      </w:tr>
      <w:tr w:rsidR="004555E9" w14:paraId="074E82CC"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BA94B"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A74E4"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Location of the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33615"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G</m:t>
                    </m:r>
                  </m:e>
                  <m:sub>
                    <m:r>
                      <w:rPr>
                        <w:rFonts w:ascii="Cambria Math" w:hAnsi="Cambria Math"/>
                      </w:rPr>
                      <m:t>1min</m:t>
                    </m:r>
                  </m:sub>
                </m:sSub>
                <m: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1</m:t>
                    </m:r>
                  </m:sub>
                </m:sSub>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1max</m:t>
                    </m:r>
                  </m:sub>
                </m:sSub>
              </m:oMath>
            </m:oMathPara>
          </w:p>
        </w:tc>
      </w:tr>
      <w:tr w:rsidR="004555E9" w14:paraId="2C32A64E"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C844E"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2</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C8705"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Design and planning,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486C2"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G</m:t>
                    </m:r>
                  </m:e>
                  <m:sub>
                    <m:r>
                      <w:rPr>
                        <w:rFonts w:ascii="Cambria Math" w:hAnsi="Cambria Math"/>
                      </w:rPr>
                      <m:t>2min</m:t>
                    </m:r>
                  </m:sub>
                </m:sSub>
                <m: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2</m:t>
                    </m:r>
                  </m:sub>
                </m:sSub>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2max</m:t>
                    </m:r>
                  </m:sub>
                </m:sSub>
              </m:oMath>
            </m:oMathPara>
          </w:p>
        </w:tc>
      </w:tr>
      <w:tr w:rsidR="004555E9" w14:paraId="40E17CDE"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D268"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3</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EB1FB"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Technology,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EA7A0"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G</m:t>
                    </m:r>
                  </m:e>
                  <m:sub>
                    <m:r>
                      <w:rPr>
                        <w:rFonts w:ascii="Cambria Math" w:hAnsi="Cambria Math"/>
                      </w:rPr>
                      <m:t>3min</m:t>
                    </m:r>
                  </m:sub>
                </m:sSub>
                <m: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3</m:t>
                    </m:r>
                  </m:sub>
                </m:sSub>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3max</m:t>
                    </m:r>
                  </m:sub>
                </m:sSub>
              </m:oMath>
            </m:oMathPara>
          </w:p>
        </w:tc>
      </w:tr>
      <w:tr w:rsidR="004555E9" w14:paraId="1B4AC905"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01F06"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4</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302DF"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Project risk,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E8C0"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G</m:t>
                    </m:r>
                  </m:e>
                  <m:sub>
                    <m:r>
                      <w:rPr>
                        <w:rFonts w:ascii="Cambria Math" w:hAnsi="Cambria Math"/>
                      </w:rPr>
                      <m:t>4min</m:t>
                    </m:r>
                  </m:sub>
                </m:sSub>
                <m: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4</m:t>
                    </m:r>
                  </m:sub>
                </m:sSub>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4max</m:t>
                    </m:r>
                  </m:sub>
                </m:sSub>
              </m:oMath>
            </m:oMathPara>
          </w:p>
        </w:tc>
      </w:tr>
      <w:tr w:rsidR="004555E9" w14:paraId="61B1E36C"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E924B"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G</m:t>
                    </m:r>
                  </m:e>
                  <m:sub>
                    <m:r>
                      <w:rPr>
                        <w:rFonts w:ascii="Cambria Math" w:hAnsi="Cambria Math"/>
                      </w:rPr>
                      <m:t>5</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F1A0C"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Advertising and marketing,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6E6D3"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G</m:t>
                    </m:r>
                  </m:e>
                  <m:sub>
                    <m:r>
                      <w:rPr>
                        <w:rFonts w:ascii="Cambria Math" w:hAnsi="Cambria Math"/>
                      </w:rPr>
                      <m:t>5min</m:t>
                    </m:r>
                  </m:sub>
                </m:sSub>
                <m: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5</m:t>
                    </m:r>
                  </m:sub>
                </m:sSub>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5max</m:t>
                    </m:r>
                  </m:sub>
                </m:sSub>
              </m:oMath>
            </m:oMathPara>
          </w:p>
        </w:tc>
      </w:tr>
      <w:tr w:rsidR="004555E9" w14:paraId="43FEA060" w14:textId="77777777" w:rsidTr="00337A6C">
        <w:trPr>
          <w:trHeight w:val="264"/>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E9DF9" w14:textId="77777777" w:rsidR="004555E9" w:rsidRDefault="004555E9" w:rsidP="00B0771D">
            <w:pPr>
              <w:spacing w:after="0" w:line="276" w:lineRule="auto"/>
              <w:jc w:val="center"/>
              <w:rPr>
                <w:rFonts w:ascii="Times New Roman" w:hAnsi="Times New Roman" w:cs="Times New Roman"/>
                <w:b/>
                <w:bCs/>
                <w:sz w:val="20"/>
                <w:szCs w:val="20"/>
              </w:rPr>
            </w:pP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16F9" w14:textId="77777777" w:rsidR="004555E9" w:rsidRDefault="004555E9" w:rsidP="00B0771D">
            <w:pPr>
              <w:spacing w:after="0" w:line="276" w:lineRule="auto"/>
              <w:jc w:val="center"/>
            </w:pPr>
            <w:r>
              <w:rPr>
                <w:rFonts w:ascii="Times New Roman" w:hAnsi="Times New Roman" w:cs="Times New Roman"/>
                <w:b/>
                <w:bCs/>
                <w:sz w:val="20"/>
                <w:szCs w:val="20"/>
              </w:rPr>
              <w:t>Economic characteristics of the investment project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12D2C" w14:textId="77777777" w:rsidR="004555E9" w:rsidRDefault="004555E9" w:rsidP="00B0771D">
            <w:pPr>
              <w:spacing w:after="0" w:line="276" w:lineRule="auto"/>
              <w:jc w:val="center"/>
              <w:rPr>
                <w:rFonts w:ascii="Times New Roman" w:hAnsi="Times New Roman" w:cs="Times New Roman"/>
                <w:sz w:val="20"/>
                <w:szCs w:val="20"/>
              </w:rPr>
            </w:pPr>
          </w:p>
        </w:tc>
      </w:tr>
      <w:tr w:rsidR="004555E9" w14:paraId="50C2FE7A"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B6B97"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4072"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The total amount of discounted costs associated with the project (project cost),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41EEB"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1min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1max</m:t>
                    </m:r>
                  </m:sub>
                </m:sSub>
              </m:oMath>
            </m:oMathPara>
          </w:p>
        </w:tc>
      </w:tr>
      <w:tr w:rsidR="004555E9" w14:paraId="15A876A7"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977BE"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2</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3A3AA"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Required initial investment,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AA353"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2min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2</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2max</m:t>
                    </m:r>
                  </m:sub>
                </m:sSub>
              </m:oMath>
            </m:oMathPara>
          </w:p>
        </w:tc>
      </w:tr>
      <w:tr w:rsidR="004555E9" w14:paraId="76DA9716"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B3CA"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3</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A4563"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Taxes,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F4A7"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3min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3</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3max</m:t>
                    </m:r>
                  </m:sub>
                </m:sSub>
              </m:oMath>
            </m:oMathPara>
          </w:p>
        </w:tc>
      </w:tr>
      <w:tr w:rsidR="004555E9" w14:paraId="5DA8421F"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320D4"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4</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F25FB" w14:textId="77777777" w:rsidR="004555E9" w:rsidRDefault="004555E9" w:rsidP="00B0771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Net Present Value (NPV),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0D42A"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4min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4</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4max</m:t>
                    </m:r>
                  </m:sub>
                </m:sSub>
              </m:oMath>
            </m:oMathPara>
          </w:p>
        </w:tc>
      </w:tr>
      <w:tr w:rsidR="004555E9" w14:paraId="6C9FE85A"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D8A90"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5</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96DFD" w14:textId="77777777" w:rsidR="004555E9" w:rsidRDefault="004555E9" w:rsidP="00B0771D">
            <w:pPr>
              <w:spacing w:after="0" w:line="276" w:lineRule="auto"/>
              <w:jc w:val="center"/>
            </w:pPr>
            <w:r>
              <w:rPr>
                <w:rFonts w:ascii="Times New Roman" w:hAnsi="Times New Roman" w:cs="Times New Roman"/>
                <w:sz w:val="20"/>
                <w:szCs w:val="20"/>
              </w:rPr>
              <w:t xml:space="preserve"> Profitability index (PI),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34D0"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5min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5</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5max</m:t>
                    </m:r>
                  </m:sub>
                </m:sSub>
              </m:oMath>
            </m:oMathPara>
          </w:p>
        </w:tc>
      </w:tr>
      <w:tr w:rsidR="004555E9" w14:paraId="515E859F"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1A7E6"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6</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30F46" w14:textId="77777777" w:rsidR="004555E9" w:rsidRDefault="004555E9" w:rsidP="00B0771D">
            <w:pPr>
              <w:spacing w:after="0" w:line="276" w:lineRule="auto"/>
              <w:jc w:val="center"/>
            </w:pPr>
            <w:r>
              <w:rPr>
                <w:rFonts w:ascii="Times New Roman" w:hAnsi="Times New Roman" w:cs="Times New Roman"/>
                <w:sz w:val="20"/>
                <w:szCs w:val="20"/>
              </w:rPr>
              <w:t>Gross income,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DDFC5"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6min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6</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6max</m:t>
                    </m:r>
                  </m:sub>
                </m:sSub>
              </m:oMath>
            </m:oMathPara>
          </w:p>
        </w:tc>
      </w:tr>
      <w:tr w:rsidR="004555E9" w14:paraId="7445E507"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904AC"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7</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50124" w14:textId="77777777" w:rsidR="004555E9" w:rsidRDefault="004555E9" w:rsidP="00B0771D">
            <w:pPr>
              <w:spacing w:after="0" w:line="276" w:lineRule="auto"/>
              <w:jc w:val="center"/>
            </w:pPr>
            <w:r>
              <w:rPr>
                <w:rFonts w:ascii="Times New Roman" w:hAnsi="Times New Roman" w:cs="Times New Roman"/>
                <w:sz w:val="20"/>
                <w:szCs w:val="20"/>
              </w:rPr>
              <w:t>Net income, SYP.</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9A6EF"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7min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7</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7max</m:t>
                    </m:r>
                  </m:sub>
                </m:sSub>
              </m:oMath>
            </m:oMathPara>
          </w:p>
        </w:tc>
      </w:tr>
      <w:tr w:rsidR="004555E9" w14:paraId="46244CCF"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04550"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8</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FECFF" w14:textId="77777777" w:rsidR="004555E9" w:rsidRDefault="004555E9" w:rsidP="00B0771D">
            <w:pPr>
              <w:spacing w:after="0" w:line="276" w:lineRule="auto"/>
              <w:jc w:val="center"/>
            </w:pPr>
            <w:r>
              <w:rPr>
                <w:rFonts w:ascii="Times New Roman" w:hAnsi="Times New Roman" w:cs="Times New Roman"/>
                <w:sz w:val="20"/>
                <w:szCs w:val="20"/>
              </w:rPr>
              <w:t>Internal Rate of Return (IRR),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3D1CB"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8min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8</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8max</m:t>
                    </m:r>
                  </m:sub>
                </m:sSub>
              </m:oMath>
            </m:oMathPara>
          </w:p>
        </w:tc>
      </w:tr>
      <w:tr w:rsidR="004555E9" w14:paraId="31E5482E"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388E6"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9</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7C862" w14:textId="77777777" w:rsidR="004555E9" w:rsidRDefault="004555E9" w:rsidP="00B0771D">
            <w:pPr>
              <w:spacing w:after="0" w:line="276" w:lineRule="auto"/>
              <w:jc w:val="center"/>
            </w:pPr>
            <w:r>
              <w:rPr>
                <w:rFonts w:ascii="Times New Roman" w:hAnsi="Times New Roman" w:cs="Times New Roman"/>
                <w:sz w:val="20"/>
                <w:szCs w:val="20"/>
              </w:rPr>
              <w:t>Accounting Rate of Return (ARR),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F0F93"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9min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9</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9max</m:t>
                    </m:r>
                  </m:sub>
                </m:sSub>
              </m:oMath>
            </m:oMathPara>
          </w:p>
        </w:tc>
      </w:tr>
      <w:tr w:rsidR="004555E9" w14:paraId="6D0B94E7"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ED504"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10</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DF29" w14:textId="77777777" w:rsidR="004555E9" w:rsidRDefault="004555E9" w:rsidP="00B0771D">
            <w:pPr>
              <w:spacing w:after="0" w:line="276" w:lineRule="auto"/>
              <w:jc w:val="center"/>
            </w:pPr>
            <w:r>
              <w:rPr>
                <w:rFonts w:ascii="Times New Roman" w:hAnsi="Times New Roman" w:cs="Times New Roman"/>
                <w:sz w:val="20"/>
                <w:szCs w:val="20"/>
              </w:rPr>
              <w:t>Payback Period (PP), year.</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3E02B"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10min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10</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10max</m:t>
                    </m:r>
                  </m:sub>
                </m:sSub>
              </m:oMath>
            </m:oMathPara>
          </w:p>
        </w:tc>
      </w:tr>
      <w:tr w:rsidR="004555E9" w14:paraId="35C3D3BA"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6677"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11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3C982" w14:textId="77777777" w:rsidR="004555E9" w:rsidRDefault="004555E9" w:rsidP="00B0771D">
            <w:pPr>
              <w:spacing w:after="0" w:line="276" w:lineRule="auto"/>
              <w:jc w:val="center"/>
            </w:pPr>
            <w:r>
              <w:rPr>
                <w:rFonts w:ascii="Times New Roman" w:hAnsi="Times New Roman" w:cs="Times New Roman"/>
                <w:sz w:val="20"/>
                <w:szCs w:val="20"/>
              </w:rPr>
              <w:t>Discounted Playback Period (DPP), year.</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657D2"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E</m:t>
                    </m:r>
                  </m:e>
                  <m:sub>
                    <m:r>
                      <w:rPr>
                        <w:rFonts w:ascii="Cambria Math" w:hAnsi="Cambria Math"/>
                      </w:rPr>
                      <m:t>11min</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11</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11max</m:t>
                    </m:r>
                  </m:sub>
                </m:sSub>
              </m:oMath>
            </m:oMathPara>
          </w:p>
        </w:tc>
      </w:tr>
      <w:tr w:rsidR="004555E9" w14:paraId="5F53FB8C" w14:textId="77777777" w:rsidTr="00337A6C">
        <w:trPr>
          <w:trHeight w:val="264"/>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E6881" w14:textId="77777777" w:rsidR="004555E9" w:rsidRDefault="004555E9" w:rsidP="00B0771D">
            <w:pPr>
              <w:spacing w:after="0" w:line="276" w:lineRule="auto"/>
              <w:jc w:val="center"/>
              <w:rPr>
                <w:rFonts w:ascii="Times New Roman" w:hAnsi="Times New Roman" w:cs="Times New Roman"/>
                <w:b/>
                <w:bCs/>
                <w:sz w:val="20"/>
                <w:szCs w:val="20"/>
              </w:rPr>
            </w:pP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BDFDA" w14:textId="77777777" w:rsidR="004555E9" w:rsidRDefault="004555E9" w:rsidP="00B0771D">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Workplace characteristics of the investment project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7083" w14:textId="77777777" w:rsidR="004555E9" w:rsidRDefault="004555E9" w:rsidP="00B0771D">
            <w:pPr>
              <w:spacing w:after="0" w:line="276" w:lineRule="auto"/>
              <w:jc w:val="center"/>
              <w:rPr>
                <w:rFonts w:ascii="Times New Roman" w:hAnsi="Times New Roman" w:cs="Times New Roman"/>
                <w:sz w:val="20"/>
                <w:szCs w:val="20"/>
              </w:rPr>
            </w:pPr>
          </w:p>
        </w:tc>
      </w:tr>
      <w:tr w:rsidR="004555E9" w14:paraId="3ACB70B7"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61F46"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A8C1C" w14:textId="77777777" w:rsidR="004555E9" w:rsidRDefault="004555E9" w:rsidP="00B0771D">
            <w:pPr>
              <w:spacing w:after="0" w:line="276" w:lineRule="auto"/>
              <w:jc w:val="center"/>
            </w:pPr>
            <w:r>
              <w:rPr>
                <w:rFonts w:ascii="Times New Roman" w:hAnsi="Times New Roman" w:cs="Times New Roman"/>
                <w:sz w:val="20"/>
                <w:szCs w:val="20"/>
              </w:rPr>
              <w:t>Correspondence of the human resources to the objectives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DD32F"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W</m:t>
                    </m:r>
                  </m:e>
                  <m:sub>
                    <m:r>
                      <w:rPr>
                        <w:rFonts w:ascii="Cambria Math" w:hAnsi="Cambria Math"/>
                      </w:rPr>
                      <m:t>1min</m:t>
                    </m:r>
                  </m:sub>
                </m:sSub>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 xml:space="preserve"> ≤ </m:t>
                </m:r>
                <m:sSub>
                  <m:sSubPr>
                    <m:ctrlPr>
                      <w:rPr>
                        <w:rFonts w:ascii="Cambria Math" w:hAnsi="Cambria Math"/>
                      </w:rPr>
                    </m:ctrlPr>
                  </m:sSubPr>
                  <m:e>
                    <m:r>
                      <w:rPr>
                        <w:rFonts w:ascii="Cambria Math" w:hAnsi="Cambria Math"/>
                      </w:rPr>
                      <m:t>W</m:t>
                    </m:r>
                  </m:e>
                  <m:sub>
                    <m:r>
                      <w:rPr>
                        <w:rFonts w:ascii="Cambria Math" w:hAnsi="Cambria Math"/>
                      </w:rPr>
                      <m:t>1max</m:t>
                    </m:r>
                  </m:sub>
                </m:sSub>
              </m:oMath>
            </m:oMathPara>
          </w:p>
        </w:tc>
      </w:tr>
      <w:tr w:rsidR="004555E9" w14:paraId="01FB4BCC" w14:textId="77777777" w:rsidTr="00337A6C">
        <w:trPr>
          <w:trHeight w:val="792"/>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FF0A0"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2</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F034A" w14:textId="77777777" w:rsidR="004555E9" w:rsidRDefault="004555E9" w:rsidP="00B0771D">
            <w:pPr>
              <w:spacing w:after="0" w:line="276" w:lineRule="auto"/>
              <w:jc w:val="center"/>
            </w:pPr>
            <w:r>
              <w:rPr>
                <w:rFonts w:ascii="Times New Roman" w:hAnsi="Times New Roman" w:cs="Times New Roman"/>
                <w:sz w:val="20"/>
                <w:szCs w:val="20"/>
              </w:rPr>
              <w:t>Correspondence of the managerial culture to the objectives of the investment project (quality of managerial staff),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E0D92"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W</m:t>
                    </m:r>
                  </m:e>
                  <m:sub>
                    <m:r>
                      <w:rPr>
                        <w:rFonts w:ascii="Cambria Math" w:hAnsi="Cambria Math"/>
                      </w:rPr>
                      <m:t>2min</m:t>
                    </m:r>
                  </m:sub>
                </m:sSub>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 xml:space="preserve"> ≤ </m:t>
                </m:r>
                <m:sSub>
                  <m:sSubPr>
                    <m:ctrlPr>
                      <w:rPr>
                        <w:rFonts w:ascii="Cambria Math" w:hAnsi="Cambria Math"/>
                      </w:rPr>
                    </m:ctrlPr>
                  </m:sSubPr>
                  <m:e>
                    <m:r>
                      <w:rPr>
                        <w:rFonts w:ascii="Cambria Math" w:hAnsi="Cambria Math"/>
                      </w:rPr>
                      <m:t>W</m:t>
                    </m:r>
                  </m:e>
                  <m:sub>
                    <m:r>
                      <w:rPr>
                        <w:rFonts w:ascii="Cambria Math" w:hAnsi="Cambria Math"/>
                      </w:rPr>
                      <m:t>2max</m:t>
                    </m:r>
                  </m:sub>
                </m:sSub>
              </m:oMath>
            </m:oMathPara>
          </w:p>
        </w:tc>
      </w:tr>
      <w:tr w:rsidR="004555E9" w14:paraId="182DD247"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7759A"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3</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75A07" w14:textId="77777777" w:rsidR="004555E9" w:rsidRDefault="004555E9" w:rsidP="00B0771D">
            <w:pPr>
              <w:spacing w:after="0" w:line="276" w:lineRule="auto"/>
              <w:jc w:val="center"/>
            </w:pPr>
            <w:r>
              <w:rPr>
                <w:rFonts w:ascii="Times New Roman" w:hAnsi="Times New Roman" w:cs="Times New Roman"/>
                <w:sz w:val="20"/>
                <w:szCs w:val="20"/>
              </w:rPr>
              <w:t>Labour skills,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5C184"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W</m:t>
                    </m:r>
                  </m:e>
                  <m:sub>
                    <m:r>
                      <w:rPr>
                        <w:rFonts w:ascii="Cambria Math" w:hAnsi="Cambria Math"/>
                      </w:rPr>
                      <m:t>3min</m:t>
                    </m:r>
                  </m:sub>
                </m:sSub>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3</m:t>
                    </m:r>
                  </m:sub>
                </m:sSub>
                <m:r>
                  <w:rPr>
                    <w:rFonts w:ascii="Cambria Math" w:hAnsi="Cambria Math"/>
                  </w:rPr>
                  <m:t xml:space="preserve"> ≤ </m:t>
                </m:r>
                <m:sSub>
                  <m:sSubPr>
                    <m:ctrlPr>
                      <w:rPr>
                        <w:rFonts w:ascii="Cambria Math" w:hAnsi="Cambria Math"/>
                      </w:rPr>
                    </m:ctrlPr>
                  </m:sSubPr>
                  <m:e>
                    <m:r>
                      <w:rPr>
                        <w:rFonts w:ascii="Cambria Math" w:hAnsi="Cambria Math"/>
                      </w:rPr>
                      <m:t>W</m:t>
                    </m:r>
                  </m:e>
                  <m:sub>
                    <m:r>
                      <w:rPr>
                        <w:rFonts w:ascii="Cambria Math" w:hAnsi="Cambria Math"/>
                      </w:rPr>
                      <m:t>3max</m:t>
                    </m:r>
                  </m:sub>
                </m:sSub>
              </m:oMath>
            </m:oMathPara>
          </w:p>
        </w:tc>
      </w:tr>
      <w:tr w:rsidR="004555E9" w14:paraId="4AF7CB92" w14:textId="77777777" w:rsidTr="00337A6C">
        <w:trPr>
          <w:trHeight w:val="28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8A1DF"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4</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6A4B4" w14:textId="77777777" w:rsidR="004555E9" w:rsidRDefault="004555E9" w:rsidP="00B0771D">
            <w:pPr>
              <w:spacing w:after="0" w:line="276" w:lineRule="auto"/>
              <w:jc w:val="center"/>
            </w:pPr>
            <w:r>
              <w:rPr>
                <w:rFonts w:ascii="Times New Roman" w:hAnsi="Times New Roman" w:cs="Times New Roman"/>
                <w:sz w:val="20"/>
                <w:szCs w:val="20"/>
              </w:rPr>
              <w:t>Labour motivations,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96C2D"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W</m:t>
                    </m:r>
                  </m:e>
                  <m:sub>
                    <m:r>
                      <w:rPr>
                        <w:rFonts w:ascii="Cambria Math" w:hAnsi="Cambria Math"/>
                      </w:rPr>
                      <m:t>4min</m:t>
                    </m:r>
                  </m:sub>
                </m:sSub>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4</m:t>
                    </m:r>
                  </m:sub>
                </m:sSub>
                <m:r>
                  <w:rPr>
                    <w:rFonts w:ascii="Cambria Math" w:hAnsi="Cambria Math"/>
                  </w:rPr>
                  <m:t xml:space="preserve"> ≤ </m:t>
                </m:r>
                <m:sSub>
                  <m:sSubPr>
                    <m:ctrlPr>
                      <w:rPr>
                        <w:rFonts w:ascii="Cambria Math" w:hAnsi="Cambria Math"/>
                      </w:rPr>
                    </m:ctrlPr>
                  </m:sSubPr>
                  <m:e>
                    <m:r>
                      <w:rPr>
                        <w:rFonts w:ascii="Cambria Math" w:hAnsi="Cambria Math"/>
                      </w:rPr>
                      <m:t>W</m:t>
                    </m:r>
                  </m:e>
                  <m:sub>
                    <m:r>
                      <w:rPr>
                        <w:rFonts w:ascii="Cambria Math" w:hAnsi="Cambria Math"/>
                      </w:rPr>
                      <m:t>4max</m:t>
                    </m:r>
                  </m:sub>
                </m:sSub>
              </m:oMath>
            </m:oMathPara>
          </w:p>
        </w:tc>
      </w:tr>
      <w:tr w:rsidR="004555E9" w14:paraId="2EC71A74" w14:textId="77777777" w:rsidTr="00337A6C">
        <w:trPr>
          <w:trHeight w:val="300"/>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975FC"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5</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00522" w14:textId="77777777" w:rsidR="004555E9" w:rsidRDefault="004555E9" w:rsidP="00B0771D">
            <w:pPr>
              <w:spacing w:after="0" w:line="276" w:lineRule="auto"/>
              <w:jc w:val="center"/>
            </w:pPr>
            <w:r>
              <w:rPr>
                <w:rFonts w:ascii="Times New Roman" w:hAnsi="Times New Roman" w:cs="Times New Roman"/>
                <w:sz w:val="20"/>
                <w:szCs w:val="20"/>
              </w:rPr>
              <w:t>The percentage of local employee,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1D939"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W</m:t>
                    </m:r>
                  </m:e>
                  <m:sub>
                    <m:r>
                      <w:rPr>
                        <w:rFonts w:ascii="Cambria Math" w:hAnsi="Cambria Math"/>
                      </w:rPr>
                      <m:t>5min</m:t>
                    </m:r>
                  </m:sub>
                </m:sSub>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5</m:t>
                    </m:r>
                  </m:sub>
                </m:sSub>
                <m:r>
                  <w:rPr>
                    <w:rFonts w:ascii="Cambria Math" w:hAnsi="Cambria Math"/>
                  </w:rPr>
                  <m:t xml:space="preserve"> ≤ </m:t>
                </m:r>
                <m:sSub>
                  <m:sSubPr>
                    <m:ctrlPr>
                      <w:rPr>
                        <w:rFonts w:ascii="Cambria Math" w:hAnsi="Cambria Math"/>
                      </w:rPr>
                    </m:ctrlPr>
                  </m:sSubPr>
                  <m:e>
                    <m:r>
                      <w:rPr>
                        <w:rFonts w:ascii="Cambria Math" w:hAnsi="Cambria Math"/>
                      </w:rPr>
                      <m:t>W</m:t>
                    </m:r>
                  </m:e>
                  <m:sub>
                    <m:r>
                      <w:rPr>
                        <w:rFonts w:ascii="Cambria Math" w:hAnsi="Cambria Math"/>
                      </w:rPr>
                      <m:t>5max</m:t>
                    </m:r>
                  </m:sub>
                </m:sSub>
              </m:oMath>
            </m:oMathPara>
          </w:p>
        </w:tc>
      </w:tr>
      <w:tr w:rsidR="004555E9" w14:paraId="51E47BDC" w14:textId="77777777" w:rsidTr="00337A6C">
        <w:trPr>
          <w:trHeight w:val="516"/>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E9734" w14:textId="77777777" w:rsidR="004555E9" w:rsidRDefault="004555E9" w:rsidP="00B0771D">
            <w:pPr>
              <w:spacing w:after="0" w:line="276" w:lineRule="auto"/>
              <w:jc w:val="center"/>
              <w:rPr>
                <w:rFonts w:ascii="Times New Roman" w:hAnsi="Times New Roman" w:cs="Times New Roman"/>
                <w:b/>
                <w:bCs/>
                <w:sz w:val="20"/>
                <w:szCs w:val="20"/>
              </w:rPr>
            </w:pP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B6F2D" w14:textId="77777777" w:rsidR="004555E9" w:rsidRDefault="004555E9" w:rsidP="00B0771D">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Characteristics of the product / service provided by the investment project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4B731" w14:textId="77777777" w:rsidR="004555E9" w:rsidRDefault="004555E9" w:rsidP="00B0771D">
            <w:pPr>
              <w:spacing w:after="0" w:line="276" w:lineRule="auto"/>
              <w:jc w:val="center"/>
              <w:rPr>
                <w:rFonts w:ascii="Times New Roman" w:hAnsi="Times New Roman" w:cs="Times New Roman"/>
                <w:sz w:val="20"/>
                <w:szCs w:val="20"/>
              </w:rPr>
            </w:pPr>
          </w:p>
        </w:tc>
      </w:tr>
      <w:tr w:rsidR="004555E9" w14:paraId="68F78F5F"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09571"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1E6D2" w14:textId="77777777" w:rsidR="004555E9" w:rsidRDefault="004555E9" w:rsidP="00B0771D">
            <w:pPr>
              <w:spacing w:after="0" w:line="276" w:lineRule="auto"/>
              <w:jc w:val="center"/>
            </w:pPr>
            <w:r>
              <w:rPr>
                <w:rFonts w:ascii="Times New Roman" w:hAnsi="Times New Roman" w:cs="Times New Roman"/>
                <w:sz w:val="20"/>
                <w:szCs w:val="20"/>
              </w:rPr>
              <w:t>Long-term demand for the product/service provided by the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0C6CE"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P</m:t>
                    </m:r>
                  </m:e>
                  <m:sub>
                    <m:r>
                      <w:rPr>
                        <w:rFonts w:ascii="Cambria Math" w:hAnsi="Cambria Math"/>
                      </w:rPr>
                      <m:t>1min</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1max</m:t>
                    </m:r>
                  </m:sub>
                </m:sSub>
              </m:oMath>
            </m:oMathPara>
          </w:p>
        </w:tc>
      </w:tr>
      <w:tr w:rsidR="004555E9" w14:paraId="4D5318EB"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414BD"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2</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C7FB5" w14:textId="77777777" w:rsidR="004555E9" w:rsidRDefault="004555E9" w:rsidP="00B0771D">
            <w:pPr>
              <w:spacing w:after="0" w:line="276" w:lineRule="auto"/>
              <w:jc w:val="center"/>
            </w:pPr>
            <w:r>
              <w:rPr>
                <w:rFonts w:ascii="Times New Roman" w:hAnsi="Times New Roman" w:cs="Times New Roman"/>
                <w:sz w:val="20"/>
                <w:szCs w:val="20"/>
              </w:rPr>
              <w:t>Availability of materials needed for the operation of the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3611"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P</m:t>
                    </m:r>
                  </m:e>
                  <m:sub>
                    <m:r>
                      <w:rPr>
                        <w:rFonts w:ascii="Cambria Math" w:hAnsi="Cambria Math"/>
                      </w:rPr>
                      <m:t>2min</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2max</m:t>
                    </m:r>
                  </m:sub>
                </m:sSub>
              </m:oMath>
            </m:oMathPara>
          </w:p>
        </w:tc>
      </w:tr>
      <w:tr w:rsidR="004555E9" w14:paraId="4382E9EA"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FDB0C"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3</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30F83" w14:textId="77777777" w:rsidR="004555E9" w:rsidRDefault="004555E9" w:rsidP="00B0771D">
            <w:pPr>
              <w:spacing w:after="0" w:line="276" w:lineRule="auto"/>
              <w:jc w:val="center"/>
            </w:pPr>
            <w:r>
              <w:rPr>
                <w:rFonts w:ascii="Times New Roman" w:hAnsi="Times New Roman" w:cs="Times New Roman"/>
                <w:sz w:val="20"/>
                <w:szCs w:val="20"/>
              </w:rPr>
              <w:t>Correspondence of the product/service to the needs of the market,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6D840"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P</m:t>
                    </m:r>
                  </m:e>
                  <m:sub>
                    <m:r>
                      <w:rPr>
                        <w:rFonts w:ascii="Cambria Math" w:hAnsi="Cambria Math"/>
                      </w:rPr>
                      <m:t>3min</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3max</m:t>
                    </m:r>
                  </m:sub>
                </m:sSub>
              </m:oMath>
            </m:oMathPara>
          </w:p>
        </w:tc>
      </w:tr>
      <w:tr w:rsidR="004555E9" w14:paraId="09461C8A"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4879C" w14:textId="77777777" w:rsidR="004555E9" w:rsidRDefault="00FD76B3" w:rsidP="00B0771D">
            <w:pPr>
              <w:spacing w:after="0" w:line="276" w:lineRule="auto"/>
              <w:jc w:val="cente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4</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317BC" w14:textId="77777777" w:rsidR="004555E9" w:rsidRDefault="004555E9" w:rsidP="00B0771D">
            <w:pPr>
              <w:spacing w:after="0" w:line="276" w:lineRule="auto"/>
              <w:jc w:val="center"/>
            </w:pPr>
            <w:r>
              <w:rPr>
                <w:rFonts w:ascii="Times New Roman" w:hAnsi="Times New Roman" w:cs="Times New Roman"/>
                <w:sz w:val="20"/>
                <w:szCs w:val="20"/>
              </w:rPr>
              <w:t>Social acceptability of the product/service provided by the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23348"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rPr>
                    </m:ctrlPr>
                  </m:sSubPr>
                  <m:e>
                    <m:r>
                      <w:rPr>
                        <w:rFonts w:ascii="Cambria Math" w:hAnsi="Cambria Math"/>
                      </w:rPr>
                      <m:t>P</m:t>
                    </m:r>
                  </m:e>
                  <m:sub>
                    <m:r>
                      <w:rPr>
                        <w:rFonts w:ascii="Cambria Math" w:hAnsi="Cambria Math"/>
                      </w:rPr>
                      <m:t>4min</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4</m:t>
                    </m:r>
                  </m:sub>
                </m:sSub>
                <m:r>
                  <w:rPr>
                    <w:rFonts w:ascii="Cambria Math" w:hAnsi="Cambria Math"/>
                  </w:rPr>
                  <m:t xml:space="preserve"> ≤ </m:t>
                </m:r>
                <m:sSub>
                  <m:sSubPr>
                    <m:ctrlPr>
                      <w:rPr>
                        <w:rFonts w:ascii="Cambria Math" w:hAnsi="Cambria Math"/>
                      </w:rPr>
                    </m:ctrlPr>
                  </m:sSubPr>
                  <m:e>
                    <m:r>
                      <w:rPr>
                        <w:rFonts w:ascii="Cambria Math" w:hAnsi="Cambria Math"/>
                      </w:rPr>
                      <m:t>P</m:t>
                    </m:r>
                  </m:e>
                  <m:sub>
                    <m:r>
                      <w:rPr>
                        <w:rFonts w:ascii="Cambria Math" w:hAnsi="Cambria Math"/>
                      </w:rPr>
                      <m:t>4max</m:t>
                    </m:r>
                  </m:sub>
                </m:sSub>
              </m:oMath>
            </m:oMathPara>
          </w:p>
        </w:tc>
      </w:tr>
      <w:tr w:rsidR="004555E9" w14:paraId="3607A3AB"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8344" w14:textId="77777777" w:rsidR="004555E9" w:rsidRDefault="004555E9" w:rsidP="00B0771D">
            <w:pPr>
              <w:spacing w:after="0" w:line="276" w:lineRule="auto"/>
              <w:jc w:val="center"/>
              <w:rPr>
                <w:rFonts w:ascii="Times New Roman" w:hAnsi="Times New Roman" w:cs="Times New Roman"/>
                <w:sz w:val="20"/>
                <w:szCs w:val="20"/>
              </w:rPr>
            </w:pP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5BD31"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b/>
                <w:bCs/>
                <w:sz w:val="20"/>
                <w:szCs w:val="20"/>
              </w:rPr>
              <w:t>Indicators characterizing the monitoring system of the investment project implementation process</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7D372" w14:textId="77777777" w:rsidR="004555E9" w:rsidRDefault="004555E9" w:rsidP="00B0771D">
            <w:pPr>
              <w:spacing w:after="0" w:line="276" w:lineRule="auto"/>
              <w:jc w:val="center"/>
              <w:rPr>
                <w:rFonts w:ascii="Times New Roman" w:hAnsi="Times New Roman" w:cs="Times New Roman"/>
                <w:sz w:val="20"/>
                <w:szCs w:val="20"/>
              </w:rPr>
            </w:pPr>
          </w:p>
        </w:tc>
      </w:tr>
      <w:tr w:rsidR="004555E9" w14:paraId="6D10B7D0" w14:textId="77777777" w:rsidTr="00337A6C">
        <w:trPr>
          <w:trHeight w:val="516"/>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E9622"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1</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28D56"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sz w:val="20"/>
                <w:szCs w:val="20"/>
              </w:rPr>
              <w:t>The significance of the information provided during the implementation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5072B"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1min</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1</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1max</m:t>
                    </m:r>
                  </m:sub>
                </m:sSub>
              </m:oMath>
            </m:oMathPara>
          </w:p>
        </w:tc>
      </w:tr>
      <w:tr w:rsidR="004555E9" w14:paraId="626B3301"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8936F"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2</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CE052"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sz w:val="20"/>
                <w:szCs w:val="20"/>
              </w:rPr>
              <w:t>The completeness of the information provided during the implementation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658D9"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2min</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2</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2max</m:t>
                    </m:r>
                  </m:sub>
                </m:sSub>
              </m:oMath>
            </m:oMathPara>
          </w:p>
        </w:tc>
      </w:tr>
      <w:tr w:rsidR="004555E9" w14:paraId="2244D17B"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093B7"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3</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FB1F7"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sz w:val="20"/>
                <w:szCs w:val="20"/>
              </w:rPr>
              <w:t>The reliability of the information provided during the implementation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B2C70"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3min</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3</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3max</m:t>
                    </m:r>
                  </m:sub>
                </m:sSub>
              </m:oMath>
            </m:oMathPara>
          </w:p>
        </w:tc>
      </w:tr>
      <w:tr w:rsidR="004555E9" w14:paraId="110A6F09"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51AD9"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4</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3D564"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sz w:val="20"/>
                <w:szCs w:val="20"/>
              </w:rPr>
              <w:t>Timeliness of the information provided during the implementation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E4002"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4min</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4</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4max</m:t>
                    </m:r>
                  </m:sub>
                </m:sSub>
              </m:oMath>
            </m:oMathPara>
          </w:p>
        </w:tc>
      </w:tr>
      <w:tr w:rsidR="004555E9" w14:paraId="58B572D9"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26BBC"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5</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BDF5D"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sz w:val="20"/>
                <w:szCs w:val="20"/>
              </w:rPr>
              <w:t>Clarity of the information provided during the implementation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4EB59"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5min</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5</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5max</m:t>
                    </m:r>
                  </m:sub>
                </m:sSub>
              </m:oMath>
            </m:oMathPara>
          </w:p>
        </w:tc>
      </w:tr>
      <w:tr w:rsidR="004555E9" w14:paraId="6B2AE423" w14:textId="77777777" w:rsidTr="00337A6C">
        <w:trPr>
          <w:trHeight w:val="528"/>
        </w:trPr>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3CD8B"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6</m:t>
                    </m:r>
                  </m:sub>
                </m:sSub>
              </m:oMath>
            </m:oMathPara>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117C0" w14:textId="77777777" w:rsidR="004555E9" w:rsidRDefault="004555E9" w:rsidP="00B0771D">
            <w:pPr>
              <w:spacing w:after="0" w:line="276" w:lineRule="auto"/>
              <w:jc w:val="center"/>
              <w:rPr>
                <w:rFonts w:ascii="Times New Roman" w:hAnsi="Times New Roman" w:cs="Times New Roman"/>
                <w:sz w:val="20"/>
                <w:szCs w:val="20"/>
              </w:rPr>
            </w:pPr>
            <w:r w:rsidRPr="00893CA0">
              <w:rPr>
                <w:rFonts w:asciiTheme="majorBidi" w:hAnsiTheme="majorBidi" w:cstheme="majorBidi"/>
                <w:sz w:val="20"/>
                <w:szCs w:val="20"/>
              </w:rPr>
              <w:t>Relevance of the information provided during the implementation of the investment project, score (1-10).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8FAD1" w14:textId="77777777" w:rsidR="004555E9" w:rsidRDefault="00FD76B3" w:rsidP="00B0771D">
            <w:pPr>
              <w:spacing w:after="0" w:line="276" w:lineRule="auto"/>
              <w:jc w:val="center"/>
              <w:rPr>
                <w:rFonts w:ascii="Times New Roman" w:hAnsi="Times New Roman" w:cs="Times New Roman"/>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6min</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6</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rPr>
                      <m:t>6max</m:t>
                    </m:r>
                  </m:sub>
                </m:sSub>
              </m:oMath>
            </m:oMathPara>
          </w:p>
        </w:tc>
      </w:tr>
    </w:tbl>
    <w:p w14:paraId="41016276" w14:textId="77777777" w:rsidR="004555E9" w:rsidRPr="00B76DD1" w:rsidRDefault="004555E9" w:rsidP="00B76DD1">
      <w:pPr>
        <w:spacing w:after="0" w:line="360" w:lineRule="auto"/>
        <w:jc w:val="both"/>
        <w:rPr>
          <w:rFonts w:asciiTheme="majorBidi" w:eastAsiaTheme="minorEastAsia" w:hAnsiTheme="majorBidi" w:cstheme="majorBidi"/>
          <w:sz w:val="24"/>
          <w:szCs w:val="24"/>
          <w:lang w:val="ru-RU"/>
        </w:rPr>
      </w:pPr>
    </w:p>
    <w:sectPr w:rsidR="004555E9" w:rsidRPr="00B76DD1" w:rsidSect="0001798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A52A" w14:textId="77777777" w:rsidR="00FD76B3" w:rsidRDefault="00FD76B3">
      <w:pPr>
        <w:spacing w:after="0" w:line="240" w:lineRule="auto"/>
      </w:pPr>
      <w:r>
        <w:separator/>
      </w:r>
    </w:p>
  </w:endnote>
  <w:endnote w:type="continuationSeparator" w:id="0">
    <w:p w14:paraId="0472A29A" w14:textId="77777777" w:rsidR="00FD76B3" w:rsidRDefault="00FD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nowledge Regular">
    <w:altName w:val="Calibri"/>
    <w:panose1 w:val="00000000000000000000"/>
    <w:charset w:val="00"/>
    <w:family w:val="swiss"/>
    <w:notTrueType/>
    <w:pitch w:val="default"/>
    <w:sig w:usb0="00000003" w:usb1="00000000" w:usb2="00000000" w:usb3="00000000" w:csb0="00000001" w:csb1="00000000"/>
  </w:font>
  <w:font w:name="TimesNewRomanPSMT">
    <w:altName w:val="Cambria"/>
    <w:panose1 w:val="00000000000000000000"/>
    <w:charset w:val="CC"/>
    <w:family w:val="roman"/>
    <w:notTrueType/>
    <w:pitch w:val="default"/>
    <w:sig w:usb0="00000201" w:usb1="00000000" w:usb2="00000000" w:usb3="00000000" w:csb0="00000004"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Identity-H">
    <w:altName w:val="Arial"/>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AB40" w14:textId="77777777" w:rsidR="00FD76B3" w:rsidRDefault="00FD76B3">
      <w:pPr>
        <w:spacing w:after="0" w:line="240" w:lineRule="auto"/>
      </w:pPr>
      <w:r>
        <w:rPr>
          <w:color w:val="000000"/>
        </w:rPr>
        <w:separator/>
      </w:r>
    </w:p>
  </w:footnote>
  <w:footnote w:type="continuationSeparator" w:id="0">
    <w:p w14:paraId="2187C810" w14:textId="77777777" w:rsidR="00FD76B3" w:rsidRDefault="00FD76B3">
      <w:pPr>
        <w:spacing w:after="0" w:line="240" w:lineRule="auto"/>
      </w:pPr>
      <w:r>
        <w:continuationSeparator/>
      </w:r>
    </w:p>
  </w:footnote>
  <w:footnote w:id="1">
    <w:p w14:paraId="26B8A3A9" w14:textId="28F87C6A" w:rsidR="00153248" w:rsidRPr="00E75908" w:rsidRDefault="00153248" w:rsidP="00E75908">
      <w:pPr>
        <w:pStyle w:val="FootnoteText"/>
        <w:jc w:val="both"/>
        <w:rPr>
          <w:rFonts w:asciiTheme="majorBidi" w:hAnsiTheme="majorBidi" w:cstheme="majorBidi"/>
        </w:rPr>
      </w:pPr>
      <w:r w:rsidRPr="00E75908">
        <w:rPr>
          <w:rFonts w:asciiTheme="majorBidi" w:hAnsiTheme="majorBidi" w:cstheme="majorBidi"/>
          <w:vertAlign w:val="superscript"/>
        </w:rPr>
        <w:footnoteRef/>
      </w:r>
      <w:r w:rsidRPr="00E75908">
        <w:rPr>
          <w:rFonts w:asciiTheme="majorBidi" w:hAnsiTheme="majorBidi" w:cstheme="majorBidi"/>
          <w:vertAlign w:val="superscript"/>
        </w:rPr>
        <w:t xml:space="preserve">  </w:t>
      </w:r>
      <w:r w:rsidRPr="00E75908">
        <w:rPr>
          <w:rFonts w:asciiTheme="majorBidi" w:hAnsiTheme="majorBidi" w:cstheme="majorBidi"/>
        </w:rPr>
        <w:t>Megginson W.L. Introduction to the special issue on project finance. Review of Financial Economics, 2010</w:t>
      </w:r>
      <w:r>
        <w:rPr>
          <w:rFonts w:asciiTheme="majorBidi" w:hAnsiTheme="majorBidi" w:cstheme="majorBidi"/>
          <w:lang w:val="en-US"/>
        </w:rPr>
        <w:t>.</w:t>
      </w:r>
      <w:r w:rsidRPr="00E75908">
        <w:rPr>
          <w:rFonts w:asciiTheme="majorBidi" w:hAnsiTheme="majorBidi" w:cstheme="majorBidi"/>
        </w:rPr>
        <w:t xml:space="preserve"> </w:t>
      </w:r>
    </w:p>
  </w:footnote>
  <w:footnote w:id="2">
    <w:p w14:paraId="146B5148" w14:textId="05C3ED8C" w:rsidR="00153248" w:rsidRPr="00E75908" w:rsidRDefault="00153248" w:rsidP="00E75908">
      <w:pPr>
        <w:pStyle w:val="FootnoteText"/>
        <w:jc w:val="both"/>
        <w:rPr>
          <w:rFonts w:asciiTheme="majorBidi" w:hAnsiTheme="majorBidi" w:cstheme="majorBidi"/>
        </w:rPr>
      </w:pPr>
      <w:r w:rsidRPr="00E75908">
        <w:rPr>
          <w:rFonts w:asciiTheme="majorBidi" w:hAnsiTheme="majorBidi" w:cstheme="majorBidi"/>
          <w:vertAlign w:val="superscript"/>
        </w:rPr>
        <w:footnoteRef/>
      </w:r>
      <w:r w:rsidRPr="00E75908">
        <w:rPr>
          <w:rFonts w:asciiTheme="majorBidi" w:hAnsiTheme="majorBidi" w:cstheme="majorBidi"/>
        </w:rPr>
        <w:t xml:space="preserve"> Kleimeier</w:t>
      </w:r>
      <w:r>
        <w:rPr>
          <w:rFonts w:asciiTheme="majorBidi" w:hAnsiTheme="majorBidi" w:cstheme="majorBidi"/>
        </w:rPr>
        <w:t xml:space="preserve"> S.</w:t>
      </w:r>
      <w:r w:rsidRPr="00E75908">
        <w:rPr>
          <w:rFonts w:asciiTheme="majorBidi" w:hAnsiTheme="majorBidi" w:cstheme="majorBidi"/>
        </w:rPr>
        <w:t>, Versteeg</w:t>
      </w:r>
      <w:r>
        <w:rPr>
          <w:rFonts w:asciiTheme="majorBidi" w:hAnsiTheme="majorBidi" w:cstheme="majorBidi"/>
        </w:rPr>
        <w:t xml:space="preserve"> R.</w:t>
      </w:r>
      <w:r w:rsidRPr="00E75908">
        <w:rPr>
          <w:rFonts w:asciiTheme="majorBidi" w:hAnsiTheme="majorBidi" w:cstheme="majorBidi"/>
        </w:rPr>
        <w:t xml:space="preserve"> Project ﬁnance as a driver of economic growth in low-income countries</w:t>
      </w:r>
      <w:r>
        <w:rPr>
          <w:rFonts w:asciiTheme="majorBidi" w:hAnsiTheme="majorBidi" w:cstheme="majorBidi"/>
        </w:rPr>
        <w:t>. 2010.</w:t>
      </w:r>
      <w:r w:rsidRPr="00E75908">
        <w:rPr>
          <w:rFonts w:asciiTheme="majorBidi" w:hAnsiTheme="majorBidi" w:cstheme="majorBidi"/>
        </w:rPr>
        <w:t xml:space="preserve"> P.2.</w:t>
      </w:r>
    </w:p>
  </w:footnote>
  <w:footnote w:id="3">
    <w:p w14:paraId="7419E42F" w14:textId="02FBCF61" w:rsidR="00153248" w:rsidRPr="00E75908" w:rsidRDefault="00153248" w:rsidP="00E75908">
      <w:pPr>
        <w:pStyle w:val="FootnoteText"/>
        <w:jc w:val="both"/>
        <w:rPr>
          <w:rFonts w:asciiTheme="majorBidi" w:hAnsiTheme="majorBidi" w:cstheme="majorBidi"/>
        </w:rPr>
      </w:pPr>
      <w:r w:rsidRPr="00E75908">
        <w:rPr>
          <w:rFonts w:asciiTheme="majorBidi" w:hAnsiTheme="majorBidi" w:cstheme="majorBidi"/>
          <w:vertAlign w:val="superscript"/>
        </w:rPr>
        <w:footnoteRef/>
      </w:r>
      <w:r>
        <w:rPr>
          <w:rFonts w:asciiTheme="majorBidi" w:hAnsiTheme="majorBidi" w:cstheme="majorBidi"/>
        </w:rPr>
        <w:t xml:space="preserve"> </w:t>
      </w:r>
      <w:r w:rsidRPr="00E75908">
        <w:rPr>
          <w:rFonts w:asciiTheme="majorBidi" w:hAnsiTheme="majorBidi" w:cstheme="majorBidi"/>
        </w:rPr>
        <w:t>Kleimeier S.</w:t>
      </w:r>
      <w:r>
        <w:rPr>
          <w:rFonts w:asciiTheme="majorBidi" w:hAnsiTheme="majorBidi" w:cstheme="majorBidi"/>
        </w:rPr>
        <w:t>,</w:t>
      </w:r>
      <w:r w:rsidRPr="00E75908">
        <w:rPr>
          <w:rFonts w:asciiTheme="majorBidi" w:hAnsiTheme="majorBidi" w:cstheme="majorBidi"/>
        </w:rPr>
        <w:t xml:space="preserve"> Megginson W.L. Are project finance loans different from other syndicated credits? Journal of Applied Corporate Finance, 2000.</w:t>
      </w:r>
    </w:p>
  </w:footnote>
  <w:footnote w:id="4">
    <w:p w14:paraId="2053E5A6" w14:textId="77777777" w:rsidR="00153248" w:rsidRPr="00E75908" w:rsidRDefault="00153248" w:rsidP="00E75908">
      <w:pPr>
        <w:pStyle w:val="FootnoteText"/>
        <w:jc w:val="both"/>
        <w:rPr>
          <w:rFonts w:asciiTheme="majorBidi" w:hAnsiTheme="majorBidi" w:cstheme="majorBidi"/>
        </w:rPr>
      </w:pPr>
      <w:r w:rsidRPr="00E75908">
        <w:rPr>
          <w:rFonts w:asciiTheme="majorBidi" w:hAnsiTheme="majorBidi" w:cstheme="majorBidi"/>
          <w:vertAlign w:val="superscript"/>
        </w:rPr>
        <w:footnoteRef/>
      </w:r>
      <w:r w:rsidRPr="00E75908">
        <w:rPr>
          <w:rFonts w:asciiTheme="majorBidi" w:hAnsiTheme="majorBidi" w:cstheme="majorBidi"/>
        </w:rPr>
        <w:t xml:space="preserve"> Davis H.A. Project finance: Practical case studies. London: Euromoney Publications, 1996.</w:t>
      </w:r>
    </w:p>
  </w:footnote>
  <w:footnote w:id="5">
    <w:p w14:paraId="5C988B4E" w14:textId="6ADDED0E" w:rsidR="00153248" w:rsidRPr="009D748E" w:rsidRDefault="00153248" w:rsidP="009D748E">
      <w:pPr>
        <w:pStyle w:val="FootnoteText"/>
        <w:jc w:val="both"/>
        <w:rPr>
          <w:rFonts w:asciiTheme="majorBidi" w:hAnsiTheme="majorBidi" w:cstheme="majorBidi"/>
        </w:rPr>
      </w:pPr>
      <w:r w:rsidRPr="00E75908">
        <w:rPr>
          <w:rFonts w:asciiTheme="majorBidi" w:hAnsiTheme="majorBidi" w:cstheme="majorBidi"/>
          <w:vertAlign w:val="superscript"/>
        </w:rPr>
        <w:footnoteRef/>
      </w:r>
      <w:r w:rsidRPr="00E75908">
        <w:rPr>
          <w:rFonts w:asciiTheme="majorBidi" w:hAnsiTheme="majorBidi" w:cstheme="majorBidi"/>
        </w:rPr>
        <w:t xml:space="preserve"> </w:t>
      </w:r>
      <w:r w:rsidRPr="009D748E">
        <w:rPr>
          <w:rFonts w:asciiTheme="majorBidi" w:hAnsiTheme="majorBidi" w:cstheme="majorBidi"/>
        </w:rPr>
        <w:t>Chan-Lau J</w:t>
      </w:r>
      <w:r>
        <w:rPr>
          <w:rFonts w:asciiTheme="majorBidi" w:hAnsiTheme="majorBidi" w:cstheme="majorBidi"/>
        </w:rPr>
        <w:t>.</w:t>
      </w:r>
      <w:r w:rsidRPr="009D748E">
        <w:rPr>
          <w:rFonts w:asciiTheme="majorBidi" w:hAnsiTheme="majorBidi" w:cstheme="majorBidi"/>
        </w:rPr>
        <w:t>A</w:t>
      </w:r>
      <w:r>
        <w:rPr>
          <w:rFonts w:asciiTheme="majorBidi" w:hAnsiTheme="majorBidi" w:cstheme="majorBidi"/>
        </w:rPr>
        <w:t>.</w:t>
      </w:r>
      <w:r w:rsidRPr="009D748E">
        <w:rPr>
          <w:rFonts w:asciiTheme="majorBidi" w:hAnsiTheme="majorBidi" w:cstheme="majorBidi"/>
        </w:rPr>
        <w:t xml:space="preserve">, </w:t>
      </w:r>
      <w:proofErr w:type="spellStart"/>
      <w:r w:rsidRPr="009D748E">
        <w:rPr>
          <w:rFonts w:asciiTheme="majorBidi" w:hAnsiTheme="majorBidi" w:cstheme="majorBidi"/>
        </w:rPr>
        <w:t>Kelhoffer</w:t>
      </w:r>
      <w:proofErr w:type="spellEnd"/>
      <w:r w:rsidRPr="009D748E">
        <w:rPr>
          <w:rFonts w:asciiTheme="majorBidi" w:hAnsiTheme="majorBidi" w:cstheme="majorBidi"/>
        </w:rPr>
        <w:t xml:space="preserve"> K</w:t>
      </w:r>
      <w:r>
        <w:rPr>
          <w:rFonts w:asciiTheme="majorBidi" w:hAnsiTheme="majorBidi" w:cstheme="majorBidi"/>
        </w:rPr>
        <w:t>.</w:t>
      </w:r>
      <w:r w:rsidRPr="009D748E">
        <w:rPr>
          <w:rFonts w:asciiTheme="majorBidi" w:hAnsiTheme="majorBidi" w:cstheme="majorBidi"/>
        </w:rPr>
        <w:t>, Zhang J. Long-Run Economic Growth: Does Project Finance Matter</w:t>
      </w:r>
      <w:r>
        <w:rPr>
          <w:rFonts w:asciiTheme="majorBidi" w:hAnsiTheme="majorBidi" w:cstheme="majorBidi"/>
        </w:rPr>
        <w:t xml:space="preserve"> 2016. </w:t>
      </w:r>
      <w:r w:rsidRPr="00E75908">
        <w:rPr>
          <w:rFonts w:asciiTheme="majorBidi" w:hAnsiTheme="majorBidi" w:cstheme="majorBidi"/>
        </w:rPr>
        <w:t>P.3.</w:t>
      </w:r>
    </w:p>
  </w:footnote>
  <w:footnote w:id="6">
    <w:p w14:paraId="7A43F2D9" w14:textId="77777777" w:rsidR="00153248" w:rsidRPr="00D73627" w:rsidRDefault="00153248" w:rsidP="001753FC">
      <w:pPr>
        <w:pStyle w:val="FootnoteText"/>
        <w:rPr>
          <w:rFonts w:asciiTheme="majorBidi" w:hAnsiTheme="majorBidi" w:cstheme="majorBidi"/>
        </w:rPr>
      </w:pPr>
      <w:r>
        <w:rPr>
          <w:rStyle w:val="FootnoteReference"/>
        </w:rPr>
        <w:footnoteRef/>
      </w:r>
      <w:r>
        <w:t xml:space="preserve"> </w:t>
      </w:r>
      <w:r w:rsidRPr="00D73627">
        <w:rPr>
          <w:rFonts w:asciiTheme="majorBidi" w:hAnsiTheme="majorBidi" w:cstheme="majorBidi"/>
        </w:rPr>
        <w:t>The Commonwealth of Independent States: Armenia, Azerbaijan, Belarus, Kazakhstan, Kyrgyzstan, Moldova, Russia, Tajikistan, and Uzbekistan.</w:t>
      </w:r>
    </w:p>
  </w:footnote>
  <w:footnote w:id="7">
    <w:p w14:paraId="59434FF0" w14:textId="6BC92D35" w:rsidR="00153248" w:rsidRPr="007E619B" w:rsidRDefault="00153248" w:rsidP="007E619B">
      <w:pPr>
        <w:pStyle w:val="FootnoteText"/>
        <w:jc w:val="both"/>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Triantis J</w:t>
      </w:r>
      <w:r>
        <w:rPr>
          <w:rFonts w:asciiTheme="majorBidi" w:hAnsiTheme="majorBidi" w:cstheme="majorBidi"/>
        </w:rPr>
        <w:t>.</w:t>
      </w:r>
      <w:r w:rsidRPr="007E619B">
        <w:rPr>
          <w:rFonts w:asciiTheme="majorBidi" w:hAnsiTheme="majorBidi" w:cstheme="majorBidi"/>
        </w:rPr>
        <w:t>R. Project finance for business development. John Wiley &amp; Sons</w:t>
      </w:r>
      <w:r>
        <w:rPr>
          <w:rFonts w:asciiTheme="majorBidi" w:hAnsiTheme="majorBidi" w:cstheme="majorBidi"/>
        </w:rPr>
        <w:t>,</w:t>
      </w:r>
      <w:r w:rsidRPr="007E619B">
        <w:rPr>
          <w:rFonts w:asciiTheme="majorBidi" w:hAnsiTheme="majorBidi" w:cstheme="majorBidi"/>
        </w:rPr>
        <w:t xml:space="preserve"> 2018.</w:t>
      </w:r>
      <w:r>
        <w:rPr>
          <w:rFonts w:asciiTheme="majorBidi" w:hAnsiTheme="majorBidi" w:cstheme="majorBidi"/>
        </w:rPr>
        <w:t xml:space="preserve"> P.3.</w:t>
      </w:r>
    </w:p>
  </w:footnote>
  <w:footnote w:id="8">
    <w:p w14:paraId="065E8946" w14:textId="700F4275" w:rsidR="00153248" w:rsidRPr="007E619B" w:rsidRDefault="00153248" w:rsidP="007E619B">
      <w:pPr>
        <w:pStyle w:val="FootnoteText"/>
        <w:jc w:val="both"/>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Finnerty J</w:t>
      </w:r>
      <w:r>
        <w:rPr>
          <w:rFonts w:asciiTheme="majorBidi" w:hAnsiTheme="majorBidi" w:cstheme="majorBidi"/>
        </w:rPr>
        <w:t>.</w:t>
      </w:r>
      <w:r w:rsidRPr="007E619B">
        <w:rPr>
          <w:rFonts w:asciiTheme="majorBidi" w:hAnsiTheme="majorBidi" w:cstheme="majorBidi"/>
        </w:rPr>
        <w:t>D. Project financing: Asset-based financial engineering. John Wiley &amp; Sons</w:t>
      </w:r>
      <w:r>
        <w:rPr>
          <w:rFonts w:asciiTheme="majorBidi" w:hAnsiTheme="majorBidi" w:cstheme="majorBidi"/>
        </w:rPr>
        <w:t>,</w:t>
      </w:r>
      <w:r w:rsidRPr="007E619B">
        <w:rPr>
          <w:rFonts w:asciiTheme="majorBidi" w:hAnsiTheme="majorBidi" w:cstheme="majorBidi"/>
        </w:rPr>
        <w:t xml:space="preserve"> 2013.</w:t>
      </w:r>
    </w:p>
  </w:footnote>
  <w:footnote w:id="9">
    <w:p w14:paraId="68FD55B7" w14:textId="3FAEDA5E" w:rsidR="00153248" w:rsidRPr="00C71B3F" w:rsidRDefault="00153248" w:rsidP="007E619B">
      <w:pPr>
        <w:autoSpaceDE w:val="0"/>
        <w:spacing w:after="0" w:line="240" w:lineRule="auto"/>
        <w:jc w:val="both"/>
        <w:rPr>
          <w:rFonts w:asciiTheme="minorHAnsi" w:hAnsiTheme="minorHAnsi"/>
          <w:sz w:val="18"/>
          <w:szCs w:val="18"/>
        </w:rPr>
      </w:pPr>
      <w:r w:rsidRPr="007E619B">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E619B">
        <w:rPr>
          <w:rFonts w:asciiTheme="majorBidi" w:hAnsiTheme="majorBidi" w:cstheme="majorBidi"/>
          <w:sz w:val="20"/>
          <w:szCs w:val="20"/>
        </w:rPr>
        <w:t>Yescombe E</w:t>
      </w:r>
      <w:r>
        <w:rPr>
          <w:rFonts w:asciiTheme="majorBidi" w:hAnsiTheme="majorBidi" w:cstheme="majorBidi"/>
          <w:sz w:val="20"/>
          <w:szCs w:val="20"/>
        </w:rPr>
        <w:t>.</w:t>
      </w:r>
      <w:r w:rsidRPr="007E619B">
        <w:rPr>
          <w:rFonts w:asciiTheme="majorBidi" w:hAnsiTheme="majorBidi" w:cstheme="majorBidi"/>
          <w:sz w:val="20"/>
          <w:szCs w:val="20"/>
        </w:rPr>
        <w:t>R. Public-Private Partnerships: principles of policy and finance. 2007</w:t>
      </w:r>
      <w:r>
        <w:rPr>
          <w:rFonts w:asciiTheme="majorBidi" w:hAnsiTheme="majorBidi" w:cstheme="majorBidi"/>
          <w:sz w:val="20"/>
          <w:szCs w:val="20"/>
        </w:rPr>
        <w:t>.</w:t>
      </w:r>
      <w:r w:rsidRPr="007E619B">
        <w:rPr>
          <w:rFonts w:asciiTheme="majorBidi" w:hAnsiTheme="majorBidi" w:cstheme="majorBidi"/>
          <w:sz w:val="20"/>
          <w:szCs w:val="20"/>
        </w:rPr>
        <w:t xml:space="preserve"> </w:t>
      </w:r>
      <w:r>
        <w:rPr>
          <w:rFonts w:asciiTheme="majorBidi" w:hAnsiTheme="majorBidi" w:cstheme="majorBidi"/>
          <w:sz w:val="20"/>
          <w:szCs w:val="20"/>
        </w:rPr>
        <w:t>P.</w:t>
      </w:r>
      <w:r w:rsidRPr="007E619B">
        <w:rPr>
          <w:rFonts w:asciiTheme="majorBidi" w:hAnsiTheme="majorBidi" w:cstheme="majorBidi"/>
          <w:sz w:val="20"/>
          <w:szCs w:val="20"/>
        </w:rPr>
        <w:t>113.</w:t>
      </w:r>
    </w:p>
  </w:footnote>
  <w:footnote w:id="10">
    <w:p w14:paraId="59CE3601" w14:textId="31FC1853" w:rsidR="00153248" w:rsidRPr="007E619B" w:rsidRDefault="00153248" w:rsidP="007E619B">
      <w:pPr>
        <w:pStyle w:val="FootnoteText"/>
        <w:jc w:val="both"/>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Megginson W</w:t>
      </w:r>
      <w:r>
        <w:rPr>
          <w:rFonts w:asciiTheme="majorBidi" w:hAnsiTheme="majorBidi" w:cstheme="majorBidi"/>
        </w:rPr>
        <w:t>.</w:t>
      </w:r>
      <w:r w:rsidRPr="007E619B">
        <w:rPr>
          <w:rFonts w:asciiTheme="majorBidi" w:hAnsiTheme="majorBidi" w:cstheme="majorBidi"/>
        </w:rPr>
        <w:t xml:space="preserve">L. </w:t>
      </w:r>
      <w:r>
        <w:rPr>
          <w:rFonts w:asciiTheme="majorBidi" w:hAnsiTheme="majorBidi" w:cstheme="majorBidi"/>
        </w:rPr>
        <w:t>Ibid</w:t>
      </w:r>
      <w:r w:rsidRPr="007E619B">
        <w:rPr>
          <w:rFonts w:asciiTheme="majorBidi" w:hAnsiTheme="majorBidi" w:cstheme="majorBidi"/>
        </w:rPr>
        <w:t>.</w:t>
      </w:r>
    </w:p>
  </w:footnote>
  <w:footnote w:id="11">
    <w:p w14:paraId="56FAAD1D" w14:textId="12B67191" w:rsidR="00153248" w:rsidRPr="007E619B" w:rsidRDefault="00153248" w:rsidP="007E619B">
      <w:pPr>
        <w:pStyle w:val="FootnoteText"/>
        <w:jc w:val="both"/>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Yescombe E</w:t>
      </w:r>
      <w:r>
        <w:rPr>
          <w:rFonts w:asciiTheme="majorBidi" w:hAnsiTheme="majorBidi" w:cstheme="majorBidi"/>
        </w:rPr>
        <w:t>.</w:t>
      </w:r>
      <w:r w:rsidRPr="007E619B">
        <w:rPr>
          <w:rFonts w:asciiTheme="majorBidi" w:hAnsiTheme="majorBidi" w:cstheme="majorBidi"/>
        </w:rPr>
        <w:t>R. Principles of project finance. Academic Press</w:t>
      </w:r>
      <w:r>
        <w:rPr>
          <w:rFonts w:asciiTheme="majorBidi" w:hAnsiTheme="majorBidi" w:cstheme="majorBidi"/>
        </w:rPr>
        <w:t>,</w:t>
      </w:r>
      <w:r w:rsidRPr="007E619B">
        <w:rPr>
          <w:rFonts w:asciiTheme="majorBidi" w:hAnsiTheme="majorBidi" w:cstheme="majorBidi"/>
        </w:rPr>
        <w:t xml:space="preserve"> 2013. P.8.</w:t>
      </w:r>
    </w:p>
  </w:footnote>
  <w:footnote w:id="12">
    <w:p w14:paraId="6FA63D5D" w14:textId="77BCE35D" w:rsidR="00153248" w:rsidRPr="00D220B2" w:rsidRDefault="00153248" w:rsidP="007E619B">
      <w:pPr>
        <w:pStyle w:val="FootnoteText"/>
        <w:jc w:val="both"/>
        <w:rPr>
          <w:lang w:val="en-US"/>
        </w:rPr>
      </w:pPr>
      <w:r w:rsidRPr="007E619B">
        <w:rPr>
          <w:rStyle w:val="FootnoteReference"/>
          <w:rFonts w:asciiTheme="majorBidi" w:hAnsiTheme="majorBidi" w:cstheme="majorBidi"/>
        </w:rPr>
        <w:footnoteRef/>
      </w:r>
      <w:r w:rsidRPr="007E619B">
        <w:rPr>
          <w:rFonts w:asciiTheme="majorBidi" w:hAnsiTheme="majorBidi" w:cstheme="majorBidi"/>
        </w:rPr>
        <w:t xml:space="preserve"> </w:t>
      </w:r>
      <w:r w:rsidRPr="007E619B">
        <w:rPr>
          <w:rFonts w:asciiTheme="majorBidi" w:hAnsiTheme="majorBidi" w:cstheme="majorBidi"/>
          <w:lang w:val="en-US"/>
        </w:rPr>
        <w:t>Yescombe E</w:t>
      </w:r>
      <w:r>
        <w:rPr>
          <w:rFonts w:asciiTheme="majorBidi" w:hAnsiTheme="majorBidi" w:cstheme="majorBidi"/>
          <w:lang w:val="en-US"/>
        </w:rPr>
        <w:t>.</w:t>
      </w:r>
      <w:r w:rsidRPr="007E619B">
        <w:rPr>
          <w:rFonts w:asciiTheme="majorBidi" w:hAnsiTheme="majorBidi" w:cstheme="majorBidi"/>
          <w:lang w:val="en-US"/>
        </w:rPr>
        <w:t xml:space="preserve">R. </w:t>
      </w:r>
      <w:r>
        <w:rPr>
          <w:rFonts w:asciiTheme="majorBidi" w:hAnsiTheme="majorBidi" w:cstheme="majorBidi"/>
          <w:lang w:val="en-US"/>
        </w:rPr>
        <w:t>Ibid.</w:t>
      </w:r>
      <w:r w:rsidRPr="007E619B">
        <w:rPr>
          <w:rFonts w:asciiTheme="majorBidi" w:hAnsiTheme="majorBidi" w:cstheme="majorBidi"/>
          <w:lang w:val="en-US"/>
        </w:rPr>
        <w:t xml:space="preserve"> P.29.</w:t>
      </w:r>
    </w:p>
  </w:footnote>
  <w:footnote w:id="13">
    <w:p w14:paraId="41627117" w14:textId="2D4A89D4" w:rsidR="00153248" w:rsidRPr="007E619B" w:rsidRDefault="00153248" w:rsidP="007E619B">
      <w:pPr>
        <w:pStyle w:val="FootnoteText"/>
        <w:jc w:val="both"/>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Bernstein P</w:t>
      </w:r>
      <w:r>
        <w:rPr>
          <w:rFonts w:asciiTheme="majorBidi" w:hAnsiTheme="majorBidi" w:cstheme="majorBidi"/>
        </w:rPr>
        <w:t>.</w:t>
      </w:r>
      <w:r w:rsidRPr="007E619B">
        <w:rPr>
          <w:rFonts w:asciiTheme="majorBidi" w:hAnsiTheme="majorBidi" w:cstheme="majorBidi"/>
        </w:rPr>
        <w:t>L</w:t>
      </w:r>
      <w:r>
        <w:rPr>
          <w:rFonts w:asciiTheme="majorBidi" w:hAnsiTheme="majorBidi" w:cstheme="majorBidi"/>
        </w:rPr>
        <w:t>.</w:t>
      </w:r>
      <w:r w:rsidRPr="007E619B">
        <w:rPr>
          <w:rFonts w:asciiTheme="majorBidi" w:hAnsiTheme="majorBidi" w:cstheme="majorBidi"/>
        </w:rPr>
        <w:t>, Bernstein P</w:t>
      </w:r>
      <w:r>
        <w:rPr>
          <w:rFonts w:asciiTheme="majorBidi" w:hAnsiTheme="majorBidi" w:cstheme="majorBidi"/>
        </w:rPr>
        <w:t>.</w:t>
      </w:r>
      <w:r w:rsidRPr="007E619B">
        <w:rPr>
          <w:rFonts w:asciiTheme="majorBidi" w:hAnsiTheme="majorBidi" w:cstheme="majorBidi"/>
        </w:rPr>
        <w:t>L. Against the Gods: The remarkable story of risk. New York: Wiley</w:t>
      </w:r>
      <w:r>
        <w:rPr>
          <w:rFonts w:asciiTheme="majorBidi" w:hAnsiTheme="majorBidi" w:cstheme="majorBidi"/>
        </w:rPr>
        <w:t>,</w:t>
      </w:r>
      <w:r w:rsidRPr="007E619B">
        <w:rPr>
          <w:rFonts w:asciiTheme="majorBidi" w:hAnsiTheme="majorBidi" w:cstheme="majorBidi"/>
        </w:rPr>
        <w:t xml:space="preserve"> 1996. p.92.</w:t>
      </w:r>
    </w:p>
  </w:footnote>
  <w:footnote w:id="14">
    <w:p w14:paraId="7899506D" w14:textId="64991BB9" w:rsidR="00153248" w:rsidRPr="007E619B" w:rsidRDefault="00153248" w:rsidP="007E619B">
      <w:pPr>
        <w:pStyle w:val="FootnoteText"/>
        <w:jc w:val="both"/>
        <w:rPr>
          <w:rFonts w:asciiTheme="majorBidi" w:hAnsiTheme="majorBidi" w:cstheme="majorBidi"/>
          <w:lang w:val="en-US"/>
        </w:rPr>
      </w:pPr>
      <w:r w:rsidRPr="007E619B">
        <w:rPr>
          <w:rStyle w:val="FootnoteReference"/>
          <w:rFonts w:asciiTheme="majorBidi" w:hAnsiTheme="majorBidi" w:cstheme="majorBidi"/>
        </w:rPr>
        <w:footnoteRef/>
      </w:r>
      <w:r w:rsidRPr="007E619B">
        <w:rPr>
          <w:rFonts w:asciiTheme="majorBidi" w:hAnsiTheme="majorBidi" w:cstheme="majorBidi"/>
        </w:rPr>
        <w:t xml:space="preserve"> Gatti S. Project finance in theory and practice: designing, structuring, and financing private and public projects. Academic Press</w:t>
      </w:r>
      <w:r>
        <w:rPr>
          <w:rFonts w:asciiTheme="majorBidi" w:hAnsiTheme="majorBidi" w:cstheme="majorBidi"/>
        </w:rPr>
        <w:t>,</w:t>
      </w:r>
      <w:r w:rsidRPr="007E619B">
        <w:rPr>
          <w:rFonts w:asciiTheme="majorBidi" w:hAnsiTheme="majorBidi" w:cstheme="majorBidi"/>
        </w:rPr>
        <w:t xml:space="preserve"> 2012. P.27.</w:t>
      </w:r>
    </w:p>
  </w:footnote>
  <w:footnote w:id="15">
    <w:p w14:paraId="6CEF77F1" w14:textId="6E616785" w:rsidR="00153248" w:rsidRDefault="00153248" w:rsidP="007E619B">
      <w:pPr>
        <w:pStyle w:val="FootnoteText"/>
        <w:jc w:val="both"/>
      </w:pPr>
      <w:r w:rsidRPr="007E619B">
        <w:rPr>
          <w:rStyle w:val="FootnoteReference"/>
          <w:rFonts w:asciiTheme="majorBidi" w:hAnsiTheme="majorBidi" w:cstheme="majorBidi"/>
        </w:rPr>
        <w:footnoteRef/>
      </w:r>
      <w:r w:rsidRPr="007E619B">
        <w:rPr>
          <w:rFonts w:asciiTheme="majorBidi" w:hAnsiTheme="majorBidi" w:cstheme="majorBidi"/>
        </w:rPr>
        <w:t xml:space="preserve"> Morgan R</w:t>
      </w:r>
      <w:r>
        <w:rPr>
          <w:rFonts w:asciiTheme="majorBidi" w:hAnsiTheme="majorBidi" w:cstheme="majorBidi"/>
        </w:rPr>
        <w:t>.</w:t>
      </w:r>
      <w:r w:rsidRPr="007E619B">
        <w:rPr>
          <w:rFonts w:asciiTheme="majorBidi" w:hAnsiTheme="majorBidi" w:cstheme="majorBidi"/>
        </w:rPr>
        <w:t>S. Project finance: analysis and cases</w:t>
      </w:r>
      <w:r>
        <w:rPr>
          <w:rFonts w:asciiTheme="majorBidi" w:hAnsiTheme="majorBidi" w:cstheme="majorBidi"/>
        </w:rPr>
        <w:t xml:space="preserve">. </w:t>
      </w:r>
      <w:r w:rsidRPr="007E619B">
        <w:rPr>
          <w:rFonts w:asciiTheme="majorBidi" w:hAnsiTheme="majorBidi" w:cstheme="majorBidi"/>
        </w:rPr>
        <w:t>Doctoral dissertation</w:t>
      </w:r>
      <w:r>
        <w:rPr>
          <w:rFonts w:asciiTheme="majorBidi" w:hAnsiTheme="majorBidi" w:cstheme="majorBidi"/>
        </w:rPr>
        <w:t xml:space="preserve">, </w:t>
      </w:r>
      <w:r w:rsidRPr="007E619B">
        <w:rPr>
          <w:rFonts w:asciiTheme="majorBidi" w:hAnsiTheme="majorBidi" w:cstheme="majorBidi"/>
        </w:rPr>
        <w:t>Massachusetts Institute of Technology</w:t>
      </w:r>
      <w:r>
        <w:rPr>
          <w:rFonts w:asciiTheme="majorBidi" w:hAnsiTheme="majorBidi" w:cstheme="majorBidi"/>
        </w:rPr>
        <w:t xml:space="preserve">, </w:t>
      </w:r>
      <w:r w:rsidRPr="007E619B">
        <w:rPr>
          <w:rFonts w:asciiTheme="majorBidi" w:hAnsiTheme="majorBidi" w:cstheme="majorBidi"/>
        </w:rPr>
        <w:t>1976. P.17.</w:t>
      </w:r>
    </w:p>
  </w:footnote>
  <w:footnote w:id="16">
    <w:p w14:paraId="39D94AF8" w14:textId="013DF96E" w:rsidR="00153248" w:rsidRPr="007E619B" w:rsidRDefault="00153248">
      <w:pPr>
        <w:pStyle w:val="FootnoteText"/>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w:t>
      </w:r>
      <w:proofErr w:type="spellStart"/>
      <w:r w:rsidRPr="00EC06C3">
        <w:rPr>
          <w:rFonts w:asciiTheme="majorBidi" w:hAnsiTheme="majorBidi" w:cstheme="majorBidi"/>
        </w:rPr>
        <w:t>Sapte</w:t>
      </w:r>
      <w:proofErr w:type="spellEnd"/>
      <w:r w:rsidRPr="00EC06C3">
        <w:rPr>
          <w:rFonts w:asciiTheme="majorBidi" w:hAnsiTheme="majorBidi" w:cstheme="majorBidi"/>
        </w:rPr>
        <w:t xml:space="preserve"> D</w:t>
      </w:r>
      <w:r>
        <w:rPr>
          <w:rFonts w:asciiTheme="majorBidi" w:hAnsiTheme="majorBidi" w:cstheme="majorBidi"/>
        </w:rPr>
        <w:t>.</w:t>
      </w:r>
      <w:r w:rsidRPr="00EC06C3">
        <w:rPr>
          <w:rFonts w:asciiTheme="majorBidi" w:hAnsiTheme="majorBidi" w:cstheme="majorBidi"/>
        </w:rPr>
        <w:t xml:space="preserve">W. A guide to Project Finance. London: Denton Wilde </w:t>
      </w:r>
      <w:proofErr w:type="spellStart"/>
      <w:r w:rsidRPr="00EC06C3">
        <w:rPr>
          <w:rFonts w:asciiTheme="majorBidi" w:hAnsiTheme="majorBidi" w:cstheme="majorBidi"/>
        </w:rPr>
        <w:t>Sapte</w:t>
      </w:r>
      <w:proofErr w:type="spellEnd"/>
      <w:r>
        <w:rPr>
          <w:rFonts w:asciiTheme="majorBidi" w:hAnsiTheme="majorBidi" w:cstheme="majorBidi"/>
        </w:rPr>
        <w:t xml:space="preserve">, </w:t>
      </w:r>
      <w:r w:rsidRPr="00EC06C3">
        <w:rPr>
          <w:rFonts w:asciiTheme="majorBidi" w:hAnsiTheme="majorBidi" w:cstheme="majorBidi"/>
        </w:rPr>
        <w:t>2004. P.6.</w:t>
      </w:r>
    </w:p>
  </w:footnote>
  <w:footnote w:id="17">
    <w:p w14:paraId="601DCDA8" w14:textId="4E44E467" w:rsidR="00153248" w:rsidRPr="007E619B" w:rsidRDefault="00153248">
      <w:pPr>
        <w:pStyle w:val="FootnoteText"/>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w:t>
      </w:r>
      <w:r>
        <w:rPr>
          <w:rFonts w:asciiTheme="majorBidi" w:hAnsiTheme="majorBidi" w:cstheme="majorBidi"/>
        </w:rPr>
        <w:t>Project Finance International P</w:t>
      </w:r>
      <w:r w:rsidRPr="007E619B">
        <w:rPr>
          <w:rFonts w:asciiTheme="majorBidi" w:hAnsiTheme="majorBidi" w:cstheme="majorBidi"/>
          <w:lang w:val="en-US"/>
        </w:rPr>
        <w:t>FI</w:t>
      </w:r>
      <w:r>
        <w:rPr>
          <w:rFonts w:asciiTheme="majorBidi" w:hAnsiTheme="majorBidi" w:cstheme="majorBidi"/>
          <w:lang w:val="en-US"/>
        </w:rPr>
        <w:t>. Annual</w:t>
      </w:r>
      <w:r w:rsidRPr="007E619B">
        <w:rPr>
          <w:rFonts w:asciiTheme="majorBidi" w:hAnsiTheme="majorBidi" w:cstheme="majorBidi"/>
          <w:lang w:val="en-US"/>
        </w:rPr>
        <w:t xml:space="preserve"> League Tables. 2018.</w:t>
      </w:r>
      <w:r>
        <w:rPr>
          <w:rFonts w:asciiTheme="majorBidi" w:hAnsiTheme="majorBidi" w:cstheme="majorBidi"/>
          <w:lang w:val="en-US"/>
        </w:rPr>
        <w:t xml:space="preserve"> </w:t>
      </w:r>
      <w:r w:rsidRPr="007E619B">
        <w:rPr>
          <w:rFonts w:asciiTheme="majorBidi" w:hAnsiTheme="majorBidi" w:cstheme="majorBidi"/>
          <w:lang w:val="en-US"/>
        </w:rPr>
        <w:t>P.10.</w:t>
      </w:r>
    </w:p>
  </w:footnote>
  <w:footnote w:id="18">
    <w:p w14:paraId="5E518001" w14:textId="02F76151" w:rsidR="00153248" w:rsidRPr="00AF1F72" w:rsidRDefault="00153248">
      <w:pPr>
        <w:pStyle w:val="FootnoteText"/>
        <w:rPr>
          <w:rFonts w:asciiTheme="majorBidi" w:hAnsiTheme="majorBidi" w:cstheme="majorBidi"/>
          <w:lang w:val="en-US"/>
        </w:rPr>
      </w:pPr>
      <w:r>
        <w:rPr>
          <w:rStyle w:val="FootnoteReference"/>
        </w:rPr>
        <w:footnoteRef/>
      </w:r>
      <w:r>
        <w:t xml:space="preserve"> </w:t>
      </w:r>
      <w:r w:rsidRPr="00AF1F72">
        <w:rPr>
          <w:rFonts w:asciiTheme="majorBidi" w:hAnsiTheme="majorBidi" w:cstheme="majorBidi"/>
          <w:lang w:val="en-US"/>
        </w:rPr>
        <w:t>Caselli S</w:t>
      </w:r>
      <w:r>
        <w:rPr>
          <w:rFonts w:asciiTheme="majorBidi" w:hAnsiTheme="majorBidi" w:cstheme="majorBidi"/>
          <w:lang w:val="en-US"/>
        </w:rPr>
        <w:t>.</w:t>
      </w:r>
      <w:r w:rsidRPr="00AF1F72">
        <w:rPr>
          <w:rFonts w:asciiTheme="majorBidi" w:hAnsiTheme="majorBidi" w:cstheme="majorBidi"/>
          <w:lang w:val="en-US"/>
        </w:rPr>
        <w:t>, Gatti S</w:t>
      </w:r>
      <w:r>
        <w:rPr>
          <w:rFonts w:asciiTheme="majorBidi" w:hAnsiTheme="majorBidi" w:cstheme="majorBidi"/>
          <w:lang w:val="en-US"/>
        </w:rPr>
        <w:t>.</w:t>
      </w:r>
      <w:r w:rsidRPr="00AF1F72">
        <w:rPr>
          <w:rFonts w:asciiTheme="majorBidi" w:hAnsiTheme="majorBidi" w:cstheme="majorBidi"/>
          <w:lang w:val="en-US"/>
        </w:rPr>
        <w:t>, editors. Structured finance: Techniques, products and market. Springer</w:t>
      </w:r>
      <w:r>
        <w:rPr>
          <w:rFonts w:asciiTheme="majorBidi" w:hAnsiTheme="majorBidi" w:cstheme="majorBidi"/>
          <w:lang w:val="en-US"/>
        </w:rPr>
        <w:t>,</w:t>
      </w:r>
      <w:r w:rsidRPr="00AF1F72">
        <w:rPr>
          <w:rFonts w:asciiTheme="majorBidi" w:hAnsiTheme="majorBidi" w:cstheme="majorBidi"/>
          <w:lang w:val="en-US"/>
        </w:rPr>
        <w:t xml:space="preserve"> 2017</w:t>
      </w:r>
      <w:r>
        <w:rPr>
          <w:rFonts w:asciiTheme="majorBidi" w:hAnsiTheme="majorBidi" w:cstheme="majorBidi"/>
          <w:lang w:val="en-US"/>
        </w:rPr>
        <w:t>. P.30.</w:t>
      </w:r>
    </w:p>
  </w:footnote>
  <w:footnote w:id="19">
    <w:p w14:paraId="4125543A" w14:textId="24036A3A" w:rsidR="00153248" w:rsidRPr="00352947" w:rsidRDefault="00153248" w:rsidP="00352947">
      <w:pPr>
        <w:pStyle w:val="FootnoteText"/>
        <w:jc w:val="both"/>
        <w:rPr>
          <w:rFonts w:asciiTheme="majorBidi" w:hAnsiTheme="majorBidi" w:cstheme="majorBidi"/>
          <w:color w:val="222222"/>
          <w:shd w:val="clear" w:color="auto" w:fill="FFFFFF"/>
        </w:rPr>
      </w:pPr>
      <w:r>
        <w:rPr>
          <w:rStyle w:val="FootnoteReference"/>
        </w:rPr>
        <w:footnoteRef/>
      </w:r>
      <w:r>
        <w:rPr>
          <w:rFonts w:asciiTheme="majorBidi" w:hAnsiTheme="majorBidi" w:cstheme="majorBidi"/>
          <w:color w:val="222222"/>
          <w:shd w:val="clear" w:color="auto" w:fill="FFFFFF"/>
        </w:rPr>
        <w:t xml:space="preserve"> </w:t>
      </w:r>
      <w:r w:rsidRPr="00BA2ACC">
        <w:rPr>
          <w:rFonts w:asciiTheme="majorBidi" w:hAnsiTheme="majorBidi" w:cstheme="majorBidi"/>
          <w:color w:val="222222"/>
          <w:shd w:val="clear" w:color="auto" w:fill="FFFFFF"/>
        </w:rPr>
        <w:t>Busse J. Forfaiting: an alternative financing model to project finance for PPPs? </w:t>
      </w:r>
      <w:r>
        <w:rPr>
          <w:rFonts w:asciiTheme="majorBidi" w:hAnsiTheme="majorBidi" w:cstheme="majorBidi"/>
          <w:color w:val="222222"/>
          <w:shd w:val="clear" w:color="auto" w:fill="FFFFFF"/>
        </w:rPr>
        <w:t>Doctoral</w:t>
      </w:r>
      <w:r w:rsidRPr="00BA2ACC">
        <w:rPr>
          <w:rFonts w:asciiTheme="majorBidi" w:hAnsiTheme="majorBidi" w:cstheme="majorBidi"/>
          <w:color w:val="222222"/>
          <w:shd w:val="clear" w:color="auto" w:fill="FFFFFF"/>
        </w:rPr>
        <w:t xml:space="preserve"> dissertation</w:t>
      </w:r>
      <w:r>
        <w:rPr>
          <w:rFonts w:asciiTheme="majorBidi" w:hAnsiTheme="majorBidi" w:cstheme="majorBidi"/>
          <w:color w:val="222222"/>
          <w:shd w:val="clear" w:color="auto" w:fill="FFFFFF"/>
        </w:rPr>
        <w:t xml:space="preserve">, </w:t>
      </w:r>
      <w:proofErr w:type="spellStart"/>
      <w:r w:rsidRPr="00352947">
        <w:rPr>
          <w:rFonts w:asciiTheme="majorBidi" w:hAnsiTheme="majorBidi" w:cstheme="majorBidi"/>
          <w:color w:val="222222"/>
          <w:shd w:val="clear" w:color="auto" w:fill="FFFFFF"/>
        </w:rPr>
        <w:t>Universidade</w:t>
      </w:r>
      <w:proofErr w:type="spellEnd"/>
      <w:r w:rsidRPr="00352947">
        <w:rPr>
          <w:rFonts w:asciiTheme="majorBidi" w:hAnsiTheme="majorBidi" w:cstheme="majorBidi"/>
          <w:color w:val="222222"/>
          <w:shd w:val="clear" w:color="auto" w:fill="FFFFFF"/>
        </w:rPr>
        <w:t xml:space="preserve"> </w:t>
      </w:r>
      <w:proofErr w:type="spellStart"/>
      <w:r w:rsidRPr="00352947">
        <w:rPr>
          <w:rFonts w:asciiTheme="majorBidi" w:hAnsiTheme="majorBidi" w:cstheme="majorBidi"/>
          <w:color w:val="222222"/>
          <w:shd w:val="clear" w:color="auto" w:fill="FFFFFF"/>
        </w:rPr>
        <w:t>Católica</w:t>
      </w:r>
      <w:proofErr w:type="spellEnd"/>
      <w:r w:rsidRPr="00352947">
        <w:rPr>
          <w:rFonts w:asciiTheme="majorBidi" w:hAnsiTheme="majorBidi" w:cstheme="majorBidi"/>
          <w:color w:val="222222"/>
          <w:shd w:val="clear" w:color="auto" w:fill="FFFFFF"/>
        </w:rPr>
        <w:t xml:space="preserve"> Portuguesa</w:t>
      </w:r>
      <w:r>
        <w:rPr>
          <w:rFonts w:asciiTheme="majorBidi" w:hAnsiTheme="majorBidi" w:cstheme="majorBidi"/>
          <w:color w:val="222222"/>
          <w:shd w:val="clear" w:color="auto" w:fill="FFFFFF"/>
        </w:rPr>
        <w:t xml:space="preserve">, 2014. P.22. </w:t>
      </w:r>
    </w:p>
  </w:footnote>
  <w:footnote w:id="20">
    <w:p w14:paraId="0742D53E" w14:textId="163B1CC5" w:rsidR="00153248" w:rsidRPr="007E619B" w:rsidRDefault="00153248" w:rsidP="00C10A46">
      <w:pPr>
        <w:pStyle w:val="FootnoteText"/>
        <w:jc w:val="both"/>
        <w:rPr>
          <w:rFonts w:asciiTheme="majorBidi" w:hAnsiTheme="majorBidi" w:cstheme="majorBidi"/>
        </w:rPr>
      </w:pPr>
      <w:r w:rsidRPr="007E619B">
        <w:rPr>
          <w:rStyle w:val="FootnoteReference"/>
          <w:rFonts w:asciiTheme="majorBidi" w:hAnsiTheme="majorBidi" w:cstheme="majorBidi"/>
        </w:rPr>
        <w:footnoteRef/>
      </w:r>
      <w:r w:rsidRPr="007E619B">
        <w:rPr>
          <w:rFonts w:asciiTheme="majorBidi" w:hAnsiTheme="majorBidi" w:cstheme="majorBidi"/>
        </w:rPr>
        <w:t xml:space="preserve"> </w:t>
      </w:r>
      <w:r w:rsidRPr="007E619B">
        <w:rPr>
          <w:rFonts w:asciiTheme="majorBidi" w:hAnsiTheme="majorBidi" w:cstheme="majorBidi"/>
          <w:color w:val="222222"/>
          <w:shd w:val="clear" w:color="auto" w:fill="FFFFFF"/>
        </w:rPr>
        <w:t>Hassan M</w:t>
      </w:r>
      <w:r>
        <w:rPr>
          <w:rFonts w:asciiTheme="majorBidi" w:hAnsiTheme="majorBidi" w:cstheme="majorBidi"/>
          <w:color w:val="222222"/>
          <w:shd w:val="clear" w:color="auto" w:fill="FFFFFF"/>
        </w:rPr>
        <w:t>.</w:t>
      </w:r>
      <w:r w:rsidRPr="007E619B">
        <w:rPr>
          <w:rFonts w:asciiTheme="majorBidi" w:hAnsiTheme="majorBidi" w:cstheme="majorBidi"/>
          <w:color w:val="222222"/>
          <w:shd w:val="clear" w:color="auto" w:fill="FFFFFF"/>
        </w:rPr>
        <w:t xml:space="preserve">, </w:t>
      </w:r>
      <w:proofErr w:type="spellStart"/>
      <w:r w:rsidRPr="007E619B">
        <w:rPr>
          <w:rFonts w:asciiTheme="majorBidi" w:hAnsiTheme="majorBidi" w:cstheme="majorBidi"/>
          <w:color w:val="222222"/>
          <w:shd w:val="clear" w:color="auto" w:fill="FFFFFF"/>
        </w:rPr>
        <w:t>Dridi</w:t>
      </w:r>
      <w:proofErr w:type="spellEnd"/>
      <w:r w:rsidRPr="007E619B">
        <w:rPr>
          <w:rFonts w:asciiTheme="majorBidi" w:hAnsiTheme="majorBidi" w:cstheme="majorBidi"/>
          <w:color w:val="222222"/>
          <w:shd w:val="clear" w:color="auto" w:fill="FFFFFF"/>
        </w:rPr>
        <w:t xml:space="preserve"> J. The effects of the global financial crisis on Islamic and conventional banks: A comparative study. IMF Working Paper</w:t>
      </w:r>
      <w:r>
        <w:rPr>
          <w:rFonts w:asciiTheme="majorBidi" w:hAnsiTheme="majorBidi" w:cstheme="majorBidi"/>
          <w:color w:val="222222"/>
          <w:shd w:val="clear" w:color="auto" w:fill="FFFFFF"/>
        </w:rPr>
        <w:t>,</w:t>
      </w:r>
      <w:r w:rsidRPr="007E619B">
        <w:rPr>
          <w:rFonts w:asciiTheme="majorBidi" w:hAnsiTheme="majorBidi" w:cstheme="majorBidi"/>
          <w:color w:val="222222"/>
          <w:shd w:val="clear" w:color="auto" w:fill="FFFFFF"/>
        </w:rPr>
        <w:t xml:space="preserve"> 2010.</w:t>
      </w:r>
      <w:r>
        <w:rPr>
          <w:rFonts w:asciiTheme="majorBidi" w:hAnsiTheme="majorBidi" w:cstheme="majorBidi"/>
          <w:color w:val="222222"/>
          <w:shd w:val="clear" w:color="auto" w:fill="FFFFFF"/>
        </w:rPr>
        <w:t xml:space="preserve"> P.20.</w:t>
      </w:r>
    </w:p>
  </w:footnote>
  <w:footnote w:id="21">
    <w:p w14:paraId="4EC02F5D" w14:textId="47B5899E" w:rsidR="00153248" w:rsidRPr="007E619B" w:rsidRDefault="00153248" w:rsidP="007E619B">
      <w:pPr>
        <w:autoSpaceDE w:val="0"/>
        <w:adjustRightInd w:val="0"/>
        <w:spacing w:after="0" w:line="240" w:lineRule="auto"/>
        <w:jc w:val="both"/>
        <w:rPr>
          <w:rFonts w:asciiTheme="majorBidi" w:eastAsia="TimesNewRoman-Identity-H" w:hAnsiTheme="majorBidi" w:cstheme="majorBidi"/>
          <w:sz w:val="20"/>
          <w:szCs w:val="20"/>
          <w:lang w:val="en-US"/>
        </w:rPr>
      </w:pPr>
      <w:r w:rsidRPr="007E619B">
        <w:rPr>
          <w:rStyle w:val="FootnoteReference"/>
          <w:rFonts w:asciiTheme="majorBidi" w:hAnsiTheme="majorBidi" w:cstheme="majorBidi"/>
          <w:sz w:val="20"/>
          <w:szCs w:val="20"/>
        </w:rPr>
        <w:footnoteRef/>
      </w:r>
      <w:r w:rsidRPr="007E619B">
        <w:rPr>
          <w:rFonts w:asciiTheme="majorBidi" w:hAnsiTheme="majorBidi" w:cstheme="majorBidi"/>
          <w:sz w:val="20"/>
          <w:szCs w:val="20"/>
        </w:rPr>
        <w:t xml:space="preserve"> </w:t>
      </w:r>
      <w:r w:rsidRPr="007E619B">
        <w:rPr>
          <w:rFonts w:asciiTheme="majorBidi" w:hAnsiTheme="majorBidi" w:cstheme="majorBidi"/>
          <w:color w:val="222222"/>
          <w:sz w:val="20"/>
          <w:szCs w:val="20"/>
          <w:shd w:val="clear" w:color="auto" w:fill="FFFFFF"/>
        </w:rPr>
        <w:t>Alexander A</w:t>
      </w:r>
      <w:r>
        <w:rPr>
          <w:rFonts w:asciiTheme="majorBidi" w:hAnsiTheme="majorBidi" w:cstheme="majorBidi"/>
          <w:color w:val="222222"/>
          <w:sz w:val="20"/>
          <w:szCs w:val="20"/>
          <w:shd w:val="clear" w:color="auto" w:fill="FFFFFF"/>
        </w:rPr>
        <w:t>.</w:t>
      </w:r>
      <w:r w:rsidRPr="007E619B">
        <w:rPr>
          <w:rFonts w:asciiTheme="majorBidi" w:hAnsiTheme="majorBidi" w:cstheme="majorBidi"/>
          <w:color w:val="222222"/>
          <w:sz w:val="20"/>
          <w:szCs w:val="20"/>
          <w:shd w:val="clear" w:color="auto" w:fill="FFFFFF"/>
        </w:rPr>
        <w:t>J. Shifting title and risk: Islamic project finance with western partners. Mich. J. Int'l L. 2010</w:t>
      </w:r>
      <w:r>
        <w:rPr>
          <w:rFonts w:asciiTheme="majorBidi" w:hAnsiTheme="majorBidi" w:cstheme="majorBidi"/>
          <w:color w:val="222222"/>
          <w:sz w:val="20"/>
          <w:szCs w:val="20"/>
          <w:shd w:val="clear" w:color="auto" w:fill="FFFFFF"/>
        </w:rPr>
        <w:t>. P.574.</w:t>
      </w:r>
    </w:p>
  </w:footnote>
  <w:footnote w:id="22">
    <w:p w14:paraId="3DE5E072" w14:textId="52087D3E" w:rsidR="00153248" w:rsidRPr="007E619B" w:rsidRDefault="00153248" w:rsidP="007E619B">
      <w:pPr>
        <w:pStyle w:val="FootnoteText"/>
        <w:jc w:val="both"/>
        <w:rPr>
          <w:rFonts w:asciiTheme="majorBidi" w:hAnsiTheme="majorBidi" w:cstheme="majorBidi"/>
          <w:lang w:val="en-US"/>
        </w:rPr>
      </w:pPr>
      <w:r w:rsidRPr="007E619B">
        <w:rPr>
          <w:rStyle w:val="FootnoteReference"/>
          <w:rFonts w:asciiTheme="majorBidi" w:hAnsiTheme="majorBidi" w:cstheme="majorBidi"/>
        </w:rPr>
        <w:footnoteRef/>
      </w:r>
      <w:r w:rsidRPr="007E619B">
        <w:rPr>
          <w:rFonts w:asciiTheme="majorBidi" w:hAnsiTheme="majorBidi" w:cstheme="majorBidi"/>
        </w:rPr>
        <w:t xml:space="preserve"> </w:t>
      </w:r>
      <w:r w:rsidRPr="007E619B">
        <w:rPr>
          <w:rFonts w:asciiTheme="majorBidi" w:hAnsiTheme="majorBidi" w:cstheme="majorBidi"/>
          <w:color w:val="222222"/>
          <w:shd w:val="clear" w:color="auto" w:fill="FFFFFF"/>
        </w:rPr>
        <w:t>Farooq M</w:t>
      </w:r>
      <w:r>
        <w:rPr>
          <w:rFonts w:asciiTheme="majorBidi" w:hAnsiTheme="majorBidi" w:cstheme="majorBidi"/>
          <w:color w:val="222222"/>
          <w:shd w:val="clear" w:color="auto" w:fill="FFFFFF"/>
        </w:rPr>
        <w:t>.</w:t>
      </w:r>
      <w:r w:rsidRPr="007E619B">
        <w:rPr>
          <w:rFonts w:asciiTheme="majorBidi" w:hAnsiTheme="majorBidi" w:cstheme="majorBidi"/>
          <w:color w:val="222222"/>
          <w:shd w:val="clear" w:color="auto" w:fill="FFFFFF"/>
        </w:rPr>
        <w:t>O</w:t>
      </w:r>
      <w:r>
        <w:rPr>
          <w:rFonts w:asciiTheme="majorBidi" w:hAnsiTheme="majorBidi" w:cstheme="majorBidi"/>
          <w:color w:val="222222"/>
          <w:shd w:val="clear" w:color="auto" w:fill="FFFFFF"/>
        </w:rPr>
        <w:t>.</w:t>
      </w:r>
      <w:r w:rsidRPr="007E619B">
        <w:rPr>
          <w:rFonts w:asciiTheme="majorBidi" w:hAnsiTheme="majorBidi" w:cstheme="majorBidi"/>
          <w:color w:val="222222"/>
          <w:shd w:val="clear" w:color="auto" w:fill="FFFFFF"/>
        </w:rPr>
        <w:t>, Selim M. Conceptualization of the real economy and Islamic finance: Transformation beyond the asset</w:t>
      </w:r>
      <w:r w:rsidRPr="007E619B">
        <w:rPr>
          <w:rFonts w:ascii="Cambria Math" w:hAnsi="Cambria Math" w:cs="Cambria Math"/>
          <w:color w:val="222222"/>
          <w:shd w:val="clear" w:color="auto" w:fill="FFFFFF"/>
        </w:rPr>
        <w:t>‐</w:t>
      </w:r>
      <w:r w:rsidRPr="007E619B">
        <w:rPr>
          <w:rFonts w:asciiTheme="majorBidi" w:hAnsiTheme="majorBidi" w:cstheme="majorBidi"/>
          <w:color w:val="222222"/>
          <w:shd w:val="clear" w:color="auto" w:fill="FFFFFF"/>
        </w:rPr>
        <w:t>link rhetoric. Thunderbird International Business Review. 2019</w:t>
      </w:r>
      <w:r>
        <w:rPr>
          <w:rFonts w:asciiTheme="majorBidi" w:hAnsiTheme="majorBidi" w:cstheme="majorBidi"/>
          <w:color w:val="222222"/>
          <w:shd w:val="clear" w:color="auto" w:fill="FFFFFF"/>
        </w:rPr>
        <w:t>. P.695.</w:t>
      </w:r>
    </w:p>
  </w:footnote>
  <w:footnote w:id="23">
    <w:p w14:paraId="36E05134" w14:textId="19E29896" w:rsidR="00153248" w:rsidRPr="007E619B" w:rsidRDefault="00153248" w:rsidP="00352E97">
      <w:pPr>
        <w:pStyle w:val="FootnoteText"/>
        <w:jc w:val="both"/>
        <w:rPr>
          <w:rFonts w:asciiTheme="majorBidi" w:hAnsiTheme="majorBidi" w:cstheme="majorBidi"/>
          <w:color w:val="222222"/>
          <w:shd w:val="clear" w:color="auto" w:fill="FFFFFF"/>
        </w:rPr>
      </w:pPr>
      <w:r w:rsidRPr="007E619B">
        <w:rPr>
          <w:rStyle w:val="FootnoteReference"/>
          <w:rFonts w:asciiTheme="majorBidi" w:hAnsiTheme="majorBidi" w:cstheme="majorBidi"/>
        </w:rPr>
        <w:footnoteRef/>
      </w:r>
      <w:r w:rsidRPr="007E619B">
        <w:rPr>
          <w:rFonts w:asciiTheme="majorBidi" w:hAnsiTheme="majorBidi" w:cstheme="majorBidi"/>
        </w:rPr>
        <w:t xml:space="preserve"> </w:t>
      </w:r>
      <w:r w:rsidRPr="007E619B">
        <w:rPr>
          <w:rFonts w:asciiTheme="majorBidi" w:hAnsiTheme="majorBidi" w:cstheme="majorBidi"/>
          <w:color w:val="222222"/>
          <w:shd w:val="clear" w:color="auto" w:fill="FFFFFF"/>
        </w:rPr>
        <w:t>I</w:t>
      </w:r>
      <w:r>
        <w:rPr>
          <w:rFonts w:asciiTheme="majorBidi" w:hAnsiTheme="majorBidi" w:cstheme="majorBidi"/>
          <w:color w:val="222222"/>
          <w:shd w:val="clear" w:color="auto" w:fill="FFFFFF"/>
        </w:rPr>
        <w:t>slamic financial policy. In: Dar H., Azmi S., Bushra Shafique B., eds. Global Islamic financial report 2016.</w:t>
      </w:r>
    </w:p>
  </w:footnote>
  <w:footnote w:id="24">
    <w:p w14:paraId="18A9AE76" w14:textId="047036E6" w:rsidR="00153248" w:rsidRPr="007E619B" w:rsidRDefault="00153248" w:rsidP="00352E97">
      <w:pPr>
        <w:autoSpaceDE w:val="0"/>
        <w:adjustRightInd w:val="0"/>
        <w:spacing w:after="0" w:line="240" w:lineRule="auto"/>
        <w:jc w:val="both"/>
        <w:rPr>
          <w:rFonts w:asciiTheme="majorBidi" w:hAnsiTheme="majorBidi" w:cstheme="majorBidi"/>
          <w:sz w:val="20"/>
          <w:szCs w:val="20"/>
          <w:lang w:val="en-US"/>
        </w:rPr>
      </w:pPr>
      <w:r w:rsidRPr="007E619B">
        <w:rPr>
          <w:rStyle w:val="FootnoteReference"/>
          <w:rFonts w:asciiTheme="majorBidi" w:hAnsiTheme="majorBidi" w:cstheme="majorBidi"/>
          <w:sz w:val="20"/>
          <w:szCs w:val="20"/>
        </w:rPr>
        <w:footnoteRef/>
      </w:r>
      <w:r w:rsidRPr="007E619B">
        <w:rPr>
          <w:rFonts w:asciiTheme="majorBidi" w:hAnsiTheme="majorBidi" w:cstheme="majorBidi"/>
          <w:sz w:val="20"/>
          <w:szCs w:val="20"/>
        </w:rPr>
        <w:t xml:space="preserve"> </w:t>
      </w:r>
      <w:r>
        <w:rPr>
          <w:rFonts w:asciiTheme="majorBidi" w:hAnsiTheme="majorBidi" w:cstheme="majorBidi"/>
          <w:sz w:val="20"/>
          <w:szCs w:val="20"/>
          <w:lang w:val="en-US"/>
        </w:rPr>
        <w:t>N</w:t>
      </w:r>
      <w:r w:rsidRPr="007E619B">
        <w:rPr>
          <w:rFonts w:asciiTheme="majorBidi" w:hAnsiTheme="majorBidi" w:cstheme="majorBidi"/>
          <w:sz w:val="20"/>
          <w:szCs w:val="20"/>
          <w:lang w:val="en-US"/>
        </w:rPr>
        <w:t>ot all organizations are necessarily involved.</w:t>
      </w:r>
    </w:p>
  </w:footnote>
  <w:footnote w:id="25">
    <w:p w14:paraId="6FF71041" w14:textId="3D9EFDA1" w:rsidR="00153248" w:rsidRPr="00352E97" w:rsidRDefault="00153248" w:rsidP="00D57101">
      <w:pPr>
        <w:autoSpaceDE w:val="0"/>
        <w:spacing w:after="0" w:line="240" w:lineRule="auto"/>
        <w:jc w:val="both"/>
        <w:rPr>
          <w:rFonts w:asciiTheme="majorBidi" w:hAnsiTheme="majorBidi" w:cstheme="majorBidi"/>
          <w:sz w:val="20"/>
          <w:szCs w:val="20"/>
          <w:lang w:val="en-US"/>
        </w:rPr>
      </w:pPr>
      <w:r w:rsidRPr="00352E97">
        <w:rPr>
          <w:rStyle w:val="FootnoteReference"/>
          <w:rFonts w:asciiTheme="majorBidi" w:hAnsiTheme="majorBidi" w:cstheme="majorBidi"/>
          <w:sz w:val="20"/>
          <w:szCs w:val="20"/>
        </w:rPr>
        <w:footnoteRef/>
      </w:r>
      <w:r w:rsidRPr="00352E97">
        <w:rPr>
          <w:rFonts w:asciiTheme="majorBidi" w:hAnsiTheme="majorBidi" w:cstheme="majorBidi"/>
          <w:sz w:val="20"/>
          <w:szCs w:val="20"/>
        </w:rPr>
        <w:t xml:space="preserve"> </w:t>
      </w:r>
      <w:r w:rsidRPr="00352E97">
        <w:rPr>
          <w:rFonts w:asciiTheme="majorBidi" w:hAnsiTheme="majorBidi" w:cstheme="majorBidi"/>
          <w:sz w:val="20"/>
          <w:szCs w:val="20"/>
          <w:lang w:val="en-US"/>
        </w:rPr>
        <w:t>World Bank. World Development Report 1994: Infrastructure for Development: Executive Summary. World Bank</w:t>
      </w:r>
      <w:r>
        <w:rPr>
          <w:rFonts w:asciiTheme="majorBidi" w:hAnsiTheme="majorBidi" w:cstheme="majorBidi"/>
          <w:sz w:val="20"/>
          <w:szCs w:val="20"/>
          <w:lang w:val="en-US"/>
        </w:rPr>
        <w:t>,</w:t>
      </w:r>
      <w:r w:rsidRPr="00352E97">
        <w:rPr>
          <w:rFonts w:asciiTheme="majorBidi" w:hAnsiTheme="majorBidi" w:cstheme="majorBidi"/>
          <w:sz w:val="20"/>
          <w:szCs w:val="20"/>
          <w:lang w:val="en-US"/>
        </w:rPr>
        <w:t xml:space="preserve"> 1994. P.95.</w:t>
      </w:r>
    </w:p>
  </w:footnote>
  <w:footnote w:id="26">
    <w:p w14:paraId="74377EFA" w14:textId="026524F2" w:rsidR="00153248" w:rsidRPr="00356F9F" w:rsidRDefault="00153248" w:rsidP="009212D7">
      <w:pPr>
        <w:autoSpaceDE w:val="0"/>
        <w:spacing w:after="0" w:line="240" w:lineRule="auto"/>
        <w:jc w:val="both"/>
        <w:rPr>
          <w:rFonts w:cs="Times New Roman"/>
          <w:sz w:val="18"/>
          <w:szCs w:val="18"/>
          <w:lang w:val="en-US"/>
        </w:rPr>
      </w:pPr>
      <w:r w:rsidRPr="00352E97">
        <w:rPr>
          <w:rStyle w:val="FootnoteReference"/>
          <w:rFonts w:asciiTheme="majorBidi" w:hAnsiTheme="majorBidi" w:cstheme="majorBidi"/>
          <w:sz w:val="20"/>
          <w:szCs w:val="20"/>
        </w:rPr>
        <w:footnoteRef/>
      </w:r>
      <w:r w:rsidRPr="00352E97">
        <w:rPr>
          <w:rFonts w:asciiTheme="majorBidi" w:hAnsiTheme="majorBidi" w:cstheme="majorBidi"/>
          <w:sz w:val="20"/>
          <w:szCs w:val="20"/>
        </w:rPr>
        <w:t xml:space="preserve"> </w:t>
      </w:r>
      <w:r w:rsidRPr="00352E97">
        <w:rPr>
          <w:rFonts w:asciiTheme="majorBidi" w:hAnsiTheme="majorBidi" w:cstheme="majorBidi"/>
          <w:sz w:val="20"/>
          <w:szCs w:val="20"/>
          <w:lang w:val="en-US"/>
        </w:rPr>
        <w:t>Fight A. Introduction to project finance. Elsevier</w:t>
      </w:r>
      <w:r>
        <w:rPr>
          <w:rFonts w:asciiTheme="majorBidi" w:hAnsiTheme="majorBidi" w:cstheme="majorBidi"/>
          <w:sz w:val="20"/>
          <w:szCs w:val="20"/>
          <w:lang w:val="en-US"/>
        </w:rPr>
        <w:t>,</w:t>
      </w:r>
      <w:r w:rsidRPr="00352E97">
        <w:rPr>
          <w:rFonts w:asciiTheme="majorBidi" w:hAnsiTheme="majorBidi" w:cstheme="majorBidi"/>
          <w:sz w:val="20"/>
          <w:szCs w:val="20"/>
          <w:lang w:val="en-US"/>
        </w:rPr>
        <w:t xml:space="preserve"> 2005. P.18.</w:t>
      </w:r>
    </w:p>
  </w:footnote>
  <w:footnote w:id="27">
    <w:p w14:paraId="100F3648" w14:textId="7FB87895" w:rsidR="00153248" w:rsidRPr="00352E97" w:rsidRDefault="00153248" w:rsidP="00352E97">
      <w:pPr>
        <w:pStyle w:val="FootnoteText"/>
        <w:jc w:val="both"/>
        <w:rPr>
          <w:rFonts w:asciiTheme="majorBidi" w:hAnsiTheme="majorBidi" w:cstheme="majorBidi"/>
          <w:lang w:val="en-US"/>
        </w:rPr>
      </w:pPr>
      <w:r w:rsidRPr="00352E97">
        <w:rPr>
          <w:rStyle w:val="FootnoteReference"/>
          <w:rFonts w:asciiTheme="majorBidi" w:hAnsiTheme="majorBidi" w:cstheme="majorBidi"/>
        </w:rPr>
        <w:footnoteRef/>
      </w:r>
      <w:r w:rsidRPr="00352E97">
        <w:rPr>
          <w:rFonts w:asciiTheme="majorBidi" w:hAnsiTheme="majorBidi" w:cstheme="majorBidi"/>
        </w:rPr>
        <w:t xml:space="preserve"> </w:t>
      </w:r>
      <w:r w:rsidRPr="00352E97">
        <w:rPr>
          <w:rFonts w:asciiTheme="majorBidi" w:hAnsiTheme="majorBidi" w:cstheme="majorBidi"/>
          <w:lang w:val="en-US"/>
        </w:rPr>
        <w:t xml:space="preserve">Fight A. </w:t>
      </w:r>
      <w:r>
        <w:rPr>
          <w:rFonts w:asciiTheme="majorBidi" w:hAnsiTheme="majorBidi" w:cstheme="majorBidi"/>
          <w:lang w:val="en-US"/>
        </w:rPr>
        <w:t>Ibid</w:t>
      </w:r>
      <w:r w:rsidRPr="00352E97">
        <w:rPr>
          <w:rFonts w:asciiTheme="majorBidi" w:hAnsiTheme="majorBidi" w:cstheme="majorBidi"/>
          <w:lang w:val="en-US"/>
        </w:rPr>
        <w:t>. P.31.</w:t>
      </w:r>
    </w:p>
  </w:footnote>
  <w:footnote w:id="28">
    <w:p w14:paraId="32A22C91" w14:textId="194BB1C1" w:rsidR="00153248" w:rsidRPr="00352E97" w:rsidRDefault="00153248" w:rsidP="00352E97">
      <w:pPr>
        <w:pStyle w:val="FootnoteText"/>
        <w:jc w:val="both"/>
        <w:rPr>
          <w:rFonts w:asciiTheme="majorBidi" w:hAnsiTheme="majorBidi" w:cstheme="majorBidi"/>
          <w:lang w:val="en-US"/>
        </w:rPr>
      </w:pPr>
      <w:r w:rsidRPr="00352E97">
        <w:rPr>
          <w:rStyle w:val="FootnoteReference"/>
          <w:rFonts w:asciiTheme="majorBidi" w:hAnsiTheme="majorBidi" w:cstheme="majorBidi"/>
        </w:rPr>
        <w:footnoteRef/>
      </w:r>
      <w:r w:rsidRPr="00352E97">
        <w:rPr>
          <w:rFonts w:asciiTheme="majorBidi" w:hAnsiTheme="majorBidi" w:cstheme="majorBidi"/>
        </w:rPr>
        <w:t xml:space="preserve"> </w:t>
      </w:r>
      <w:r w:rsidRPr="00352E97">
        <w:rPr>
          <w:rFonts w:asciiTheme="majorBidi" w:hAnsiTheme="majorBidi" w:cstheme="majorBidi"/>
          <w:lang w:val="en-US"/>
        </w:rPr>
        <w:t>Comer B. Project Finance teaching note.</w:t>
      </w:r>
      <w:r>
        <w:rPr>
          <w:rFonts w:asciiTheme="majorBidi" w:hAnsiTheme="majorBidi" w:cstheme="majorBidi"/>
          <w:lang w:val="en-US"/>
        </w:rPr>
        <w:t xml:space="preserve"> 1996.</w:t>
      </w:r>
      <w:r w:rsidRPr="00352E97">
        <w:rPr>
          <w:rFonts w:asciiTheme="majorBidi" w:hAnsiTheme="majorBidi" w:cstheme="majorBidi"/>
          <w:lang w:val="en-US"/>
        </w:rPr>
        <w:t xml:space="preserve"> P.12</w:t>
      </w:r>
      <w:r>
        <w:rPr>
          <w:rFonts w:asciiTheme="majorBidi" w:hAnsiTheme="majorBidi" w:cstheme="majorBidi"/>
          <w:lang w:val="en-US"/>
        </w:rPr>
        <w:t>.</w:t>
      </w:r>
    </w:p>
  </w:footnote>
  <w:footnote w:id="29">
    <w:p w14:paraId="12948A4D" w14:textId="518CAD0E" w:rsidR="00153248" w:rsidRPr="00352E97" w:rsidRDefault="00153248" w:rsidP="00352E97">
      <w:pPr>
        <w:pStyle w:val="FootnoteText"/>
        <w:jc w:val="both"/>
        <w:rPr>
          <w:rFonts w:asciiTheme="majorBidi" w:hAnsiTheme="majorBidi" w:cstheme="majorBidi"/>
          <w:lang w:val="en-US"/>
        </w:rPr>
      </w:pPr>
      <w:r w:rsidRPr="00352E97">
        <w:rPr>
          <w:rStyle w:val="FootnoteReference"/>
          <w:rFonts w:asciiTheme="majorBidi" w:hAnsiTheme="majorBidi" w:cstheme="majorBidi"/>
        </w:rPr>
        <w:footnoteRef/>
      </w:r>
      <w:r w:rsidRPr="00352E97">
        <w:rPr>
          <w:rFonts w:asciiTheme="majorBidi" w:hAnsiTheme="majorBidi" w:cstheme="majorBidi"/>
        </w:rPr>
        <w:t xml:space="preserve"> </w:t>
      </w:r>
      <w:r w:rsidRPr="00352E97">
        <w:rPr>
          <w:rFonts w:asciiTheme="majorBidi" w:hAnsiTheme="majorBidi" w:cstheme="majorBidi"/>
          <w:lang w:val="en-US"/>
        </w:rPr>
        <w:t xml:space="preserve">Comer B. </w:t>
      </w:r>
      <w:r>
        <w:rPr>
          <w:rFonts w:asciiTheme="majorBidi" w:hAnsiTheme="majorBidi" w:cstheme="majorBidi"/>
          <w:lang w:val="en-US"/>
        </w:rPr>
        <w:t>Ibid.</w:t>
      </w:r>
      <w:r w:rsidRPr="00352E97">
        <w:rPr>
          <w:rFonts w:asciiTheme="majorBidi" w:hAnsiTheme="majorBidi" w:cstheme="majorBidi"/>
          <w:lang w:val="en-US"/>
        </w:rPr>
        <w:t xml:space="preserve"> P.13</w:t>
      </w:r>
      <w:r>
        <w:rPr>
          <w:rFonts w:asciiTheme="majorBidi" w:hAnsiTheme="majorBidi" w:cstheme="majorBidi"/>
          <w:lang w:val="en-US"/>
        </w:rPr>
        <w:t>.</w:t>
      </w:r>
    </w:p>
  </w:footnote>
  <w:footnote w:id="30">
    <w:p w14:paraId="3A69DD3E" w14:textId="07EEF549" w:rsidR="00153248" w:rsidRPr="00AE629A" w:rsidRDefault="00153248" w:rsidP="00352E97">
      <w:pPr>
        <w:pStyle w:val="FootnoteText"/>
        <w:jc w:val="both"/>
        <w:rPr>
          <w:lang w:val="en-US"/>
        </w:rPr>
      </w:pPr>
      <w:r w:rsidRPr="00352E97">
        <w:rPr>
          <w:rStyle w:val="FootnoteReference"/>
          <w:rFonts w:asciiTheme="majorBidi" w:hAnsiTheme="majorBidi" w:cstheme="majorBidi"/>
        </w:rPr>
        <w:footnoteRef/>
      </w:r>
      <w:r w:rsidRPr="00352E97">
        <w:rPr>
          <w:rFonts w:asciiTheme="majorBidi" w:hAnsiTheme="majorBidi" w:cstheme="majorBidi"/>
        </w:rPr>
        <w:t xml:space="preserve"> </w:t>
      </w:r>
      <w:r w:rsidRPr="00352E97">
        <w:rPr>
          <w:rFonts w:asciiTheme="majorBidi" w:hAnsiTheme="majorBidi" w:cstheme="majorBidi"/>
          <w:lang w:val="en-US"/>
        </w:rPr>
        <w:t>Yescombe E</w:t>
      </w:r>
      <w:r>
        <w:rPr>
          <w:rFonts w:asciiTheme="majorBidi" w:hAnsiTheme="majorBidi" w:cstheme="majorBidi"/>
          <w:lang w:val="en-US"/>
        </w:rPr>
        <w:t>.</w:t>
      </w:r>
      <w:r w:rsidRPr="00352E97">
        <w:rPr>
          <w:rFonts w:asciiTheme="majorBidi" w:hAnsiTheme="majorBidi" w:cstheme="majorBidi"/>
          <w:lang w:val="en-US"/>
        </w:rPr>
        <w:t xml:space="preserve">R. </w:t>
      </w:r>
      <w:r>
        <w:rPr>
          <w:rFonts w:asciiTheme="majorBidi" w:hAnsiTheme="majorBidi" w:cstheme="majorBidi"/>
          <w:lang w:val="en-US"/>
        </w:rPr>
        <w:t>Ibid</w:t>
      </w:r>
      <w:r w:rsidRPr="00352E97">
        <w:rPr>
          <w:rFonts w:asciiTheme="majorBidi" w:hAnsiTheme="majorBidi" w:cstheme="majorBidi"/>
          <w:lang w:val="en-US"/>
        </w:rPr>
        <w:t>. P.9.</w:t>
      </w:r>
    </w:p>
  </w:footnote>
  <w:footnote w:id="31">
    <w:p w14:paraId="6D338289" w14:textId="7FD7A7F8" w:rsidR="00153248" w:rsidRPr="00352E97" w:rsidRDefault="00153248" w:rsidP="007705F6">
      <w:pPr>
        <w:autoSpaceDE w:val="0"/>
        <w:spacing w:after="0" w:line="240" w:lineRule="auto"/>
        <w:jc w:val="both"/>
        <w:rPr>
          <w:rFonts w:asciiTheme="majorBidi" w:hAnsiTheme="majorBidi" w:cstheme="majorBidi"/>
          <w:sz w:val="20"/>
          <w:szCs w:val="20"/>
          <w:lang w:val="en-US"/>
        </w:rPr>
      </w:pPr>
      <w:r w:rsidRPr="00352E97">
        <w:rPr>
          <w:rStyle w:val="FootnoteReference"/>
          <w:rFonts w:asciiTheme="majorBidi" w:hAnsiTheme="majorBidi" w:cstheme="majorBidi"/>
          <w:sz w:val="20"/>
          <w:szCs w:val="20"/>
        </w:rPr>
        <w:footnoteRef/>
      </w:r>
      <w:r w:rsidRPr="00352E97">
        <w:rPr>
          <w:rFonts w:asciiTheme="majorBidi" w:hAnsiTheme="majorBidi" w:cstheme="majorBidi"/>
          <w:sz w:val="20"/>
          <w:szCs w:val="20"/>
        </w:rPr>
        <w:t xml:space="preserve"> Davis H</w:t>
      </w:r>
      <w:r>
        <w:rPr>
          <w:rFonts w:asciiTheme="majorBidi" w:hAnsiTheme="majorBidi" w:cstheme="majorBidi"/>
          <w:sz w:val="20"/>
          <w:szCs w:val="20"/>
        </w:rPr>
        <w:t>.</w:t>
      </w:r>
      <w:r w:rsidRPr="00352E97">
        <w:rPr>
          <w:rFonts w:asciiTheme="majorBidi" w:hAnsiTheme="majorBidi" w:cstheme="majorBidi"/>
          <w:sz w:val="20"/>
          <w:szCs w:val="20"/>
        </w:rPr>
        <w:t xml:space="preserve">A. </w:t>
      </w:r>
      <w:r>
        <w:rPr>
          <w:rFonts w:asciiTheme="majorBidi" w:hAnsiTheme="majorBidi" w:cstheme="majorBidi"/>
          <w:sz w:val="20"/>
          <w:szCs w:val="20"/>
        </w:rPr>
        <w:t>Ibid</w:t>
      </w:r>
      <w:r w:rsidRPr="00352E97">
        <w:rPr>
          <w:rFonts w:asciiTheme="majorBidi" w:hAnsiTheme="majorBidi" w:cstheme="majorBidi"/>
          <w:sz w:val="20"/>
          <w:szCs w:val="20"/>
        </w:rPr>
        <w:t>. P.6.</w:t>
      </w:r>
    </w:p>
  </w:footnote>
  <w:footnote w:id="32">
    <w:p w14:paraId="6C23C471" w14:textId="62CA60D7" w:rsidR="00153248" w:rsidRPr="00D04519" w:rsidRDefault="00153248" w:rsidP="007705F6">
      <w:pPr>
        <w:pStyle w:val="FootnoteText"/>
        <w:rPr>
          <w:rFonts w:asciiTheme="majorBidi" w:hAnsiTheme="majorBidi" w:cstheme="majorBidi"/>
        </w:rPr>
      </w:pPr>
      <w:r w:rsidRPr="00352E97">
        <w:rPr>
          <w:rStyle w:val="FootnoteReference"/>
          <w:rFonts w:asciiTheme="majorBidi" w:hAnsiTheme="majorBidi" w:cstheme="majorBidi"/>
        </w:rPr>
        <w:footnoteRef/>
      </w:r>
      <w:r w:rsidRPr="00352E97">
        <w:rPr>
          <w:rFonts w:asciiTheme="majorBidi" w:hAnsiTheme="majorBidi" w:cstheme="majorBidi"/>
        </w:rPr>
        <w:t xml:space="preserve"> Nevitt P</w:t>
      </w:r>
      <w:r>
        <w:rPr>
          <w:rFonts w:asciiTheme="majorBidi" w:hAnsiTheme="majorBidi" w:cstheme="majorBidi"/>
        </w:rPr>
        <w:t>.</w:t>
      </w:r>
      <w:r w:rsidRPr="00352E97">
        <w:rPr>
          <w:rFonts w:asciiTheme="majorBidi" w:hAnsiTheme="majorBidi" w:cstheme="majorBidi"/>
        </w:rPr>
        <w:t>K</w:t>
      </w:r>
      <w:r>
        <w:rPr>
          <w:rFonts w:asciiTheme="majorBidi" w:hAnsiTheme="majorBidi" w:cstheme="majorBidi"/>
        </w:rPr>
        <w:t>.</w:t>
      </w:r>
      <w:r w:rsidRPr="00352E97">
        <w:rPr>
          <w:rFonts w:asciiTheme="majorBidi" w:hAnsiTheme="majorBidi" w:cstheme="majorBidi"/>
        </w:rPr>
        <w:t>, Fabozzi F</w:t>
      </w:r>
      <w:r>
        <w:rPr>
          <w:rFonts w:asciiTheme="majorBidi" w:hAnsiTheme="majorBidi" w:cstheme="majorBidi"/>
        </w:rPr>
        <w:t>.</w:t>
      </w:r>
      <w:r w:rsidRPr="00352E97">
        <w:rPr>
          <w:rFonts w:asciiTheme="majorBidi" w:hAnsiTheme="majorBidi" w:cstheme="majorBidi"/>
        </w:rPr>
        <w:t>J. Project financing.</w:t>
      </w:r>
      <w:r>
        <w:rPr>
          <w:rFonts w:asciiTheme="majorBidi" w:hAnsiTheme="majorBidi" w:cstheme="majorBidi"/>
        </w:rPr>
        <w:t xml:space="preserve"> London, U.K.: Euromoney Books,</w:t>
      </w:r>
      <w:r w:rsidRPr="00352E97">
        <w:rPr>
          <w:rFonts w:asciiTheme="majorBidi" w:hAnsiTheme="majorBidi" w:cstheme="majorBidi"/>
        </w:rPr>
        <w:t xml:space="preserve"> 2000. P.99.</w:t>
      </w:r>
    </w:p>
  </w:footnote>
  <w:footnote w:id="33">
    <w:p w14:paraId="33341ADD" w14:textId="7BD4CF35" w:rsidR="00153248" w:rsidRPr="00352E97" w:rsidRDefault="00153248" w:rsidP="00352E97">
      <w:pPr>
        <w:pStyle w:val="FootnoteText"/>
        <w:jc w:val="both"/>
        <w:rPr>
          <w:rFonts w:asciiTheme="majorBidi" w:hAnsiTheme="majorBidi" w:cstheme="majorBidi"/>
        </w:rPr>
      </w:pPr>
      <w:r w:rsidRPr="00352E97">
        <w:rPr>
          <w:rStyle w:val="FootnoteReference"/>
          <w:rFonts w:asciiTheme="majorBidi" w:hAnsiTheme="majorBidi" w:cstheme="majorBidi"/>
        </w:rPr>
        <w:footnoteRef/>
      </w:r>
      <w:r w:rsidRPr="00352E97">
        <w:rPr>
          <w:rFonts w:asciiTheme="majorBidi" w:hAnsiTheme="majorBidi" w:cstheme="majorBidi"/>
        </w:rPr>
        <w:t xml:space="preserve"> Wang S. Project Investment and Project Financing: A study on Business Case and Financing Models</w:t>
      </w:r>
      <w:r>
        <w:rPr>
          <w:rFonts w:asciiTheme="majorBidi" w:hAnsiTheme="majorBidi" w:cstheme="majorBidi"/>
        </w:rPr>
        <w:t xml:space="preserve">. </w:t>
      </w:r>
      <w:r w:rsidRPr="00352E97">
        <w:rPr>
          <w:rFonts w:asciiTheme="majorBidi" w:hAnsiTheme="majorBidi" w:cstheme="majorBidi"/>
        </w:rPr>
        <w:t>Master</w:t>
      </w:r>
      <w:r>
        <w:rPr>
          <w:rFonts w:asciiTheme="majorBidi" w:hAnsiTheme="majorBidi" w:cstheme="majorBidi"/>
        </w:rPr>
        <w:t xml:space="preserve"> thesis</w:t>
      </w:r>
      <w:r w:rsidRPr="00352E97">
        <w:rPr>
          <w:rFonts w:asciiTheme="majorBidi" w:hAnsiTheme="majorBidi" w:cstheme="majorBidi"/>
        </w:rPr>
        <w:t>, 2012. P.60.</w:t>
      </w:r>
    </w:p>
  </w:footnote>
  <w:footnote w:id="34">
    <w:p w14:paraId="70F754D8" w14:textId="49AC0449" w:rsidR="00153248" w:rsidRDefault="00153248" w:rsidP="00352E97">
      <w:pPr>
        <w:pStyle w:val="FootnoteText"/>
        <w:jc w:val="both"/>
        <w:rPr>
          <w:rFonts w:cs="Times New Roman"/>
          <w:sz w:val="18"/>
          <w:szCs w:val="18"/>
        </w:rPr>
      </w:pPr>
      <w:r w:rsidRPr="00352E97">
        <w:rPr>
          <w:rStyle w:val="FootnoteReference"/>
          <w:rFonts w:asciiTheme="majorBidi" w:hAnsiTheme="majorBidi" w:cstheme="majorBidi"/>
        </w:rPr>
        <w:footnoteRef/>
      </w:r>
      <w:r w:rsidRPr="00352E97">
        <w:rPr>
          <w:rStyle w:val="FootnoteReference"/>
          <w:rFonts w:asciiTheme="majorBidi" w:hAnsiTheme="majorBidi" w:cstheme="majorBidi"/>
        </w:rPr>
        <w:t xml:space="preserve"> </w:t>
      </w:r>
      <w:r w:rsidRPr="00352E97">
        <w:rPr>
          <w:rFonts w:asciiTheme="majorBidi" w:hAnsiTheme="majorBidi" w:cstheme="majorBidi"/>
        </w:rPr>
        <w:t>Wang S. </w:t>
      </w:r>
      <w:r>
        <w:rPr>
          <w:rFonts w:asciiTheme="majorBidi" w:hAnsiTheme="majorBidi" w:cstheme="majorBidi"/>
        </w:rPr>
        <w:t>Ibid</w:t>
      </w:r>
      <w:r w:rsidRPr="00352E97">
        <w:rPr>
          <w:rFonts w:asciiTheme="majorBidi" w:hAnsiTheme="majorBidi" w:cstheme="majorBidi"/>
        </w:rPr>
        <w:t>. P.61.</w:t>
      </w:r>
    </w:p>
  </w:footnote>
  <w:footnote w:id="35">
    <w:p w14:paraId="7CF876B3" w14:textId="44DD79AF" w:rsidR="00153248" w:rsidRPr="00316990" w:rsidRDefault="00153248" w:rsidP="008134E0">
      <w:pPr>
        <w:pStyle w:val="FootnoteText"/>
        <w:jc w:val="both"/>
        <w:rPr>
          <w:rFonts w:asciiTheme="majorBidi" w:hAnsiTheme="majorBidi" w:cstheme="majorBidi"/>
        </w:rPr>
      </w:pPr>
      <w:r>
        <w:rPr>
          <w:rStyle w:val="FootnoteReference"/>
        </w:rPr>
        <w:footnoteRef/>
      </w:r>
      <w:r>
        <w:t xml:space="preserve"> </w:t>
      </w:r>
      <w:r w:rsidRPr="00316990">
        <w:rPr>
          <w:rFonts w:asciiTheme="majorBidi" w:hAnsiTheme="majorBidi" w:cstheme="majorBidi"/>
        </w:rPr>
        <w:t>Khan M</w:t>
      </w:r>
      <w:r>
        <w:rPr>
          <w:rFonts w:asciiTheme="majorBidi" w:hAnsiTheme="majorBidi" w:cstheme="majorBidi"/>
        </w:rPr>
        <w:t>.</w:t>
      </w:r>
      <w:r w:rsidRPr="00316990">
        <w:rPr>
          <w:rFonts w:asciiTheme="majorBidi" w:hAnsiTheme="majorBidi" w:cstheme="majorBidi"/>
        </w:rPr>
        <w:t>F</w:t>
      </w:r>
      <w:r>
        <w:rPr>
          <w:rFonts w:asciiTheme="majorBidi" w:hAnsiTheme="majorBidi" w:cstheme="majorBidi"/>
        </w:rPr>
        <w:t>.</w:t>
      </w:r>
      <w:r w:rsidRPr="00316990">
        <w:rPr>
          <w:rFonts w:asciiTheme="majorBidi" w:hAnsiTheme="majorBidi" w:cstheme="majorBidi"/>
        </w:rPr>
        <w:t>, Parra R</w:t>
      </w:r>
      <w:r>
        <w:rPr>
          <w:rFonts w:asciiTheme="majorBidi" w:hAnsiTheme="majorBidi" w:cstheme="majorBidi"/>
        </w:rPr>
        <w:t>.</w:t>
      </w:r>
      <w:r w:rsidRPr="00316990">
        <w:rPr>
          <w:rFonts w:asciiTheme="majorBidi" w:hAnsiTheme="majorBidi" w:cstheme="majorBidi"/>
        </w:rPr>
        <w:t xml:space="preserve">J. Financing large projects: using project finance techniques and practices. </w:t>
      </w:r>
      <w:r>
        <w:rPr>
          <w:rFonts w:asciiTheme="majorBidi" w:hAnsiTheme="majorBidi" w:cstheme="majorBidi"/>
        </w:rPr>
        <w:t xml:space="preserve">Singapore, </w:t>
      </w:r>
      <w:r w:rsidRPr="00316990">
        <w:rPr>
          <w:rFonts w:asciiTheme="majorBidi" w:hAnsiTheme="majorBidi" w:cstheme="majorBidi"/>
        </w:rPr>
        <w:t>Pearson Prentice Hall</w:t>
      </w:r>
      <w:r>
        <w:rPr>
          <w:rFonts w:asciiTheme="majorBidi" w:hAnsiTheme="majorBidi" w:cstheme="majorBidi"/>
        </w:rPr>
        <w:t>,</w:t>
      </w:r>
      <w:r w:rsidRPr="00316990">
        <w:rPr>
          <w:rFonts w:asciiTheme="majorBidi" w:hAnsiTheme="majorBidi" w:cstheme="majorBidi"/>
        </w:rPr>
        <w:t xml:space="preserve"> 2003.</w:t>
      </w:r>
      <w:r>
        <w:rPr>
          <w:rFonts w:asciiTheme="majorBidi" w:hAnsiTheme="majorBidi" w:cstheme="majorBidi"/>
        </w:rPr>
        <w:t xml:space="preserve"> P.181.</w:t>
      </w:r>
    </w:p>
  </w:footnote>
  <w:footnote w:id="36">
    <w:p w14:paraId="02258384" w14:textId="085FCC5B" w:rsidR="00153248" w:rsidRPr="00352E97" w:rsidRDefault="00153248" w:rsidP="00352E97">
      <w:pPr>
        <w:pStyle w:val="FootnoteText"/>
        <w:jc w:val="both"/>
        <w:rPr>
          <w:rFonts w:asciiTheme="majorBidi" w:hAnsiTheme="majorBidi" w:cstheme="majorBidi"/>
        </w:rPr>
      </w:pPr>
      <w:r w:rsidRPr="00352E97">
        <w:rPr>
          <w:rStyle w:val="FootnoteReference"/>
          <w:rFonts w:asciiTheme="majorBidi" w:hAnsiTheme="majorBidi" w:cstheme="majorBidi"/>
        </w:rPr>
        <w:footnoteRef/>
      </w:r>
      <w:r w:rsidRPr="00352E97">
        <w:rPr>
          <w:rFonts w:asciiTheme="majorBidi" w:hAnsiTheme="majorBidi" w:cstheme="majorBidi"/>
        </w:rPr>
        <w:t xml:space="preserve"> Gatti S.</w:t>
      </w:r>
      <w:r>
        <w:rPr>
          <w:rFonts w:asciiTheme="majorBidi" w:hAnsiTheme="majorBidi" w:cstheme="majorBidi"/>
        </w:rPr>
        <w:t xml:space="preserve"> Ibid.</w:t>
      </w:r>
      <w:r w:rsidRPr="00352E97">
        <w:rPr>
          <w:rFonts w:asciiTheme="majorBidi" w:hAnsiTheme="majorBidi" w:cstheme="majorBidi"/>
        </w:rPr>
        <w:t xml:space="preserve"> P.31.</w:t>
      </w:r>
    </w:p>
  </w:footnote>
  <w:footnote w:id="37">
    <w:p w14:paraId="74330A1C" w14:textId="18235C2A" w:rsidR="00153248" w:rsidRPr="008134E0" w:rsidRDefault="00153248" w:rsidP="00352E97">
      <w:pPr>
        <w:pStyle w:val="FootnoteText"/>
        <w:jc w:val="both"/>
        <w:rPr>
          <w:rFonts w:asciiTheme="majorBidi" w:hAnsiTheme="majorBidi" w:cstheme="majorBidi"/>
          <w:lang w:val="ru-RU"/>
        </w:rPr>
      </w:pPr>
      <w:r w:rsidRPr="00352E97">
        <w:rPr>
          <w:rStyle w:val="FootnoteReference"/>
          <w:rFonts w:asciiTheme="majorBidi" w:hAnsiTheme="majorBidi" w:cstheme="majorBidi"/>
        </w:rPr>
        <w:footnoteRef/>
      </w:r>
      <w:r w:rsidRPr="00352E97">
        <w:rPr>
          <w:rFonts w:asciiTheme="majorBidi" w:hAnsiTheme="majorBidi" w:cstheme="majorBidi"/>
        </w:rPr>
        <w:t xml:space="preserve"> </w:t>
      </w:r>
      <w:r w:rsidRPr="00D04519">
        <w:rPr>
          <w:rFonts w:asciiTheme="majorBidi" w:hAnsiTheme="majorBidi" w:cstheme="majorBidi"/>
        </w:rPr>
        <w:t>Esty B</w:t>
      </w:r>
      <w:r>
        <w:rPr>
          <w:rFonts w:asciiTheme="majorBidi" w:hAnsiTheme="majorBidi" w:cstheme="majorBidi"/>
        </w:rPr>
        <w:t>.</w:t>
      </w:r>
      <w:r w:rsidRPr="00D04519">
        <w:rPr>
          <w:rFonts w:asciiTheme="majorBidi" w:hAnsiTheme="majorBidi" w:cstheme="majorBidi"/>
        </w:rPr>
        <w:t>C. The economic motivations for using project finance. Harvard</w:t>
      </w:r>
      <w:r w:rsidRPr="008E6625">
        <w:rPr>
          <w:rFonts w:asciiTheme="majorBidi" w:hAnsiTheme="majorBidi" w:cstheme="majorBidi"/>
          <w:lang w:val="ru-RU"/>
        </w:rPr>
        <w:t xml:space="preserve"> </w:t>
      </w:r>
      <w:r w:rsidRPr="00D04519">
        <w:rPr>
          <w:rFonts w:asciiTheme="majorBidi" w:hAnsiTheme="majorBidi" w:cstheme="majorBidi"/>
        </w:rPr>
        <w:t>Business</w:t>
      </w:r>
      <w:r w:rsidRPr="008E6625">
        <w:rPr>
          <w:rFonts w:asciiTheme="majorBidi" w:hAnsiTheme="majorBidi" w:cstheme="majorBidi"/>
          <w:lang w:val="ru-RU"/>
        </w:rPr>
        <w:t xml:space="preserve"> </w:t>
      </w:r>
      <w:r w:rsidRPr="00D04519">
        <w:rPr>
          <w:rFonts w:asciiTheme="majorBidi" w:hAnsiTheme="majorBidi" w:cstheme="majorBidi"/>
        </w:rPr>
        <w:t>School</w:t>
      </w:r>
      <w:r w:rsidRPr="008E6625">
        <w:rPr>
          <w:rFonts w:asciiTheme="majorBidi" w:hAnsiTheme="majorBidi" w:cstheme="majorBidi"/>
          <w:lang w:val="ru-RU"/>
        </w:rPr>
        <w:t xml:space="preserve">. </w:t>
      </w:r>
      <w:r w:rsidRPr="008134E0">
        <w:rPr>
          <w:rFonts w:asciiTheme="majorBidi" w:hAnsiTheme="majorBidi" w:cstheme="majorBidi"/>
          <w:lang w:val="ru-RU"/>
        </w:rPr>
        <w:t xml:space="preserve">2003. </w:t>
      </w:r>
      <w:r w:rsidRPr="00D04519">
        <w:rPr>
          <w:rFonts w:asciiTheme="majorBidi" w:hAnsiTheme="majorBidi" w:cstheme="majorBidi"/>
        </w:rPr>
        <w:t>P</w:t>
      </w:r>
      <w:r w:rsidRPr="008134E0">
        <w:rPr>
          <w:rFonts w:asciiTheme="majorBidi" w:hAnsiTheme="majorBidi" w:cstheme="majorBidi"/>
          <w:lang w:val="ru-RU"/>
        </w:rPr>
        <w:t>.22.</w:t>
      </w:r>
    </w:p>
  </w:footnote>
  <w:footnote w:id="38">
    <w:p w14:paraId="6517C5FD" w14:textId="2F8D1920" w:rsidR="00153248" w:rsidRPr="008134E0" w:rsidRDefault="00153248" w:rsidP="00352E97">
      <w:pPr>
        <w:pStyle w:val="FootnoteText"/>
        <w:jc w:val="both"/>
        <w:rPr>
          <w:rFonts w:asciiTheme="majorBidi" w:hAnsiTheme="majorBidi" w:cstheme="majorBidi"/>
          <w:lang w:val="ru-RU"/>
        </w:rPr>
      </w:pPr>
      <w:r w:rsidRPr="00352E97">
        <w:rPr>
          <w:rStyle w:val="FootnoteReference"/>
          <w:rFonts w:asciiTheme="majorBidi" w:hAnsiTheme="majorBidi" w:cstheme="majorBidi"/>
        </w:rPr>
        <w:footnoteRef/>
      </w:r>
      <w:r w:rsidRPr="008134E0">
        <w:rPr>
          <w:rFonts w:asciiTheme="majorBidi" w:hAnsiTheme="majorBidi" w:cstheme="majorBidi"/>
          <w:lang w:val="ru-RU"/>
        </w:rPr>
        <w:t xml:space="preserve"> Титов В.О. Проектное финансирование инновационных инвестиционных проектов. Докторская диссертация, Санкт-Петербург, 2014. </w:t>
      </w:r>
      <w:r w:rsidRPr="00282A15">
        <w:rPr>
          <w:rFonts w:asciiTheme="majorBidi" w:hAnsiTheme="majorBidi" w:cstheme="majorBidi"/>
          <w:lang w:val="ru-RU"/>
        </w:rPr>
        <w:t>С</w:t>
      </w:r>
      <w:r w:rsidRPr="00F02A34">
        <w:rPr>
          <w:rFonts w:asciiTheme="majorBidi" w:hAnsiTheme="majorBidi" w:cstheme="majorBidi"/>
          <w:lang w:val="ru-RU"/>
        </w:rPr>
        <w:t>.53.</w:t>
      </w:r>
    </w:p>
  </w:footnote>
  <w:footnote w:id="39">
    <w:p w14:paraId="5C136861" w14:textId="7E5108EB" w:rsidR="00153248" w:rsidRPr="00282A15" w:rsidRDefault="00153248" w:rsidP="00586E8A">
      <w:pPr>
        <w:pStyle w:val="FootnoteText"/>
        <w:jc w:val="both"/>
        <w:rPr>
          <w:rFonts w:asciiTheme="majorBidi" w:hAnsiTheme="majorBidi" w:cstheme="majorBidi"/>
          <w:lang w:val="ru-RU"/>
        </w:rPr>
      </w:pPr>
      <w:r w:rsidRPr="00352E97">
        <w:rPr>
          <w:rStyle w:val="FootnoteReference"/>
          <w:rFonts w:asciiTheme="majorBidi" w:hAnsiTheme="majorBidi" w:cstheme="majorBidi"/>
        </w:rPr>
        <w:footnoteRef/>
      </w:r>
      <w:r w:rsidRPr="00352E97">
        <w:rPr>
          <w:rFonts w:asciiTheme="majorBidi" w:hAnsiTheme="majorBidi" w:cstheme="majorBidi"/>
          <w:lang w:val="ru-RU"/>
        </w:rPr>
        <w:t xml:space="preserve"> </w:t>
      </w:r>
      <w:r w:rsidRPr="00C80145">
        <w:rPr>
          <w:rFonts w:asciiTheme="majorBidi" w:hAnsiTheme="majorBidi" w:cstheme="majorBidi"/>
          <w:lang w:val="ru-RU"/>
        </w:rPr>
        <w:t>Смирнов А.Л. Проектное финансирование: инструменты и технологии. Монография. М.: МАКС Пресс, 2013.</w:t>
      </w:r>
      <w:r w:rsidRPr="00282A15">
        <w:rPr>
          <w:rFonts w:asciiTheme="majorBidi" w:hAnsiTheme="majorBidi" w:cstheme="majorBidi"/>
          <w:lang w:val="ru-RU"/>
        </w:rPr>
        <w:t xml:space="preserve"> С</w:t>
      </w:r>
      <w:r w:rsidRPr="00F02A34">
        <w:rPr>
          <w:rFonts w:asciiTheme="majorBidi" w:hAnsiTheme="majorBidi" w:cstheme="majorBidi"/>
          <w:lang w:val="ru-RU"/>
        </w:rPr>
        <w:t>.</w:t>
      </w:r>
      <w:r w:rsidRPr="00282A15">
        <w:rPr>
          <w:rFonts w:asciiTheme="majorBidi" w:hAnsiTheme="majorBidi" w:cstheme="majorBidi"/>
          <w:lang w:val="ru-RU"/>
        </w:rPr>
        <w:t>104.</w:t>
      </w:r>
    </w:p>
  </w:footnote>
  <w:footnote w:id="40">
    <w:p w14:paraId="6F983989" w14:textId="007A398D" w:rsidR="00153248" w:rsidRPr="00282A15" w:rsidRDefault="00153248" w:rsidP="00352E97">
      <w:pPr>
        <w:pStyle w:val="FootnoteText"/>
        <w:jc w:val="both"/>
        <w:rPr>
          <w:lang w:val="ru-RU"/>
        </w:rPr>
      </w:pPr>
      <w:r w:rsidRPr="00352E97">
        <w:rPr>
          <w:rStyle w:val="FootnoteReference"/>
          <w:rFonts w:asciiTheme="majorBidi" w:hAnsiTheme="majorBidi" w:cstheme="majorBidi"/>
        </w:rPr>
        <w:footnoteRef/>
      </w:r>
      <w:r w:rsidRPr="00282A15">
        <w:rPr>
          <w:rFonts w:asciiTheme="majorBidi" w:hAnsiTheme="majorBidi" w:cstheme="majorBidi"/>
          <w:lang w:val="ru-RU"/>
        </w:rPr>
        <w:t xml:space="preserve"> </w:t>
      </w:r>
      <w:r w:rsidRPr="00352E97">
        <w:rPr>
          <w:rFonts w:asciiTheme="majorBidi" w:hAnsiTheme="majorBidi" w:cstheme="majorBidi"/>
          <w:color w:val="222222"/>
          <w:shd w:val="clear" w:color="auto" w:fill="FFFFFF"/>
        </w:rPr>
        <w:t>Finnerty</w:t>
      </w:r>
      <w:r w:rsidRPr="00282A15">
        <w:rPr>
          <w:rFonts w:asciiTheme="majorBidi" w:hAnsiTheme="majorBidi" w:cstheme="majorBidi"/>
          <w:color w:val="222222"/>
          <w:shd w:val="clear" w:color="auto" w:fill="FFFFFF"/>
          <w:lang w:val="ru-RU"/>
        </w:rPr>
        <w:t xml:space="preserve"> </w:t>
      </w:r>
      <w:r w:rsidRPr="00352E97">
        <w:rPr>
          <w:rFonts w:asciiTheme="majorBidi" w:hAnsiTheme="majorBidi" w:cstheme="majorBidi"/>
          <w:color w:val="222222"/>
          <w:shd w:val="clear" w:color="auto" w:fill="FFFFFF"/>
        </w:rPr>
        <w:t>J</w:t>
      </w:r>
      <w:r w:rsidRPr="00282A15">
        <w:rPr>
          <w:rFonts w:asciiTheme="majorBidi" w:hAnsiTheme="majorBidi" w:cstheme="majorBidi"/>
          <w:color w:val="222222"/>
          <w:shd w:val="clear" w:color="auto" w:fill="FFFFFF"/>
          <w:lang w:val="ru-RU"/>
        </w:rPr>
        <w:t>.</w:t>
      </w:r>
      <w:r w:rsidRPr="00352E97">
        <w:rPr>
          <w:rFonts w:asciiTheme="majorBidi" w:hAnsiTheme="majorBidi" w:cstheme="majorBidi"/>
          <w:color w:val="222222"/>
          <w:shd w:val="clear" w:color="auto" w:fill="FFFFFF"/>
        </w:rPr>
        <w:t>D</w:t>
      </w:r>
      <w:r w:rsidRPr="00282A15">
        <w:rPr>
          <w:rFonts w:asciiTheme="majorBidi" w:hAnsiTheme="majorBidi" w:cstheme="majorBidi"/>
          <w:color w:val="222222"/>
          <w:shd w:val="clear" w:color="auto" w:fill="FFFFFF"/>
          <w:lang w:val="ru-RU"/>
        </w:rPr>
        <w:t xml:space="preserve">. </w:t>
      </w:r>
      <w:r>
        <w:rPr>
          <w:rFonts w:asciiTheme="majorBidi" w:hAnsiTheme="majorBidi" w:cstheme="majorBidi"/>
          <w:color w:val="222222"/>
          <w:shd w:val="clear" w:color="auto" w:fill="FFFFFF"/>
          <w:lang w:val="en-US"/>
        </w:rPr>
        <w:t>Ibid</w:t>
      </w:r>
      <w:r w:rsidRPr="00282A15">
        <w:rPr>
          <w:rFonts w:asciiTheme="majorBidi" w:hAnsiTheme="majorBidi" w:cstheme="majorBidi"/>
          <w:color w:val="222222"/>
          <w:shd w:val="clear" w:color="auto" w:fill="FFFFFF"/>
          <w:lang w:val="ru-RU"/>
        </w:rPr>
        <w:t xml:space="preserve">. </w:t>
      </w:r>
      <w:r w:rsidRPr="00352E97">
        <w:rPr>
          <w:rFonts w:asciiTheme="majorBidi" w:hAnsiTheme="majorBidi" w:cstheme="majorBidi"/>
          <w:color w:val="222222"/>
          <w:shd w:val="clear" w:color="auto" w:fill="FFFFFF"/>
        </w:rPr>
        <w:t>p</w:t>
      </w:r>
      <w:r w:rsidRPr="00282A15">
        <w:rPr>
          <w:rFonts w:asciiTheme="majorBidi" w:hAnsiTheme="majorBidi" w:cstheme="majorBidi"/>
          <w:color w:val="222222"/>
          <w:shd w:val="clear" w:color="auto" w:fill="FFFFFF"/>
          <w:lang w:val="ru-RU"/>
        </w:rPr>
        <w:t>.24-28.</w:t>
      </w:r>
    </w:p>
  </w:footnote>
  <w:footnote w:id="41">
    <w:p w14:paraId="60A27F2F" w14:textId="6BFE8D84" w:rsidR="00153248" w:rsidRPr="00282A15" w:rsidRDefault="00153248" w:rsidP="00454CA4">
      <w:pPr>
        <w:pStyle w:val="FootnoteText"/>
        <w:jc w:val="both"/>
        <w:rPr>
          <w:rFonts w:asciiTheme="majorBidi" w:hAnsiTheme="majorBidi" w:cstheme="majorBidi"/>
          <w:lang w:val="en-US"/>
        </w:rPr>
      </w:pPr>
      <w:r>
        <w:rPr>
          <w:rStyle w:val="FootnoteReference"/>
        </w:rPr>
        <w:footnoteRef/>
      </w:r>
      <w:r w:rsidRPr="00282A15">
        <w:rPr>
          <w:lang w:val="en-US"/>
        </w:rPr>
        <w:t xml:space="preserve"> </w:t>
      </w:r>
      <w:r w:rsidRPr="0094251B">
        <w:rPr>
          <w:rFonts w:asciiTheme="majorBidi" w:hAnsiTheme="majorBidi" w:cstheme="majorBidi"/>
          <w:lang w:val="en-US"/>
        </w:rPr>
        <w:t>Esty</w:t>
      </w:r>
      <w:r w:rsidRPr="00282A15">
        <w:rPr>
          <w:rFonts w:asciiTheme="majorBidi" w:hAnsiTheme="majorBidi" w:cstheme="majorBidi"/>
          <w:lang w:val="en-US"/>
        </w:rPr>
        <w:t xml:space="preserve"> </w:t>
      </w:r>
      <w:r w:rsidRPr="0094251B">
        <w:rPr>
          <w:rFonts w:asciiTheme="majorBidi" w:hAnsiTheme="majorBidi" w:cstheme="majorBidi"/>
          <w:lang w:val="en-US"/>
        </w:rPr>
        <w:t>B</w:t>
      </w:r>
      <w:r w:rsidRPr="00282A15">
        <w:rPr>
          <w:rFonts w:asciiTheme="majorBidi" w:hAnsiTheme="majorBidi" w:cstheme="majorBidi"/>
          <w:lang w:val="en-US"/>
        </w:rPr>
        <w:t>.</w:t>
      </w:r>
      <w:r w:rsidRPr="0094251B">
        <w:rPr>
          <w:rFonts w:asciiTheme="majorBidi" w:hAnsiTheme="majorBidi" w:cstheme="majorBidi"/>
          <w:lang w:val="en-US"/>
        </w:rPr>
        <w:t>C</w:t>
      </w:r>
      <w:r w:rsidRPr="00282A15">
        <w:rPr>
          <w:rFonts w:asciiTheme="majorBidi" w:hAnsiTheme="majorBidi" w:cstheme="majorBidi"/>
          <w:lang w:val="en-US"/>
        </w:rPr>
        <w:t xml:space="preserve">. </w:t>
      </w:r>
      <w:r>
        <w:rPr>
          <w:rFonts w:asciiTheme="majorBidi" w:hAnsiTheme="majorBidi" w:cstheme="majorBidi"/>
          <w:lang w:val="en-US"/>
        </w:rPr>
        <w:t>Ibid</w:t>
      </w:r>
      <w:r w:rsidRPr="00282A15">
        <w:rPr>
          <w:rFonts w:asciiTheme="majorBidi" w:hAnsiTheme="majorBidi" w:cstheme="majorBidi"/>
          <w:lang w:val="en-US"/>
        </w:rPr>
        <w:t xml:space="preserve">. </w:t>
      </w:r>
      <w:r w:rsidRPr="0094251B">
        <w:rPr>
          <w:rFonts w:asciiTheme="majorBidi" w:hAnsiTheme="majorBidi" w:cstheme="majorBidi"/>
          <w:lang w:val="en-US"/>
        </w:rPr>
        <w:t>P</w:t>
      </w:r>
      <w:r w:rsidRPr="00282A15">
        <w:rPr>
          <w:rFonts w:asciiTheme="majorBidi" w:hAnsiTheme="majorBidi" w:cstheme="majorBidi"/>
          <w:lang w:val="en-US"/>
        </w:rPr>
        <w:t>.9.</w:t>
      </w:r>
    </w:p>
  </w:footnote>
  <w:footnote w:id="42">
    <w:p w14:paraId="54F60EF5" w14:textId="3E1398CC" w:rsidR="00153248" w:rsidRPr="00D04519" w:rsidRDefault="00153248" w:rsidP="00D04519">
      <w:pPr>
        <w:pStyle w:val="FootnoteText"/>
        <w:jc w:val="both"/>
        <w:rPr>
          <w:rFonts w:asciiTheme="majorBidi" w:hAnsiTheme="majorBidi" w:cstheme="majorBidi"/>
          <w:lang w:val="ru-RU"/>
        </w:rPr>
      </w:pPr>
      <w:r>
        <w:rPr>
          <w:rStyle w:val="FootnoteReference"/>
        </w:rPr>
        <w:footnoteRef/>
      </w:r>
      <w:r>
        <w:t xml:space="preserve"> </w:t>
      </w:r>
      <w:r w:rsidRPr="00F02A34">
        <w:rPr>
          <w:rFonts w:asciiTheme="majorBidi" w:hAnsiTheme="majorBidi" w:cstheme="majorBidi"/>
          <w:lang w:val="en-US"/>
        </w:rPr>
        <w:t>Hoffman S</w:t>
      </w:r>
      <w:r>
        <w:rPr>
          <w:rFonts w:asciiTheme="majorBidi" w:hAnsiTheme="majorBidi" w:cstheme="majorBidi"/>
          <w:lang w:val="en-US"/>
        </w:rPr>
        <w:t>.</w:t>
      </w:r>
      <w:r w:rsidRPr="00F02A34">
        <w:rPr>
          <w:rFonts w:asciiTheme="majorBidi" w:hAnsiTheme="majorBidi" w:cstheme="majorBidi"/>
          <w:lang w:val="en-US"/>
        </w:rPr>
        <w:t>L. The law and business of international project finance: a resource for governments, sponsors, lawyers, and project participants. Cambridge</w:t>
      </w:r>
      <w:r w:rsidRPr="00454CA4">
        <w:rPr>
          <w:rFonts w:asciiTheme="majorBidi" w:hAnsiTheme="majorBidi" w:cstheme="majorBidi"/>
          <w:lang w:val="ru-RU"/>
        </w:rPr>
        <w:t xml:space="preserve"> </w:t>
      </w:r>
      <w:r w:rsidRPr="00F02A34">
        <w:rPr>
          <w:rFonts w:asciiTheme="majorBidi" w:hAnsiTheme="majorBidi" w:cstheme="majorBidi"/>
          <w:lang w:val="en-US"/>
        </w:rPr>
        <w:t>University</w:t>
      </w:r>
      <w:r w:rsidRPr="00454CA4">
        <w:rPr>
          <w:rFonts w:asciiTheme="majorBidi" w:hAnsiTheme="majorBidi" w:cstheme="majorBidi"/>
          <w:lang w:val="ru-RU"/>
        </w:rPr>
        <w:t xml:space="preserve"> </w:t>
      </w:r>
      <w:r w:rsidRPr="00F02A34">
        <w:rPr>
          <w:rFonts w:asciiTheme="majorBidi" w:hAnsiTheme="majorBidi" w:cstheme="majorBidi"/>
          <w:lang w:val="en-US"/>
        </w:rPr>
        <w:t>Press</w:t>
      </w:r>
      <w:r w:rsidRPr="00C80145">
        <w:rPr>
          <w:rFonts w:asciiTheme="majorBidi" w:hAnsiTheme="majorBidi" w:cstheme="majorBidi"/>
          <w:lang w:val="ru-RU"/>
        </w:rPr>
        <w:t>,</w:t>
      </w:r>
      <w:r w:rsidRPr="00454CA4">
        <w:rPr>
          <w:rFonts w:asciiTheme="majorBidi" w:hAnsiTheme="majorBidi" w:cstheme="majorBidi"/>
          <w:lang w:val="ru-RU"/>
        </w:rPr>
        <w:t xml:space="preserve"> 2007. </w:t>
      </w:r>
      <w:r w:rsidRPr="00D04519">
        <w:rPr>
          <w:rFonts w:asciiTheme="majorBidi" w:hAnsiTheme="majorBidi" w:cstheme="majorBidi"/>
          <w:lang w:val="ru-RU"/>
        </w:rPr>
        <w:t>P.79.</w:t>
      </w:r>
    </w:p>
  </w:footnote>
  <w:footnote w:id="43">
    <w:p w14:paraId="7202DD4C" w14:textId="3FBEFA87" w:rsidR="00153248" w:rsidRPr="008134E0" w:rsidRDefault="00153248" w:rsidP="00F17311">
      <w:pPr>
        <w:pStyle w:val="FootnoteText"/>
        <w:jc w:val="both"/>
        <w:rPr>
          <w:rFonts w:asciiTheme="majorBidi" w:hAnsiTheme="majorBidi" w:cstheme="majorBidi"/>
          <w:lang w:val="en-US"/>
        </w:rPr>
      </w:pPr>
      <w:r w:rsidRPr="00352E97">
        <w:rPr>
          <w:rStyle w:val="FootnoteReference"/>
          <w:rFonts w:asciiTheme="majorBidi" w:hAnsiTheme="majorBidi" w:cstheme="majorBidi"/>
        </w:rPr>
        <w:footnoteRef/>
      </w:r>
      <w:r w:rsidRPr="00352E97">
        <w:rPr>
          <w:rFonts w:asciiTheme="majorBidi" w:hAnsiTheme="majorBidi" w:cstheme="majorBidi"/>
          <w:lang w:val="ru-RU"/>
        </w:rPr>
        <w:t xml:space="preserve"> </w:t>
      </w:r>
      <w:proofErr w:type="spellStart"/>
      <w:r w:rsidRPr="00352E97">
        <w:rPr>
          <w:rFonts w:asciiTheme="majorBidi" w:hAnsiTheme="majorBidi" w:cstheme="majorBidi"/>
          <w:lang w:val="ru-RU"/>
        </w:rPr>
        <w:t>Шиукашвили</w:t>
      </w:r>
      <w:proofErr w:type="spellEnd"/>
      <w:r w:rsidRPr="00352E97">
        <w:rPr>
          <w:rFonts w:asciiTheme="majorBidi" w:hAnsiTheme="majorBidi" w:cstheme="majorBidi"/>
          <w:lang w:val="ru-RU"/>
        </w:rPr>
        <w:t>, Т.Т.</w:t>
      </w:r>
      <w:r w:rsidRPr="008134E0">
        <w:rPr>
          <w:rFonts w:asciiTheme="majorBidi" w:hAnsiTheme="majorBidi" w:cstheme="majorBidi"/>
          <w:lang w:val="ru-RU"/>
        </w:rPr>
        <w:t>, Кравченко М.А.</w:t>
      </w:r>
      <w:r w:rsidRPr="00352E97">
        <w:rPr>
          <w:rFonts w:asciiTheme="majorBidi" w:hAnsiTheme="majorBidi" w:cstheme="majorBidi"/>
          <w:lang w:val="ru-RU"/>
        </w:rPr>
        <w:t xml:space="preserve"> Преимущества и недостатки проектного финансирования</w:t>
      </w:r>
      <w:r w:rsidRPr="008134E0">
        <w:rPr>
          <w:rFonts w:asciiTheme="majorBidi" w:hAnsiTheme="majorBidi" w:cstheme="majorBidi"/>
          <w:lang w:val="ru-RU"/>
        </w:rPr>
        <w:t xml:space="preserve">. </w:t>
      </w:r>
      <w:r w:rsidRPr="00352E97">
        <w:rPr>
          <w:rFonts w:asciiTheme="majorBidi" w:hAnsiTheme="majorBidi" w:cstheme="majorBidi"/>
          <w:lang w:val="ru-RU"/>
        </w:rPr>
        <w:t>Экономика</w:t>
      </w:r>
      <w:r w:rsidRPr="008134E0">
        <w:rPr>
          <w:rFonts w:asciiTheme="majorBidi" w:hAnsiTheme="majorBidi" w:cstheme="majorBidi"/>
          <w:lang w:val="en-US"/>
        </w:rPr>
        <w:t xml:space="preserve"> </w:t>
      </w:r>
      <w:r w:rsidRPr="00352E97">
        <w:rPr>
          <w:rFonts w:asciiTheme="majorBidi" w:hAnsiTheme="majorBidi" w:cstheme="majorBidi"/>
          <w:lang w:val="ru-RU"/>
        </w:rPr>
        <w:t>и</w:t>
      </w:r>
      <w:r w:rsidRPr="008134E0">
        <w:rPr>
          <w:rFonts w:asciiTheme="majorBidi" w:hAnsiTheme="majorBidi" w:cstheme="majorBidi"/>
          <w:lang w:val="en-US"/>
        </w:rPr>
        <w:t xml:space="preserve"> </w:t>
      </w:r>
      <w:r w:rsidRPr="00352E97">
        <w:rPr>
          <w:rFonts w:asciiTheme="majorBidi" w:hAnsiTheme="majorBidi" w:cstheme="majorBidi"/>
          <w:lang w:val="ru-RU"/>
        </w:rPr>
        <w:t>социум</w:t>
      </w:r>
      <w:r w:rsidRPr="008134E0">
        <w:rPr>
          <w:rFonts w:asciiTheme="majorBidi" w:hAnsiTheme="majorBidi" w:cstheme="majorBidi"/>
          <w:lang w:val="en-US"/>
        </w:rPr>
        <w:t>. 2016(7):383-5</w:t>
      </w:r>
      <w:r>
        <w:rPr>
          <w:rFonts w:asciiTheme="majorBidi" w:hAnsiTheme="majorBidi" w:cstheme="majorBidi"/>
          <w:lang w:val="en-US"/>
        </w:rPr>
        <w:t xml:space="preserve">. </w:t>
      </w:r>
      <w:r w:rsidRPr="00DB7457">
        <w:rPr>
          <w:rFonts w:asciiTheme="majorBidi" w:hAnsiTheme="majorBidi" w:cstheme="majorBidi"/>
        </w:rPr>
        <w:t>С</w:t>
      </w:r>
      <w:r w:rsidRPr="00F17311">
        <w:rPr>
          <w:rFonts w:asciiTheme="majorBidi" w:hAnsiTheme="majorBidi" w:cstheme="majorBidi"/>
          <w:lang w:val="en-US"/>
        </w:rPr>
        <w:t>.</w:t>
      </w:r>
      <w:r>
        <w:rPr>
          <w:rFonts w:asciiTheme="majorBidi" w:hAnsiTheme="majorBidi" w:cstheme="majorBidi"/>
          <w:lang w:val="en-US"/>
        </w:rPr>
        <w:t>385.</w:t>
      </w:r>
    </w:p>
  </w:footnote>
  <w:footnote w:id="44">
    <w:p w14:paraId="606D966E" w14:textId="77777777" w:rsidR="00153248" w:rsidRPr="008134E0" w:rsidRDefault="00153248" w:rsidP="008134E0">
      <w:pPr>
        <w:pStyle w:val="FootnoteText"/>
        <w:jc w:val="both"/>
        <w:rPr>
          <w:rFonts w:asciiTheme="majorBidi" w:hAnsiTheme="majorBidi" w:cstheme="majorBidi"/>
        </w:rPr>
      </w:pPr>
      <w:r w:rsidRPr="006A0FBE">
        <w:rPr>
          <w:rStyle w:val="FootnoteReference"/>
          <w:rFonts w:asciiTheme="majorBidi" w:hAnsiTheme="majorBidi" w:cstheme="majorBidi"/>
        </w:rPr>
        <w:footnoteRef/>
      </w:r>
      <w:r w:rsidRPr="008134E0">
        <w:rPr>
          <w:rFonts w:asciiTheme="majorBidi" w:hAnsiTheme="majorBidi" w:cstheme="majorBidi"/>
          <w:lang w:val="en-US"/>
        </w:rPr>
        <w:t xml:space="preserve"> </w:t>
      </w:r>
      <w:r w:rsidRPr="008134E0">
        <w:rPr>
          <w:rFonts w:asciiTheme="majorBidi" w:hAnsiTheme="majorBidi" w:cstheme="majorBidi"/>
        </w:rPr>
        <w:t>URL://http://www.pfie.com/ - Thomson Reuters Project Finance International</w:t>
      </w:r>
    </w:p>
  </w:footnote>
  <w:footnote w:id="45">
    <w:p w14:paraId="2E7AC02E" w14:textId="5A07B546" w:rsidR="00153248" w:rsidRPr="00F02A34" w:rsidRDefault="00153248" w:rsidP="006A0FBE">
      <w:pPr>
        <w:pStyle w:val="FootnoteText"/>
        <w:jc w:val="both"/>
        <w:rPr>
          <w:rFonts w:asciiTheme="majorBidi" w:hAnsiTheme="majorBidi" w:cstheme="majorBidi"/>
          <w:lang w:val="en-US"/>
        </w:rPr>
      </w:pPr>
      <w:r w:rsidRPr="006A0FBE">
        <w:rPr>
          <w:rStyle w:val="FootnoteReference"/>
          <w:rFonts w:asciiTheme="majorBidi" w:hAnsiTheme="majorBidi" w:cstheme="majorBidi"/>
        </w:rPr>
        <w:footnoteRef/>
      </w:r>
      <w:r w:rsidRPr="006A0FBE">
        <w:rPr>
          <w:rStyle w:val="FootnoteReference"/>
          <w:rFonts w:asciiTheme="majorBidi" w:hAnsiTheme="majorBidi" w:cstheme="majorBidi"/>
          <w:lang w:val="ru-RU"/>
        </w:rPr>
        <w:t xml:space="preserve"> </w:t>
      </w:r>
      <w:proofErr w:type="spellStart"/>
      <w:r w:rsidRPr="00D04519">
        <w:rPr>
          <w:rFonts w:asciiTheme="majorBidi" w:hAnsiTheme="majorBidi" w:cstheme="majorBidi"/>
          <w:lang w:val="ru-RU"/>
        </w:rPr>
        <w:t>Езангина</w:t>
      </w:r>
      <w:proofErr w:type="spellEnd"/>
      <w:r w:rsidRPr="00D04519">
        <w:rPr>
          <w:rFonts w:asciiTheme="majorBidi" w:hAnsiTheme="majorBidi" w:cstheme="majorBidi"/>
          <w:lang w:val="ru-RU"/>
        </w:rPr>
        <w:t xml:space="preserve"> И</w:t>
      </w:r>
      <w:r w:rsidRPr="003F0B69">
        <w:rPr>
          <w:rFonts w:asciiTheme="majorBidi" w:hAnsiTheme="majorBidi" w:cstheme="majorBidi"/>
          <w:lang w:val="ru-RU"/>
        </w:rPr>
        <w:t>.</w:t>
      </w:r>
      <w:r w:rsidRPr="00D04519">
        <w:rPr>
          <w:rFonts w:asciiTheme="majorBidi" w:hAnsiTheme="majorBidi" w:cstheme="majorBidi"/>
          <w:lang w:val="ru-RU"/>
        </w:rPr>
        <w:t xml:space="preserve">А, </w:t>
      </w:r>
      <w:proofErr w:type="spellStart"/>
      <w:r w:rsidRPr="00D04519">
        <w:rPr>
          <w:rFonts w:asciiTheme="majorBidi" w:hAnsiTheme="majorBidi" w:cstheme="majorBidi"/>
          <w:lang w:val="ru-RU"/>
        </w:rPr>
        <w:t>Сторожилов</w:t>
      </w:r>
      <w:proofErr w:type="spellEnd"/>
      <w:r w:rsidRPr="00D04519">
        <w:rPr>
          <w:rFonts w:asciiTheme="majorBidi" w:hAnsiTheme="majorBidi" w:cstheme="majorBidi"/>
          <w:lang w:val="ru-RU"/>
        </w:rPr>
        <w:t xml:space="preserve"> Н</w:t>
      </w:r>
      <w:r w:rsidRPr="003F0B69">
        <w:rPr>
          <w:rFonts w:asciiTheme="majorBidi" w:hAnsiTheme="majorBidi" w:cstheme="majorBidi"/>
          <w:lang w:val="ru-RU"/>
        </w:rPr>
        <w:t>.</w:t>
      </w:r>
      <w:r w:rsidRPr="00D04519">
        <w:rPr>
          <w:rFonts w:asciiTheme="majorBidi" w:hAnsiTheme="majorBidi" w:cstheme="majorBidi"/>
          <w:lang w:val="ru-RU"/>
        </w:rPr>
        <w:t>А. Усиление роли институтов развития в механизме банковского проектного финансирования. Финансы</w:t>
      </w:r>
      <w:r w:rsidRPr="00F02A34">
        <w:rPr>
          <w:rFonts w:asciiTheme="majorBidi" w:hAnsiTheme="majorBidi" w:cstheme="majorBidi"/>
          <w:lang w:val="en-US"/>
        </w:rPr>
        <w:t xml:space="preserve">: </w:t>
      </w:r>
      <w:r w:rsidRPr="00D04519">
        <w:rPr>
          <w:rFonts w:asciiTheme="majorBidi" w:hAnsiTheme="majorBidi" w:cstheme="majorBidi"/>
          <w:lang w:val="ru-RU"/>
        </w:rPr>
        <w:t>теория</w:t>
      </w:r>
      <w:r w:rsidRPr="00F02A34">
        <w:rPr>
          <w:rFonts w:asciiTheme="majorBidi" w:hAnsiTheme="majorBidi" w:cstheme="majorBidi"/>
          <w:lang w:val="en-US"/>
        </w:rPr>
        <w:t xml:space="preserve"> </w:t>
      </w:r>
      <w:r w:rsidRPr="00D04519">
        <w:rPr>
          <w:rFonts w:asciiTheme="majorBidi" w:hAnsiTheme="majorBidi" w:cstheme="majorBidi"/>
          <w:lang w:val="ru-RU"/>
        </w:rPr>
        <w:t>и</w:t>
      </w:r>
      <w:r w:rsidRPr="00F02A34">
        <w:rPr>
          <w:rFonts w:asciiTheme="majorBidi" w:hAnsiTheme="majorBidi" w:cstheme="majorBidi"/>
          <w:lang w:val="en-US"/>
        </w:rPr>
        <w:t xml:space="preserve"> </w:t>
      </w:r>
      <w:r w:rsidRPr="00D04519">
        <w:rPr>
          <w:rFonts w:asciiTheme="majorBidi" w:hAnsiTheme="majorBidi" w:cstheme="majorBidi"/>
          <w:lang w:val="ru-RU"/>
        </w:rPr>
        <w:t>практика</w:t>
      </w:r>
      <w:r w:rsidRPr="00F02A34">
        <w:rPr>
          <w:rFonts w:asciiTheme="majorBidi" w:hAnsiTheme="majorBidi" w:cstheme="majorBidi"/>
          <w:lang w:val="en-US"/>
        </w:rPr>
        <w:t>. 2017;21(6). P:24</w:t>
      </w:r>
      <w:r>
        <w:rPr>
          <w:rFonts w:asciiTheme="majorBidi" w:hAnsiTheme="majorBidi" w:cstheme="majorBidi"/>
          <w:lang w:val="en-US"/>
        </w:rPr>
        <w:t>.</w:t>
      </w:r>
    </w:p>
  </w:footnote>
  <w:footnote w:id="46">
    <w:p w14:paraId="362B6EAB" w14:textId="51CEE01E" w:rsidR="00153248" w:rsidRPr="00F02A34" w:rsidRDefault="00153248" w:rsidP="006A0FBE">
      <w:pPr>
        <w:pStyle w:val="FootnoteText"/>
        <w:jc w:val="both"/>
        <w:rPr>
          <w:rFonts w:asciiTheme="majorBidi" w:hAnsiTheme="majorBidi" w:cstheme="majorBidi"/>
          <w:lang w:val="en-US"/>
        </w:rPr>
      </w:pPr>
      <w:r w:rsidRPr="006A0FBE">
        <w:rPr>
          <w:rStyle w:val="FootnoteReference"/>
          <w:rFonts w:asciiTheme="majorBidi" w:hAnsiTheme="majorBidi" w:cstheme="majorBidi"/>
        </w:rPr>
        <w:footnoteRef/>
      </w:r>
      <w:r w:rsidRPr="006A0FBE">
        <w:rPr>
          <w:rFonts w:asciiTheme="majorBidi" w:hAnsiTheme="majorBidi" w:cstheme="majorBidi"/>
        </w:rPr>
        <w:t xml:space="preserve"> </w:t>
      </w:r>
      <w:r w:rsidRPr="00F02A34">
        <w:rPr>
          <w:rFonts w:asciiTheme="majorBidi" w:hAnsiTheme="majorBidi" w:cstheme="majorBidi"/>
          <w:lang w:val="en-US"/>
        </w:rPr>
        <w:t>Clews R. Project finance for the international petroleum industry. Academic Press</w:t>
      </w:r>
      <w:r>
        <w:rPr>
          <w:rFonts w:asciiTheme="majorBidi" w:hAnsiTheme="majorBidi" w:cstheme="majorBidi"/>
          <w:lang w:val="en-US"/>
        </w:rPr>
        <w:t>,</w:t>
      </w:r>
      <w:r w:rsidRPr="00F02A34">
        <w:rPr>
          <w:rFonts w:asciiTheme="majorBidi" w:hAnsiTheme="majorBidi" w:cstheme="majorBidi"/>
          <w:lang w:val="en-US"/>
        </w:rPr>
        <w:t xml:space="preserve"> 2016. P</w:t>
      </w:r>
      <w:r>
        <w:rPr>
          <w:rFonts w:asciiTheme="majorBidi" w:hAnsiTheme="majorBidi" w:cstheme="majorBidi"/>
          <w:lang w:val="en-US"/>
        </w:rPr>
        <w:t>.</w:t>
      </w:r>
      <w:r w:rsidRPr="00F02A34">
        <w:rPr>
          <w:rFonts w:asciiTheme="majorBidi" w:hAnsiTheme="majorBidi" w:cstheme="majorBidi"/>
          <w:lang w:val="en-US"/>
        </w:rPr>
        <w:t>61</w:t>
      </w:r>
      <w:r>
        <w:rPr>
          <w:rFonts w:asciiTheme="majorBidi" w:hAnsiTheme="majorBidi" w:cstheme="majorBidi"/>
          <w:lang w:val="en-US"/>
        </w:rPr>
        <w:t>.</w:t>
      </w:r>
    </w:p>
  </w:footnote>
  <w:footnote w:id="47">
    <w:p w14:paraId="4B1BBE30" w14:textId="54CB7ED0" w:rsidR="00153248" w:rsidRPr="00F02A34" w:rsidRDefault="00153248" w:rsidP="0096385D">
      <w:pPr>
        <w:pStyle w:val="FootnoteText"/>
        <w:rPr>
          <w:rFonts w:asciiTheme="majorBidi" w:hAnsiTheme="majorBidi" w:cstheme="majorBidi"/>
          <w:lang w:val="en-US"/>
        </w:rPr>
      </w:pPr>
      <w:r w:rsidRPr="006A0FBE">
        <w:rPr>
          <w:rStyle w:val="FootnoteReference"/>
          <w:rFonts w:asciiTheme="majorBidi" w:hAnsiTheme="majorBidi" w:cstheme="majorBidi"/>
        </w:rPr>
        <w:footnoteRef/>
      </w:r>
      <w:r w:rsidRPr="006A0FBE">
        <w:rPr>
          <w:rFonts w:asciiTheme="majorBidi" w:hAnsiTheme="majorBidi" w:cstheme="majorBidi"/>
        </w:rPr>
        <w:t xml:space="preserve"> </w:t>
      </w:r>
      <w:r w:rsidRPr="005E62E8">
        <w:rPr>
          <w:rFonts w:asciiTheme="majorBidi" w:hAnsiTheme="majorBidi" w:cstheme="majorBidi"/>
          <w:lang w:val="en-US"/>
        </w:rPr>
        <w:t>URL://</w:t>
      </w:r>
      <w:r w:rsidRPr="00E0092C">
        <w:rPr>
          <w:rFonts w:asciiTheme="majorBidi" w:hAnsiTheme="majorBidi" w:cstheme="majorBidi"/>
          <w:lang w:val="en-US"/>
        </w:rPr>
        <w:t>https://data.worldbank.org/indicator/NY.GDP.MKTP.CD</w:t>
      </w:r>
      <w:r w:rsidRPr="005E62E8">
        <w:rPr>
          <w:rFonts w:asciiTheme="majorBidi" w:hAnsiTheme="majorBidi" w:cstheme="majorBidi"/>
          <w:lang w:val="en-US"/>
        </w:rPr>
        <w:t xml:space="preserve"> - </w:t>
      </w:r>
      <w:r>
        <w:rPr>
          <w:rFonts w:asciiTheme="majorBidi" w:hAnsiTheme="majorBidi" w:cstheme="majorBidi"/>
          <w:lang w:val="en-US"/>
        </w:rPr>
        <w:t xml:space="preserve">The </w:t>
      </w:r>
      <w:r w:rsidRPr="005E62E8">
        <w:rPr>
          <w:rFonts w:asciiTheme="majorBidi" w:hAnsiTheme="majorBidi" w:cstheme="majorBidi"/>
          <w:lang w:val="en-US"/>
        </w:rPr>
        <w:t>World Bank</w:t>
      </w:r>
      <w:r>
        <w:rPr>
          <w:rFonts w:asciiTheme="majorBidi" w:hAnsiTheme="majorBidi" w:cstheme="majorBidi"/>
          <w:lang w:val="en-US"/>
        </w:rPr>
        <w:t xml:space="preserve"> </w:t>
      </w:r>
    </w:p>
  </w:footnote>
  <w:footnote w:id="48">
    <w:p w14:paraId="4719554A" w14:textId="430F7484" w:rsidR="00153248" w:rsidRPr="00F02A34" w:rsidRDefault="00153248" w:rsidP="004E4E6B">
      <w:pPr>
        <w:pStyle w:val="FootnoteText"/>
        <w:jc w:val="both"/>
        <w:rPr>
          <w:rFonts w:asciiTheme="majorBidi" w:hAnsiTheme="majorBidi" w:cstheme="majorBidi"/>
          <w:lang w:val="en-US"/>
        </w:rPr>
      </w:pPr>
      <w:r w:rsidRPr="006A0FBE">
        <w:rPr>
          <w:rStyle w:val="FootnoteReference"/>
          <w:rFonts w:asciiTheme="majorBidi" w:hAnsiTheme="majorBidi" w:cstheme="majorBidi"/>
        </w:rPr>
        <w:footnoteRef/>
      </w:r>
      <w:r w:rsidRPr="006A0FBE">
        <w:rPr>
          <w:rFonts w:asciiTheme="majorBidi" w:hAnsiTheme="majorBidi" w:cstheme="majorBidi"/>
        </w:rPr>
        <w:t xml:space="preserve"> </w:t>
      </w:r>
      <w:r w:rsidRPr="00F02A34">
        <w:rPr>
          <w:rFonts w:asciiTheme="majorBidi" w:hAnsiTheme="majorBidi" w:cstheme="majorBidi"/>
          <w:lang w:val="en-US"/>
        </w:rPr>
        <w:t>The Gulf Cooperation Council is a regional intergovernmental political and economic union consisting of all Arab states of the Persian Gulf</w:t>
      </w:r>
      <w:r>
        <w:rPr>
          <w:rFonts w:asciiTheme="majorBidi" w:hAnsiTheme="majorBidi" w:cstheme="majorBidi"/>
          <w:lang w:val="en-US"/>
        </w:rPr>
        <w:t>,</w:t>
      </w:r>
      <w:r w:rsidRPr="00F02A34">
        <w:rPr>
          <w:rFonts w:asciiTheme="majorBidi" w:hAnsiTheme="majorBidi" w:cstheme="majorBidi"/>
          <w:lang w:val="en-US"/>
        </w:rPr>
        <w:t xml:space="preserve"> namely: Bahrain, Kuwait, Oman, Qatar, Saudi Arabia, and the United Arab Emirates.</w:t>
      </w:r>
    </w:p>
  </w:footnote>
  <w:footnote w:id="49">
    <w:p w14:paraId="511CC0BD" w14:textId="2AD9CE0A" w:rsidR="00153248" w:rsidRPr="00454CA4" w:rsidRDefault="00153248" w:rsidP="00102819">
      <w:pPr>
        <w:pStyle w:val="FootnoteText"/>
        <w:jc w:val="both"/>
        <w:rPr>
          <w:rFonts w:asciiTheme="majorBidi" w:hAnsiTheme="majorBidi" w:cstheme="majorBidi"/>
          <w:lang w:val="en-US"/>
        </w:rPr>
      </w:pPr>
      <w:r w:rsidRPr="006A0FBE">
        <w:rPr>
          <w:rStyle w:val="FootnoteReference"/>
          <w:rFonts w:asciiTheme="majorBidi" w:hAnsiTheme="majorBidi" w:cstheme="majorBidi"/>
        </w:rPr>
        <w:footnoteRef/>
      </w:r>
      <w:r w:rsidRPr="006A0FBE">
        <w:rPr>
          <w:rFonts w:asciiTheme="majorBidi" w:hAnsiTheme="majorBidi" w:cstheme="majorBidi"/>
        </w:rPr>
        <w:t xml:space="preserve"> </w:t>
      </w:r>
      <w:r w:rsidRPr="00F02A34">
        <w:rPr>
          <w:rFonts w:asciiTheme="majorBidi" w:hAnsiTheme="majorBidi" w:cstheme="majorBidi"/>
          <w:lang w:val="en-US"/>
        </w:rPr>
        <w:t>Atalla T</w:t>
      </w:r>
      <w:r>
        <w:rPr>
          <w:rFonts w:asciiTheme="majorBidi" w:hAnsiTheme="majorBidi" w:cstheme="majorBidi"/>
          <w:lang w:val="en-US"/>
        </w:rPr>
        <w:t>.</w:t>
      </w:r>
      <w:r w:rsidRPr="00F02A34">
        <w:rPr>
          <w:rFonts w:asciiTheme="majorBidi" w:hAnsiTheme="majorBidi" w:cstheme="majorBidi"/>
          <w:lang w:val="en-US"/>
        </w:rPr>
        <w:t>, D</w:t>
      </w:r>
      <w:r w:rsidRPr="00E20029">
        <w:rPr>
          <w:rFonts w:ascii="Times New Roman" w:hAnsi="Times New Roman" w:cs="Times New Roman"/>
          <w:sz w:val="24"/>
          <w:szCs w:val="24"/>
        </w:rPr>
        <w:t>'</w:t>
      </w:r>
      <w:proofErr w:type="spellStart"/>
      <w:r w:rsidRPr="00F02A34">
        <w:rPr>
          <w:rFonts w:asciiTheme="majorBidi" w:hAnsiTheme="majorBidi" w:cstheme="majorBidi"/>
          <w:lang w:val="en-US"/>
        </w:rPr>
        <w:t>Errico</w:t>
      </w:r>
      <w:proofErr w:type="spellEnd"/>
      <w:r w:rsidRPr="00F02A34">
        <w:rPr>
          <w:rFonts w:asciiTheme="majorBidi" w:hAnsiTheme="majorBidi" w:cstheme="majorBidi"/>
          <w:lang w:val="en-US"/>
        </w:rPr>
        <w:t xml:space="preserve"> M</w:t>
      </w:r>
      <w:r>
        <w:rPr>
          <w:rFonts w:asciiTheme="majorBidi" w:hAnsiTheme="majorBidi" w:cstheme="majorBidi"/>
          <w:lang w:val="en-US"/>
        </w:rPr>
        <w:t>.</w:t>
      </w:r>
      <w:r w:rsidRPr="00F02A34">
        <w:rPr>
          <w:rFonts w:asciiTheme="majorBidi" w:hAnsiTheme="majorBidi" w:cstheme="majorBidi"/>
          <w:lang w:val="en-US"/>
        </w:rPr>
        <w:t>C. Energy project financing in the GCC region: an empirical investigation. Energy Transitions.</w:t>
      </w:r>
      <w:r>
        <w:rPr>
          <w:rFonts w:asciiTheme="majorBidi" w:hAnsiTheme="majorBidi" w:cstheme="majorBidi"/>
          <w:lang w:val="en-US"/>
        </w:rPr>
        <w:t xml:space="preserve"> 2019.</w:t>
      </w:r>
      <w:r w:rsidRPr="00F02A34">
        <w:rPr>
          <w:rFonts w:asciiTheme="majorBidi" w:hAnsiTheme="majorBidi" w:cstheme="majorBidi"/>
          <w:lang w:val="en-US"/>
        </w:rPr>
        <w:t xml:space="preserve"> </w:t>
      </w:r>
      <w:r w:rsidRPr="00454CA4">
        <w:rPr>
          <w:rFonts w:asciiTheme="majorBidi" w:hAnsiTheme="majorBidi" w:cstheme="majorBidi"/>
          <w:lang w:val="en-US"/>
        </w:rPr>
        <w:t>P</w:t>
      </w:r>
      <w:r>
        <w:rPr>
          <w:rFonts w:asciiTheme="majorBidi" w:hAnsiTheme="majorBidi" w:cstheme="majorBidi"/>
          <w:lang w:val="en-US"/>
        </w:rPr>
        <w:t>.</w:t>
      </w:r>
      <w:r w:rsidRPr="00454CA4">
        <w:rPr>
          <w:rFonts w:asciiTheme="majorBidi" w:hAnsiTheme="majorBidi" w:cstheme="majorBidi"/>
          <w:lang w:val="en-US"/>
        </w:rPr>
        <w:t>1</w:t>
      </w:r>
      <w:r>
        <w:rPr>
          <w:rFonts w:asciiTheme="majorBidi" w:hAnsiTheme="majorBidi" w:cstheme="majorBidi"/>
          <w:lang w:val="en-US"/>
        </w:rPr>
        <w:t>.</w:t>
      </w:r>
    </w:p>
  </w:footnote>
  <w:footnote w:id="50">
    <w:p w14:paraId="41B4BA8F" w14:textId="311D2E23" w:rsidR="00153248" w:rsidRPr="00F02A34" w:rsidRDefault="00153248" w:rsidP="00102819">
      <w:pPr>
        <w:pStyle w:val="FootnoteText"/>
        <w:jc w:val="both"/>
        <w:rPr>
          <w:rFonts w:asciiTheme="majorBidi" w:hAnsiTheme="majorBidi" w:cstheme="majorBidi"/>
          <w:lang w:val="en-US"/>
        </w:rPr>
      </w:pPr>
      <w:r w:rsidRPr="00102819">
        <w:rPr>
          <w:rStyle w:val="FootnoteReference"/>
          <w:rFonts w:asciiTheme="majorBidi" w:hAnsiTheme="majorBidi" w:cstheme="majorBidi"/>
        </w:rPr>
        <w:footnoteRef/>
      </w:r>
      <w:r w:rsidRPr="00102819">
        <w:rPr>
          <w:rFonts w:asciiTheme="majorBidi" w:hAnsiTheme="majorBidi" w:cstheme="majorBidi"/>
        </w:rPr>
        <w:t xml:space="preserve"> </w:t>
      </w:r>
      <w:r w:rsidRPr="00F02A34">
        <w:rPr>
          <w:rFonts w:asciiTheme="majorBidi" w:hAnsiTheme="majorBidi" w:cstheme="majorBidi"/>
          <w:lang w:val="en-US"/>
        </w:rPr>
        <w:t xml:space="preserve">Clews R. </w:t>
      </w:r>
      <w:r>
        <w:rPr>
          <w:rFonts w:asciiTheme="majorBidi" w:hAnsiTheme="majorBidi" w:cstheme="majorBidi"/>
          <w:lang w:val="en-US"/>
        </w:rPr>
        <w:t>Ibid</w:t>
      </w:r>
      <w:r w:rsidRPr="00F02A34">
        <w:rPr>
          <w:rFonts w:asciiTheme="majorBidi" w:hAnsiTheme="majorBidi" w:cstheme="majorBidi"/>
          <w:lang w:val="en-US"/>
        </w:rPr>
        <w:t>.</w:t>
      </w:r>
    </w:p>
  </w:footnote>
  <w:footnote w:id="51">
    <w:p w14:paraId="12AA5B60" w14:textId="77777777" w:rsidR="00153248" w:rsidRPr="009D748E" w:rsidRDefault="00153248" w:rsidP="007E5AFF">
      <w:pPr>
        <w:pStyle w:val="FootnoteText"/>
        <w:jc w:val="both"/>
        <w:rPr>
          <w:rFonts w:asciiTheme="majorBidi" w:hAnsiTheme="majorBidi" w:cstheme="majorBidi"/>
          <w:lang w:val="en-US"/>
        </w:rPr>
      </w:pPr>
      <w:r w:rsidRPr="00102819">
        <w:rPr>
          <w:rStyle w:val="FootnoteReference"/>
          <w:rFonts w:asciiTheme="majorBidi" w:hAnsiTheme="majorBidi" w:cstheme="majorBidi"/>
        </w:rPr>
        <w:footnoteRef/>
      </w:r>
      <w:r>
        <w:rPr>
          <w:rFonts w:asciiTheme="majorBidi" w:hAnsiTheme="majorBidi" w:cstheme="majorBidi"/>
          <w:lang w:val="en-US"/>
        </w:rPr>
        <w:t xml:space="preserve"> </w:t>
      </w:r>
      <w:proofErr w:type="spellStart"/>
      <w:r w:rsidRPr="00105197">
        <w:rPr>
          <w:rFonts w:asciiTheme="majorBidi" w:hAnsiTheme="majorBidi" w:cstheme="majorBidi"/>
          <w:lang w:val="en-US"/>
        </w:rPr>
        <w:t>Elbashir</w:t>
      </w:r>
      <w:proofErr w:type="spellEnd"/>
      <w:r w:rsidRPr="00105197">
        <w:rPr>
          <w:rFonts w:asciiTheme="majorBidi" w:hAnsiTheme="majorBidi" w:cstheme="majorBidi"/>
          <w:lang w:val="en-US"/>
        </w:rPr>
        <w:t xml:space="preserve"> N.O., El-</w:t>
      </w:r>
      <w:proofErr w:type="spellStart"/>
      <w:r w:rsidRPr="00105197">
        <w:rPr>
          <w:rFonts w:asciiTheme="majorBidi" w:hAnsiTheme="majorBidi" w:cstheme="majorBidi"/>
          <w:lang w:val="en-US"/>
        </w:rPr>
        <w:t>Halwagi</w:t>
      </w:r>
      <w:proofErr w:type="spellEnd"/>
      <w:r w:rsidRPr="00105197">
        <w:rPr>
          <w:rFonts w:asciiTheme="majorBidi" w:hAnsiTheme="majorBidi" w:cstheme="majorBidi"/>
          <w:lang w:val="en-US"/>
        </w:rPr>
        <w:t xml:space="preserve"> M.M., Economou I.G., Hall, K.R. Natural Gas Processing from Midstream to Downstream. John Wiley &amp; Sons. 2019.</w:t>
      </w:r>
      <w:r>
        <w:rPr>
          <w:rFonts w:asciiTheme="majorBidi" w:hAnsiTheme="majorBidi" w:cstheme="majorBidi"/>
          <w:lang w:val="en-US"/>
        </w:rPr>
        <w:t xml:space="preserve"> P.9.</w:t>
      </w:r>
    </w:p>
  </w:footnote>
  <w:footnote w:id="52">
    <w:p w14:paraId="174305F7" w14:textId="528F7758" w:rsidR="00153248" w:rsidRPr="00F02A34" w:rsidRDefault="00153248" w:rsidP="00102819">
      <w:pPr>
        <w:pStyle w:val="FootnoteText"/>
        <w:jc w:val="both"/>
        <w:rPr>
          <w:rFonts w:asciiTheme="majorBidi" w:hAnsiTheme="majorBidi" w:cstheme="majorBidi"/>
          <w:lang w:val="en-US"/>
        </w:rPr>
      </w:pPr>
      <w:r w:rsidRPr="00102819">
        <w:rPr>
          <w:rStyle w:val="FootnoteReference"/>
          <w:rFonts w:asciiTheme="majorBidi" w:hAnsiTheme="majorBidi" w:cstheme="majorBidi"/>
        </w:rPr>
        <w:footnoteRef/>
      </w:r>
      <w:r w:rsidRPr="00102819">
        <w:rPr>
          <w:rFonts w:asciiTheme="majorBidi" w:hAnsiTheme="majorBidi" w:cstheme="majorBidi"/>
        </w:rPr>
        <w:t xml:space="preserve"> </w:t>
      </w:r>
      <w:r w:rsidRPr="00294DA5">
        <w:rPr>
          <w:rFonts w:asciiTheme="majorBidi" w:hAnsiTheme="majorBidi" w:cstheme="majorBidi"/>
          <w:lang w:val="en-US"/>
        </w:rPr>
        <w:t xml:space="preserve">Islamic financial policy. In: Dar H., Azmi S., Bushra Shafique B., eds. Global Islamic financial report 2016. </w:t>
      </w:r>
      <w:r w:rsidRPr="00F02A34">
        <w:rPr>
          <w:rFonts w:asciiTheme="majorBidi" w:hAnsiTheme="majorBidi" w:cstheme="majorBidi"/>
          <w:lang w:val="en-US"/>
        </w:rPr>
        <w:t>P</w:t>
      </w:r>
      <w:r>
        <w:rPr>
          <w:rFonts w:asciiTheme="majorBidi" w:hAnsiTheme="majorBidi" w:cstheme="majorBidi"/>
          <w:lang w:val="en-US"/>
        </w:rPr>
        <w:t>.</w:t>
      </w:r>
      <w:r w:rsidRPr="00F02A34">
        <w:rPr>
          <w:rFonts w:asciiTheme="majorBidi" w:hAnsiTheme="majorBidi" w:cstheme="majorBidi"/>
          <w:lang w:val="en-US"/>
        </w:rPr>
        <w:t>259</w:t>
      </w:r>
      <w:r>
        <w:rPr>
          <w:rFonts w:asciiTheme="majorBidi" w:hAnsiTheme="majorBidi" w:cstheme="majorBidi"/>
          <w:lang w:val="en-US"/>
        </w:rPr>
        <w:t>.</w:t>
      </w:r>
    </w:p>
  </w:footnote>
  <w:footnote w:id="53">
    <w:p w14:paraId="55CC545E" w14:textId="23449A09" w:rsidR="00153248" w:rsidRPr="00D04519" w:rsidRDefault="00153248" w:rsidP="00B70D5A">
      <w:pPr>
        <w:pStyle w:val="FootnoteText"/>
        <w:jc w:val="both"/>
        <w:rPr>
          <w:rFonts w:asciiTheme="majorBidi" w:hAnsiTheme="majorBidi" w:cstheme="majorBidi"/>
          <w:rtl/>
          <w:lang w:val="ru-RU"/>
        </w:rPr>
      </w:pPr>
      <w:r w:rsidRPr="00102819">
        <w:rPr>
          <w:rStyle w:val="FootnoteReference"/>
          <w:rFonts w:asciiTheme="majorBidi" w:hAnsiTheme="majorBidi" w:cstheme="majorBidi"/>
        </w:rPr>
        <w:footnoteRef/>
      </w:r>
      <w:r w:rsidRPr="00102819">
        <w:rPr>
          <w:rFonts w:asciiTheme="majorBidi" w:hAnsiTheme="majorBidi" w:cstheme="majorBidi"/>
        </w:rPr>
        <w:t xml:space="preserve"> </w:t>
      </w:r>
      <w:r w:rsidRPr="00F02A34">
        <w:rPr>
          <w:rFonts w:asciiTheme="majorBidi" w:hAnsiTheme="majorBidi" w:cstheme="majorBidi"/>
          <w:lang w:val="en-US"/>
        </w:rPr>
        <w:t>General Authority of Civil Aviation. Annual reports 2011-2018. (In Arabic)</w:t>
      </w:r>
    </w:p>
  </w:footnote>
  <w:footnote w:id="54">
    <w:p w14:paraId="1ACD6D79" w14:textId="387EC4F6" w:rsidR="00153248" w:rsidRPr="009D748E" w:rsidRDefault="00153248" w:rsidP="00B70D5A">
      <w:pPr>
        <w:pStyle w:val="FootnoteText"/>
        <w:jc w:val="both"/>
        <w:rPr>
          <w:rFonts w:asciiTheme="majorBidi" w:hAnsiTheme="majorBidi" w:cstheme="majorBidi"/>
          <w:lang w:val="en-US"/>
        </w:rPr>
      </w:pPr>
      <w:r w:rsidRPr="00102819">
        <w:rPr>
          <w:rStyle w:val="FootnoteReference"/>
          <w:rFonts w:asciiTheme="majorBidi" w:hAnsiTheme="majorBidi" w:cstheme="majorBidi"/>
        </w:rPr>
        <w:footnoteRef/>
      </w:r>
      <w:r w:rsidRPr="00102819">
        <w:rPr>
          <w:rFonts w:asciiTheme="majorBidi" w:hAnsiTheme="majorBidi" w:cstheme="majorBidi"/>
        </w:rPr>
        <w:t xml:space="preserve"> </w:t>
      </w:r>
      <w:proofErr w:type="spellStart"/>
      <w:r w:rsidRPr="00F02A34">
        <w:rPr>
          <w:rFonts w:asciiTheme="majorBidi" w:hAnsiTheme="majorBidi" w:cstheme="majorBidi"/>
          <w:lang w:val="en-US"/>
        </w:rPr>
        <w:t>Chaouk</w:t>
      </w:r>
      <w:proofErr w:type="spellEnd"/>
      <w:r w:rsidRPr="00F02A34">
        <w:rPr>
          <w:rFonts w:asciiTheme="majorBidi" w:hAnsiTheme="majorBidi" w:cstheme="majorBidi"/>
          <w:lang w:val="en-US"/>
        </w:rPr>
        <w:t xml:space="preserve"> M</w:t>
      </w:r>
      <w:r>
        <w:rPr>
          <w:rFonts w:asciiTheme="majorBidi" w:hAnsiTheme="majorBidi" w:cstheme="majorBidi"/>
          <w:lang w:val="en-US"/>
        </w:rPr>
        <w:t>.</w:t>
      </w:r>
      <w:r w:rsidRPr="00F02A34">
        <w:rPr>
          <w:rFonts w:asciiTheme="majorBidi" w:hAnsiTheme="majorBidi" w:cstheme="majorBidi"/>
          <w:lang w:val="en-US"/>
        </w:rPr>
        <w:t xml:space="preserve">, </w:t>
      </w:r>
      <w:proofErr w:type="spellStart"/>
      <w:r w:rsidRPr="00F02A34">
        <w:rPr>
          <w:rFonts w:asciiTheme="majorBidi" w:hAnsiTheme="majorBidi" w:cstheme="majorBidi"/>
          <w:lang w:val="en-US"/>
        </w:rPr>
        <w:t>Pagliari</w:t>
      </w:r>
      <w:proofErr w:type="spellEnd"/>
      <w:r w:rsidRPr="00F02A34">
        <w:rPr>
          <w:rFonts w:asciiTheme="majorBidi" w:hAnsiTheme="majorBidi" w:cstheme="majorBidi"/>
          <w:lang w:val="en-US"/>
        </w:rPr>
        <w:t xml:space="preserve"> R</w:t>
      </w:r>
      <w:r>
        <w:rPr>
          <w:rFonts w:asciiTheme="majorBidi" w:hAnsiTheme="majorBidi" w:cstheme="majorBidi"/>
          <w:lang w:val="en-US"/>
        </w:rPr>
        <w:t>.</w:t>
      </w:r>
      <w:r w:rsidRPr="00F02A34">
        <w:rPr>
          <w:rFonts w:asciiTheme="majorBidi" w:hAnsiTheme="majorBidi" w:cstheme="majorBidi"/>
          <w:lang w:val="en-US"/>
        </w:rPr>
        <w:t xml:space="preserve">, Miyoshi C. A critical review of airport </w:t>
      </w:r>
      <w:proofErr w:type="spellStart"/>
      <w:r w:rsidRPr="00F02A34">
        <w:rPr>
          <w:rFonts w:asciiTheme="majorBidi" w:hAnsiTheme="majorBidi" w:cstheme="majorBidi"/>
          <w:lang w:val="en-US"/>
        </w:rPr>
        <w:t>privatisation</w:t>
      </w:r>
      <w:proofErr w:type="spellEnd"/>
      <w:r w:rsidRPr="00F02A34">
        <w:rPr>
          <w:rFonts w:asciiTheme="majorBidi" w:hAnsiTheme="majorBidi" w:cstheme="majorBidi"/>
          <w:lang w:val="en-US"/>
        </w:rPr>
        <w:t xml:space="preserve"> in the Kingdom of Saudi Arabia: Case study of Medina Airport. </w:t>
      </w:r>
      <w:r w:rsidRPr="009D748E">
        <w:rPr>
          <w:rFonts w:asciiTheme="majorBidi" w:hAnsiTheme="majorBidi" w:cstheme="majorBidi"/>
          <w:lang w:val="en-US"/>
        </w:rPr>
        <w:t>Case Studies on Transport Policy. 2019</w:t>
      </w:r>
      <w:r>
        <w:rPr>
          <w:rFonts w:asciiTheme="majorBidi" w:hAnsiTheme="majorBidi" w:cstheme="majorBidi"/>
          <w:lang w:val="en-US"/>
        </w:rPr>
        <w:t xml:space="preserve">. </w:t>
      </w:r>
      <w:r w:rsidRPr="009D748E">
        <w:rPr>
          <w:rFonts w:asciiTheme="majorBidi" w:hAnsiTheme="majorBidi" w:cstheme="majorBidi"/>
          <w:lang w:val="en-US"/>
        </w:rPr>
        <w:t>P.434.</w:t>
      </w:r>
    </w:p>
  </w:footnote>
  <w:footnote w:id="55">
    <w:p w14:paraId="55ED794C" w14:textId="1B791133" w:rsidR="00153248" w:rsidRPr="00F02A34" w:rsidRDefault="00153248" w:rsidP="00B70D5A">
      <w:pPr>
        <w:pStyle w:val="FootnoteText"/>
        <w:jc w:val="both"/>
        <w:rPr>
          <w:rFonts w:asciiTheme="majorBidi" w:hAnsiTheme="majorBidi" w:cstheme="majorBidi"/>
          <w:lang w:val="en-US"/>
        </w:rPr>
      </w:pPr>
      <w:r w:rsidRPr="00102819">
        <w:rPr>
          <w:rStyle w:val="FootnoteReference"/>
          <w:rFonts w:asciiTheme="majorBidi" w:hAnsiTheme="majorBidi" w:cstheme="majorBidi"/>
        </w:rPr>
        <w:footnoteRef/>
      </w:r>
      <w:r w:rsidRPr="00102819">
        <w:rPr>
          <w:rFonts w:asciiTheme="majorBidi" w:hAnsiTheme="majorBidi" w:cstheme="majorBidi"/>
        </w:rPr>
        <w:t xml:space="preserve"> </w:t>
      </w:r>
      <w:proofErr w:type="spellStart"/>
      <w:r w:rsidRPr="00F02A34">
        <w:rPr>
          <w:rFonts w:asciiTheme="majorBidi" w:hAnsiTheme="majorBidi" w:cstheme="majorBidi"/>
          <w:lang w:val="en-US"/>
        </w:rPr>
        <w:t>Chaouk</w:t>
      </w:r>
      <w:proofErr w:type="spellEnd"/>
      <w:r w:rsidRPr="00F02A34">
        <w:rPr>
          <w:rFonts w:asciiTheme="majorBidi" w:hAnsiTheme="majorBidi" w:cstheme="majorBidi"/>
          <w:lang w:val="en-US"/>
        </w:rPr>
        <w:t xml:space="preserve"> M, </w:t>
      </w:r>
      <w:proofErr w:type="spellStart"/>
      <w:r w:rsidRPr="00F02A34">
        <w:rPr>
          <w:rFonts w:asciiTheme="majorBidi" w:hAnsiTheme="majorBidi" w:cstheme="majorBidi"/>
          <w:lang w:val="en-US"/>
        </w:rPr>
        <w:t>Pagliari</w:t>
      </w:r>
      <w:proofErr w:type="spellEnd"/>
      <w:r w:rsidRPr="00F02A34">
        <w:rPr>
          <w:rFonts w:asciiTheme="majorBidi" w:hAnsiTheme="majorBidi" w:cstheme="majorBidi"/>
          <w:lang w:val="en-US"/>
        </w:rPr>
        <w:t xml:space="preserve"> R, Miyoshi C. Ibid. P.435.</w:t>
      </w:r>
    </w:p>
  </w:footnote>
  <w:footnote w:id="56">
    <w:p w14:paraId="1253373F" w14:textId="3BE001DE" w:rsidR="00153248" w:rsidRPr="009D748E" w:rsidRDefault="00153248" w:rsidP="00B70D5A">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Pr>
          <w:rFonts w:asciiTheme="majorBidi" w:hAnsiTheme="majorBidi" w:cstheme="majorBidi"/>
        </w:rPr>
        <w:t xml:space="preserve"> </w:t>
      </w:r>
      <w:r w:rsidRPr="00D04519">
        <w:rPr>
          <w:rFonts w:asciiTheme="majorBidi" w:hAnsiTheme="majorBidi" w:cstheme="majorBidi"/>
          <w:lang w:val="en-US"/>
        </w:rPr>
        <w:t>Baghdadi A</w:t>
      </w:r>
      <w:r>
        <w:rPr>
          <w:rFonts w:asciiTheme="majorBidi" w:hAnsiTheme="majorBidi" w:cstheme="majorBidi"/>
          <w:lang w:val="en-US"/>
        </w:rPr>
        <w:t>.</w:t>
      </w:r>
      <w:r w:rsidRPr="00D04519">
        <w:rPr>
          <w:rFonts w:asciiTheme="majorBidi" w:hAnsiTheme="majorBidi" w:cstheme="majorBidi"/>
          <w:lang w:val="en-US"/>
        </w:rPr>
        <w:t xml:space="preserve">, </w:t>
      </w:r>
      <w:proofErr w:type="spellStart"/>
      <w:r w:rsidRPr="00D04519">
        <w:rPr>
          <w:rFonts w:asciiTheme="majorBidi" w:hAnsiTheme="majorBidi" w:cstheme="majorBidi"/>
          <w:lang w:val="en-US"/>
        </w:rPr>
        <w:t>Kishk</w:t>
      </w:r>
      <w:proofErr w:type="spellEnd"/>
      <w:r w:rsidRPr="00D04519">
        <w:rPr>
          <w:rFonts w:asciiTheme="majorBidi" w:hAnsiTheme="majorBidi" w:cstheme="majorBidi"/>
          <w:lang w:val="en-US"/>
        </w:rPr>
        <w:t xml:space="preserve"> M. Saudi Arabian aviation construction projects: Identification of risks and their consequences. </w:t>
      </w:r>
      <w:r w:rsidRPr="009D748E">
        <w:rPr>
          <w:rFonts w:asciiTheme="majorBidi" w:hAnsiTheme="majorBidi" w:cstheme="majorBidi"/>
          <w:lang w:val="en-US"/>
        </w:rPr>
        <w:t>Procedia Engineering. 2015. P:33</w:t>
      </w:r>
    </w:p>
  </w:footnote>
  <w:footnote w:id="57">
    <w:p w14:paraId="237A785B" w14:textId="77777777" w:rsidR="00153248" w:rsidRPr="00F02A34" w:rsidRDefault="00153248" w:rsidP="009738BC">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Pr>
          <w:rFonts w:asciiTheme="majorBidi" w:hAnsiTheme="majorBidi" w:cstheme="majorBidi"/>
        </w:rPr>
        <w:t xml:space="preserve"> </w:t>
      </w:r>
      <w:r w:rsidRPr="00FE165F">
        <w:rPr>
          <w:rFonts w:asciiTheme="majorBidi" w:hAnsiTheme="majorBidi" w:cstheme="majorBidi"/>
          <w:lang w:val="en-US"/>
        </w:rPr>
        <w:t>Aijaz A., Abayomi A. Mobilizing Islamic finance for infrastructure public-private partnerships. World Bank Group. Washington D.C., USA, 2017.</w:t>
      </w:r>
      <w:r>
        <w:rPr>
          <w:rFonts w:asciiTheme="majorBidi" w:hAnsiTheme="majorBidi" w:cstheme="majorBidi"/>
          <w:lang w:val="en-US"/>
        </w:rPr>
        <w:t xml:space="preserve"> P.49.</w:t>
      </w:r>
    </w:p>
  </w:footnote>
  <w:footnote w:id="58">
    <w:p w14:paraId="0F43DA05" w14:textId="77777777" w:rsidR="00153248" w:rsidRPr="00F02A34" w:rsidRDefault="00153248" w:rsidP="002F702D">
      <w:pPr>
        <w:pStyle w:val="FootnoteText"/>
        <w:jc w:val="both"/>
        <w:rPr>
          <w:rFonts w:asciiTheme="majorBidi" w:hAnsiTheme="majorBidi" w:cstheme="majorBidi"/>
          <w:lang w:val="en-US"/>
        </w:rPr>
      </w:pPr>
      <w:r w:rsidRPr="00FE165F">
        <w:rPr>
          <w:rStyle w:val="FootnoteReference"/>
          <w:rFonts w:asciiTheme="majorBidi" w:hAnsiTheme="majorBidi" w:cstheme="majorBidi"/>
        </w:rPr>
        <w:footnoteRef/>
      </w:r>
      <w:r w:rsidRPr="00FE165F">
        <w:rPr>
          <w:rFonts w:asciiTheme="majorBidi" w:hAnsiTheme="majorBidi" w:cstheme="majorBidi"/>
          <w:lang w:val="en-US"/>
        </w:rPr>
        <w:t xml:space="preserve"> </w:t>
      </w:r>
      <w:r>
        <w:rPr>
          <w:rFonts w:asciiTheme="majorBidi" w:hAnsiTheme="majorBidi" w:cstheme="majorBidi"/>
          <w:lang w:val="en-US"/>
        </w:rPr>
        <w:t>Abdul-</w:t>
      </w:r>
      <w:proofErr w:type="spellStart"/>
      <w:r w:rsidRPr="00F02A34">
        <w:rPr>
          <w:rFonts w:asciiTheme="majorBidi" w:hAnsiTheme="majorBidi" w:cstheme="majorBidi"/>
          <w:lang w:val="en-US"/>
        </w:rPr>
        <w:t>Latheef</w:t>
      </w:r>
      <w:proofErr w:type="spellEnd"/>
      <w:r w:rsidRPr="00F02A34">
        <w:rPr>
          <w:rFonts w:asciiTheme="majorBidi" w:hAnsiTheme="majorBidi" w:cstheme="majorBidi"/>
          <w:lang w:val="en-US"/>
        </w:rPr>
        <w:t xml:space="preserve"> A</w:t>
      </w:r>
      <w:r>
        <w:rPr>
          <w:rFonts w:asciiTheme="majorBidi" w:hAnsiTheme="majorBidi" w:cstheme="majorBidi"/>
          <w:lang w:val="en-US"/>
        </w:rPr>
        <w:t>.</w:t>
      </w:r>
      <w:r w:rsidRPr="00F02A34">
        <w:rPr>
          <w:rFonts w:asciiTheme="majorBidi" w:hAnsiTheme="majorBidi" w:cstheme="majorBidi"/>
          <w:lang w:val="en-US"/>
        </w:rPr>
        <w:t>V. Critical success factors for public and private project partnership in Saudi Arabia. P.19.</w:t>
      </w:r>
    </w:p>
  </w:footnote>
  <w:footnote w:id="59">
    <w:p w14:paraId="390FA19F" w14:textId="77777777" w:rsidR="00153248" w:rsidRDefault="00153248" w:rsidP="002F702D">
      <w:pPr>
        <w:pStyle w:val="FootnoteText"/>
        <w:jc w:val="both"/>
      </w:pPr>
      <w:r w:rsidRPr="00B70D5A">
        <w:rPr>
          <w:rStyle w:val="FootnoteReference"/>
          <w:rFonts w:asciiTheme="majorBidi" w:hAnsiTheme="majorBidi" w:cstheme="majorBidi"/>
        </w:rPr>
        <w:footnoteRef/>
      </w:r>
      <w:r w:rsidRPr="00B70D5A">
        <w:rPr>
          <w:rFonts w:asciiTheme="majorBidi" w:hAnsiTheme="majorBidi" w:cstheme="majorBidi"/>
        </w:rPr>
        <w:t xml:space="preserve"> </w:t>
      </w:r>
      <w:r>
        <w:rPr>
          <w:rFonts w:asciiTheme="majorBidi" w:hAnsiTheme="majorBidi" w:cstheme="majorBidi"/>
        </w:rPr>
        <w:t>URL://</w:t>
      </w:r>
      <w:r w:rsidRPr="00B70D5A">
        <w:rPr>
          <w:rFonts w:asciiTheme="majorBidi" w:hAnsiTheme="majorBidi" w:cstheme="majorBidi"/>
        </w:rPr>
        <w:t>http://www.pfie.com/special-reports/yearbooks/yearbook-2013/</w:t>
      </w:r>
    </w:p>
  </w:footnote>
  <w:footnote w:id="60">
    <w:p w14:paraId="07A29B34" w14:textId="4EFA32A9" w:rsidR="00153248" w:rsidRPr="00F02A34" w:rsidRDefault="00153248" w:rsidP="00245D7B">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94251B">
        <w:rPr>
          <w:rFonts w:asciiTheme="majorBidi" w:hAnsiTheme="majorBidi" w:cstheme="majorBidi"/>
          <w:lang w:val="en-US"/>
        </w:rPr>
        <w:t>Alexander A</w:t>
      </w:r>
      <w:r>
        <w:rPr>
          <w:rFonts w:asciiTheme="majorBidi" w:hAnsiTheme="majorBidi" w:cstheme="majorBidi"/>
          <w:lang w:val="en-US"/>
        </w:rPr>
        <w:t>.</w:t>
      </w:r>
      <w:r w:rsidRPr="0094251B">
        <w:rPr>
          <w:rFonts w:asciiTheme="majorBidi" w:hAnsiTheme="majorBidi" w:cstheme="majorBidi"/>
          <w:lang w:val="en-US"/>
        </w:rPr>
        <w:t xml:space="preserve">J. </w:t>
      </w:r>
      <w:r>
        <w:rPr>
          <w:rFonts w:asciiTheme="majorBidi" w:hAnsiTheme="majorBidi" w:cstheme="majorBidi"/>
          <w:lang w:val="en-US"/>
        </w:rPr>
        <w:t xml:space="preserve">Ibid. </w:t>
      </w:r>
      <w:r w:rsidRPr="00F02A34">
        <w:rPr>
          <w:rFonts w:asciiTheme="majorBidi" w:hAnsiTheme="majorBidi" w:cstheme="majorBidi"/>
          <w:lang w:val="en-US"/>
        </w:rPr>
        <w:t>P.604.</w:t>
      </w:r>
    </w:p>
  </w:footnote>
  <w:footnote w:id="61">
    <w:p w14:paraId="0428D790" w14:textId="1C001461" w:rsidR="00153248" w:rsidRPr="00F02A34" w:rsidRDefault="00153248" w:rsidP="00B70D5A">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F02A34">
        <w:rPr>
          <w:rFonts w:asciiTheme="majorBidi" w:hAnsiTheme="majorBidi" w:cstheme="majorBidi"/>
          <w:lang w:val="en-US"/>
        </w:rPr>
        <w:t>Sengupta V.</w:t>
      </w:r>
      <w:r>
        <w:rPr>
          <w:rFonts w:asciiTheme="majorBidi" w:hAnsiTheme="majorBidi" w:cstheme="majorBidi"/>
          <w:lang w:val="en-US"/>
        </w:rPr>
        <w:t xml:space="preserve"> Ibid</w:t>
      </w:r>
      <w:r w:rsidRPr="00F02A34">
        <w:rPr>
          <w:rFonts w:asciiTheme="majorBidi" w:hAnsiTheme="majorBidi" w:cstheme="majorBidi"/>
          <w:lang w:val="en-US"/>
        </w:rPr>
        <w:t>.</w:t>
      </w:r>
      <w:r>
        <w:rPr>
          <w:rFonts w:asciiTheme="majorBidi" w:hAnsiTheme="majorBidi" w:cstheme="majorBidi"/>
          <w:lang w:val="en-US"/>
        </w:rPr>
        <w:t xml:space="preserve"> </w:t>
      </w:r>
      <w:r w:rsidRPr="00F02A34">
        <w:rPr>
          <w:rFonts w:asciiTheme="majorBidi" w:hAnsiTheme="majorBidi" w:cstheme="majorBidi"/>
          <w:lang w:val="en-US"/>
        </w:rPr>
        <w:t>P.16.</w:t>
      </w:r>
    </w:p>
  </w:footnote>
  <w:footnote w:id="62">
    <w:p w14:paraId="2DE24F3C" w14:textId="77D60FE0" w:rsidR="00153248" w:rsidRPr="00F02A34" w:rsidRDefault="00153248" w:rsidP="00B70D5A">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94251B">
        <w:rPr>
          <w:rFonts w:asciiTheme="majorBidi" w:hAnsiTheme="majorBidi" w:cstheme="majorBidi"/>
          <w:lang w:val="en-US"/>
        </w:rPr>
        <w:t>Alexander A</w:t>
      </w:r>
      <w:r>
        <w:rPr>
          <w:rFonts w:asciiTheme="majorBidi" w:hAnsiTheme="majorBidi" w:cstheme="majorBidi"/>
          <w:lang w:val="en-US"/>
        </w:rPr>
        <w:t>.</w:t>
      </w:r>
      <w:r w:rsidRPr="0094251B">
        <w:rPr>
          <w:rFonts w:asciiTheme="majorBidi" w:hAnsiTheme="majorBidi" w:cstheme="majorBidi"/>
          <w:lang w:val="en-US"/>
        </w:rPr>
        <w:t xml:space="preserve">J. </w:t>
      </w:r>
      <w:r>
        <w:rPr>
          <w:rFonts w:asciiTheme="majorBidi" w:hAnsiTheme="majorBidi" w:cstheme="majorBidi"/>
          <w:lang w:val="en-US"/>
        </w:rPr>
        <w:t>Ibid.</w:t>
      </w:r>
      <w:r w:rsidRPr="00F02A34">
        <w:rPr>
          <w:rFonts w:asciiTheme="majorBidi" w:hAnsiTheme="majorBidi" w:cstheme="majorBidi"/>
          <w:lang w:val="en-US"/>
        </w:rPr>
        <w:t xml:space="preserve"> P.605.</w:t>
      </w:r>
    </w:p>
  </w:footnote>
  <w:footnote w:id="63">
    <w:p w14:paraId="5E0672CF" w14:textId="05B7C957" w:rsidR="00153248" w:rsidRPr="00F02A34" w:rsidRDefault="00153248" w:rsidP="00B70D5A">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F02A34">
        <w:rPr>
          <w:rFonts w:asciiTheme="majorBidi" w:hAnsiTheme="majorBidi" w:cstheme="majorBidi"/>
          <w:lang w:val="en-US"/>
        </w:rPr>
        <w:t>Aloadah</w:t>
      </w:r>
      <w:proofErr w:type="spellEnd"/>
      <w:r w:rsidRPr="00F02A34">
        <w:rPr>
          <w:rFonts w:asciiTheme="majorBidi" w:hAnsiTheme="majorBidi" w:cstheme="majorBidi"/>
          <w:lang w:val="en-US"/>
        </w:rPr>
        <w:t xml:space="preserve"> Y</w:t>
      </w:r>
      <w:r>
        <w:rPr>
          <w:rFonts w:asciiTheme="majorBidi" w:hAnsiTheme="majorBidi" w:cstheme="majorBidi"/>
          <w:lang w:val="en-US"/>
        </w:rPr>
        <w:t>.</w:t>
      </w:r>
      <w:r w:rsidRPr="00F02A34">
        <w:rPr>
          <w:rFonts w:asciiTheme="majorBidi" w:hAnsiTheme="majorBidi" w:cstheme="majorBidi"/>
          <w:lang w:val="en-US"/>
        </w:rPr>
        <w:t xml:space="preserve">, </w:t>
      </w:r>
      <w:proofErr w:type="spellStart"/>
      <w:r w:rsidRPr="00F02A34">
        <w:rPr>
          <w:rFonts w:asciiTheme="majorBidi" w:hAnsiTheme="majorBidi" w:cstheme="majorBidi"/>
          <w:lang w:val="en-US"/>
        </w:rPr>
        <w:t>ElKhoury</w:t>
      </w:r>
      <w:proofErr w:type="spellEnd"/>
      <w:r w:rsidRPr="00F02A34">
        <w:rPr>
          <w:rFonts w:asciiTheme="majorBidi" w:hAnsiTheme="majorBidi" w:cstheme="majorBidi"/>
          <w:lang w:val="en-US"/>
        </w:rPr>
        <w:t xml:space="preserve"> G</w:t>
      </w:r>
      <w:r>
        <w:rPr>
          <w:rFonts w:asciiTheme="majorBidi" w:hAnsiTheme="majorBidi" w:cstheme="majorBidi"/>
          <w:lang w:val="en-US"/>
        </w:rPr>
        <w:t>.</w:t>
      </w:r>
      <w:r w:rsidRPr="00F02A34">
        <w:rPr>
          <w:rFonts w:asciiTheme="majorBidi" w:hAnsiTheme="majorBidi" w:cstheme="majorBidi"/>
          <w:lang w:val="en-US"/>
        </w:rPr>
        <w:t xml:space="preserve">, Bashir F. </w:t>
      </w:r>
      <w:r w:rsidRPr="006C5049">
        <w:rPr>
          <w:rFonts w:asciiTheme="majorBidi" w:hAnsiTheme="majorBidi" w:cstheme="majorBidi"/>
          <w:lang w:val="en-US"/>
        </w:rPr>
        <w:t>Upgrading the Saudi chemical cluster</w:t>
      </w:r>
      <w:r w:rsidRPr="00F02A34">
        <w:rPr>
          <w:rFonts w:asciiTheme="majorBidi" w:hAnsiTheme="majorBidi" w:cstheme="majorBidi"/>
          <w:lang w:val="en-US"/>
        </w:rPr>
        <w:t>. P.25.</w:t>
      </w:r>
    </w:p>
  </w:footnote>
  <w:footnote w:id="64">
    <w:p w14:paraId="386F4A03" w14:textId="32C009EF" w:rsidR="00153248" w:rsidRPr="00F02A34" w:rsidRDefault="00153248" w:rsidP="00245D7B">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color w:val="222222"/>
          <w:shd w:val="clear" w:color="auto" w:fill="FFFFFF"/>
        </w:rPr>
        <w:t xml:space="preserve"> </w:t>
      </w:r>
      <w:r w:rsidRPr="00F02A34">
        <w:rPr>
          <w:rFonts w:asciiTheme="majorBidi" w:hAnsiTheme="majorBidi" w:cstheme="majorBidi"/>
          <w:lang w:val="en-US"/>
        </w:rPr>
        <w:t>Hamdi H</w:t>
      </w:r>
      <w:r>
        <w:rPr>
          <w:rFonts w:asciiTheme="majorBidi" w:hAnsiTheme="majorBidi" w:cstheme="majorBidi"/>
          <w:lang w:val="en-US"/>
        </w:rPr>
        <w:t>.</w:t>
      </w:r>
      <w:r w:rsidRPr="00F02A34">
        <w:rPr>
          <w:rFonts w:asciiTheme="majorBidi" w:hAnsiTheme="majorBidi" w:cstheme="majorBidi"/>
          <w:lang w:val="en-US"/>
        </w:rPr>
        <w:t xml:space="preserve">, </w:t>
      </w:r>
      <w:proofErr w:type="spellStart"/>
      <w:r w:rsidRPr="00F02A34">
        <w:rPr>
          <w:rFonts w:asciiTheme="majorBidi" w:hAnsiTheme="majorBidi" w:cstheme="majorBidi"/>
          <w:lang w:val="en-US"/>
        </w:rPr>
        <w:t>Sbia</w:t>
      </w:r>
      <w:proofErr w:type="spellEnd"/>
      <w:r w:rsidRPr="00F02A34">
        <w:rPr>
          <w:rFonts w:asciiTheme="majorBidi" w:hAnsiTheme="majorBidi" w:cstheme="majorBidi"/>
          <w:lang w:val="en-US"/>
        </w:rPr>
        <w:t xml:space="preserve"> R. Short-run and Long-run causality between electricity consumption and economic growth in a small open economy.</w:t>
      </w:r>
      <w:r>
        <w:rPr>
          <w:rFonts w:asciiTheme="majorBidi" w:hAnsiTheme="majorBidi" w:cstheme="majorBidi"/>
          <w:lang w:val="en-US"/>
        </w:rPr>
        <w:t xml:space="preserve"> </w:t>
      </w:r>
      <w:r w:rsidRPr="00F02A34">
        <w:rPr>
          <w:rFonts w:asciiTheme="majorBidi" w:hAnsiTheme="majorBidi" w:cstheme="majorBidi"/>
          <w:lang w:val="en-US"/>
        </w:rPr>
        <w:t>201</w:t>
      </w:r>
      <w:r>
        <w:rPr>
          <w:rFonts w:asciiTheme="majorBidi" w:hAnsiTheme="majorBidi" w:cstheme="majorBidi"/>
          <w:lang w:val="en-US"/>
        </w:rPr>
        <w:t>3</w:t>
      </w:r>
      <w:r w:rsidRPr="00F02A34">
        <w:rPr>
          <w:rFonts w:asciiTheme="majorBidi" w:hAnsiTheme="majorBidi" w:cstheme="majorBidi"/>
          <w:lang w:val="en-US"/>
        </w:rPr>
        <w:t>. P.5.</w:t>
      </w:r>
    </w:p>
  </w:footnote>
  <w:footnote w:id="65">
    <w:p w14:paraId="207734A0" w14:textId="6715B1B3" w:rsidR="00153248" w:rsidRPr="00F02A34" w:rsidRDefault="00153248" w:rsidP="00245D7B">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F02A34">
        <w:rPr>
          <w:rFonts w:asciiTheme="majorBidi" w:hAnsiTheme="majorBidi" w:cstheme="majorBidi"/>
          <w:lang w:val="en-US"/>
        </w:rPr>
        <w:t>Adelekan</w:t>
      </w:r>
      <w:proofErr w:type="spellEnd"/>
      <w:r w:rsidRPr="00F02A34">
        <w:rPr>
          <w:rFonts w:asciiTheme="majorBidi" w:hAnsiTheme="majorBidi" w:cstheme="majorBidi"/>
          <w:lang w:val="en-US"/>
        </w:rPr>
        <w:t xml:space="preserve"> S</w:t>
      </w:r>
      <w:r>
        <w:rPr>
          <w:rFonts w:asciiTheme="majorBidi" w:hAnsiTheme="majorBidi" w:cstheme="majorBidi"/>
          <w:lang w:val="en-US"/>
        </w:rPr>
        <w:t>.</w:t>
      </w:r>
      <w:r w:rsidRPr="00F02A34">
        <w:rPr>
          <w:rFonts w:asciiTheme="majorBidi" w:hAnsiTheme="majorBidi" w:cstheme="majorBidi"/>
          <w:lang w:val="en-US"/>
        </w:rPr>
        <w:t xml:space="preserve">, </w:t>
      </w:r>
      <w:proofErr w:type="spellStart"/>
      <w:r w:rsidRPr="00F02A34">
        <w:rPr>
          <w:rFonts w:asciiTheme="majorBidi" w:hAnsiTheme="majorBidi" w:cstheme="majorBidi"/>
          <w:lang w:val="en-US"/>
        </w:rPr>
        <w:t>Wamuziri</w:t>
      </w:r>
      <w:proofErr w:type="spellEnd"/>
      <w:r w:rsidRPr="00F02A34">
        <w:rPr>
          <w:rFonts w:asciiTheme="majorBidi" w:hAnsiTheme="majorBidi" w:cstheme="majorBidi"/>
          <w:lang w:val="en-US"/>
        </w:rPr>
        <w:t xml:space="preserve"> S</w:t>
      </w:r>
      <w:r>
        <w:rPr>
          <w:rFonts w:asciiTheme="majorBidi" w:hAnsiTheme="majorBidi" w:cstheme="majorBidi"/>
          <w:lang w:val="en-US"/>
        </w:rPr>
        <w:t>.</w:t>
      </w:r>
      <w:r w:rsidRPr="00F02A34">
        <w:rPr>
          <w:rFonts w:asciiTheme="majorBidi" w:hAnsiTheme="majorBidi" w:cstheme="majorBidi"/>
          <w:lang w:val="en-US"/>
        </w:rPr>
        <w:t xml:space="preserve">, </w:t>
      </w:r>
      <w:proofErr w:type="spellStart"/>
      <w:r w:rsidRPr="00F02A34">
        <w:rPr>
          <w:rFonts w:asciiTheme="majorBidi" w:hAnsiTheme="majorBidi" w:cstheme="majorBidi"/>
          <w:lang w:val="en-US"/>
        </w:rPr>
        <w:t>Binsardi</w:t>
      </w:r>
      <w:proofErr w:type="spellEnd"/>
      <w:r w:rsidRPr="00F02A34">
        <w:rPr>
          <w:rFonts w:asciiTheme="majorBidi" w:hAnsiTheme="majorBidi" w:cstheme="majorBidi"/>
          <w:lang w:val="en-US"/>
        </w:rPr>
        <w:t xml:space="preserve"> B.</w:t>
      </w:r>
      <w:r>
        <w:rPr>
          <w:rFonts w:asciiTheme="majorBidi" w:hAnsiTheme="majorBidi" w:cstheme="majorBidi"/>
          <w:lang w:val="en-US"/>
        </w:rPr>
        <w:t xml:space="preserve"> </w:t>
      </w:r>
      <w:r w:rsidRPr="006C5049">
        <w:rPr>
          <w:rFonts w:asciiTheme="majorBidi" w:hAnsiTheme="majorBidi" w:cstheme="majorBidi"/>
          <w:lang w:val="en-US"/>
        </w:rPr>
        <w:t>Evaluation of Islamic financing products for housing and</w:t>
      </w:r>
      <w:r>
        <w:rPr>
          <w:rFonts w:ascii="Times New Roman" w:hAnsi="Times New Roman" w:cs="Times New Roman"/>
          <w:sz w:val="24"/>
          <w:szCs w:val="24"/>
          <w:lang w:val="en-US"/>
        </w:rPr>
        <w:t xml:space="preserve"> </w:t>
      </w:r>
      <w:r w:rsidRPr="006C5049">
        <w:rPr>
          <w:rFonts w:asciiTheme="majorBidi" w:hAnsiTheme="majorBidi" w:cstheme="majorBidi"/>
          <w:lang w:val="en-US"/>
        </w:rPr>
        <w:t>infrastructure development. Procs of 29th Annual ARCOM Conference, 2-4 September 2013.</w:t>
      </w:r>
      <w:r w:rsidRPr="00F02A34">
        <w:rPr>
          <w:rFonts w:asciiTheme="majorBidi" w:hAnsiTheme="majorBidi" w:cstheme="majorBidi"/>
          <w:lang w:val="en-US"/>
        </w:rPr>
        <w:t xml:space="preserve"> P.197.</w:t>
      </w:r>
    </w:p>
  </w:footnote>
  <w:footnote w:id="66">
    <w:p w14:paraId="182AA84F" w14:textId="656CE55C" w:rsidR="00153248" w:rsidRPr="00C80145" w:rsidRDefault="00153248" w:rsidP="00245D7B">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Style w:val="FootnoteReference"/>
          <w:rFonts w:asciiTheme="majorBidi" w:hAnsiTheme="majorBidi" w:cstheme="majorBidi"/>
        </w:rPr>
        <w:t xml:space="preserve"> </w:t>
      </w:r>
      <w:proofErr w:type="spellStart"/>
      <w:r w:rsidRPr="00F02A34">
        <w:rPr>
          <w:rFonts w:asciiTheme="majorBidi" w:hAnsiTheme="majorBidi" w:cstheme="majorBidi"/>
          <w:lang w:val="en-US"/>
        </w:rPr>
        <w:t>Negasi</w:t>
      </w:r>
      <w:proofErr w:type="spellEnd"/>
      <w:r w:rsidRPr="00F02A34">
        <w:rPr>
          <w:rFonts w:asciiTheme="majorBidi" w:hAnsiTheme="majorBidi" w:cstheme="majorBidi"/>
          <w:lang w:val="en-US"/>
        </w:rPr>
        <w:t xml:space="preserve"> M</w:t>
      </w:r>
      <w:r>
        <w:rPr>
          <w:rFonts w:asciiTheme="majorBidi" w:hAnsiTheme="majorBidi" w:cstheme="majorBidi"/>
          <w:lang w:val="en-US"/>
        </w:rPr>
        <w:t>.</w:t>
      </w:r>
      <w:r w:rsidRPr="00F02A34">
        <w:rPr>
          <w:rFonts w:asciiTheme="majorBidi" w:hAnsiTheme="majorBidi" w:cstheme="majorBidi"/>
          <w:lang w:val="en-US"/>
        </w:rPr>
        <w:t xml:space="preserve">I. Financing Higher Education in the Islamic World Through Waqf (Endowment). European Journal of Multidisciplinary Studies. </w:t>
      </w:r>
      <w:r w:rsidRPr="00C80145">
        <w:rPr>
          <w:rFonts w:asciiTheme="majorBidi" w:hAnsiTheme="majorBidi" w:cstheme="majorBidi"/>
          <w:lang w:val="en-US"/>
        </w:rPr>
        <w:t xml:space="preserve">2017. </w:t>
      </w:r>
      <w:r w:rsidRPr="00F02A34">
        <w:rPr>
          <w:rFonts w:asciiTheme="majorBidi" w:hAnsiTheme="majorBidi" w:cstheme="majorBidi"/>
          <w:lang w:val="en-US"/>
        </w:rPr>
        <w:t>p</w:t>
      </w:r>
      <w:r w:rsidRPr="00C80145">
        <w:rPr>
          <w:rFonts w:asciiTheme="majorBidi" w:hAnsiTheme="majorBidi" w:cstheme="majorBidi"/>
          <w:lang w:val="en-US"/>
        </w:rPr>
        <w:t>.7.</w:t>
      </w:r>
    </w:p>
  </w:footnote>
  <w:footnote w:id="67">
    <w:p w14:paraId="33698C44" w14:textId="647780FC" w:rsidR="00153248" w:rsidRPr="008E6625" w:rsidRDefault="00153248" w:rsidP="00245D7B">
      <w:pPr>
        <w:pStyle w:val="FootnoteText"/>
        <w:jc w:val="both"/>
        <w:rPr>
          <w:rFonts w:asciiTheme="majorBidi" w:hAnsiTheme="majorBidi" w:cstheme="majorBidi"/>
          <w:lang w:val="ru-RU"/>
        </w:rPr>
      </w:pPr>
      <w:r w:rsidRPr="00B70D5A">
        <w:rPr>
          <w:rStyle w:val="FootnoteReference"/>
          <w:rFonts w:asciiTheme="majorBidi" w:hAnsiTheme="majorBidi" w:cstheme="majorBidi"/>
        </w:rPr>
        <w:footnoteRef/>
      </w:r>
      <w:r w:rsidRPr="00C80145">
        <w:rPr>
          <w:rFonts w:asciiTheme="majorBidi" w:hAnsiTheme="majorBidi" w:cstheme="majorBidi"/>
          <w:lang w:val="en-US"/>
        </w:rPr>
        <w:t xml:space="preserve"> </w:t>
      </w:r>
      <w:r w:rsidRPr="00B70D5A">
        <w:rPr>
          <w:rFonts w:asciiTheme="majorBidi" w:hAnsiTheme="majorBidi" w:cstheme="majorBidi"/>
          <w:color w:val="222222"/>
          <w:shd w:val="clear" w:color="auto" w:fill="FFFFFF"/>
          <w:lang w:val="ru-RU"/>
        </w:rPr>
        <w:t>Карпов</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А</w:t>
      </w:r>
      <w:r w:rsidRPr="00C80145">
        <w:rPr>
          <w:rFonts w:asciiTheme="majorBidi" w:hAnsiTheme="majorBidi" w:cstheme="majorBidi"/>
          <w:color w:val="222222"/>
          <w:shd w:val="clear" w:color="auto" w:fill="FFFFFF"/>
          <w:lang w:val="en-US"/>
        </w:rPr>
        <w:t>.</w:t>
      </w:r>
      <w:r w:rsidRPr="00B70D5A">
        <w:rPr>
          <w:rFonts w:asciiTheme="majorBidi" w:hAnsiTheme="majorBidi" w:cstheme="majorBidi"/>
          <w:color w:val="222222"/>
          <w:shd w:val="clear" w:color="auto" w:fill="FFFFFF"/>
          <w:lang w:val="ru-RU"/>
        </w:rPr>
        <w:t>С</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Карпова</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К</w:t>
      </w:r>
      <w:r w:rsidRPr="00C80145">
        <w:rPr>
          <w:rFonts w:asciiTheme="majorBidi" w:hAnsiTheme="majorBidi" w:cstheme="majorBidi"/>
          <w:color w:val="222222"/>
          <w:shd w:val="clear" w:color="auto" w:fill="FFFFFF"/>
          <w:lang w:val="en-US"/>
        </w:rPr>
        <w:t>.</w:t>
      </w:r>
      <w:r w:rsidRPr="00B70D5A">
        <w:rPr>
          <w:rFonts w:asciiTheme="majorBidi" w:hAnsiTheme="majorBidi" w:cstheme="majorBidi"/>
          <w:color w:val="222222"/>
          <w:shd w:val="clear" w:color="auto" w:fill="FFFFFF"/>
          <w:lang w:val="ru-RU"/>
        </w:rPr>
        <w:t>В</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Современное</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состояние</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экономики</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Сирийской</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Арабской</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Республики</w:t>
      </w:r>
      <w:r w:rsidRPr="00C80145">
        <w:rPr>
          <w:rFonts w:asciiTheme="majorBidi" w:hAnsiTheme="majorBidi" w:cstheme="majorBidi"/>
          <w:color w:val="222222"/>
          <w:shd w:val="clear" w:color="auto" w:fill="FFFFFF"/>
          <w:lang w:val="en-US"/>
        </w:rPr>
        <w:t xml:space="preserve">. </w:t>
      </w:r>
      <w:r w:rsidRPr="00B70D5A">
        <w:rPr>
          <w:rFonts w:asciiTheme="majorBidi" w:hAnsiTheme="majorBidi" w:cstheme="majorBidi"/>
          <w:color w:val="222222"/>
          <w:shd w:val="clear" w:color="auto" w:fill="FFFFFF"/>
          <w:lang w:val="ru-RU"/>
        </w:rPr>
        <w:t xml:space="preserve">Вестник Московского гуманитарно-экономического института. 2018; 3:39. </w:t>
      </w:r>
      <w:r w:rsidRPr="00B70D5A">
        <w:rPr>
          <w:rFonts w:asciiTheme="majorBidi" w:hAnsiTheme="majorBidi" w:cstheme="majorBidi"/>
          <w:color w:val="222222"/>
          <w:shd w:val="clear" w:color="auto" w:fill="FFFFFF"/>
        </w:rPr>
        <w:t>P</w:t>
      </w:r>
      <w:r w:rsidRPr="008E6625">
        <w:rPr>
          <w:rFonts w:asciiTheme="majorBidi" w:hAnsiTheme="majorBidi" w:cstheme="majorBidi"/>
          <w:color w:val="222222"/>
          <w:shd w:val="clear" w:color="auto" w:fill="FFFFFF"/>
          <w:lang w:val="ru-RU"/>
        </w:rPr>
        <w:t>.25.</w:t>
      </w:r>
    </w:p>
  </w:footnote>
  <w:footnote w:id="68">
    <w:p w14:paraId="7336E1F8" w14:textId="4A3F3D08" w:rsidR="00153248" w:rsidRPr="00C80145" w:rsidRDefault="00153248" w:rsidP="00245D7B">
      <w:pPr>
        <w:pStyle w:val="FootnoteText"/>
        <w:jc w:val="both"/>
        <w:rPr>
          <w:rFonts w:asciiTheme="majorBidi" w:hAnsiTheme="majorBidi" w:cstheme="majorBidi"/>
          <w:color w:val="222222"/>
          <w:shd w:val="clear" w:color="auto" w:fill="FFFFFF"/>
          <w:lang w:val="en-US"/>
        </w:rPr>
      </w:pPr>
      <w:r w:rsidRPr="00B70D5A">
        <w:rPr>
          <w:rStyle w:val="FootnoteReference"/>
          <w:rFonts w:asciiTheme="majorBidi" w:hAnsiTheme="majorBidi" w:cstheme="majorBidi"/>
        </w:rPr>
        <w:footnoteRef/>
      </w:r>
      <w:r w:rsidRPr="00F60AC3">
        <w:rPr>
          <w:rFonts w:asciiTheme="majorBidi" w:hAnsiTheme="majorBidi" w:cstheme="majorBidi"/>
          <w:lang w:val="en-US"/>
        </w:rPr>
        <w:t xml:space="preserve"> </w:t>
      </w:r>
      <w:r w:rsidRPr="00675B68">
        <w:rPr>
          <w:rFonts w:asciiTheme="majorBidi" w:hAnsiTheme="majorBidi" w:cstheme="majorBidi"/>
          <w:color w:val="222222"/>
          <w:shd w:val="clear" w:color="auto" w:fill="FFFFFF"/>
          <w:lang w:val="en-US"/>
        </w:rPr>
        <w:t>Karol</w:t>
      </w:r>
      <w:r w:rsidRPr="00F60AC3">
        <w:rPr>
          <w:rFonts w:asciiTheme="majorBidi" w:hAnsiTheme="majorBidi" w:cstheme="majorBidi"/>
          <w:color w:val="222222"/>
          <w:shd w:val="clear" w:color="auto" w:fill="FFFFFF"/>
          <w:lang w:val="en-US"/>
        </w:rPr>
        <w:t xml:space="preserve"> </w:t>
      </w:r>
      <w:r w:rsidRPr="00675B68">
        <w:rPr>
          <w:rFonts w:asciiTheme="majorBidi" w:hAnsiTheme="majorBidi" w:cstheme="majorBidi"/>
          <w:color w:val="222222"/>
          <w:shd w:val="clear" w:color="auto" w:fill="FFFFFF"/>
          <w:lang w:val="en-US"/>
        </w:rPr>
        <w:t>R</w:t>
      </w:r>
      <w:r w:rsidRPr="00F60AC3">
        <w:rPr>
          <w:rFonts w:asciiTheme="majorBidi" w:hAnsiTheme="majorBidi" w:cstheme="majorBidi"/>
          <w:color w:val="222222"/>
          <w:shd w:val="clear" w:color="auto" w:fill="FFFFFF"/>
          <w:lang w:val="en-US"/>
        </w:rPr>
        <w:t>.</w:t>
      </w:r>
      <w:r w:rsidRPr="00675B68">
        <w:rPr>
          <w:rFonts w:asciiTheme="majorBidi" w:hAnsiTheme="majorBidi" w:cstheme="majorBidi"/>
          <w:color w:val="222222"/>
          <w:shd w:val="clear" w:color="auto" w:fill="FFFFFF"/>
          <w:lang w:val="en-US"/>
        </w:rPr>
        <w:t>S</w:t>
      </w:r>
      <w:r w:rsidRPr="00F60AC3">
        <w:rPr>
          <w:rFonts w:asciiTheme="majorBidi" w:hAnsiTheme="majorBidi" w:cstheme="majorBidi"/>
          <w:color w:val="222222"/>
          <w:shd w:val="clear" w:color="auto" w:fill="FFFFFF"/>
          <w:lang w:val="en-US"/>
        </w:rPr>
        <w:t xml:space="preserve">. </w:t>
      </w:r>
      <w:r w:rsidRPr="00675B68">
        <w:rPr>
          <w:rFonts w:asciiTheme="majorBidi" w:hAnsiTheme="majorBidi" w:cstheme="majorBidi"/>
          <w:color w:val="222222"/>
          <w:shd w:val="clear" w:color="auto" w:fill="FFFFFF"/>
          <w:lang w:val="en-US"/>
        </w:rPr>
        <w:t>The</w:t>
      </w:r>
      <w:r w:rsidRPr="00F60AC3">
        <w:rPr>
          <w:rFonts w:asciiTheme="majorBidi" w:hAnsiTheme="majorBidi" w:cstheme="majorBidi"/>
          <w:color w:val="222222"/>
          <w:shd w:val="clear" w:color="auto" w:fill="FFFFFF"/>
          <w:lang w:val="en-US"/>
        </w:rPr>
        <w:t xml:space="preserve"> </w:t>
      </w:r>
      <w:r w:rsidRPr="00675B68">
        <w:rPr>
          <w:rFonts w:asciiTheme="majorBidi" w:hAnsiTheme="majorBidi" w:cstheme="majorBidi"/>
          <w:color w:val="222222"/>
          <w:shd w:val="clear" w:color="auto" w:fill="FFFFFF"/>
          <w:lang w:val="en-US"/>
        </w:rPr>
        <w:t>Separatist</w:t>
      </w:r>
      <w:r w:rsidRPr="00F60AC3">
        <w:rPr>
          <w:rFonts w:asciiTheme="majorBidi" w:hAnsiTheme="majorBidi" w:cstheme="majorBidi"/>
          <w:color w:val="222222"/>
          <w:shd w:val="clear" w:color="auto" w:fill="FFFFFF"/>
          <w:lang w:val="en-US"/>
        </w:rPr>
        <w:t xml:space="preserve"> </w:t>
      </w:r>
      <w:r w:rsidRPr="00675B68">
        <w:rPr>
          <w:rFonts w:asciiTheme="majorBidi" w:hAnsiTheme="majorBidi" w:cstheme="majorBidi"/>
          <w:color w:val="222222"/>
          <w:shd w:val="clear" w:color="auto" w:fill="FFFFFF"/>
          <w:lang w:val="en-US"/>
        </w:rPr>
        <w:t>Period</w:t>
      </w:r>
      <w:r w:rsidRPr="00F60AC3">
        <w:rPr>
          <w:rFonts w:asciiTheme="majorBidi" w:hAnsiTheme="majorBidi" w:cstheme="majorBidi"/>
          <w:color w:val="222222"/>
          <w:shd w:val="clear" w:color="auto" w:fill="FFFFFF"/>
          <w:lang w:val="en-US"/>
        </w:rPr>
        <w:t xml:space="preserve"> </w:t>
      </w:r>
      <w:r w:rsidRPr="00675B68">
        <w:rPr>
          <w:rFonts w:asciiTheme="majorBidi" w:hAnsiTheme="majorBidi" w:cstheme="majorBidi"/>
          <w:color w:val="222222"/>
          <w:shd w:val="clear" w:color="auto" w:fill="FFFFFF"/>
          <w:lang w:val="en-US"/>
        </w:rPr>
        <w:t>in</w:t>
      </w:r>
      <w:r w:rsidRPr="00F60AC3">
        <w:rPr>
          <w:rFonts w:asciiTheme="majorBidi" w:hAnsiTheme="majorBidi" w:cstheme="majorBidi"/>
          <w:color w:val="222222"/>
          <w:shd w:val="clear" w:color="auto" w:fill="FFFFFF"/>
          <w:lang w:val="en-US"/>
        </w:rPr>
        <w:t xml:space="preserve"> </w:t>
      </w:r>
      <w:r w:rsidRPr="00675B68">
        <w:rPr>
          <w:rFonts w:asciiTheme="majorBidi" w:hAnsiTheme="majorBidi" w:cstheme="majorBidi"/>
          <w:color w:val="222222"/>
          <w:shd w:val="clear" w:color="auto" w:fill="FFFFFF"/>
          <w:lang w:val="en-US"/>
        </w:rPr>
        <w:t>Syria</w:t>
      </w:r>
      <w:r w:rsidRPr="00F60AC3">
        <w:rPr>
          <w:rFonts w:asciiTheme="majorBidi" w:hAnsiTheme="majorBidi" w:cstheme="majorBidi"/>
          <w:color w:val="222222"/>
          <w:shd w:val="clear" w:color="auto" w:fill="FFFFFF"/>
          <w:lang w:val="en-US"/>
        </w:rPr>
        <w:t>, 1961-1963.</w:t>
      </w:r>
      <w:r w:rsidRPr="00675B68">
        <w:rPr>
          <w:rFonts w:asciiTheme="majorBidi" w:hAnsiTheme="majorBidi" w:cstheme="majorBidi"/>
          <w:color w:val="222222"/>
          <w:shd w:val="clear" w:color="auto" w:fill="FFFFFF"/>
          <w:lang w:val="en-US"/>
        </w:rPr>
        <w:t> Asian and African Studies, </w:t>
      </w:r>
      <w:r w:rsidRPr="00C80145">
        <w:rPr>
          <w:rFonts w:asciiTheme="majorBidi" w:hAnsiTheme="majorBidi" w:cstheme="majorBidi"/>
          <w:color w:val="222222"/>
          <w:shd w:val="clear" w:color="auto" w:fill="FFFFFF"/>
          <w:lang w:val="en-US"/>
        </w:rPr>
        <w:t>2009</w:t>
      </w:r>
      <w:r>
        <w:rPr>
          <w:rFonts w:asciiTheme="majorBidi" w:hAnsiTheme="majorBidi" w:cstheme="majorBidi"/>
          <w:color w:val="222222"/>
          <w:shd w:val="clear" w:color="auto" w:fill="FFFFFF"/>
          <w:lang w:val="en-US"/>
        </w:rPr>
        <w:t>.</w:t>
      </w:r>
      <w:r w:rsidRPr="00675B68">
        <w:rPr>
          <w:rFonts w:asciiTheme="majorBidi" w:hAnsiTheme="majorBidi" w:cstheme="majorBidi"/>
          <w:color w:val="222222"/>
          <w:shd w:val="clear" w:color="auto" w:fill="FFFFFF"/>
          <w:lang w:val="en-US"/>
        </w:rPr>
        <w:t xml:space="preserve">75(2). </w:t>
      </w:r>
      <w:r w:rsidRPr="00C80145">
        <w:rPr>
          <w:rFonts w:asciiTheme="majorBidi" w:hAnsiTheme="majorBidi" w:cstheme="majorBidi"/>
          <w:color w:val="222222"/>
          <w:shd w:val="clear" w:color="auto" w:fill="FFFFFF"/>
          <w:lang w:val="en-US"/>
        </w:rPr>
        <w:t>P.147.</w:t>
      </w:r>
    </w:p>
  </w:footnote>
  <w:footnote w:id="69">
    <w:p w14:paraId="4611F3C1" w14:textId="7F3CEBC4" w:rsidR="00153248" w:rsidRPr="00B70D5A" w:rsidRDefault="00153248" w:rsidP="00C36BD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Lim J</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J</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w:t>
      </w:r>
      <w:proofErr w:type="spellStart"/>
      <w:r w:rsidRPr="00B70D5A">
        <w:rPr>
          <w:rFonts w:asciiTheme="majorBidi" w:hAnsiTheme="majorBidi" w:cstheme="majorBidi"/>
          <w:color w:val="222222"/>
          <w:shd w:val="clear" w:color="auto" w:fill="FFFFFF"/>
        </w:rPr>
        <w:t>Saborowski</w:t>
      </w:r>
      <w:proofErr w:type="spellEnd"/>
      <w:r w:rsidRPr="00B70D5A">
        <w:rPr>
          <w:rFonts w:asciiTheme="majorBidi" w:hAnsiTheme="majorBidi" w:cstheme="majorBidi"/>
          <w:color w:val="222222"/>
          <w:shd w:val="clear" w:color="auto" w:fill="FFFFFF"/>
        </w:rPr>
        <w:t xml:space="preserve"> C. Export diversification in a transitioning economy: the case of Syria. The World Bank</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2011. P.5.</w:t>
      </w:r>
    </w:p>
  </w:footnote>
  <w:footnote w:id="70">
    <w:p w14:paraId="39C117D1" w14:textId="0E2F60DF"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B70D5A">
        <w:rPr>
          <w:rFonts w:asciiTheme="majorBidi" w:hAnsiTheme="majorBidi" w:cstheme="majorBidi"/>
          <w:color w:val="222222"/>
          <w:shd w:val="clear" w:color="auto" w:fill="FFFFFF"/>
        </w:rPr>
        <w:t>Çakmak</w:t>
      </w:r>
      <w:proofErr w:type="spellEnd"/>
      <w:r w:rsidRPr="00B70D5A">
        <w:rPr>
          <w:rFonts w:asciiTheme="majorBidi" w:hAnsiTheme="majorBidi" w:cstheme="majorBidi"/>
          <w:color w:val="222222"/>
          <w:shd w:val="clear" w:color="auto" w:fill="FFFFFF"/>
        </w:rPr>
        <w:t xml:space="preserve"> C</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w:t>
      </w:r>
      <w:proofErr w:type="spellStart"/>
      <w:r w:rsidRPr="00B70D5A">
        <w:rPr>
          <w:rFonts w:asciiTheme="majorBidi" w:hAnsiTheme="majorBidi" w:cstheme="majorBidi"/>
          <w:color w:val="222222"/>
          <w:shd w:val="clear" w:color="auto" w:fill="FFFFFF"/>
        </w:rPr>
        <w:t>Ustaoglu</w:t>
      </w:r>
      <w:proofErr w:type="spellEnd"/>
      <w:r w:rsidRPr="00B70D5A">
        <w:rPr>
          <w:rFonts w:asciiTheme="majorBidi" w:hAnsiTheme="majorBidi" w:cstheme="majorBidi"/>
          <w:color w:val="222222"/>
          <w:shd w:val="clear" w:color="auto" w:fill="FFFFFF"/>
        </w:rPr>
        <w:t xml:space="preserve"> M. Post-conflict Syrian state and nation building: Economic and political development. Springer</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2015. P.44.</w:t>
      </w:r>
    </w:p>
  </w:footnote>
  <w:footnote w:id="71">
    <w:p w14:paraId="3FBB8B90" w14:textId="2985F7A2" w:rsidR="00153248" w:rsidRPr="000335FD" w:rsidRDefault="00153248" w:rsidP="00245D7B">
      <w:pPr>
        <w:pStyle w:val="FootnoteText"/>
        <w:jc w:val="both"/>
        <w:rPr>
          <w:sz w:val="18"/>
          <w:szCs w:val="18"/>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B70D5A">
        <w:rPr>
          <w:rFonts w:asciiTheme="majorBidi" w:hAnsiTheme="majorBidi" w:cstheme="majorBidi"/>
          <w:color w:val="222222"/>
          <w:shd w:val="clear" w:color="auto" w:fill="FFFFFF"/>
        </w:rPr>
        <w:t>Raphaeli</w:t>
      </w:r>
      <w:proofErr w:type="spellEnd"/>
      <w:r w:rsidRPr="00B70D5A">
        <w:rPr>
          <w:rFonts w:asciiTheme="majorBidi" w:hAnsiTheme="majorBidi" w:cstheme="majorBidi"/>
          <w:color w:val="222222"/>
          <w:shd w:val="clear" w:color="auto" w:fill="FFFFFF"/>
        </w:rPr>
        <w:t xml:space="preserve"> N. Syria</w:t>
      </w:r>
      <w:r w:rsidRPr="00810EC1">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s fragile economy. Middle East Review of International Affairs. 2007 Jun;11(2):34-51.</w:t>
      </w:r>
      <w:r>
        <w:rPr>
          <w:rFonts w:asciiTheme="majorBidi" w:hAnsiTheme="majorBidi" w:cstheme="majorBidi"/>
          <w:color w:val="222222"/>
          <w:shd w:val="clear" w:color="auto" w:fill="FFFFFF"/>
        </w:rPr>
        <w:t xml:space="preserve"> P.48.</w:t>
      </w:r>
    </w:p>
  </w:footnote>
  <w:footnote w:id="72">
    <w:p w14:paraId="18E5D69A" w14:textId="6BEEE016" w:rsidR="00153248" w:rsidRPr="00B70D5A" w:rsidRDefault="00153248" w:rsidP="00245D7B">
      <w:pPr>
        <w:pStyle w:val="FootnoteText"/>
        <w:jc w:val="both"/>
        <w:rPr>
          <w:rFonts w:asciiTheme="majorBidi" w:hAnsiTheme="majorBidi" w:cstheme="majorBidi"/>
          <w:color w:val="222222"/>
          <w:shd w:val="clear" w:color="auto" w:fill="FFFFFF"/>
          <w:rtl/>
        </w:rPr>
      </w:pPr>
      <w:r w:rsidRPr="00B70D5A">
        <w:rPr>
          <w:rStyle w:val="FootnoteReference"/>
          <w:rFonts w:asciiTheme="majorBidi" w:hAnsiTheme="majorBidi" w:cstheme="majorBidi"/>
        </w:rPr>
        <w:footnoteRef/>
      </w:r>
      <w:r w:rsidRPr="00B70D5A">
        <w:rPr>
          <w:rFonts w:asciiTheme="majorBidi" w:hAnsiTheme="majorBidi" w:cstheme="majorBidi"/>
          <w:color w:val="222222"/>
          <w:shd w:val="clear" w:color="auto" w:fill="FFFFFF"/>
        </w:rPr>
        <w:t xml:space="preserve"> The Syrian crisis: roots and economic and social impacts, the Syrian Centre for Policy Research. 2013.</w:t>
      </w:r>
      <w:r>
        <w:rPr>
          <w:rFonts w:asciiTheme="majorBidi" w:hAnsiTheme="majorBidi" w:cstheme="majorBidi"/>
          <w:color w:val="222222"/>
          <w:shd w:val="clear" w:color="auto" w:fill="FFFFFF"/>
        </w:rPr>
        <w:t xml:space="preserve"> P.16.</w:t>
      </w:r>
      <w:r w:rsidRPr="00B70D5A">
        <w:rPr>
          <w:rFonts w:asciiTheme="majorBidi" w:hAnsiTheme="majorBidi" w:cstheme="majorBidi"/>
          <w:color w:val="222222"/>
          <w:shd w:val="clear" w:color="auto" w:fill="FFFFFF"/>
        </w:rPr>
        <w:t xml:space="preserve"> (In Arabic).</w:t>
      </w:r>
    </w:p>
  </w:footnote>
  <w:footnote w:id="73">
    <w:p w14:paraId="03F80BF0" w14:textId="0130AF43" w:rsidR="00153248" w:rsidRPr="001A1710" w:rsidRDefault="00153248" w:rsidP="001A1710">
      <w:pPr>
        <w:pStyle w:val="Heading1"/>
        <w:shd w:val="clear" w:color="auto" w:fill="FEFEFE"/>
        <w:spacing w:before="0" w:after="75"/>
        <w:jc w:val="both"/>
        <w:rPr>
          <w:rFonts w:asciiTheme="majorBidi" w:hAnsiTheme="majorBidi"/>
          <w:b/>
          <w:bCs/>
          <w:color w:val="141414"/>
          <w:sz w:val="20"/>
          <w:szCs w:val="20"/>
        </w:rPr>
      </w:pPr>
      <w:r w:rsidRPr="00B70D5A">
        <w:rPr>
          <w:rStyle w:val="FootnoteReference"/>
          <w:rFonts w:asciiTheme="majorBidi" w:eastAsia="Calibri" w:hAnsiTheme="majorBidi"/>
          <w:color w:val="auto"/>
          <w:sz w:val="20"/>
          <w:szCs w:val="20"/>
        </w:rPr>
        <w:footnoteRef/>
      </w:r>
      <w:r w:rsidRPr="00B70D5A">
        <w:rPr>
          <w:rStyle w:val="FootnoteReference"/>
          <w:rFonts w:asciiTheme="majorBidi" w:eastAsia="Calibri" w:hAnsiTheme="majorBidi"/>
          <w:color w:val="auto"/>
          <w:sz w:val="20"/>
          <w:szCs w:val="20"/>
        </w:rPr>
        <w:t xml:space="preserve"> </w:t>
      </w:r>
      <w:r w:rsidRPr="001A1710">
        <w:rPr>
          <w:rFonts w:asciiTheme="majorBidi" w:eastAsia="Calibri" w:hAnsiTheme="majorBidi"/>
          <w:color w:val="222222"/>
          <w:sz w:val="20"/>
          <w:szCs w:val="20"/>
          <w:shd w:val="clear" w:color="auto" w:fill="FFFFFF"/>
        </w:rPr>
        <w:t xml:space="preserve">The effects of the crisis on the Syrian economy 2011-2015, </w:t>
      </w:r>
      <w:proofErr w:type="spellStart"/>
      <w:r w:rsidRPr="001A1710">
        <w:rPr>
          <w:rFonts w:asciiTheme="majorBidi" w:eastAsia="Calibri" w:hAnsiTheme="majorBidi"/>
          <w:color w:val="222222"/>
          <w:sz w:val="20"/>
          <w:szCs w:val="20"/>
          <w:shd w:val="clear" w:color="auto" w:fill="FFFFFF"/>
        </w:rPr>
        <w:t>Medad</w:t>
      </w:r>
      <w:proofErr w:type="spellEnd"/>
      <w:r w:rsidRPr="001A1710">
        <w:rPr>
          <w:rFonts w:asciiTheme="majorBidi" w:eastAsia="Calibri" w:hAnsiTheme="majorBidi"/>
          <w:color w:val="222222"/>
          <w:sz w:val="20"/>
          <w:szCs w:val="20"/>
          <w:shd w:val="clear" w:color="auto" w:fill="FFFFFF"/>
        </w:rPr>
        <w:t xml:space="preserve"> Centre for Studies. 2016. (In Arabic).</w:t>
      </w:r>
    </w:p>
  </w:footnote>
  <w:footnote w:id="74">
    <w:p w14:paraId="5E5C0854" w14:textId="0E22F62A"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Othman S</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Abbas, G</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w:t>
      </w:r>
      <w:proofErr w:type="spellStart"/>
      <w:r w:rsidRPr="00B70D5A">
        <w:rPr>
          <w:rFonts w:asciiTheme="majorBidi" w:hAnsiTheme="majorBidi" w:cstheme="majorBidi"/>
          <w:color w:val="222222"/>
          <w:shd w:val="clear" w:color="auto" w:fill="FFFFFF"/>
        </w:rPr>
        <w:t>Khaddour</w:t>
      </w:r>
      <w:proofErr w:type="spellEnd"/>
      <w:r w:rsidRPr="00B70D5A">
        <w:rPr>
          <w:rFonts w:asciiTheme="majorBidi" w:hAnsiTheme="majorBidi" w:cstheme="majorBidi"/>
          <w:color w:val="222222"/>
          <w:shd w:val="clear" w:color="auto" w:fill="FFFFFF"/>
        </w:rPr>
        <w:t>, A. The most important determinants of inflation in Syria during the period (1990-2010).</w:t>
      </w:r>
      <w:r w:rsidRPr="00B70D5A">
        <w:rPr>
          <w:rFonts w:asciiTheme="majorBidi" w:hAnsiTheme="majorBidi" w:cstheme="majorBidi"/>
          <w:color w:val="222222"/>
          <w:shd w:val="clear" w:color="auto" w:fill="FFFFFF"/>
          <w:rtl/>
        </w:rPr>
        <w:t xml:space="preserve"> </w:t>
      </w:r>
      <w:r w:rsidRPr="00B70D5A">
        <w:rPr>
          <w:rFonts w:asciiTheme="majorBidi" w:hAnsiTheme="majorBidi" w:cstheme="majorBidi"/>
          <w:color w:val="222222"/>
          <w:shd w:val="clear" w:color="auto" w:fill="FFFFFF"/>
        </w:rPr>
        <w:t xml:space="preserve">Tishreen University Journal-Economic and Legal Sciences Series. </w:t>
      </w:r>
      <w:r>
        <w:rPr>
          <w:rFonts w:asciiTheme="majorBidi" w:hAnsiTheme="majorBidi" w:cstheme="majorBidi"/>
          <w:color w:val="222222"/>
          <w:shd w:val="clear" w:color="auto" w:fill="FFFFFF"/>
        </w:rPr>
        <w:t>2015:</w:t>
      </w:r>
      <w:r w:rsidRPr="00B70D5A">
        <w:rPr>
          <w:rFonts w:asciiTheme="majorBidi" w:hAnsiTheme="majorBidi" w:cstheme="majorBidi"/>
          <w:color w:val="222222"/>
          <w:shd w:val="clear" w:color="auto" w:fill="FFFFFF"/>
        </w:rPr>
        <w:t>3</w:t>
      </w:r>
      <w:r w:rsidRPr="00B70D5A">
        <w:rPr>
          <w:rFonts w:asciiTheme="majorBidi" w:hAnsiTheme="majorBidi" w:cstheme="majorBidi"/>
          <w:color w:val="222222"/>
          <w:shd w:val="clear" w:color="auto" w:fill="FFFFFF"/>
          <w:rtl/>
        </w:rPr>
        <w:t>(2</w:t>
      </w:r>
      <w:proofErr w:type="gramStart"/>
      <w:r w:rsidRPr="00B70D5A">
        <w:rPr>
          <w:rFonts w:asciiTheme="majorBidi" w:hAnsiTheme="majorBidi" w:cstheme="majorBidi"/>
          <w:color w:val="222222"/>
          <w:shd w:val="clear" w:color="auto" w:fill="FFFFFF"/>
          <w:rtl/>
        </w:rPr>
        <w:t>).</w:t>
      </w:r>
      <w:r>
        <w:rPr>
          <w:rFonts w:asciiTheme="majorBidi" w:hAnsiTheme="majorBidi" w:cstheme="majorBidi"/>
          <w:color w:val="222222"/>
          <w:shd w:val="clear" w:color="auto" w:fill="FFFFFF"/>
        </w:rPr>
        <w:t>.</w:t>
      </w:r>
      <w:proofErr w:type="gramEnd"/>
      <w:r>
        <w:rPr>
          <w:rFonts w:asciiTheme="majorBidi" w:hAnsiTheme="majorBidi" w:cstheme="majorBidi"/>
          <w:color w:val="222222"/>
          <w:shd w:val="clear" w:color="auto" w:fill="FFFFFF"/>
        </w:rPr>
        <w:t xml:space="preserve"> </w:t>
      </w:r>
      <w:r w:rsidRPr="00B70D5A">
        <w:rPr>
          <w:rFonts w:asciiTheme="majorBidi" w:hAnsiTheme="majorBidi" w:cstheme="majorBidi"/>
          <w:color w:val="222222"/>
          <w:shd w:val="clear" w:color="auto" w:fill="FFFFFF"/>
        </w:rPr>
        <w:t>P.286. (In Arabic).</w:t>
      </w:r>
    </w:p>
  </w:footnote>
  <w:footnote w:id="75">
    <w:p w14:paraId="0BB86279" w14:textId="3FFBA86A"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color w:val="222222"/>
          <w:shd w:val="clear" w:color="auto" w:fill="FFFFFF"/>
        </w:rPr>
        <w:t xml:space="preserve"> Author calculation based on data from http://cbssyr.sy/.</w:t>
      </w:r>
    </w:p>
  </w:footnote>
  <w:footnote w:id="76">
    <w:p w14:paraId="3BA67B46" w14:textId="3C23D027" w:rsidR="00153248" w:rsidRPr="00C56FD7" w:rsidRDefault="00153248" w:rsidP="00245D7B">
      <w:pPr>
        <w:pStyle w:val="FootnoteText"/>
        <w:jc w:val="both"/>
        <w:rPr>
          <w:color w:val="222222"/>
          <w:sz w:val="18"/>
          <w:szCs w:val="18"/>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color w:val="222222"/>
          <w:shd w:val="clear" w:color="auto" w:fill="FFFFFF"/>
        </w:rPr>
        <w:t xml:space="preserve"> </w:t>
      </w:r>
      <w:proofErr w:type="spellStart"/>
      <w:r w:rsidRPr="00B70D5A">
        <w:rPr>
          <w:rFonts w:asciiTheme="majorBidi" w:hAnsiTheme="majorBidi" w:cstheme="majorBidi"/>
          <w:color w:val="222222"/>
          <w:shd w:val="clear" w:color="auto" w:fill="FFFFFF"/>
        </w:rPr>
        <w:t>Hassani</w:t>
      </w:r>
      <w:proofErr w:type="spellEnd"/>
      <w:r w:rsidRPr="00B70D5A">
        <w:rPr>
          <w:rFonts w:asciiTheme="majorBidi" w:hAnsiTheme="majorBidi" w:cstheme="majorBidi"/>
          <w:color w:val="222222"/>
          <w:shd w:val="clear" w:color="auto" w:fill="FFFFFF"/>
        </w:rPr>
        <w:t xml:space="preserve">, </w:t>
      </w:r>
      <w:proofErr w:type="spellStart"/>
      <w:proofErr w:type="gramStart"/>
      <w:r w:rsidRPr="00B70D5A">
        <w:rPr>
          <w:rFonts w:asciiTheme="majorBidi" w:hAnsiTheme="majorBidi" w:cstheme="majorBidi"/>
          <w:color w:val="222222"/>
          <w:shd w:val="clear" w:color="auto" w:fill="FFFFFF"/>
        </w:rPr>
        <w:t>A</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Razzaq</w:t>
      </w:r>
      <w:proofErr w:type="spellEnd"/>
      <w:proofErr w:type="gramEnd"/>
      <w:r w:rsidRPr="00B70D5A">
        <w:rPr>
          <w:rFonts w:asciiTheme="majorBidi" w:hAnsiTheme="majorBidi" w:cstheme="majorBidi"/>
          <w:color w:val="222222"/>
          <w:shd w:val="clear" w:color="auto" w:fill="FFFFFF"/>
        </w:rPr>
        <w:t xml:space="preserve">. The evolution of the lira exchange rate and its relationship to the consumer price index during the current crisis. Damascus University Journal-Economic and Legal Sciences Series. </w:t>
      </w:r>
      <w:proofErr w:type="gramStart"/>
      <w:r w:rsidRPr="00B70D5A">
        <w:rPr>
          <w:rFonts w:asciiTheme="majorBidi" w:hAnsiTheme="majorBidi" w:cstheme="majorBidi"/>
          <w:color w:val="222222"/>
          <w:shd w:val="clear" w:color="auto" w:fill="FFFFFF"/>
        </w:rPr>
        <w:t>2015</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31.(</w:t>
      </w:r>
      <w:proofErr w:type="gramEnd"/>
      <w:r w:rsidRPr="00B70D5A">
        <w:rPr>
          <w:rFonts w:asciiTheme="majorBidi" w:hAnsiTheme="majorBidi" w:cstheme="majorBidi"/>
          <w:color w:val="222222"/>
          <w:shd w:val="clear" w:color="auto" w:fill="FFFFFF"/>
        </w:rPr>
        <w:t>2).</w:t>
      </w:r>
      <w:r>
        <w:rPr>
          <w:rFonts w:asciiTheme="majorBidi" w:hAnsiTheme="majorBidi" w:cstheme="majorBidi"/>
          <w:color w:val="222222"/>
          <w:shd w:val="clear" w:color="auto" w:fill="FFFFFF"/>
        </w:rPr>
        <w:t xml:space="preserve"> P.214.</w:t>
      </w:r>
      <w:r w:rsidRPr="00B70D5A">
        <w:rPr>
          <w:rFonts w:asciiTheme="majorBidi" w:hAnsiTheme="majorBidi" w:cstheme="majorBidi"/>
          <w:color w:val="222222"/>
          <w:shd w:val="clear" w:color="auto" w:fill="FFFFFF"/>
        </w:rPr>
        <w:t xml:space="preserve"> (In Arabic).</w:t>
      </w:r>
    </w:p>
  </w:footnote>
  <w:footnote w:id="77">
    <w:p w14:paraId="4143B571" w14:textId="77777777" w:rsidR="00153248" w:rsidRPr="00A03789" w:rsidRDefault="00153248" w:rsidP="000329B7">
      <w:pPr>
        <w:pStyle w:val="FootnoteText"/>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A03789">
        <w:rPr>
          <w:rFonts w:asciiTheme="majorBidi" w:hAnsiTheme="majorBidi" w:cstheme="majorBidi"/>
          <w:color w:val="222222"/>
          <w:shd w:val="clear" w:color="auto" w:fill="FFFFFF"/>
        </w:rPr>
        <w:t>URL://http://cbssyr.sy/ - Central Bureau of Statistics in Syria</w:t>
      </w:r>
    </w:p>
  </w:footnote>
  <w:footnote w:id="78">
    <w:p w14:paraId="03C8B014" w14:textId="77777777" w:rsidR="00153248" w:rsidRPr="00A03789" w:rsidRDefault="00153248" w:rsidP="00811DAF">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 xml:space="preserve">Daher J. The deep roots of the depreciation of the Syrian pound. </w:t>
      </w:r>
      <w:r w:rsidRPr="00A03789">
        <w:rPr>
          <w:rFonts w:asciiTheme="majorBidi" w:hAnsiTheme="majorBidi" w:cstheme="majorBidi"/>
          <w:color w:val="222222"/>
          <w:shd w:val="clear" w:color="auto" w:fill="FFFFFF"/>
        </w:rPr>
        <w:t>Middle East Directions (MED)</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European University Institute</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2019. P.8.</w:t>
      </w:r>
    </w:p>
  </w:footnote>
  <w:footnote w:id="79">
    <w:p w14:paraId="62DFB138" w14:textId="77777777" w:rsidR="00153248" w:rsidRPr="00B70D5A" w:rsidRDefault="00153248" w:rsidP="000329B7">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B70D5A">
        <w:rPr>
          <w:rFonts w:asciiTheme="majorBidi" w:hAnsiTheme="majorBidi" w:cstheme="majorBidi"/>
          <w:color w:val="222222"/>
          <w:shd w:val="clear" w:color="auto" w:fill="FFFFFF"/>
        </w:rPr>
        <w:t>Alshaar</w:t>
      </w:r>
      <w:proofErr w:type="spellEnd"/>
      <w:r w:rsidRPr="00B70D5A">
        <w:rPr>
          <w:rFonts w:asciiTheme="majorBidi" w:hAnsiTheme="majorBidi" w:cstheme="majorBidi"/>
          <w:color w:val="222222"/>
          <w:shd w:val="clear" w:color="auto" w:fill="FFFFFF"/>
        </w:rPr>
        <w:t xml:space="preserve"> j. The Impact </w:t>
      </w:r>
      <w:r w:rsidRPr="00A03789">
        <w:rPr>
          <w:rFonts w:asciiTheme="majorBidi" w:hAnsiTheme="majorBidi" w:cstheme="majorBidi"/>
          <w:color w:val="222222"/>
          <w:shd w:val="clear" w:color="auto" w:fill="FFFFFF"/>
        </w:rPr>
        <w:t>of behavioural variables on the current crisis of the exchange of the Syrian pound</w:t>
      </w:r>
      <w:r w:rsidRPr="00B70D5A">
        <w:rPr>
          <w:rFonts w:asciiTheme="majorBidi" w:hAnsiTheme="majorBidi" w:cstheme="majorBidi"/>
          <w:color w:val="222222"/>
          <w:shd w:val="clear" w:color="auto" w:fill="FFFFFF"/>
        </w:rPr>
        <w:t>, M</w:t>
      </w:r>
      <w:r>
        <w:rPr>
          <w:rFonts w:asciiTheme="majorBidi" w:hAnsiTheme="majorBidi" w:cstheme="majorBidi"/>
          <w:color w:val="222222"/>
          <w:shd w:val="clear" w:color="auto" w:fill="FFFFFF"/>
        </w:rPr>
        <w:t>aster t</w:t>
      </w:r>
      <w:r w:rsidRPr="00B70D5A">
        <w:rPr>
          <w:rFonts w:asciiTheme="majorBidi" w:hAnsiTheme="majorBidi" w:cstheme="majorBidi"/>
          <w:color w:val="222222"/>
          <w:shd w:val="clear" w:color="auto" w:fill="FFFFFF"/>
        </w:rPr>
        <w:t>hesis, University of Damascus</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2018. (In Arabic).</w:t>
      </w:r>
    </w:p>
  </w:footnote>
  <w:footnote w:id="80">
    <w:p w14:paraId="2F02AF7D" w14:textId="2DD4BD6F" w:rsidR="00153248" w:rsidRPr="00B70D5A" w:rsidRDefault="00153248" w:rsidP="000329B7">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 xml:space="preserve">Gobat J, </w:t>
      </w:r>
      <w:proofErr w:type="spellStart"/>
      <w:r w:rsidRPr="00B70D5A">
        <w:rPr>
          <w:rFonts w:asciiTheme="majorBidi" w:hAnsiTheme="majorBidi" w:cstheme="majorBidi"/>
          <w:color w:val="222222"/>
          <w:shd w:val="clear" w:color="auto" w:fill="FFFFFF"/>
        </w:rPr>
        <w:t>Kostial</w:t>
      </w:r>
      <w:proofErr w:type="spellEnd"/>
      <w:r w:rsidRPr="00B70D5A">
        <w:rPr>
          <w:rFonts w:asciiTheme="majorBidi" w:hAnsiTheme="majorBidi" w:cstheme="majorBidi"/>
          <w:color w:val="222222"/>
          <w:shd w:val="clear" w:color="auto" w:fill="FFFFFF"/>
        </w:rPr>
        <w:t xml:space="preserve"> M</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K. Syria</w:t>
      </w:r>
      <w:r w:rsidRPr="00810EC1">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s conflict economy. International Monetary Fund; 2016 Sep 8.</w:t>
      </w:r>
      <w:r>
        <w:rPr>
          <w:rFonts w:asciiTheme="majorBidi" w:hAnsiTheme="majorBidi" w:cstheme="majorBidi"/>
          <w:color w:val="222222"/>
          <w:shd w:val="clear" w:color="auto" w:fill="FFFFFF"/>
        </w:rPr>
        <w:t xml:space="preserve"> P.16.</w:t>
      </w:r>
    </w:p>
  </w:footnote>
  <w:footnote w:id="81">
    <w:p w14:paraId="15131E10" w14:textId="77777777" w:rsidR="00153248" w:rsidRPr="00B70D5A" w:rsidRDefault="00153248" w:rsidP="000329B7">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 xml:space="preserve">Daher J. </w:t>
      </w:r>
      <w:r>
        <w:rPr>
          <w:rFonts w:asciiTheme="majorBidi" w:hAnsiTheme="majorBidi" w:cstheme="majorBidi"/>
          <w:color w:val="222222"/>
          <w:shd w:val="clear" w:color="auto" w:fill="FFFFFF"/>
        </w:rPr>
        <w:t>Ibid</w:t>
      </w:r>
      <w:r w:rsidRPr="00B70D5A">
        <w:rPr>
          <w:rFonts w:asciiTheme="majorBidi" w:hAnsiTheme="majorBidi" w:cstheme="majorBidi"/>
          <w:color w:val="222222"/>
          <w:shd w:val="clear" w:color="auto" w:fill="FFFFFF"/>
        </w:rPr>
        <w:t>. P.8.</w:t>
      </w:r>
    </w:p>
  </w:footnote>
  <w:footnote w:id="82">
    <w:p w14:paraId="19750283" w14:textId="77777777" w:rsidR="00153248" w:rsidRPr="00B70D5A" w:rsidRDefault="00153248" w:rsidP="000329B7">
      <w:pPr>
        <w:autoSpaceDE w:val="0"/>
        <w:adjustRightInd w:val="0"/>
        <w:spacing w:after="0" w:line="240" w:lineRule="auto"/>
        <w:jc w:val="both"/>
        <w:rPr>
          <w:rFonts w:asciiTheme="majorBidi" w:hAnsiTheme="majorBidi" w:cstheme="majorBidi"/>
          <w:color w:val="222222"/>
          <w:sz w:val="20"/>
          <w:szCs w:val="20"/>
          <w:shd w:val="clear" w:color="auto" w:fill="FFFFFF"/>
        </w:rPr>
      </w:pPr>
      <w:r w:rsidRPr="00B70D5A">
        <w:rPr>
          <w:rStyle w:val="FootnoteReference"/>
          <w:rFonts w:asciiTheme="majorBidi" w:hAnsiTheme="majorBidi" w:cstheme="majorBidi"/>
          <w:sz w:val="20"/>
          <w:szCs w:val="20"/>
        </w:rPr>
        <w:footnoteRef/>
      </w:r>
      <w:r w:rsidRPr="00B70D5A">
        <w:rPr>
          <w:rFonts w:asciiTheme="majorBidi" w:hAnsiTheme="majorBidi" w:cstheme="majorBidi"/>
          <w:sz w:val="20"/>
          <w:szCs w:val="20"/>
        </w:rPr>
        <w:t xml:space="preserve"> </w:t>
      </w:r>
      <w:r>
        <w:rPr>
          <w:rFonts w:asciiTheme="majorBidi" w:hAnsiTheme="majorBidi" w:cstheme="majorBidi"/>
          <w:color w:val="222222"/>
          <w:sz w:val="20"/>
          <w:szCs w:val="20"/>
          <w:shd w:val="clear" w:color="auto" w:fill="FFFFFF"/>
        </w:rPr>
        <w:t>URL://</w:t>
      </w:r>
      <w:r w:rsidRPr="00B70D5A">
        <w:rPr>
          <w:rFonts w:asciiTheme="majorBidi" w:hAnsiTheme="majorBidi" w:cstheme="majorBidi"/>
          <w:color w:val="222222"/>
          <w:sz w:val="20"/>
          <w:szCs w:val="20"/>
          <w:shd w:val="clear" w:color="auto" w:fill="FFFFFF"/>
        </w:rPr>
        <w:t xml:space="preserve">https://bit.ly/2OvwfGx </w:t>
      </w:r>
      <w:r>
        <w:rPr>
          <w:rFonts w:asciiTheme="majorBidi" w:hAnsiTheme="majorBidi" w:cstheme="majorBidi"/>
          <w:color w:val="222222"/>
          <w:sz w:val="20"/>
          <w:szCs w:val="20"/>
          <w:shd w:val="clear" w:color="auto" w:fill="FFFFFF"/>
        </w:rPr>
        <w:t xml:space="preserve">- </w:t>
      </w:r>
      <w:r w:rsidRPr="00B70D5A">
        <w:rPr>
          <w:rFonts w:asciiTheme="majorBidi" w:hAnsiTheme="majorBidi" w:cstheme="majorBidi"/>
          <w:color w:val="222222"/>
          <w:sz w:val="20"/>
          <w:szCs w:val="20"/>
          <w:shd w:val="clear" w:color="auto" w:fill="FFFFFF"/>
        </w:rPr>
        <w:t>World Bank, Syria</w:t>
      </w:r>
      <w:r w:rsidRPr="00810EC1">
        <w:rPr>
          <w:rFonts w:asciiTheme="majorBidi" w:hAnsiTheme="majorBidi" w:cstheme="majorBidi"/>
          <w:color w:val="222222"/>
          <w:sz w:val="20"/>
          <w:szCs w:val="20"/>
          <w:shd w:val="clear" w:color="auto" w:fill="FFFFFF"/>
        </w:rPr>
        <w:t>'</w:t>
      </w:r>
      <w:r w:rsidRPr="00B70D5A">
        <w:rPr>
          <w:rFonts w:asciiTheme="majorBidi" w:hAnsiTheme="majorBidi" w:cstheme="majorBidi"/>
          <w:color w:val="222222"/>
          <w:sz w:val="20"/>
          <w:szCs w:val="20"/>
          <w:shd w:val="clear" w:color="auto" w:fill="FFFFFF"/>
        </w:rPr>
        <w:t>s Economic Outlook – Spring 2016</w:t>
      </w:r>
      <w:r>
        <w:rPr>
          <w:rFonts w:asciiTheme="majorBidi" w:hAnsiTheme="majorBidi" w:cstheme="majorBidi"/>
          <w:color w:val="222222"/>
          <w:sz w:val="20"/>
          <w:szCs w:val="20"/>
          <w:shd w:val="clear" w:color="auto" w:fill="FFFFFF"/>
        </w:rPr>
        <w:t>.</w:t>
      </w:r>
      <w:r w:rsidRPr="00B70D5A">
        <w:rPr>
          <w:rFonts w:asciiTheme="majorBidi" w:hAnsiTheme="majorBidi" w:cstheme="majorBidi"/>
          <w:color w:val="222222"/>
          <w:sz w:val="20"/>
          <w:szCs w:val="20"/>
          <w:shd w:val="clear" w:color="auto" w:fill="FFFFFF"/>
        </w:rPr>
        <w:t xml:space="preserve"> </w:t>
      </w:r>
    </w:p>
  </w:footnote>
  <w:footnote w:id="83">
    <w:p w14:paraId="39360355" w14:textId="5A39F51A" w:rsidR="00153248" w:rsidRPr="000329B7" w:rsidRDefault="00153248" w:rsidP="000329B7">
      <w:pPr>
        <w:autoSpaceDE w:val="0"/>
        <w:adjustRightInd w:val="0"/>
        <w:spacing w:after="0" w:line="240" w:lineRule="auto"/>
        <w:jc w:val="both"/>
        <w:rPr>
          <w:rFonts w:asciiTheme="majorBidi" w:hAnsiTheme="majorBidi" w:cstheme="majorBidi"/>
          <w:color w:val="222222"/>
          <w:sz w:val="20"/>
          <w:szCs w:val="20"/>
          <w:shd w:val="clear" w:color="auto" w:fill="FFFFFF"/>
        </w:rPr>
      </w:pPr>
      <w:r w:rsidRPr="00B70D5A">
        <w:rPr>
          <w:rStyle w:val="FootnoteReference"/>
          <w:rFonts w:asciiTheme="majorBidi" w:hAnsiTheme="majorBidi" w:cstheme="majorBidi"/>
          <w:sz w:val="20"/>
          <w:szCs w:val="20"/>
        </w:rPr>
        <w:footnoteRef/>
      </w:r>
      <w:r w:rsidRPr="00B70D5A">
        <w:rPr>
          <w:rFonts w:asciiTheme="majorBidi" w:hAnsiTheme="majorBidi" w:cstheme="majorBidi"/>
          <w:sz w:val="20"/>
          <w:szCs w:val="20"/>
        </w:rPr>
        <w:t xml:space="preserve"> </w:t>
      </w:r>
      <w:r w:rsidRPr="000329B7">
        <w:rPr>
          <w:rFonts w:asciiTheme="majorBidi" w:hAnsiTheme="majorBidi" w:cstheme="majorBidi"/>
          <w:color w:val="222222"/>
          <w:sz w:val="20"/>
          <w:szCs w:val="20"/>
          <w:shd w:val="clear" w:color="auto" w:fill="FFFFFF"/>
        </w:rPr>
        <w:t>URL://http://www.cb.gov.sy/ar/ - Central Bank of Syria</w:t>
      </w:r>
      <w:r>
        <w:rPr>
          <w:rFonts w:asciiTheme="majorBidi" w:hAnsiTheme="majorBidi" w:cstheme="majorBidi"/>
          <w:color w:val="222222"/>
          <w:sz w:val="20"/>
          <w:szCs w:val="20"/>
          <w:shd w:val="clear" w:color="auto" w:fill="FFFFFF"/>
        </w:rPr>
        <w:t>.</w:t>
      </w:r>
    </w:p>
  </w:footnote>
  <w:footnote w:id="84">
    <w:p w14:paraId="73CB0399" w14:textId="3992AADC" w:rsidR="00153248" w:rsidRPr="00CA6987" w:rsidRDefault="00153248" w:rsidP="00245D7B">
      <w:pPr>
        <w:pStyle w:val="FootnoteText"/>
        <w:jc w:val="both"/>
        <w:rPr>
          <w:color w:val="222222"/>
          <w:sz w:val="18"/>
          <w:szCs w:val="18"/>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Legislative Decree No. /3/ for /2020/ on amending Article /2/ of Legislative Decree No. /54/ of /2013/.</w:t>
      </w:r>
      <w:r>
        <w:rPr>
          <w:rFonts w:asciiTheme="majorBidi" w:hAnsiTheme="majorBidi" w:cstheme="majorBidi"/>
          <w:color w:val="222222"/>
          <w:shd w:val="clear" w:color="auto" w:fill="FFFFFF"/>
        </w:rPr>
        <w:t xml:space="preserve"> (In Arabic).</w:t>
      </w:r>
    </w:p>
  </w:footnote>
  <w:footnote w:id="85">
    <w:p w14:paraId="4E560216" w14:textId="40860E32" w:rsidR="00153248" w:rsidRPr="00B70D5A" w:rsidRDefault="00153248" w:rsidP="00B70D5A">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Ismail</w:t>
      </w:r>
      <w:r>
        <w:rPr>
          <w:rFonts w:asciiTheme="majorBidi" w:hAnsiTheme="majorBidi" w:cstheme="majorBidi"/>
          <w:color w:val="222222"/>
          <w:shd w:val="clear" w:color="auto" w:fill="FFFFFF"/>
        </w:rPr>
        <w:t xml:space="preserve"> I.</w:t>
      </w:r>
      <w:r w:rsidRPr="00B70D5A">
        <w:rPr>
          <w:rFonts w:asciiTheme="majorBidi" w:hAnsiTheme="majorBidi" w:cstheme="majorBidi"/>
          <w:color w:val="222222"/>
          <w:shd w:val="clear" w:color="auto" w:fill="FFFFFF"/>
        </w:rPr>
        <w:t xml:space="preserve"> Reflection of the crisis on the deficit numbers in the public budget in Syria. Tishreen University Journal-Economic and Legal Sciences Series. 2018 Nov 19;40(4). P.75. (In Arabic)</w:t>
      </w:r>
    </w:p>
  </w:footnote>
  <w:footnote w:id="86">
    <w:p w14:paraId="549AE96C" w14:textId="209D018A" w:rsidR="00153248" w:rsidRPr="00A01EA5" w:rsidRDefault="00153248" w:rsidP="00B70D5A">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Pr>
          <w:rFonts w:asciiTheme="majorBidi" w:hAnsiTheme="majorBidi" w:cstheme="majorBidi"/>
          <w:color w:val="222222"/>
          <w:shd w:val="clear" w:color="auto" w:fill="FFFFFF"/>
        </w:rPr>
        <w:t xml:space="preserve"> URL://</w:t>
      </w:r>
      <w:r w:rsidRPr="00A01EA5">
        <w:rPr>
          <w:rFonts w:asciiTheme="majorBidi" w:hAnsiTheme="majorBidi" w:cstheme="majorBidi"/>
          <w:color w:val="222222"/>
          <w:shd w:val="clear" w:color="auto" w:fill="FFFFFF"/>
        </w:rPr>
        <w:t>https://www.unescwa.org/news/syrian-experts-discuss-post-conflict-reconstruction-policies-after-political-agreement-syria</w:t>
      </w:r>
      <w:r w:rsidRPr="00B70D5A">
        <w:rPr>
          <w:rFonts w:asciiTheme="majorBidi" w:hAnsiTheme="majorBidi" w:cstheme="majorBidi"/>
          <w:color w:val="222222"/>
          <w:shd w:val="clear" w:color="auto" w:fill="FFFFFF"/>
        </w:rPr>
        <w:t>.</w:t>
      </w:r>
    </w:p>
  </w:footnote>
  <w:footnote w:id="87">
    <w:p w14:paraId="55F9AF7F" w14:textId="771B6287" w:rsidR="00153248" w:rsidRPr="00D04519"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D04519">
        <w:rPr>
          <w:rFonts w:asciiTheme="majorBidi" w:hAnsiTheme="majorBidi" w:cstheme="majorBidi"/>
          <w:color w:val="222222"/>
          <w:shd w:val="clear" w:color="auto" w:fill="FFFFFF"/>
        </w:rPr>
        <w:t xml:space="preserve">Data from the Organization of Arab Petroleum Exporting Countries oil OAPEC. </w:t>
      </w:r>
      <w:r>
        <w:rPr>
          <w:rFonts w:asciiTheme="majorBidi" w:hAnsiTheme="majorBidi" w:cstheme="majorBidi"/>
          <w:color w:val="222222"/>
          <w:shd w:val="clear" w:color="auto" w:fill="FFFFFF"/>
        </w:rPr>
        <w:t>O</w:t>
      </w:r>
      <w:r w:rsidRPr="00D04519">
        <w:rPr>
          <w:rFonts w:asciiTheme="majorBidi" w:hAnsiTheme="majorBidi" w:cstheme="majorBidi"/>
          <w:color w:val="222222"/>
          <w:shd w:val="clear" w:color="auto" w:fill="FFFFFF"/>
        </w:rPr>
        <w:t xml:space="preserve">il production in Syria </w:t>
      </w:r>
      <w:hyperlink r:id="rId1" w:history="1">
        <w:r w:rsidRPr="00D04519">
          <w:rPr>
            <w:rFonts w:asciiTheme="majorBidi" w:hAnsiTheme="majorBidi" w:cstheme="majorBidi"/>
            <w:color w:val="222222"/>
            <w:shd w:val="clear" w:color="auto" w:fill="FFFFFF"/>
          </w:rPr>
          <w:t>http://oapecdbsys.oapecorg.org:8080/apex/f?p=101:4:0::NO:RP:P4_COUNTRY,P4_RESERVE,P4_UNIT,P4_UNIT_CHANGED,P4_UNIT_DEF:113,1,30,30,30</w:t>
        </w:r>
      </w:hyperlink>
    </w:p>
  </w:footnote>
  <w:footnote w:id="88">
    <w:p w14:paraId="1ADA9648" w14:textId="77777777" w:rsidR="00153248" w:rsidRPr="00812371" w:rsidRDefault="00153248" w:rsidP="00BB043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color w:val="222222"/>
          <w:shd w:val="clear" w:color="auto" w:fill="FFFFFF"/>
        </w:rPr>
        <w:t xml:space="preserve"> </w:t>
      </w:r>
      <w:r w:rsidRPr="00812371">
        <w:rPr>
          <w:rFonts w:asciiTheme="majorBidi" w:hAnsiTheme="majorBidi" w:cstheme="majorBidi"/>
          <w:color w:val="222222"/>
          <w:shd w:val="clear" w:color="auto" w:fill="FFFFFF"/>
        </w:rPr>
        <w:t>URL://http://cbssyr.sy/ - Central Bureau of Statistics</w:t>
      </w:r>
      <w:r w:rsidRPr="00B70D5A">
        <w:rPr>
          <w:rFonts w:asciiTheme="majorBidi" w:hAnsiTheme="majorBidi" w:cstheme="majorBidi"/>
          <w:color w:val="222222"/>
          <w:shd w:val="clear" w:color="auto" w:fill="FFFFFF"/>
        </w:rPr>
        <w:t>, Foreign Trade Statistics Bulletin.</w:t>
      </w:r>
    </w:p>
  </w:footnote>
  <w:footnote w:id="89">
    <w:p w14:paraId="16FA9640" w14:textId="77777777" w:rsidR="00153248" w:rsidRPr="00B70D5A" w:rsidRDefault="00153248" w:rsidP="00C17011">
      <w:pPr>
        <w:pStyle w:val="FootnoteText"/>
        <w:jc w:val="both"/>
        <w:rPr>
          <w:rFonts w:asciiTheme="majorBidi" w:hAnsiTheme="majorBidi" w:cstheme="majorBidi"/>
          <w:lang w:bidi="ar-SY"/>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B70D5A">
        <w:rPr>
          <w:rFonts w:asciiTheme="majorBidi" w:hAnsiTheme="majorBidi" w:cstheme="majorBidi"/>
          <w:color w:val="222222"/>
          <w:shd w:val="clear" w:color="auto" w:fill="FFFFFF"/>
        </w:rPr>
        <w:t>Fadlieh</w:t>
      </w:r>
      <w:proofErr w:type="spellEnd"/>
      <w:r w:rsidRPr="00B70D5A">
        <w:rPr>
          <w:rFonts w:asciiTheme="majorBidi" w:hAnsiTheme="majorBidi" w:cstheme="majorBidi"/>
          <w:color w:val="222222"/>
          <w:shd w:val="clear" w:color="auto" w:fill="FFFFFF"/>
        </w:rPr>
        <w:t>, Abed. The challenges of financing the reconstruction process in Syria. A working paper presented to the Conference of Reconstruction and Development in Syria. Faculty of Economics. Damascus. 2014. P.7. (In Arabic)</w:t>
      </w:r>
    </w:p>
  </w:footnote>
  <w:footnote w:id="90">
    <w:p w14:paraId="305F6DD3" w14:textId="364C0921" w:rsidR="00153248" w:rsidRPr="00E626FF" w:rsidRDefault="00153248" w:rsidP="00E626FF">
      <w:pPr>
        <w:autoSpaceDE w:val="0"/>
        <w:adjustRightInd w:val="0"/>
        <w:spacing w:after="0" w:line="240" w:lineRule="auto"/>
        <w:rPr>
          <w:color w:val="222222"/>
          <w:sz w:val="18"/>
          <w:szCs w:val="18"/>
          <w:shd w:val="clear" w:color="auto" w:fill="FFFFFF"/>
        </w:rPr>
      </w:pPr>
      <w:r w:rsidRPr="00B70D5A">
        <w:rPr>
          <w:rStyle w:val="FootnoteReference"/>
          <w:rFonts w:asciiTheme="majorBidi" w:hAnsiTheme="majorBidi" w:cstheme="majorBidi"/>
          <w:sz w:val="20"/>
          <w:szCs w:val="20"/>
        </w:rPr>
        <w:footnoteRef/>
      </w:r>
      <w:r w:rsidRPr="00B70D5A">
        <w:rPr>
          <w:rFonts w:asciiTheme="majorBidi" w:hAnsiTheme="majorBidi" w:cstheme="majorBidi"/>
          <w:sz w:val="20"/>
          <w:szCs w:val="20"/>
        </w:rPr>
        <w:t xml:space="preserve"> </w:t>
      </w:r>
      <w:r w:rsidRPr="00B70D5A">
        <w:rPr>
          <w:rFonts w:asciiTheme="majorBidi" w:hAnsiTheme="majorBidi" w:cstheme="majorBidi"/>
          <w:color w:val="222222"/>
          <w:sz w:val="20"/>
          <w:szCs w:val="20"/>
          <w:shd w:val="clear" w:color="auto" w:fill="FFFFFF"/>
        </w:rPr>
        <w:t>Legislative Decree No. 56 of 2010.</w:t>
      </w:r>
      <w:r>
        <w:rPr>
          <w:rFonts w:asciiTheme="majorBidi" w:hAnsiTheme="majorBidi" w:cstheme="majorBidi"/>
          <w:color w:val="222222"/>
          <w:sz w:val="20"/>
          <w:szCs w:val="20"/>
          <w:shd w:val="clear" w:color="auto" w:fill="FFFFFF"/>
        </w:rPr>
        <w:t xml:space="preserve"> (In Arabic).</w:t>
      </w:r>
    </w:p>
  </w:footnote>
  <w:footnote w:id="91">
    <w:p w14:paraId="58050D38" w14:textId="58A14DE2" w:rsidR="00153248" w:rsidRPr="00B70D5A" w:rsidRDefault="00153248" w:rsidP="00245D7B">
      <w:pPr>
        <w:autoSpaceDE w:val="0"/>
        <w:adjustRightInd w:val="0"/>
        <w:spacing w:after="0" w:line="240" w:lineRule="auto"/>
        <w:jc w:val="both"/>
        <w:rPr>
          <w:rFonts w:asciiTheme="majorBidi" w:hAnsiTheme="majorBidi" w:cstheme="majorBidi"/>
          <w:color w:val="222222"/>
          <w:sz w:val="20"/>
          <w:szCs w:val="20"/>
          <w:shd w:val="clear" w:color="auto" w:fill="FFFFFF"/>
        </w:rPr>
      </w:pPr>
      <w:r w:rsidRPr="00B70D5A">
        <w:rPr>
          <w:rStyle w:val="FootnoteReference"/>
          <w:rFonts w:asciiTheme="majorBidi" w:hAnsiTheme="majorBidi" w:cstheme="majorBidi"/>
          <w:sz w:val="20"/>
          <w:szCs w:val="20"/>
        </w:rPr>
        <w:footnoteRef/>
      </w:r>
      <w:r w:rsidRPr="00B70D5A">
        <w:rPr>
          <w:rFonts w:asciiTheme="majorBidi" w:hAnsiTheme="majorBidi" w:cstheme="majorBidi"/>
          <w:sz w:val="20"/>
          <w:szCs w:val="20"/>
        </w:rPr>
        <w:t xml:space="preserve"> </w:t>
      </w:r>
      <w:r w:rsidRPr="00B70D5A">
        <w:rPr>
          <w:rFonts w:asciiTheme="majorBidi" w:hAnsiTheme="majorBidi" w:cstheme="majorBidi"/>
          <w:color w:val="222222"/>
          <w:sz w:val="20"/>
          <w:szCs w:val="20"/>
          <w:shd w:val="clear" w:color="auto" w:fill="FFFFFF"/>
        </w:rPr>
        <w:t xml:space="preserve">The reserve requirement is calculated at 5% of the total deposits, Decision of the Prime Minister No. 5938 </w:t>
      </w:r>
      <w:r>
        <w:rPr>
          <w:rFonts w:asciiTheme="majorBidi" w:hAnsiTheme="majorBidi" w:cstheme="majorBidi"/>
          <w:color w:val="222222"/>
          <w:sz w:val="20"/>
          <w:szCs w:val="20"/>
          <w:shd w:val="clear" w:color="auto" w:fill="FFFFFF"/>
        </w:rPr>
        <w:t>of</w:t>
      </w:r>
      <w:r w:rsidRPr="00B70D5A">
        <w:rPr>
          <w:rFonts w:asciiTheme="majorBidi" w:hAnsiTheme="majorBidi" w:cstheme="majorBidi"/>
          <w:color w:val="222222"/>
          <w:sz w:val="20"/>
          <w:szCs w:val="20"/>
          <w:shd w:val="clear" w:color="auto" w:fill="FFFFFF"/>
        </w:rPr>
        <w:t xml:space="preserve"> 2011.</w:t>
      </w:r>
    </w:p>
  </w:footnote>
  <w:footnote w:id="92">
    <w:p w14:paraId="54D907D1" w14:textId="624578E2" w:rsidR="00153248" w:rsidRPr="00E626FF" w:rsidRDefault="00153248" w:rsidP="00245D7B">
      <w:pPr>
        <w:pStyle w:val="FootnoteText"/>
        <w:jc w:val="both"/>
        <w:rPr>
          <w:color w:val="222222"/>
          <w:sz w:val="18"/>
          <w:szCs w:val="18"/>
          <w:shd w:val="clear" w:color="auto" w:fill="FFFFFF"/>
          <w:rtl/>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 xml:space="preserve">Funding for Reconstruction - Needs and Potential Resources, Damascus </w:t>
      </w:r>
      <w:proofErr w:type="spellStart"/>
      <w:r w:rsidRPr="00B70D5A">
        <w:rPr>
          <w:rFonts w:asciiTheme="majorBidi" w:hAnsiTheme="majorBidi" w:cstheme="majorBidi"/>
          <w:color w:val="222222"/>
          <w:shd w:val="clear" w:color="auto" w:fill="FFFFFF"/>
        </w:rPr>
        <w:t>Center</w:t>
      </w:r>
      <w:proofErr w:type="spellEnd"/>
      <w:r w:rsidRPr="00B70D5A">
        <w:rPr>
          <w:rFonts w:asciiTheme="majorBidi" w:hAnsiTheme="majorBidi" w:cstheme="majorBidi"/>
          <w:color w:val="222222"/>
          <w:shd w:val="clear" w:color="auto" w:fill="FFFFFF"/>
        </w:rPr>
        <w:t xml:space="preserve"> for Research and Studies. 2017.</w:t>
      </w:r>
      <w:r>
        <w:rPr>
          <w:rFonts w:asciiTheme="majorBidi" w:hAnsiTheme="majorBidi" w:cstheme="majorBidi"/>
          <w:color w:val="222222"/>
          <w:shd w:val="clear" w:color="auto" w:fill="FFFFFF"/>
        </w:rPr>
        <w:t xml:space="preserve"> P.6.</w:t>
      </w:r>
      <w:r w:rsidRPr="00B70D5A">
        <w:rPr>
          <w:rFonts w:asciiTheme="majorBidi" w:hAnsiTheme="majorBidi" w:cstheme="majorBidi"/>
          <w:color w:val="222222"/>
          <w:shd w:val="clear" w:color="auto" w:fill="FFFFFF"/>
        </w:rPr>
        <w:t xml:space="preserve"> (In Arabic).</w:t>
      </w:r>
    </w:p>
  </w:footnote>
  <w:footnote w:id="93">
    <w:p w14:paraId="250DBB0A" w14:textId="1921211D"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812371">
        <w:rPr>
          <w:rFonts w:asciiTheme="majorBidi" w:hAnsiTheme="majorBidi" w:cstheme="majorBidi"/>
          <w:color w:val="222222"/>
          <w:shd w:val="clear" w:color="auto" w:fill="FFFFFF"/>
        </w:rPr>
        <w:t>Hamoud, al-Mahmoud. The War Economy in the Syrian Conflict: The Government</w:t>
      </w:r>
      <w:r w:rsidRPr="00810EC1">
        <w:rPr>
          <w:rFonts w:asciiTheme="majorBidi" w:hAnsiTheme="majorBidi" w:cstheme="majorBidi"/>
          <w:color w:val="222222"/>
          <w:shd w:val="clear" w:color="auto" w:fill="FFFFFF"/>
        </w:rPr>
        <w:t>'</w:t>
      </w:r>
      <w:r w:rsidRPr="00812371">
        <w:rPr>
          <w:rFonts w:asciiTheme="majorBidi" w:hAnsiTheme="majorBidi" w:cstheme="majorBidi"/>
          <w:color w:val="222222"/>
          <w:shd w:val="clear" w:color="auto" w:fill="FFFFFF"/>
        </w:rPr>
        <w:t>s Hands-Off Tactics. Carnegie Endowment for International Peace. 2015.</w:t>
      </w:r>
      <w:r>
        <w:rPr>
          <w:rFonts w:asciiTheme="majorBidi" w:hAnsiTheme="majorBidi" w:cstheme="majorBidi"/>
          <w:color w:val="222222"/>
          <w:shd w:val="clear" w:color="auto" w:fill="FFFFFF"/>
        </w:rPr>
        <w:t xml:space="preserve"> P.8.</w:t>
      </w:r>
    </w:p>
  </w:footnote>
  <w:footnote w:id="94">
    <w:p w14:paraId="4B715488" w14:textId="63271191"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Haj Yahya, Firas. The Syrians in Egypt: Significant Investments in a Volatile Environment, 2018. Arab Reform Initiative, research papers. 2018.</w:t>
      </w:r>
      <w:r>
        <w:rPr>
          <w:rFonts w:asciiTheme="majorBidi" w:hAnsiTheme="majorBidi" w:cstheme="majorBidi"/>
          <w:color w:val="222222"/>
          <w:shd w:val="clear" w:color="auto" w:fill="FFFFFF"/>
        </w:rPr>
        <w:t xml:space="preserve"> P.6.</w:t>
      </w:r>
      <w:r w:rsidRPr="00B70D5A">
        <w:rPr>
          <w:rFonts w:asciiTheme="majorBidi" w:hAnsiTheme="majorBidi" w:cstheme="majorBidi"/>
          <w:color w:val="222222"/>
          <w:shd w:val="clear" w:color="auto" w:fill="FFFFFF"/>
        </w:rPr>
        <w:t xml:space="preserve"> (In Arabic) </w:t>
      </w:r>
    </w:p>
  </w:footnote>
  <w:footnote w:id="95">
    <w:p w14:paraId="55C4C8FC" w14:textId="3C6CC0C6"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proofErr w:type="spellStart"/>
      <w:r w:rsidRPr="00B70D5A">
        <w:rPr>
          <w:rFonts w:asciiTheme="majorBidi" w:hAnsiTheme="majorBidi" w:cstheme="majorBidi"/>
          <w:color w:val="222222"/>
          <w:shd w:val="clear" w:color="auto" w:fill="FFFFFF"/>
        </w:rPr>
        <w:t>Memişoğlu</w:t>
      </w:r>
      <w:proofErr w:type="spellEnd"/>
      <w:r w:rsidRPr="00B70D5A">
        <w:rPr>
          <w:rFonts w:asciiTheme="majorBidi" w:hAnsiTheme="majorBidi" w:cstheme="majorBidi"/>
          <w:color w:val="222222"/>
          <w:shd w:val="clear" w:color="auto" w:fill="FFFFFF"/>
        </w:rPr>
        <w:t xml:space="preserve"> F. The Syrian Community in Turkey: Perspectives, Prospects, and Policies. Public Policy and Democracy Studies (PODEM) Report. 2018.</w:t>
      </w:r>
      <w:r>
        <w:rPr>
          <w:rFonts w:asciiTheme="majorBidi" w:hAnsiTheme="majorBidi" w:cstheme="majorBidi"/>
          <w:color w:val="222222"/>
          <w:shd w:val="clear" w:color="auto" w:fill="FFFFFF"/>
        </w:rPr>
        <w:t xml:space="preserve"> P.21.</w:t>
      </w:r>
    </w:p>
  </w:footnote>
  <w:footnote w:id="96">
    <w:p w14:paraId="795F54BE" w14:textId="367EB1D4"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Dhingra</w:t>
      </w:r>
      <w:r>
        <w:rPr>
          <w:rFonts w:asciiTheme="majorBidi" w:hAnsiTheme="majorBidi" w:cstheme="majorBidi"/>
          <w:color w:val="222222"/>
          <w:shd w:val="clear" w:color="auto" w:fill="FFFFFF"/>
          <w:lang w:val="en-US"/>
        </w:rPr>
        <w:t xml:space="preserve"> R.</w:t>
      </w:r>
      <w:r w:rsidRPr="00B70D5A">
        <w:rPr>
          <w:rFonts w:asciiTheme="majorBidi" w:hAnsiTheme="majorBidi" w:cstheme="majorBidi"/>
          <w:color w:val="222222"/>
          <w:shd w:val="clear" w:color="auto" w:fill="FFFFFF"/>
        </w:rPr>
        <w:t xml:space="preserve"> Syrian Refugees and the Jordanian Economy, Muftah, 2014.</w:t>
      </w:r>
    </w:p>
  </w:footnote>
  <w:footnote w:id="97">
    <w:p w14:paraId="5942FE20" w14:textId="4BDB00E3"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color w:val="222222"/>
          <w:shd w:val="clear" w:color="auto" w:fill="FFFFFF"/>
        </w:rPr>
        <w:t xml:space="preserve"> Al-</w:t>
      </w:r>
      <w:proofErr w:type="spellStart"/>
      <w:r w:rsidRPr="00B70D5A">
        <w:rPr>
          <w:rFonts w:asciiTheme="majorBidi" w:hAnsiTheme="majorBidi" w:cstheme="majorBidi"/>
          <w:color w:val="222222"/>
          <w:shd w:val="clear" w:color="auto" w:fill="FFFFFF"/>
        </w:rPr>
        <w:t>Junaidi</w:t>
      </w:r>
      <w:proofErr w:type="spellEnd"/>
      <w:r w:rsidRPr="00B70D5A">
        <w:rPr>
          <w:rFonts w:asciiTheme="majorBidi" w:hAnsiTheme="majorBidi" w:cstheme="majorBidi"/>
          <w:color w:val="222222"/>
          <w:shd w:val="clear" w:color="auto" w:fill="FFFFFF"/>
        </w:rPr>
        <w:t xml:space="preserve"> M. The Gulf and the Destination of Syrian Capital: The United Arab Emirates Example. Arab Reform Initiative, research papers. 2018.</w:t>
      </w:r>
      <w:r>
        <w:rPr>
          <w:rFonts w:asciiTheme="majorBidi" w:hAnsiTheme="majorBidi" w:cstheme="majorBidi"/>
          <w:color w:val="222222"/>
          <w:shd w:val="clear" w:color="auto" w:fill="FFFFFF"/>
        </w:rPr>
        <w:t xml:space="preserve"> P.7.</w:t>
      </w:r>
      <w:r w:rsidRPr="00B70D5A">
        <w:rPr>
          <w:rFonts w:asciiTheme="majorBidi" w:hAnsiTheme="majorBidi" w:cstheme="majorBidi"/>
          <w:color w:val="222222"/>
          <w:shd w:val="clear" w:color="auto" w:fill="FFFFFF"/>
        </w:rPr>
        <w:t xml:space="preserve"> (In Arabic).</w:t>
      </w:r>
    </w:p>
  </w:footnote>
  <w:footnote w:id="98">
    <w:p w14:paraId="7A1BEA43" w14:textId="179353E9" w:rsidR="00153248" w:rsidRPr="00991053" w:rsidRDefault="00153248" w:rsidP="00245D7B">
      <w:pPr>
        <w:pStyle w:val="FootnoteText"/>
        <w:jc w:val="both"/>
        <w:rPr>
          <w:color w:val="222222"/>
          <w:sz w:val="18"/>
          <w:szCs w:val="18"/>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Al-</w:t>
      </w:r>
      <w:proofErr w:type="spellStart"/>
      <w:r w:rsidRPr="00B70D5A">
        <w:rPr>
          <w:rFonts w:asciiTheme="majorBidi" w:hAnsiTheme="majorBidi" w:cstheme="majorBidi"/>
          <w:color w:val="222222"/>
          <w:shd w:val="clear" w:color="auto" w:fill="FFFFFF"/>
        </w:rPr>
        <w:t>Jundi</w:t>
      </w:r>
      <w:proofErr w:type="spellEnd"/>
      <w:r w:rsidRPr="00B70D5A">
        <w:rPr>
          <w:rFonts w:asciiTheme="majorBidi" w:hAnsiTheme="majorBidi" w:cstheme="majorBidi"/>
          <w:color w:val="222222"/>
          <w:shd w:val="clear" w:color="auto" w:fill="FFFFFF"/>
        </w:rPr>
        <w:t xml:space="preserve"> </w:t>
      </w:r>
      <w:proofErr w:type="spellStart"/>
      <w:r w:rsidRPr="00B70D5A">
        <w:rPr>
          <w:rFonts w:asciiTheme="majorBidi" w:hAnsiTheme="majorBidi" w:cstheme="majorBidi"/>
          <w:color w:val="222222"/>
          <w:shd w:val="clear" w:color="auto" w:fill="FFFFFF"/>
        </w:rPr>
        <w:t>Kh</w:t>
      </w:r>
      <w:proofErr w:type="spellEnd"/>
      <w:r w:rsidRPr="00B70D5A">
        <w:rPr>
          <w:rFonts w:asciiTheme="majorBidi" w:hAnsiTheme="majorBidi" w:cstheme="majorBidi"/>
          <w:color w:val="222222"/>
          <w:shd w:val="clear" w:color="auto" w:fill="FFFFFF"/>
        </w:rPr>
        <w:t xml:space="preserve">. Investment in the Syrian Arab Republic, Damascus University Economic and Legal Sciences </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t>2010:</w:t>
      </w:r>
      <w:proofErr w:type="gramStart"/>
      <w:r>
        <w:rPr>
          <w:rFonts w:asciiTheme="majorBidi" w:hAnsiTheme="majorBidi" w:cstheme="majorBidi"/>
          <w:color w:val="222222"/>
          <w:shd w:val="clear" w:color="auto" w:fill="FFFFFF"/>
        </w:rPr>
        <w:t>26.(</w:t>
      </w:r>
      <w:proofErr w:type="gramEnd"/>
      <w:r>
        <w:rPr>
          <w:rFonts w:asciiTheme="majorBidi" w:hAnsiTheme="majorBidi" w:cstheme="majorBidi"/>
          <w:color w:val="222222"/>
          <w:shd w:val="clear" w:color="auto" w:fill="FFFFFF"/>
        </w:rPr>
        <w:t>2)</w:t>
      </w:r>
      <w:r w:rsidRPr="00B70D5A">
        <w:rPr>
          <w:rFonts w:asciiTheme="majorBidi" w:hAnsiTheme="majorBidi" w:cstheme="majorBidi"/>
          <w:color w:val="222222"/>
          <w:shd w:val="clear" w:color="auto" w:fill="FFFFFF"/>
        </w:rPr>
        <w:t>.</w:t>
      </w:r>
      <w:r>
        <w:rPr>
          <w:rFonts w:asciiTheme="majorBidi" w:hAnsiTheme="majorBidi" w:cstheme="majorBidi"/>
          <w:color w:val="222222"/>
          <w:shd w:val="clear" w:color="auto" w:fill="FFFFFF"/>
        </w:rPr>
        <w:t xml:space="preserve"> P.624.</w:t>
      </w:r>
      <w:r w:rsidRPr="00B70D5A">
        <w:rPr>
          <w:rFonts w:asciiTheme="majorBidi" w:hAnsiTheme="majorBidi" w:cstheme="majorBidi"/>
          <w:color w:val="222222"/>
          <w:shd w:val="clear" w:color="auto" w:fill="FFFFFF"/>
        </w:rPr>
        <w:t xml:space="preserve"> (In Arabic).</w:t>
      </w:r>
    </w:p>
  </w:footnote>
  <w:footnote w:id="99">
    <w:p w14:paraId="1BF707F9" w14:textId="2BE31F6C" w:rsidR="00153248" w:rsidRPr="00B70D5A" w:rsidRDefault="00153248" w:rsidP="00245D7B">
      <w:pPr>
        <w:pStyle w:val="FootnoteText"/>
        <w:jc w:val="both"/>
        <w:rPr>
          <w:rFonts w:asciiTheme="majorBidi" w:hAnsiTheme="majorBidi" w:cstheme="majorBidi"/>
          <w:color w:val="222222"/>
          <w:shd w:val="clear" w:color="auto" w:fill="FFFFFF"/>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color w:val="222222"/>
          <w:shd w:val="clear" w:color="auto" w:fill="FFFFFF"/>
        </w:rPr>
        <w:t>Kleimeier S</w:t>
      </w:r>
      <w:r>
        <w:rPr>
          <w:rFonts w:asciiTheme="majorBidi" w:hAnsiTheme="majorBidi" w:cstheme="majorBidi"/>
          <w:color w:val="222222"/>
          <w:shd w:val="clear" w:color="auto" w:fill="FFFFFF"/>
        </w:rPr>
        <w:t>.</w:t>
      </w:r>
      <w:r w:rsidRPr="00B70D5A">
        <w:rPr>
          <w:rFonts w:asciiTheme="majorBidi" w:hAnsiTheme="majorBidi" w:cstheme="majorBidi"/>
          <w:color w:val="222222"/>
          <w:shd w:val="clear" w:color="auto" w:fill="FFFFFF"/>
        </w:rPr>
        <w:t>, Versteeg R. Project finance as a driver of economic growth in low-income countries. Review of Financial Economics. 2010 Apr 1;19(2):49-59.</w:t>
      </w:r>
    </w:p>
  </w:footnote>
  <w:footnote w:id="100">
    <w:p w14:paraId="2803EE2E" w14:textId="38E4A069" w:rsidR="00153248" w:rsidRPr="00B70D5A" w:rsidRDefault="00153248" w:rsidP="00B70D5A">
      <w:pPr>
        <w:pStyle w:val="FootnoteText"/>
        <w:jc w:val="both"/>
        <w:rPr>
          <w:rFonts w:asciiTheme="majorBidi" w:hAnsiTheme="majorBidi" w:cstheme="majorBidi"/>
        </w:rPr>
      </w:pPr>
      <w:r w:rsidRPr="00B70D5A">
        <w:rPr>
          <w:rStyle w:val="FootnoteReference"/>
          <w:rFonts w:asciiTheme="majorBidi" w:hAnsiTheme="majorBidi" w:cstheme="majorBidi"/>
        </w:rPr>
        <w:footnoteRef/>
      </w:r>
      <w:r w:rsidRPr="00B70D5A">
        <w:rPr>
          <w:rFonts w:asciiTheme="majorBidi" w:hAnsiTheme="majorBidi" w:cstheme="majorBidi"/>
        </w:rPr>
        <w:t xml:space="preserve"> </w:t>
      </w:r>
      <w:r w:rsidRPr="00B70D5A">
        <w:rPr>
          <w:rFonts w:asciiTheme="majorBidi" w:hAnsiTheme="majorBidi" w:cstheme="majorBidi"/>
          <w:lang w:val="en-US" w:bidi="ar-SY"/>
        </w:rPr>
        <w:t>Legislative Decree No. 8 of 2007</w:t>
      </w:r>
      <w:r>
        <w:rPr>
          <w:rFonts w:asciiTheme="majorBidi" w:hAnsiTheme="majorBidi" w:cstheme="majorBidi"/>
          <w:lang w:val="en-US" w:bidi="ar-SY"/>
        </w:rPr>
        <w:t>. (In Arabic).</w:t>
      </w:r>
    </w:p>
  </w:footnote>
  <w:footnote w:id="101">
    <w:p w14:paraId="39D5142F" w14:textId="5E2BD975" w:rsidR="00153248" w:rsidRPr="00B70D5A" w:rsidRDefault="00153248" w:rsidP="009C0AD1">
      <w:pPr>
        <w:pStyle w:val="FootnoteText"/>
        <w:jc w:val="both"/>
        <w:rPr>
          <w:rFonts w:asciiTheme="majorBidi" w:hAnsiTheme="majorBidi" w:cstheme="majorBidi"/>
        </w:rPr>
      </w:pPr>
      <w:r w:rsidRPr="00B70D5A">
        <w:rPr>
          <w:rStyle w:val="FootnoteReference"/>
          <w:rFonts w:asciiTheme="majorBidi" w:hAnsiTheme="majorBidi" w:cstheme="majorBidi"/>
        </w:rPr>
        <w:footnoteRef/>
      </w:r>
      <w:r w:rsidRPr="00B70D5A">
        <w:rPr>
          <w:rFonts w:asciiTheme="majorBidi" w:hAnsiTheme="majorBidi" w:cstheme="majorBidi"/>
        </w:rPr>
        <w:t xml:space="preserve"> Law No. 5 of 2016, Participatory Law</w:t>
      </w:r>
      <w:r>
        <w:rPr>
          <w:rFonts w:asciiTheme="majorBidi" w:hAnsiTheme="majorBidi" w:cstheme="majorBidi"/>
        </w:rPr>
        <w:t>.</w:t>
      </w:r>
      <w:r w:rsidRPr="009C0AD1">
        <w:rPr>
          <w:rFonts w:asciiTheme="majorBidi" w:hAnsiTheme="majorBidi" w:cstheme="majorBidi"/>
          <w:lang w:val="en-US" w:bidi="ar-SY"/>
        </w:rPr>
        <w:t xml:space="preserve"> </w:t>
      </w:r>
      <w:r>
        <w:rPr>
          <w:rFonts w:asciiTheme="majorBidi" w:hAnsiTheme="majorBidi" w:cstheme="majorBidi"/>
          <w:lang w:val="en-US" w:bidi="ar-SY"/>
        </w:rPr>
        <w:t>(In Arabic).</w:t>
      </w:r>
    </w:p>
  </w:footnote>
  <w:footnote w:id="102">
    <w:p w14:paraId="3E740EC4" w14:textId="1614F7E1" w:rsidR="00153248" w:rsidRPr="00B70D5A" w:rsidRDefault="00153248" w:rsidP="00B70D5A">
      <w:pPr>
        <w:pStyle w:val="FootnoteText"/>
        <w:jc w:val="both"/>
        <w:rPr>
          <w:rFonts w:asciiTheme="majorBidi" w:hAnsiTheme="majorBidi" w:cstheme="majorBidi"/>
        </w:rPr>
      </w:pPr>
      <w:r w:rsidRPr="00B70D5A">
        <w:rPr>
          <w:rStyle w:val="FootnoteReference"/>
          <w:rFonts w:asciiTheme="majorBidi" w:hAnsiTheme="majorBidi" w:cstheme="majorBidi"/>
        </w:rPr>
        <w:footnoteRef/>
      </w:r>
      <w:r>
        <w:rPr>
          <w:rFonts w:asciiTheme="majorBidi" w:hAnsiTheme="majorBidi" w:cstheme="majorBidi"/>
        </w:rPr>
        <w:t xml:space="preserve"> </w:t>
      </w:r>
      <w:proofErr w:type="spellStart"/>
      <w:r w:rsidRPr="00B70D5A">
        <w:rPr>
          <w:rFonts w:asciiTheme="majorBidi" w:hAnsiTheme="majorBidi" w:cstheme="majorBidi"/>
        </w:rPr>
        <w:t>S</w:t>
      </w:r>
      <w:r>
        <w:rPr>
          <w:rFonts w:asciiTheme="majorBidi" w:hAnsiTheme="majorBidi" w:cstheme="majorBidi"/>
        </w:rPr>
        <w:t>iro</w:t>
      </w:r>
      <w:r w:rsidRPr="00B70D5A">
        <w:rPr>
          <w:rFonts w:asciiTheme="majorBidi" w:hAnsiTheme="majorBidi" w:cstheme="majorBidi"/>
        </w:rPr>
        <w:t>b</w:t>
      </w:r>
      <w:proofErr w:type="spellEnd"/>
      <w:r>
        <w:rPr>
          <w:rFonts w:asciiTheme="majorBidi" w:hAnsiTheme="majorBidi" w:cstheme="majorBidi"/>
        </w:rPr>
        <w:t xml:space="preserve"> R.</w:t>
      </w:r>
      <w:r w:rsidRPr="00B70D5A">
        <w:rPr>
          <w:rFonts w:asciiTheme="majorBidi" w:hAnsiTheme="majorBidi" w:cstheme="majorBidi"/>
        </w:rPr>
        <w:t xml:space="preserve"> The fields of application of participatory projects between the public and private sectors and their prospects in Syria</w:t>
      </w:r>
      <w:r>
        <w:rPr>
          <w:rFonts w:asciiTheme="majorBidi" w:hAnsiTheme="majorBidi" w:cstheme="majorBidi"/>
        </w:rPr>
        <w:t>. Damascus Centre for Research and Studies. 2017. P.13.(In Arabic).</w:t>
      </w:r>
    </w:p>
  </w:footnote>
  <w:footnote w:id="103">
    <w:p w14:paraId="056737D1" w14:textId="69279646" w:rsidR="00153248" w:rsidRPr="00B70D5A" w:rsidRDefault="00153248" w:rsidP="00B70D5A">
      <w:pPr>
        <w:pStyle w:val="FootnoteText"/>
        <w:jc w:val="both"/>
        <w:rPr>
          <w:rFonts w:asciiTheme="majorBidi" w:hAnsiTheme="majorBidi" w:cstheme="majorBidi"/>
          <w:lang w:val="en-US"/>
        </w:rPr>
      </w:pPr>
      <w:r w:rsidRPr="00B70D5A">
        <w:rPr>
          <w:rStyle w:val="FootnoteReference"/>
          <w:rFonts w:asciiTheme="majorBidi" w:hAnsiTheme="majorBidi" w:cstheme="majorBidi"/>
        </w:rPr>
        <w:footnoteRef/>
      </w:r>
      <w:r w:rsidRPr="00B70D5A">
        <w:rPr>
          <w:rFonts w:asciiTheme="majorBidi" w:hAnsiTheme="majorBidi" w:cstheme="majorBidi"/>
        </w:rPr>
        <w:t xml:space="preserve"> Cabinet Decision No. 1763 of 2016</w:t>
      </w:r>
      <w:r>
        <w:rPr>
          <w:rFonts w:asciiTheme="majorBidi" w:hAnsiTheme="majorBidi" w:cstheme="majorBidi"/>
        </w:rPr>
        <w:t xml:space="preserve">. </w:t>
      </w:r>
      <w:r>
        <w:rPr>
          <w:rFonts w:asciiTheme="majorBidi" w:hAnsiTheme="majorBidi" w:cstheme="majorBidi"/>
          <w:lang w:val="en-US" w:bidi="ar-SY"/>
        </w:rPr>
        <w:t>(In Arabic).</w:t>
      </w:r>
    </w:p>
  </w:footnote>
  <w:footnote w:id="104">
    <w:p w14:paraId="63D512C2" w14:textId="686B5F83" w:rsidR="00153248" w:rsidRPr="00C45F8D" w:rsidRDefault="00153248" w:rsidP="00C45F8D">
      <w:pPr>
        <w:pStyle w:val="FootnoteText"/>
        <w:jc w:val="both"/>
        <w:rPr>
          <w:rFonts w:asciiTheme="majorBidi" w:hAnsiTheme="majorBidi" w:cstheme="majorBidi"/>
        </w:rPr>
      </w:pPr>
      <w:r w:rsidRPr="00C45F8D">
        <w:rPr>
          <w:rStyle w:val="FootnoteReference"/>
          <w:rFonts w:asciiTheme="majorBidi" w:hAnsiTheme="majorBidi" w:cstheme="majorBidi"/>
        </w:rPr>
        <w:footnoteRef/>
      </w:r>
      <w:r w:rsidRPr="00C45F8D">
        <w:rPr>
          <w:rFonts w:asciiTheme="majorBidi" w:hAnsiTheme="majorBidi" w:cstheme="majorBidi"/>
        </w:rPr>
        <w:t xml:space="preserve"> Decree No. 172 of 2017</w:t>
      </w:r>
      <w:r>
        <w:rPr>
          <w:rFonts w:asciiTheme="majorBidi" w:hAnsiTheme="majorBidi" w:cstheme="majorBidi"/>
        </w:rPr>
        <w:t xml:space="preserve">. </w:t>
      </w:r>
      <w:r>
        <w:rPr>
          <w:rFonts w:asciiTheme="majorBidi" w:hAnsiTheme="majorBidi" w:cstheme="majorBidi"/>
          <w:lang w:val="en-US" w:bidi="ar-SY"/>
        </w:rPr>
        <w:t>(In Arabic).</w:t>
      </w:r>
    </w:p>
  </w:footnote>
  <w:footnote w:id="105">
    <w:p w14:paraId="003D8169" w14:textId="08A598A9" w:rsidR="00153248" w:rsidRPr="00C45F8D" w:rsidRDefault="00153248" w:rsidP="00C45F8D">
      <w:pPr>
        <w:pStyle w:val="FootnoteText"/>
        <w:jc w:val="both"/>
        <w:rPr>
          <w:rFonts w:asciiTheme="majorBidi" w:hAnsiTheme="majorBidi" w:cstheme="majorBidi"/>
        </w:rPr>
      </w:pPr>
      <w:r w:rsidRPr="00C45F8D">
        <w:rPr>
          <w:rStyle w:val="FootnoteReference"/>
          <w:rFonts w:asciiTheme="majorBidi" w:hAnsiTheme="majorBidi" w:cstheme="majorBidi"/>
        </w:rPr>
        <w:footnoteRef/>
      </w:r>
      <w:r w:rsidRPr="00C45F8D">
        <w:rPr>
          <w:rFonts w:asciiTheme="majorBidi" w:hAnsiTheme="majorBidi" w:cstheme="majorBidi"/>
        </w:rPr>
        <w:t xml:space="preserve"> Resolution No. 364 of 2012</w:t>
      </w:r>
      <w:r>
        <w:rPr>
          <w:rFonts w:asciiTheme="majorBidi" w:hAnsiTheme="majorBidi" w:cstheme="majorBidi"/>
        </w:rPr>
        <w:t xml:space="preserve">. </w:t>
      </w:r>
      <w:r>
        <w:rPr>
          <w:rFonts w:asciiTheme="majorBidi" w:hAnsiTheme="majorBidi" w:cstheme="majorBidi"/>
          <w:lang w:val="en-US" w:bidi="ar-SY"/>
        </w:rPr>
        <w:t>(In Arabic).</w:t>
      </w:r>
    </w:p>
  </w:footnote>
  <w:footnote w:id="106">
    <w:p w14:paraId="529A3FF5" w14:textId="31775D6B" w:rsidR="00153248" w:rsidRPr="006C2F22" w:rsidRDefault="00153248" w:rsidP="00C45F8D">
      <w:pPr>
        <w:pStyle w:val="FootnoteText"/>
        <w:jc w:val="both"/>
        <w:rPr>
          <w:rFonts w:asciiTheme="majorBidi" w:hAnsiTheme="majorBidi" w:cstheme="majorBidi"/>
        </w:rPr>
      </w:pPr>
      <w:r w:rsidRPr="006C2F22">
        <w:rPr>
          <w:vertAlign w:val="superscript"/>
        </w:rPr>
        <w:footnoteRef/>
      </w:r>
      <w:r w:rsidRPr="00C45F8D">
        <w:rPr>
          <w:rFonts w:asciiTheme="majorBidi" w:hAnsiTheme="majorBidi" w:cstheme="majorBidi"/>
        </w:rPr>
        <w:t xml:space="preserve"> </w:t>
      </w:r>
      <w:r w:rsidRPr="006C2F22">
        <w:rPr>
          <w:rFonts w:asciiTheme="majorBidi" w:hAnsiTheme="majorBidi" w:cstheme="majorBidi"/>
        </w:rPr>
        <w:t>URL://http://sia.gov.sy/ - Syrian Investment Agency</w:t>
      </w:r>
    </w:p>
  </w:footnote>
  <w:footnote w:id="107">
    <w:p w14:paraId="0294774C" w14:textId="5F0459F5" w:rsidR="00153248" w:rsidRPr="00D04519" w:rsidRDefault="00153248" w:rsidP="00402100">
      <w:pPr>
        <w:spacing w:after="0"/>
        <w:rPr>
          <w:rFonts w:asciiTheme="majorBidi" w:hAnsiTheme="majorBidi" w:cstheme="majorBidi"/>
          <w:sz w:val="20"/>
          <w:szCs w:val="20"/>
        </w:rPr>
      </w:pPr>
      <w:r w:rsidRPr="00D04519">
        <w:rPr>
          <w:rStyle w:val="FootnoteReference"/>
          <w:rFonts w:asciiTheme="majorBidi" w:hAnsiTheme="majorBidi" w:cstheme="majorBidi"/>
          <w:sz w:val="20"/>
          <w:szCs w:val="20"/>
        </w:rPr>
        <w:footnoteRef/>
      </w:r>
      <w:r w:rsidRPr="00D04519">
        <w:rPr>
          <w:rFonts w:asciiTheme="majorBidi" w:hAnsiTheme="majorBidi" w:cstheme="majorBidi"/>
          <w:sz w:val="20"/>
          <w:szCs w:val="20"/>
        </w:rPr>
        <w:t xml:space="preserve"> Transparency International. Corruption Perceptions Index</w:t>
      </w:r>
      <w:r>
        <w:rPr>
          <w:rFonts w:asciiTheme="majorBidi" w:hAnsiTheme="majorBidi" w:cstheme="majorBidi"/>
          <w:sz w:val="20"/>
          <w:szCs w:val="20"/>
        </w:rPr>
        <w:t>.</w:t>
      </w:r>
      <w:r w:rsidRPr="00D04519">
        <w:rPr>
          <w:rFonts w:asciiTheme="majorBidi" w:hAnsiTheme="majorBidi" w:cstheme="majorBidi"/>
          <w:sz w:val="20"/>
          <w:szCs w:val="20"/>
        </w:rPr>
        <w:t xml:space="preserve"> 2019.</w:t>
      </w:r>
    </w:p>
  </w:footnote>
  <w:footnote w:id="108">
    <w:p w14:paraId="6EE0E79B" w14:textId="56B30011" w:rsidR="00153248" w:rsidRPr="00EB0563" w:rsidRDefault="00153248" w:rsidP="002F78D7">
      <w:pPr>
        <w:spacing w:after="0"/>
        <w:rPr>
          <w:rFonts w:asciiTheme="majorBidi" w:hAnsiTheme="majorBidi" w:cstheme="majorBidi"/>
          <w:b/>
          <w:bCs/>
          <w:sz w:val="20"/>
          <w:szCs w:val="20"/>
          <w:lang w:val="ru-RU"/>
        </w:rPr>
      </w:pPr>
      <w:r w:rsidRPr="00D04519">
        <w:rPr>
          <w:rStyle w:val="FootnoteReference"/>
          <w:rFonts w:asciiTheme="majorBidi" w:hAnsiTheme="majorBidi" w:cstheme="majorBidi"/>
          <w:sz w:val="20"/>
          <w:szCs w:val="20"/>
        </w:rPr>
        <w:footnoteRef/>
      </w:r>
      <w:r w:rsidRPr="00D04519">
        <w:rPr>
          <w:rFonts w:asciiTheme="majorBidi" w:hAnsiTheme="majorBidi" w:cstheme="majorBidi"/>
          <w:sz w:val="20"/>
          <w:szCs w:val="20"/>
        </w:rPr>
        <w:t xml:space="preserve"> Jamil Q., Lectures on Economic Planning in Syria, Institute of Planning, Economic and Social Development in Damascus.</w:t>
      </w:r>
      <w:r>
        <w:rPr>
          <w:rFonts w:asciiTheme="majorBidi" w:hAnsiTheme="majorBidi" w:cstheme="majorBidi"/>
          <w:sz w:val="20"/>
          <w:szCs w:val="20"/>
        </w:rPr>
        <w:t xml:space="preserve"> </w:t>
      </w:r>
      <w:r w:rsidRPr="00EB0563">
        <w:rPr>
          <w:rFonts w:asciiTheme="majorBidi" w:hAnsiTheme="majorBidi" w:cstheme="majorBidi"/>
          <w:sz w:val="20"/>
          <w:szCs w:val="20"/>
          <w:lang w:val="ru-RU"/>
        </w:rPr>
        <w:t>(</w:t>
      </w:r>
      <w:r>
        <w:rPr>
          <w:rFonts w:asciiTheme="majorBidi" w:hAnsiTheme="majorBidi" w:cstheme="majorBidi"/>
          <w:sz w:val="20"/>
          <w:szCs w:val="20"/>
        </w:rPr>
        <w:t>In</w:t>
      </w:r>
      <w:r w:rsidRPr="00EB0563">
        <w:rPr>
          <w:rFonts w:asciiTheme="majorBidi" w:hAnsiTheme="majorBidi" w:cstheme="majorBidi"/>
          <w:sz w:val="20"/>
          <w:szCs w:val="20"/>
          <w:lang w:val="ru-RU"/>
        </w:rPr>
        <w:t xml:space="preserve"> </w:t>
      </w:r>
      <w:r>
        <w:rPr>
          <w:rFonts w:asciiTheme="majorBidi" w:hAnsiTheme="majorBidi" w:cstheme="majorBidi"/>
          <w:sz w:val="20"/>
          <w:szCs w:val="20"/>
        </w:rPr>
        <w:t>Arabic</w:t>
      </w:r>
      <w:r w:rsidRPr="00EB0563">
        <w:rPr>
          <w:rFonts w:asciiTheme="majorBidi" w:hAnsiTheme="majorBidi" w:cstheme="majorBidi"/>
          <w:sz w:val="20"/>
          <w:szCs w:val="20"/>
          <w:lang w:val="ru-RU"/>
        </w:rPr>
        <w:t>).</w:t>
      </w:r>
    </w:p>
  </w:footnote>
  <w:footnote w:id="109">
    <w:p w14:paraId="7E7ECA29" w14:textId="20465ADF" w:rsidR="00153248" w:rsidRPr="001D0DD0" w:rsidRDefault="00153248" w:rsidP="003A13D4">
      <w:pPr>
        <w:pStyle w:val="FootnoteText"/>
        <w:jc w:val="both"/>
        <w:rPr>
          <w:lang w:val="ru-RU"/>
        </w:rPr>
      </w:pPr>
      <w:r>
        <w:rPr>
          <w:rStyle w:val="FootnoteReference"/>
        </w:rPr>
        <w:footnoteRef/>
      </w:r>
      <w:r w:rsidRPr="001D0DD0">
        <w:rPr>
          <w:lang w:val="ru-RU"/>
        </w:rPr>
        <w:t xml:space="preserve"> </w:t>
      </w:r>
      <w:r w:rsidRPr="008134E0">
        <w:rPr>
          <w:rFonts w:asciiTheme="majorBidi" w:hAnsiTheme="majorBidi" w:cstheme="majorBidi"/>
          <w:lang w:val="ru-RU"/>
        </w:rPr>
        <w:t>Титов В.О. Проектное финансирование инновационных инвестиционных проектов. Докторская диссертация, Санкт-Петербург, 2014</w:t>
      </w:r>
      <w:r w:rsidRPr="001D0DD0">
        <w:rPr>
          <w:rFonts w:asciiTheme="majorBidi" w:hAnsiTheme="majorBidi" w:cstheme="majorBid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89626"/>
      <w:docPartObj>
        <w:docPartGallery w:val="Page Numbers (Top of Page)"/>
        <w:docPartUnique/>
      </w:docPartObj>
    </w:sdtPr>
    <w:sdtEndPr>
      <w:rPr>
        <w:noProof/>
      </w:rPr>
    </w:sdtEndPr>
    <w:sdtContent>
      <w:p w14:paraId="01DF0625" w14:textId="41B62C37" w:rsidR="00153248" w:rsidRDefault="001532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CCDC0D" w14:textId="77777777" w:rsidR="00153248" w:rsidRDefault="0015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0E8990"/>
    <w:multiLevelType w:val="hybridMultilevel"/>
    <w:tmpl w:val="26553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A25FE"/>
    <w:multiLevelType w:val="hybridMultilevel"/>
    <w:tmpl w:val="FE20AB8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E7455"/>
    <w:multiLevelType w:val="hybridMultilevel"/>
    <w:tmpl w:val="44CA6A1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119"/>
    <w:multiLevelType w:val="hybridMultilevel"/>
    <w:tmpl w:val="FCB68A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3960A35"/>
    <w:multiLevelType w:val="hybridMultilevel"/>
    <w:tmpl w:val="9FC8609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93EB5"/>
    <w:multiLevelType w:val="hybridMultilevel"/>
    <w:tmpl w:val="289AF4E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96B57CC"/>
    <w:multiLevelType w:val="hybridMultilevel"/>
    <w:tmpl w:val="FD205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D1378"/>
    <w:multiLevelType w:val="hybridMultilevel"/>
    <w:tmpl w:val="AF94344E"/>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A2A06"/>
    <w:multiLevelType w:val="multilevel"/>
    <w:tmpl w:val="CAEEC6BE"/>
    <w:lvl w:ilvl="0">
      <w:start w:val="1"/>
      <w:numFmt w:val="low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21562097"/>
    <w:multiLevelType w:val="multilevel"/>
    <w:tmpl w:val="FE6AF5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2C2256B"/>
    <w:multiLevelType w:val="hybridMultilevel"/>
    <w:tmpl w:val="8B5CE6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74A12"/>
    <w:multiLevelType w:val="hybridMultilevel"/>
    <w:tmpl w:val="785621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63829"/>
    <w:multiLevelType w:val="hybridMultilevel"/>
    <w:tmpl w:val="8E4C7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9AE4100"/>
    <w:multiLevelType w:val="hybridMultilevel"/>
    <w:tmpl w:val="B3FC5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292851"/>
    <w:multiLevelType w:val="hybridMultilevel"/>
    <w:tmpl w:val="DA962B76"/>
    <w:lvl w:ilvl="0" w:tplc="3A8EC95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C7BDD"/>
    <w:multiLevelType w:val="hybridMultilevel"/>
    <w:tmpl w:val="B83EB30E"/>
    <w:lvl w:ilvl="0" w:tplc="0DACC61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E676EB1"/>
    <w:multiLevelType w:val="hybridMultilevel"/>
    <w:tmpl w:val="FE60360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1C846B30">
      <w:numFmt w:val="bullet"/>
      <w:lvlText w:val="-"/>
      <w:lvlJc w:val="left"/>
      <w:pPr>
        <w:ind w:left="810" w:hanging="360"/>
      </w:pPr>
      <w:rPr>
        <w:rFonts w:ascii="Times New Roman" w:eastAsiaTheme="minorHAnsi" w:hAnsi="Times New Roman"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014F3B"/>
    <w:multiLevelType w:val="hybridMultilevel"/>
    <w:tmpl w:val="69D80142"/>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B66F67"/>
    <w:multiLevelType w:val="multilevel"/>
    <w:tmpl w:val="245E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35A9"/>
    <w:multiLevelType w:val="hybridMultilevel"/>
    <w:tmpl w:val="C7BE6F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3340B47"/>
    <w:multiLevelType w:val="multilevel"/>
    <w:tmpl w:val="87EE1C1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5866A7"/>
    <w:multiLevelType w:val="multilevel"/>
    <w:tmpl w:val="D7A8C71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4DB7C65"/>
    <w:multiLevelType w:val="hybridMultilevel"/>
    <w:tmpl w:val="265027C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5B35F22"/>
    <w:multiLevelType w:val="hybridMultilevel"/>
    <w:tmpl w:val="505C4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2439E5"/>
    <w:multiLevelType w:val="hybridMultilevel"/>
    <w:tmpl w:val="935C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CE3509"/>
    <w:multiLevelType w:val="hybridMultilevel"/>
    <w:tmpl w:val="9A3EE0B8"/>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74BC1"/>
    <w:multiLevelType w:val="hybridMultilevel"/>
    <w:tmpl w:val="CC0ED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871ABE"/>
    <w:multiLevelType w:val="hybridMultilevel"/>
    <w:tmpl w:val="35300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CE0462"/>
    <w:multiLevelType w:val="hybridMultilevel"/>
    <w:tmpl w:val="888AB41C"/>
    <w:lvl w:ilvl="0" w:tplc="3A8EC95C">
      <w:numFmt w:val="bullet"/>
      <w:lvlText w:val="•"/>
      <w:lvlJc w:val="left"/>
      <w:pPr>
        <w:ind w:left="360" w:hanging="360"/>
      </w:pPr>
      <w:rPr>
        <w:rFonts w:ascii="Calibri" w:eastAsiaTheme="minorHAnsi" w:hAnsi="Calibri" w:cstheme="minorBidi" w:hint="default"/>
      </w:rPr>
    </w:lvl>
    <w:lvl w:ilvl="1" w:tplc="1C846B3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3A4F0E"/>
    <w:multiLevelType w:val="hybridMultilevel"/>
    <w:tmpl w:val="6AB64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6072B"/>
    <w:multiLevelType w:val="multilevel"/>
    <w:tmpl w:val="5276ED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84171AD"/>
    <w:multiLevelType w:val="multilevel"/>
    <w:tmpl w:val="74AA1A3A"/>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DC358EB"/>
    <w:multiLevelType w:val="multilevel"/>
    <w:tmpl w:val="EC7CF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3248A2"/>
    <w:multiLevelType w:val="multilevel"/>
    <w:tmpl w:val="61E2993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FC37421"/>
    <w:multiLevelType w:val="hybridMultilevel"/>
    <w:tmpl w:val="57AE3138"/>
    <w:lvl w:ilvl="0" w:tplc="08090001">
      <w:start w:val="1"/>
      <w:numFmt w:val="bullet"/>
      <w:lvlText w:val=""/>
      <w:lvlJc w:val="left"/>
      <w:pPr>
        <w:ind w:left="360" w:hanging="360"/>
      </w:pPr>
      <w:rPr>
        <w:rFonts w:ascii="Symbol" w:hAnsi="Symbol" w:hint="default"/>
      </w:rPr>
    </w:lvl>
    <w:lvl w:ilvl="1" w:tplc="F6CA47B0">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DD3A0E"/>
    <w:multiLevelType w:val="multilevel"/>
    <w:tmpl w:val="F164215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8640AFC"/>
    <w:multiLevelType w:val="hybridMultilevel"/>
    <w:tmpl w:val="3D6CA8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B5976AC"/>
    <w:multiLevelType w:val="hybridMultilevel"/>
    <w:tmpl w:val="CAB89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B9538C"/>
    <w:multiLevelType w:val="multilevel"/>
    <w:tmpl w:val="B3DED1E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13378A7"/>
    <w:multiLevelType w:val="hybridMultilevel"/>
    <w:tmpl w:val="E8E07E02"/>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534D96"/>
    <w:multiLevelType w:val="hybridMultilevel"/>
    <w:tmpl w:val="69D80142"/>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236A8C"/>
    <w:multiLevelType w:val="hybridMultilevel"/>
    <w:tmpl w:val="931AEB7C"/>
    <w:lvl w:ilvl="0" w:tplc="8BE2D646">
      <w:start w:val="1"/>
      <w:numFmt w:val="decimal"/>
      <w:lvlText w:val="%1."/>
      <w:lvlJc w:val="left"/>
      <w:pPr>
        <w:ind w:left="360" w:hanging="360"/>
      </w:pPr>
      <w:rPr>
        <w:rFonts w:ascii="Georgia" w:hAnsi="Georgia" w:hint="default"/>
        <w:color w:val="142349"/>
        <w:sz w:val="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0211E"/>
    <w:multiLevelType w:val="multilevel"/>
    <w:tmpl w:val="26DE9138"/>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7D3F282F"/>
    <w:multiLevelType w:val="hybridMultilevel"/>
    <w:tmpl w:val="ACE0B40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C50FF9"/>
    <w:multiLevelType w:val="hybridMultilevel"/>
    <w:tmpl w:val="F016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35"/>
  </w:num>
  <w:num w:numId="3">
    <w:abstractNumId w:val="9"/>
  </w:num>
  <w:num w:numId="4">
    <w:abstractNumId w:val="23"/>
  </w:num>
  <w:num w:numId="5">
    <w:abstractNumId w:val="13"/>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
  </w:num>
  <w:num w:numId="11">
    <w:abstractNumId w:val="5"/>
  </w:num>
  <w:num w:numId="12">
    <w:abstractNumId w:val="32"/>
  </w:num>
  <w:num w:numId="13">
    <w:abstractNumId w:val="21"/>
  </w:num>
  <w:num w:numId="14">
    <w:abstractNumId w:val="38"/>
  </w:num>
  <w:num w:numId="15">
    <w:abstractNumId w:val="8"/>
  </w:num>
  <w:num w:numId="16">
    <w:abstractNumId w:val="25"/>
  </w:num>
  <w:num w:numId="17">
    <w:abstractNumId w:val="2"/>
  </w:num>
  <w:num w:numId="18">
    <w:abstractNumId w:val="11"/>
  </w:num>
  <w:num w:numId="19">
    <w:abstractNumId w:val="10"/>
  </w:num>
  <w:num w:numId="20">
    <w:abstractNumId w:val="34"/>
  </w:num>
  <w:num w:numId="21">
    <w:abstractNumId w:val="26"/>
  </w:num>
  <w:num w:numId="22">
    <w:abstractNumId w:val="44"/>
  </w:num>
  <w:num w:numId="23">
    <w:abstractNumId w:val="39"/>
  </w:num>
  <w:num w:numId="24">
    <w:abstractNumId w:val="37"/>
  </w:num>
  <w:num w:numId="25">
    <w:abstractNumId w:val="40"/>
  </w:num>
  <w:num w:numId="26">
    <w:abstractNumId w:val="17"/>
  </w:num>
  <w:num w:numId="27">
    <w:abstractNumId w:val="28"/>
  </w:num>
  <w:num w:numId="28">
    <w:abstractNumId w:val="14"/>
  </w:num>
  <w:num w:numId="29">
    <w:abstractNumId w:val="36"/>
  </w:num>
  <w:num w:numId="30">
    <w:abstractNumId w:val="29"/>
  </w:num>
  <w:num w:numId="31">
    <w:abstractNumId w:val="6"/>
  </w:num>
  <w:num w:numId="32">
    <w:abstractNumId w:val="16"/>
  </w:num>
  <w:num w:numId="33">
    <w:abstractNumId w:val="4"/>
  </w:num>
  <w:num w:numId="34">
    <w:abstractNumId w:val="24"/>
  </w:num>
  <w:num w:numId="35">
    <w:abstractNumId w:val="27"/>
  </w:num>
  <w:num w:numId="36">
    <w:abstractNumId w:val="3"/>
  </w:num>
  <w:num w:numId="37">
    <w:abstractNumId w:val="19"/>
  </w:num>
  <w:num w:numId="38">
    <w:abstractNumId w:val="15"/>
  </w:num>
  <w:num w:numId="39">
    <w:abstractNumId w:val="41"/>
  </w:num>
  <w:num w:numId="40">
    <w:abstractNumId w:val="20"/>
  </w:num>
  <w:num w:numId="41">
    <w:abstractNumId w:val="30"/>
  </w:num>
  <w:num w:numId="42">
    <w:abstractNumId w:val="0"/>
  </w:num>
  <w:num w:numId="43">
    <w:abstractNumId w:val="33"/>
  </w:num>
  <w:num w:numId="44">
    <w:abstractNumId w:val="43"/>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04"/>
    <w:rsid w:val="00007985"/>
    <w:rsid w:val="000136C6"/>
    <w:rsid w:val="000140DF"/>
    <w:rsid w:val="000143F9"/>
    <w:rsid w:val="00017829"/>
    <w:rsid w:val="00017986"/>
    <w:rsid w:val="00020D87"/>
    <w:rsid w:val="00024FD3"/>
    <w:rsid w:val="00027AC8"/>
    <w:rsid w:val="00031265"/>
    <w:rsid w:val="000329B7"/>
    <w:rsid w:val="00034D3D"/>
    <w:rsid w:val="0003542C"/>
    <w:rsid w:val="0003647A"/>
    <w:rsid w:val="000366F9"/>
    <w:rsid w:val="00052B31"/>
    <w:rsid w:val="000544ED"/>
    <w:rsid w:val="00056CEA"/>
    <w:rsid w:val="00060957"/>
    <w:rsid w:val="00060E3A"/>
    <w:rsid w:val="000618C2"/>
    <w:rsid w:val="00061B3D"/>
    <w:rsid w:val="00063D68"/>
    <w:rsid w:val="000651F4"/>
    <w:rsid w:val="00066892"/>
    <w:rsid w:val="000709F3"/>
    <w:rsid w:val="000710D5"/>
    <w:rsid w:val="000716AE"/>
    <w:rsid w:val="000724F2"/>
    <w:rsid w:val="00074BC4"/>
    <w:rsid w:val="000833C4"/>
    <w:rsid w:val="0008440E"/>
    <w:rsid w:val="0008496D"/>
    <w:rsid w:val="0008719D"/>
    <w:rsid w:val="00087C75"/>
    <w:rsid w:val="00091CE4"/>
    <w:rsid w:val="00091FF7"/>
    <w:rsid w:val="00094CBC"/>
    <w:rsid w:val="000A419E"/>
    <w:rsid w:val="000A4432"/>
    <w:rsid w:val="000A66B5"/>
    <w:rsid w:val="000B0C59"/>
    <w:rsid w:val="000B2573"/>
    <w:rsid w:val="000B31B1"/>
    <w:rsid w:val="000B344A"/>
    <w:rsid w:val="000B44DF"/>
    <w:rsid w:val="000C5B8C"/>
    <w:rsid w:val="000C6A19"/>
    <w:rsid w:val="000D01AC"/>
    <w:rsid w:val="000D6BF8"/>
    <w:rsid w:val="000E1D62"/>
    <w:rsid w:val="000E260E"/>
    <w:rsid w:val="000E4247"/>
    <w:rsid w:val="000E5080"/>
    <w:rsid w:val="000F0094"/>
    <w:rsid w:val="000F32E7"/>
    <w:rsid w:val="000F35BD"/>
    <w:rsid w:val="0010013B"/>
    <w:rsid w:val="00102819"/>
    <w:rsid w:val="00102EB0"/>
    <w:rsid w:val="00105197"/>
    <w:rsid w:val="001075A3"/>
    <w:rsid w:val="001108C5"/>
    <w:rsid w:val="001110B5"/>
    <w:rsid w:val="00112054"/>
    <w:rsid w:val="00121DB7"/>
    <w:rsid w:val="0012249F"/>
    <w:rsid w:val="00127361"/>
    <w:rsid w:val="00132207"/>
    <w:rsid w:val="00133353"/>
    <w:rsid w:val="00133FDB"/>
    <w:rsid w:val="0013791B"/>
    <w:rsid w:val="00137C9D"/>
    <w:rsid w:val="00142068"/>
    <w:rsid w:val="0015258B"/>
    <w:rsid w:val="00153248"/>
    <w:rsid w:val="00153B76"/>
    <w:rsid w:val="00161D42"/>
    <w:rsid w:val="001630E3"/>
    <w:rsid w:val="001636B3"/>
    <w:rsid w:val="00171A7A"/>
    <w:rsid w:val="00172678"/>
    <w:rsid w:val="001753FC"/>
    <w:rsid w:val="00176FC7"/>
    <w:rsid w:val="001823F2"/>
    <w:rsid w:val="00185C68"/>
    <w:rsid w:val="001874AC"/>
    <w:rsid w:val="001874C3"/>
    <w:rsid w:val="001906B6"/>
    <w:rsid w:val="00191E9A"/>
    <w:rsid w:val="0019602D"/>
    <w:rsid w:val="00197E25"/>
    <w:rsid w:val="001A1710"/>
    <w:rsid w:val="001A739E"/>
    <w:rsid w:val="001B05E2"/>
    <w:rsid w:val="001C3E01"/>
    <w:rsid w:val="001D0DD0"/>
    <w:rsid w:val="001D52BB"/>
    <w:rsid w:val="001D5945"/>
    <w:rsid w:val="001D6E51"/>
    <w:rsid w:val="001E54C5"/>
    <w:rsid w:val="001F0C76"/>
    <w:rsid w:val="001F0CC4"/>
    <w:rsid w:val="00205226"/>
    <w:rsid w:val="0021548B"/>
    <w:rsid w:val="002170DE"/>
    <w:rsid w:val="00220DE7"/>
    <w:rsid w:val="0022155E"/>
    <w:rsid w:val="00226E26"/>
    <w:rsid w:val="0022798A"/>
    <w:rsid w:val="00230202"/>
    <w:rsid w:val="00242E50"/>
    <w:rsid w:val="00245D7B"/>
    <w:rsid w:val="00246247"/>
    <w:rsid w:val="002527F5"/>
    <w:rsid w:val="00256EFE"/>
    <w:rsid w:val="00261542"/>
    <w:rsid w:val="00264581"/>
    <w:rsid w:val="00266CAD"/>
    <w:rsid w:val="00271CD4"/>
    <w:rsid w:val="002746BC"/>
    <w:rsid w:val="00274F29"/>
    <w:rsid w:val="00275818"/>
    <w:rsid w:val="0027782A"/>
    <w:rsid w:val="0028030F"/>
    <w:rsid w:val="002809BE"/>
    <w:rsid w:val="0028141D"/>
    <w:rsid w:val="00281907"/>
    <w:rsid w:val="00282A15"/>
    <w:rsid w:val="00283395"/>
    <w:rsid w:val="0028540A"/>
    <w:rsid w:val="002867BA"/>
    <w:rsid w:val="00290D10"/>
    <w:rsid w:val="002913FE"/>
    <w:rsid w:val="00294DA5"/>
    <w:rsid w:val="00296639"/>
    <w:rsid w:val="002A1541"/>
    <w:rsid w:val="002A2BDD"/>
    <w:rsid w:val="002A4F27"/>
    <w:rsid w:val="002B16AB"/>
    <w:rsid w:val="002B1BE1"/>
    <w:rsid w:val="002B2636"/>
    <w:rsid w:val="002B31CD"/>
    <w:rsid w:val="002C08A8"/>
    <w:rsid w:val="002C28A3"/>
    <w:rsid w:val="002C5999"/>
    <w:rsid w:val="002D190A"/>
    <w:rsid w:val="002D60FA"/>
    <w:rsid w:val="002E0A04"/>
    <w:rsid w:val="002E21D2"/>
    <w:rsid w:val="002E467D"/>
    <w:rsid w:val="002F0E7D"/>
    <w:rsid w:val="002F14F3"/>
    <w:rsid w:val="002F702D"/>
    <w:rsid w:val="002F78D7"/>
    <w:rsid w:val="00304A39"/>
    <w:rsid w:val="0030532A"/>
    <w:rsid w:val="0031073B"/>
    <w:rsid w:val="0031081F"/>
    <w:rsid w:val="003129A9"/>
    <w:rsid w:val="00316990"/>
    <w:rsid w:val="00317813"/>
    <w:rsid w:val="00325B60"/>
    <w:rsid w:val="003275FC"/>
    <w:rsid w:val="00332025"/>
    <w:rsid w:val="0033341E"/>
    <w:rsid w:val="00337A6C"/>
    <w:rsid w:val="00341059"/>
    <w:rsid w:val="00343A65"/>
    <w:rsid w:val="00344FEC"/>
    <w:rsid w:val="00345605"/>
    <w:rsid w:val="003466EC"/>
    <w:rsid w:val="00346B06"/>
    <w:rsid w:val="00350AAF"/>
    <w:rsid w:val="00350D62"/>
    <w:rsid w:val="00351CA9"/>
    <w:rsid w:val="00352947"/>
    <w:rsid w:val="00352E97"/>
    <w:rsid w:val="003531FD"/>
    <w:rsid w:val="00354DC4"/>
    <w:rsid w:val="00355F63"/>
    <w:rsid w:val="00362EC6"/>
    <w:rsid w:val="00364F58"/>
    <w:rsid w:val="003700D3"/>
    <w:rsid w:val="003707ED"/>
    <w:rsid w:val="0037291F"/>
    <w:rsid w:val="00372931"/>
    <w:rsid w:val="00374A9E"/>
    <w:rsid w:val="00377E62"/>
    <w:rsid w:val="0038050B"/>
    <w:rsid w:val="00380B96"/>
    <w:rsid w:val="00381726"/>
    <w:rsid w:val="00384A76"/>
    <w:rsid w:val="00385B20"/>
    <w:rsid w:val="00386FA8"/>
    <w:rsid w:val="00387BFC"/>
    <w:rsid w:val="00391329"/>
    <w:rsid w:val="0039356C"/>
    <w:rsid w:val="003A00C5"/>
    <w:rsid w:val="003A0D47"/>
    <w:rsid w:val="003A13D4"/>
    <w:rsid w:val="003A1750"/>
    <w:rsid w:val="003B27FD"/>
    <w:rsid w:val="003B49A8"/>
    <w:rsid w:val="003C00B6"/>
    <w:rsid w:val="003C62EE"/>
    <w:rsid w:val="003D155F"/>
    <w:rsid w:val="003D17F1"/>
    <w:rsid w:val="003D3786"/>
    <w:rsid w:val="003D5A05"/>
    <w:rsid w:val="003D701D"/>
    <w:rsid w:val="003E06F8"/>
    <w:rsid w:val="003E52DC"/>
    <w:rsid w:val="003E6755"/>
    <w:rsid w:val="003F0B69"/>
    <w:rsid w:val="003F40CC"/>
    <w:rsid w:val="003F593A"/>
    <w:rsid w:val="003F7D25"/>
    <w:rsid w:val="00402100"/>
    <w:rsid w:val="00402F9E"/>
    <w:rsid w:val="0040329E"/>
    <w:rsid w:val="0040394F"/>
    <w:rsid w:val="0040784B"/>
    <w:rsid w:val="00407F35"/>
    <w:rsid w:val="00415189"/>
    <w:rsid w:val="00417C7F"/>
    <w:rsid w:val="004214DE"/>
    <w:rsid w:val="00422EA0"/>
    <w:rsid w:val="00426DFA"/>
    <w:rsid w:val="004278DC"/>
    <w:rsid w:val="00430323"/>
    <w:rsid w:val="0043076C"/>
    <w:rsid w:val="0043147D"/>
    <w:rsid w:val="0043571E"/>
    <w:rsid w:val="004406D8"/>
    <w:rsid w:val="004466F2"/>
    <w:rsid w:val="0044728F"/>
    <w:rsid w:val="00450A8B"/>
    <w:rsid w:val="00453348"/>
    <w:rsid w:val="00454541"/>
    <w:rsid w:val="00454CA4"/>
    <w:rsid w:val="004555E9"/>
    <w:rsid w:val="00455C03"/>
    <w:rsid w:val="004568F8"/>
    <w:rsid w:val="004604AA"/>
    <w:rsid w:val="00462341"/>
    <w:rsid w:val="004638CB"/>
    <w:rsid w:val="00464FA4"/>
    <w:rsid w:val="00465952"/>
    <w:rsid w:val="00465E24"/>
    <w:rsid w:val="00474C00"/>
    <w:rsid w:val="00476356"/>
    <w:rsid w:val="0047693E"/>
    <w:rsid w:val="004808B0"/>
    <w:rsid w:val="00480E0C"/>
    <w:rsid w:val="00482535"/>
    <w:rsid w:val="00485941"/>
    <w:rsid w:val="00486106"/>
    <w:rsid w:val="004867C3"/>
    <w:rsid w:val="00487A3C"/>
    <w:rsid w:val="00490D6A"/>
    <w:rsid w:val="004A12E7"/>
    <w:rsid w:val="004A3050"/>
    <w:rsid w:val="004A3872"/>
    <w:rsid w:val="004A4F45"/>
    <w:rsid w:val="004A5E7D"/>
    <w:rsid w:val="004A62DC"/>
    <w:rsid w:val="004A6B4F"/>
    <w:rsid w:val="004B3AC8"/>
    <w:rsid w:val="004C1BEC"/>
    <w:rsid w:val="004C1F17"/>
    <w:rsid w:val="004C3E94"/>
    <w:rsid w:val="004C61D8"/>
    <w:rsid w:val="004C7581"/>
    <w:rsid w:val="004D244A"/>
    <w:rsid w:val="004E2416"/>
    <w:rsid w:val="004E3FED"/>
    <w:rsid w:val="004E4E6B"/>
    <w:rsid w:val="004E6A46"/>
    <w:rsid w:val="004E714A"/>
    <w:rsid w:val="004F2D38"/>
    <w:rsid w:val="004F3481"/>
    <w:rsid w:val="005059EE"/>
    <w:rsid w:val="00506640"/>
    <w:rsid w:val="00506B9F"/>
    <w:rsid w:val="00507134"/>
    <w:rsid w:val="00510160"/>
    <w:rsid w:val="00512302"/>
    <w:rsid w:val="00516B8A"/>
    <w:rsid w:val="00520E56"/>
    <w:rsid w:val="00521294"/>
    <w:rsid w:val="00521D92"/>
    <w:rsid w:val="005220A1"/>
    <w:rsid w:val="00524246"/>
    <w:rsid w:val="00532594"/>
    <w:rsid w:val="00533B22"/>
    <w:rsid w:val="005410D9"/>
    <w:rsid w:val="005453D2"/>
    <w:rsid w:val="00545DBC"/>
    <w:rsid w:val="00551623"/>
    <w:rsid w:val="00552CC5"/>
    <w:rsid w:val="00555190"/>
    <w:rsid w:val="005613D4"/>
    <w:rsid w:val="005625AC"/>
    <w:rsid w:val="00571780"/>
    <w:rsid w:val="00575BFA"/>
    <w:rsid w:val="0058259E"/>
    <w:rsid w:val="00584667"/>
    <w:rsid w:val="00584970"/>
    <w:rsid w:val="00586E8A"/>
    <w:rsid w:val="005903AE"/>
    <w:rsid w:val="00595D27"/>
    <w:rsid w:val="0059617D"/>
    <w:rsid w:val="0059707D"/>
    <w:rsid w:val="005A2E9D"/>
    <w:rsid w:val="005A3864"/>
    <w:rsid w:val="005A45A2"/>
    <w:rsid w:val="005B0856"/>
    <w:rsid w:val="005B6607"/>
    <w:rsid w:val="005B7199"/>
    <w:rsid w:val="005B746C"/>
    <w:rsid w:val="005C0440"/>
    <w:rsid w:val="005C0A96"/>
    <w:rsid w:val="005C34BB"/>
    <w:rsid w:val="005C355C"/>
    <w:rsid w:val="005D5C04"/>
    <w:rsid w:val="005D6863"/>
    <w:rsid w:val="005E4D55"/>
    <w:rsid w:val="005E513A"/>
    <w:rsid w:val="005E62E8"/>
    <w:rsid w:val="005F0503"/>
    <w:rsid w:val="005F2416"/>
    <w:rsid w:val="005F5644"/>
    <w:rsid w:val="005F5DBB"/>
    <w:rsid w:val="005F6FAE"/>
    <w:rsid w:val="006025B2"/>
    <w:rsid w:val="006030B5"/>
    <w:rsid w:val="006046F3"/>
    <w:rsid w:val="00604FF2"/>
    <w:rsid w:val="00605108"/>
    <w:rsid w:val="0060563A"/>
    <w:rsid w:val="00615FBC"/>
    <w:rsid w:val="006200E5"/>
    <w:rsid w:val="00621497"/>
    <w:rsid w:val="00621FE0"/>
    <w:rsid w:val="0062379E"/>
    <w:rsid w:val="00625A2E"/>
    <w:rsid w:val="00625C6D"/>
    <w:rsid w:val="00627272"/>
    <w:rsid w:val="00631EA2"/>
    <w:rsid w:val="006324DC"/>
    <w:rsid w:val="00634054"/>
    <w:rsid w:val="00637269"/>
    <w:rsid w:val="00642013"/>
    <w:rsid w:val="00643D9E"/>
    <w:rsid w:val="00643EB5"/>
    <w:rsid w:val="0066458F"/>
    <w:rsid w:val="006675AC"/>
    <w:rsid w:val="006705EE"/>
    <w:rsid w:val="00674B1D"/>
    <w:rsid w:val="00675B68"/>
    <w:rsid w:val="00680335"/>
    <w:rsid w:val="006810BF"/>
    <w:rsid w:val="00681642"/>
    <w:rsid w:val="00684208"/>
    <w:rsid w:val="00687FA6"/>
    <w:rsid w:val="0069076E"/>
    <w:rsid w:val="00690844"/>
    <w:rsid w:val="006910F3"/>
    <w:rsid w:val="006941E9"/>
    <w:rsid w:val="00694417"/>
    <w:rsid w:val="006971CE"/>
    <w:rsid w:val="00697D02"/>
    <w:rsid w:val="006A0FBE"/>
    <w:rsid w:val="006A138A"/>
    <w:rsid w:val="006A3EF9"/>
    <w:rsid w:val="006A6E11"/>
    <w:rsid w:val="006A7F58"/>
    <w:rsid w:val="006B51D7"/>
    <w:rsid w:val="006B61D2"/>
    <w:rsid w:val="006B78BA"/>
    <w:rsid w:val="006C2F22"/>
    <w:rsid w:val="006C5049"/>
    <w:rsid w:val="006D0856"/>
    <w:rsid w:val="006D18E2"/>
    <w:rsid w:val="006D1CB1"/>
    <w:rsid w:val="006D3833"/>
    <w:rsid w:val="006E4774"/>
    <w:rsid w:val="006E7F17"/>
    <w:rsid w:val="006F0309"/>
    <w:rsid w:val="00700C8B"/>
    <w:rsid w:val="00703898"/>
    <w:rsid w:val="007039D3"/>
    <w:rsid w:val="007045A6"/>
    <w:rsid w:val="00710A0B"/>
    <w:rsid w:val="0071318D"/>
    <w:rsid w:val="00713BF7"/>
    <w:rsid w:val="00720110"/>
    <w:rsid w:val="00722D76"/>
    <w:rsid w:val="00725429"/>
    <w:rsid w:val="0073057E"/>
    <w:rsid w:val="007309E6"/>
    <w:rsid w:val="00736BF5"/>
    <w:rsid w:val="00737518"/>
    <w:rsid w:val="00740BBC"/>
    <w:rsid w:val="00743917"/>
    <w:rsid w:val="00743A98"/>
    <w:rsid w:val="007449D1"/>
    <w:rsid w:val="00747499"/>
    <w:rsid w:val="00747D4A"/>
    <w:rsid w:val="00756962"/>
    <w:rsid w:val="00763ABC"/>
    <w:rsid w:val="00764274"/>
    <w:rsid w:val="00765E26"/>
    <w:rsid w:val="0076627B"/>
    <w:rsid w:val="00766F8F"/>
    <w:rsid w:val="007705F6"/>
    <w:rsid w:val="0077271F"/>
    <w:rsid w:val="00772F2C"/>
    <w:rsid w:val="007745EF"/>
    <w:rsid w:val="00774E8A"/>
    <w:rsid w:val="00776C1D"/>
    <w:rsid w:val="007824B8"/>
    <w:rsid w:val="00786A61"/>
    <w:rsid w:val="0078776A"/>
    <w:rsid w:val="00787F72"/>
    <w:rsid w:val="007901E7"/>
    <w:rsid w:val="00792B4F"/>
    <w:rsid w:val="007975FC"/>
    <w:rsid w:val="007A0D7D"/>
    <w:rsid w:val="007A2412"/>
    <w:rsid w:val="007B0A6D"/>
    <w:rsid w:val="007B2698"/>
    <w:rsid w:val="007B34E2"/>
    <w:rsid w:val="007B42E0"/>
    <w:rsid w:val="007B445B"/>
    <w:rsid w:val="007B7A8B"/>
    <w:rsid w:val="007C0ED1"/>
    <w:rsid w:val="007D252A"/>
    <w:rsid w:val="007D3861"/>
    <w:rsid w:val="007D5A72"/>
    <w:rsid w:val="007D6DB9"/>
    <w:rsid w:val="007E08F0"/>
    <w:rsid w:val="007E0F71"/>
    <w:rsid w:val="007E14A0"/>
    <w:rsid w:val="007E31BD"/>
    <w:rsid w:val="007E3621"/>
    <w:rsid w:val="007E5087"/>
    <w:rsid w:val="007E5AFF"/>
    <w:rsid w:val="007E619B"/>
    <w:rsid w:val="007E6C8B"/>
    <w:rsid w:val="007F0683"/>
    <w:rsid w:val="007F1C0A"/>
    <w:rsid w:val="007F3C48"/>
    <w:rsid w:val="007F623B"/>
    <w:rsid w:val="00800B97"/>
    <w:rsid w:val="00802732"/>
    <w:rsid w:val="00805901"/>
    <w:rsid w:val="0080717E"/>
    <w:rsid w:val="00810EC1"/>
    <w:rsid w:val="00811829"/>
    <w:rsid w:val="00811DAF"/>
    <w:rsid w:val="00812371"/>
    <w:rsid w:val="00812F10"/>
    <w:rsid w:val="008134E0"/>
    <w:rsid w:val="00814D66"/>
    <w:rsid w:val="00815A5B"/>
    <w:rsid w:val="00815C75"/>
    <w:rsid w:val="00817950"/>
    <w:rsid w:val="00821E19"/>
    <w:rsid w:val="00823D51"/>
    <w:rsid w:val="00826EA6"/>
    <w:rsid w:val="00840657"/>
    <w:rsid w:val="00840DA5"/>
    <w:rsid w:val="008423DA"/>
    <w:rsid w:val="00842B12"/>
    <w:rsid w:val="0084301A"/>
    <w:rsid w:val="00843CEC"/>
    <w:rsid w:val="00845C8B"/>
    <w:rsid w:val="00846003"/>
    <w:rsid w:val="00846586"/>
    <w:rsid w:val="00847571"/>
    <w:rsid w:val="00851B1B"/>
    <w:rsid w:val="008546C2"/>
    <w:rsid w:val="00861020"/>
    <w:rsid w:val="008623ED"/>
    <w:rsid w:val="00862411"/>
    <w:rsid w:val="00863C8A"/>
    <w:rsid w:val="00864289"/>
    <w:rsid w:val="00864CE2"/>
    <w:rsid w:val="00866D1F"/>
    <w:rsid w:val="0087509C"/>
    <w:rsid w:val="00876543"/>
    <w:rsid w:val="00880321"/>
    <w:rsid w:val="008830FE"/>
    <w:rsid w:val="00883F14"/>
    <w:rsid w:val="00884B75"/>
    <w:rsid w:val="00885E36"/>
    <w:rsid w:val="008865FB"/>
    <w:rsid w:val="00887D55"/>
    <w:rsid w:val="00892C86"/>
    <w:rsid w:val="00893CA0"/>
    <w:rsid w:val="00896423"/>
    <w:rsid w:val="0089701B"/>
    <w:rsid w:val="00897DE4"/>
    <w:rsid w:val="008A52D4"/>
    <w:rsid w:val="008A7B82"/>
    <w:rsid w:val="008B1D39"/>
    <w:rsid w:val="008B1E87"/>
    <w:rsid w:val="008B4C3C"/>
    <w:rsid w:val="008B74BE"/>
    <w:rsid w:val="008C52C4"/>
    <w:rsid w:val="008C680D"/>
    <w:rsid w:val="008C7AD8"/>
    <w:rsid w:val="008C7DD8"/>
    <w:rsid w:val="008D2783"/>
    <w:rsid w:val="008D4A2B"/>
    <w:rsid w:val="008E1974"/>
    <w:rsid w:val="008E24FE"/>
    <w:rsid w:val="008E2D59"/>
    <w:rsid w:val="008E32FD"/>
    <w:rsid w:val="008E3CE9"/>
    <w:rsid w:val="008E50AC"/>
    <w:rsid w:val="008E6625"/>
    <w:rsid w:val="008E7B71"/>
    <w:rsid w:val="008F47F6"/>
    <w:rsid w:val="008F4A0F"/>
    <w:rsid w:val="008F5B90"/>
    <w:rsid w:val="009025F8"/>
    <w:rsid w:val="009074BF"/>
    <w:rsid w:val="009144C7"/>
    <w:rsid w:val="0091646B"/>
    <w:rsid w:val="009169F8"/>
    <w:rsid w:val="00920892"/>
    <w:rsid w:val="009212D7"/>
    <w:rsid w:val="009215BD"/>
    <w:rsid w:val="00921708"/>
    <w:rsid w:val="0092355A"/>
    <w:rsid w:val="00924421"/>
    <w:rsid w:val="00924EF9"/>
    <w:rsid w:val="00926468"/>
    <w:rsid w:val="00930405"/>
    <w:rsid w:val="00930904"/>
    <w:rsid w:val="00931BB8"/>
    <w:rsid w:val="009379CE"/>
    <w:rsid w:val="00940D18"/>
    <w:rsid w:val="0094251B"/>
    <w:rsid w:val="009462C7"/>
    <w:rsid w:val="009504F3"/>
    <w:rsid w:val="00950FC7"/>
    <w:rsid w:val="009532F4"/>
    <w:rsid w:val="00957C4A"/>
    <w:rsid w:val="00957F18"/>
    <w:rsid w:val="0096173E"/>
    <w:rsid w:val="00962D2B"/>
    <w:rsid w:val="00962F5D"/>
    <w:rsid w:val="00963232"/>
    <w:rsid w:val="0096385D"/>
    <w:rsid w:val="00965783"/>
    <w:rsid w:val="009668E1"/>
    <w:rsid w:val="00970BB8"/>
    <w:rsid w:val="009738BC"/>
    <w:rsid w:val="009763D0"/>
    <w:rsid w:val="009848E1"/>
    <w:rsid w:val="00985C2D"/>
    <w:rsid w:val="00985EED"/>
    <w:rsid w:val="00990503"/>
    <w:rsid w:val="00991053"/>
    <w:rsid w:val="009921FF"/>
    <w:rsid w:val="00995C9C"/>
    <w:rsid w:val="009967D0"/>
    <w:rsid w:val="00997436"/>
    <w:rsid w:val="00997E9D"/>
    <w:rsid w:val="00997F68"/>
    <w:rsid w:val="009A3917"/>
    <w:rsid w:val="009A472B"/>
    <w:rsid w:val="009A48AB"/>
    <w:rsid w:val="009A4CB9"/>
    <w:rsid w:val="009A6100"/>
    <w:rsid w:val="009A7B60"/>
    <w:rsid w:val="009B01FE"/>
    <w:rsid w:val="009B033C"/>
    <w:rsid w:val="009B0D44"/>
    <w:rsid w:val="009C0AD1"/>
    <w:rsid w:val="009C7D67"/>
    <w:rsid w:val="009D0A51"/>
    <w:rsid w:val="009D1846"/>
    <w:rsid w:val="009D63ED"/>
    <w:rsid w:val="009D748E"/>
    <w:rsid w:val="009F11E6"/>
    <w:rsid w:val="009F3B43"/>
    <w:rsid w:val="009F7B29"/>
    <w:rsid w:val="00A01EA5"/>
    <w:rsid w:val="00A03364"/>
    <w:rsid w:val="00A03789"/>
    <w:rsid w:val="00A0626A"/>
    <w:rsid w:val="00A06500"/>
    <w:rsid w:val="00A07231"/>
    <w:rsid w:val="00A15894"/>
    <w:rsid w:val="00A16922"/>
    <w:rsid w:val="00A16958"/>
    <w:rsid w:val="00A215E7"/>
    <w:rsid w:val="00A216B1"/>
    <w:rsid w:val="00A234C0"/>
    <w:rsid w:val="00A24E7B"/>
    <w:rsid w:val="00A25C55"/>
    <w:rsid w:val="00A2693B"/>
    <w:rsid w:val="00A26FA3"/>
    <w:rsid w:val="00A273D1"/>
    <w:rsid w:val="00A307E0"/>
    <w:rsid w:val="00A30FBE"/>
    <w:rsid w:val="00A32098"/>
    <w:rsid w:val="00A32361"/>
    <w:rsid w:val="00A347D9"/>
    <w:rsid w:val="00A376FA"/>
    <w:rsid w:val="00A401F5"/>
    <w:rsid w:val="00A41F33"/>
    <w:rsid w:val="00A43C5F"/>
    <w:rsid w:val="00A4775F"/>
    <w:rsid w:val="00A50943"/>
    <w:rsid w:val="00A5552D"/>
    <w:rsid w:val="00A578CA"/>
    <w:rsid w:val="00A60E68"/>
    <w:rsid w:val="00A612AB"/>
    <w:rsid w:val="00A62151"/>
    <w:rsid w:val="00A63F3D"/>
    <w:rsid w:val="00A64CF9"/>
    <w:rsid w:val="00A65CDF"/>
    <w:rsid w:val="00A67AC6"/>
    <w:rsid w:val="00A72626"/>
    <w:rsid w:val="00A73618"/>
    <w:rsid w:val="00A77508"/>
    <w:rsid w:val="00A801BA"/>
    <w:rsid w:val="00A83FEF"/>
    <w:rsid w:val="00A8410C"/>
    <w:rsid w:val="00A86224"/>
    <w:rsid w:val="00A87B4C"/>
    <w:rsid w:val="00A92A35"/>
    <w:rsid w:val="00A92EC3"/>
    <w:rsid w:val="00A9322C"/>
    <w:rsid w:val="00A96496"/>
    <w:rsid w:val="00AA10E8"/>
    <w:rsid w:val="00AA7397"/>
    <w:rsid w:val="00AB074D"/>
    <w:rsid w:val="00AB5237"/>
    <w:rsid w:val="00AC08B4"/>
    <w:rsid w:val="00AC2627"/>
    <w:rsid w:val="00AC294F"/>
    <w:rsid w:val="00AC6ECD"/>
    <w:rsid w:val="00AD001B"/>
    <w:rsid w:val="00AD0833"/>
    <w:rsid w:val="00AD1E38"/>
    <w:rsid w:val="00AD3D5F"/>
    <w:rsid w:val="00AD5EA0"/>
    <w:rsid w:val="00AD6301"/>
    <w:rsid w:val="00AE19FD"/>
    <w:rsid w:val="00AE629A"/>
    <w:rsid w:val="00AE76C3"/>
    <w:rsid w:val="00AF071E"/>
    <w:rsid w:val="00AF1F72"/>
    <w:rsid w:val="00AF2EA8"/>
    <w:rsid w:val="00AF7C6E"/>
    <w:rsid w:val="00B02901"/>
    <w:rsid w:val="00B0452A"/>
    <w:rsid w:val="00B04FD6"/>
    <w:rsid w:val="00B0578D"/>
    <w:rsid w:val="00B06C40"/>
    <w:rsid w:val="00B07323"/>
    <w:rsid w:val="00B07649"/>
    <w:rsid w:val="00B0771D"/>
    <w:rsid w:val="00B11000"/>
    <w:rsid w:val="00B1469F"/>
    <w:rsid w:val="00B15CFA"/>
    <w:rsid w:val="00B17EE2"/>
    <w:rsid w:val="00B23FFF"/>
    <w:rsid w:val="00B24AB5"/>
    <w:rsid w:val="00B27B22"/>
    <w:rsid w:val="00B32AF9"/>
    <w:rsid w:val="00B351C7"/>
    <w:rsid w:val="00B407FE"/>
    <w:rsid w:val="00B436A2"/>
    <w:rsid w:val="00B47878"/>
    <w:rsid w:val="00B50B08"/>
    <w:rsid w:val="00B512E0"/>
    <w:rsid w:val="00B51935"/>
    <w:rsid w:val="00B5253A"/>
    <w:rsid w:val="00B543FD"/>
    <w:rsid w:val="00B549AE"/>
    <w:rsid w:val="00B552E3"/>
    <w:rsid w:val="00B56F5A"/>
    <w:rsid w:val="00B60210"/>
    <w:rsid w:val="00B606A8"/>
    <w:rsid w:val="00B6260B"/>
    <w:rsid w:val="00B63113"/>
    <w:rsid w:val="00B6353B"/>
    <w:rsid w:val="00B63DE9"/>
    <w:rsid w:val="00B64F87"/>
    <w:rsid w:val="00B6698D"/>
    <w:rsid w:val="00B66DDC"/>
    <w:rsid w:val="00B67F14"/>
    <w:rsid w:val="00B70106"/>
    <w:rsid w:val="00B70D5A"/>
    <w:rsid w:val="00B71A74"/>
    <w:rsid w:val="00B71CA2"/>
    <w:rsid w:val="00B7346C"/>
    <w:rsid w:val="00B75472"/>
    <w:rsid w:val="00B75DF7"/>
    <w:rsid w:val="00B76DD1"/>
    <w:rsid w:val="00B82985"/>
    <w:rsid w:val="00B83172"/>
    <w:rsid w:val="00B83523"/>
    <w:rsid w:val="00B92572"/>
    <w:rsid w:val="00B92DFE"/>
    <w:rsid w:val="00B94560"/>
    <w:rsid w:val="00B96905"/>
    <w:rsid w:val="00B97AA7"/>
    <w:rsid w:val="00BA0C40"/>
    <w:rsid w:val="00BA2ACC"/>
    <w:rsid w:val="00BA4AE0"/>
    <w:rsid w:val="00BA6C59"/>
    <w:rsid w:val="00BB043B"/>
    <w:rsid w:val="00BB0524"/>
    <w:rsid w:val="00BB2BF0"/>
    <w:rsid w:val="00BB3BF1"/>
    <w:rsid w:val="00BC0F14"/>
    <w:rsid w:val="00BC10BA"/>
    <w:rsid w:val="00BC3885"/>
    <w:rsid w:val="00BC48F6"/>
    <w:rsid w:val="00BC6BCC"/>
    <w:rsid w:val="00BC7BCA"/>
    <w:rsid w:val="00BD05A9"/>
    <w:rsid w:val="00BD085E"/>
    <w:rsid w:val="00BD1A8E"/>
    <w:rsid w:val="00BD2926"/>
    <w:rsid w:val="00BD4242"/>
    <w:rsid w:val="00BD4CF5"/>
    <w:rsid w:val="00BD73AE"/>
    <w:rsid w:val="00BD791A"/>
    <w:rsid w:val="00BE0A6D"/>
    <w:rsid w:val="00BE4734"/>
    <w:rsid w:val="00BE67C0"/>
    <w:rsid w:val="00BE73DE"/>
    <w:rsid w:val="00BF30F9"/>
    <w:rsid w:val="00BF71E8"/>
    <w:rsid w:val="00C0173C"/>
    <w:rsid w:val="00C0208F"/>
    <w:rsid w:val="00C0465C"/>
    <w:rsid w:val="00C10A46"/>
    <w:rsid w:val="00C1153E"/>
    <w:rsid w:val="00C17011"/>
    <w:rsid w:val="00C17E1F"/>
    <w:rsid w:val="00C201C3"/>
    <w:rsid w:val="00C203FC"/>
    <w:rsid w:val="00C31E22"/>
    <w:rsid w:val="00C31F70"/>
    <w:rsid w:val="00C36818"/>
    <w:rsid w:val="00C36BDB"/>
    <w:rsid w:val="00C41668"/>
    <w:rsid w:val="00C42BED"/>
    <w:rsid w:val="00C43B75"/>
    <w:rsid w:val="00C44526"/>
    <w:rsid w:val="00C457B1"/>
    <w:rsid w:val="00C45F8D"/>
    <w:rsid w:val="00C51673"/>
    <w:rsid w:val="00C51F54"/>
    <w:rsid w:val="00C534E4"/>
    <w:rsid w:val="00C569C8"/>
    <w:rsid w:val="00C56FD7"/>
    <w:rsid w:val="00C57349"/>
    <w:rsid w:val="00C60C73"/>
    <w:rsid w:val="00C64E36"/>
    <w:rsid w:val="00C6536F"/>
    <w:rsid w:val="00C71B3F"/>
    <w:rsid w:val="00C75484"/>
    <w:rsid w:val="00C7616E"/>
    <w:rsid w:val="00C772D6"/>
    <w:rsid w:val="00C77B08"/>
    <w:rsid w:val="00C80145"/>
    <w:rsid w:val="00C8051B"/>
    <w:rsid w:val="00C82699"/>
    <w:rsid w:val="00C82CFE"/>
    <w:rsid w:val="00C839F4"/>
    <w:rsid w:val="00C84142"/>
    <w:rsid w:val="00C91566"/>
    <w:rsid w:val="00C916DA"/>
    <w:rsid w:val="00C95074"/>
    <w:rsid w:val="00C95A92"/>
    <w:rsid w:val="00CA17D1"/>
    <w:rsid w:val="00CA6987"/>
    <w:rsid w:val="00CA7B6D"/>
    <w:rsid w:val="00CB3231"/>
    <w:rsid w:val="00CB3AED"/>
    <w:rsid w:val="00CC6427"/>
    <w:rsid w:val="00CD0FD4"/>
    <w:rsid w:val="00CD169E"/>
    <w:rsid w:val="00CD7B1D"/>
    <w:rsid w:val="00CE049E"/>
    <w:rsid w:val="00CE1038"/>
    <w:rsid w:val="00CE11B9"/>
    <w:rsid w:val="00CE60F5"/>
    <w:rsid w:val="00CE76C5"/>
    <w:rsid w:val="00CF33A0"/>
    <w:rsid w:val="00CF43A8"/>
    <w:rsid w:val="00D00E47"/>
    <w:rsid w:val="00D00FC2"/>
    <w:rsid w:val="00D014BA"/>
    <w:rsid w:val="00D04519"/>
    <w:rsid w:val="00D04D47"/>
    <w:rsid w:val="00D10E80"/>
    <w:rsid w:val="00D1343F"/>
    <w:rsid w:val="00D1365B"/>
    <w:rsid w:val="00D17B8B"/>
    <w:rsid w:val="00D220B2"/>
    <w:rsid w:val="00D23F14"/>
    <w:rsid w:val="00D24F13"/>
    <w:rsid w:val="00D263B7"/>
    <w:rsid w:val="00D30414"/>
    <w:rsid w:val="00D47DAB"/>
    <w:rsid w:val="00D5087E"/>
    <w:rsid w:val="00D55123"/>
    <w:rsid w:val="00D565AC"/>
    <w:rsid w:val="00D57101"/>
    <w:rsid w:val="00D571FA"/>
    <w:rsid w:val="00D63EAF"/>
    <w:rsid w:val="00D6558A"/>
    <w:rsid w:val="00D67DEA"/>
    <w:rsid w:val="00D70158"/>
    <w:rsid w:val="00D71A0A"/>
    <w:rsid w:val="00D72812"/>
    <w:rsid w:val="00D72F2C"/>
    <w:rsid w:val="00D73627"/>
    <w:rsid w:val="00D7459E"/>
    <w:rsid w:val="00D74E48"/>
    <w:rsid w:val="00D772F3"/>
    <w:rsid w:val="00D779AF"/>
    <w:rsid w:val="00D80CCE"/>
    <w:rsid w:val="00D8236A"/>
    <w:rsid w:val="00D82BAB"/>
    <w:rsid w:val="00D92837"/>
    <w:rsid w:val="00D95220"/>
    <w:rsid w:val="00D95F25"/>
    <w:rsid w:val="00D95FFF"/>
    <w:rsid w:val="00DA15F1"/>
    <w:rsid w:val="00DA5186"/>
    <w:rsid w:val="00DA63EF"/>
    <w:rsid w:val="00DA6AC5"/>
    <w:rsid w:val="00DA783A"/>
    <w:rsid w:val="00DB0B33"/>
    <w:rsid w:val="00DB0F14"/>
    <w:rsid w:val="00DB2A2D"/>
    <w:rsid w:val="00DB3348"/>
    <w:rsid w:val="00DB4052"/>
    <w:rsid w:val="00DB469B"/>
    <w:rsid w:val="00DB6A2F"/>
    <w:rsid w:val="00DB6BF8"/>
    <w:rsid w:val="00DB6EF8"/>
    <w:rsid w:val="00DB7457"/>
    <w:rsid w:val="00DC3044"/>
    <w:rsid w:val="00DC55C4"/>
    <w:rsid w:val="00DC5861"/>
    <w:rsid w:val="00DC6328"/>
    <w:rsid w:val="00DD0316"/>
    <w:rsid w:val="00DD236E"/>
    <w:rsid w:val="00DD321B"/>
    <w:rsid w:val="00DD543F"/>
    <w:rsid w:val="00DE0F81"/>
    <w:rsid w:val="00DE15A8"/>
    <w:rsid w:val="00DE1FD5"/>
    <w:rsid w:val="00DE2015"/>
    <w:rsid w:val="00DE2F4E"/>
    <w:rsid w:val="00DE3239"/>
    <w:rsid w:val="00DE326B"/>
    <w:rsid w:val="00DE51CF"/>
    <w:rsid w:val="00DE6F7E"/>
    <w:rsid w:val="00DE7647"/>
    <w:rsid w:val="00DE7E22"/>
    <w:rsid w:val="00DF4273"/>
    <w:rsid w:val="00DF43E6"/>
    <w:rsid w:val="00E0092C"/>
    <w:rsid w:val="00E00C67"/>
    <w:rsid w:val="00E11ACC"/>
    <w:rsid w:val="00E1443E"/>
    <w:rsid w:val="00E148EE"/>
    <w:rsid w:val="00E168F2"/>
    <w:rsid w:val="00E20029"/>
    <w:rsid w:val="00E22503"/>
    <w:rsid w:val="00E24FCE"/>
    <w:rsid w:val="00E25AA2"/>
    <w:rsid w:val="00E25ADB"/>
    <w:rsid w:val="00E26D78"/>
    <w:rsid w:val="00E2729E"/>
    <w:rsid w:val="00E32F1E"/>
    <w:rsid w:val="00E33582"/>
    <w:rsid w:val="00E37476"/>
    <w:rsid w:val="00E45761"/>
    <w:rsid w:val="00E517C7"/>
    <w:rsid w:val="00E527FA"/>
    <w:rsid w:val="00E52BAF"/>
    <w:rsid w:val="00E53869"/>
    <w:rsid w:val="00E551A2"/>
    <w:rsid w:val="00E61505"/>
    <w:rsid w:val="00E626FF"/>
    <w:rsid w:val="00E641F1"/>
    <w:rsid w:val="00E70BE9"/>
    <w:rsid w:val="00E70E62"/>
    <w:rsid w:val="00E710AF"/>
    <w:rsid w:val="00E75908"/>
    <w:rsid w:val="00E765F0"/>
    <w:rsid w:val="00E801D5"/>
    <w:rsid w:val="00E80BFA"/>
    <w:rsid w:val="00E8667D"/>
    <w:rsid w:val="00E8699F"/>
    <w:rsid w:val="00E9280F"/>
    <w:rsid w:val="00E93259"/>
    <w:rsid w:val="00E9523F"/>
    <w:rsid w:val="00E97DFD"/>
    <w:rsid w:val="00EA04F1"/>
    <w:rsid w:val="00EA16A9"/>
    <w:rsid w:val="00EA2D98"/>
    <w:rsid w:val="00EA49E4"/>
    <w:rsid w:val="00EB0563"/>
    <w:rsid w:val="00EB38B3"/>
    <w:rsid w:val="00EB4314"/>
    <w:rsid w:val="00EB733F"/>
    <w:rsid w:val="00EC06C3"/>
    <w:rsid w:val="00EC5E03"/>
    <w:rsid w:val="00ED4E24"/>
    <w:rsid w:val="00ED774A"/>
    <w:rsid w:val="00EE1F21"/>
    <w:rsid w:val="00EE3121"/>
    <w:rsid w:val="00EE5AA2"/>
    <w:rsid w:val="00EE5DC5"/>
    <w:rsid w:val="00EE6FC3"/>
    <w:rsid w:val="00EF2379"/>
    <w:rsid w:val="00F02A34"/>
    <w:rsid w:val="00F0450F"/>
    <w:rsid w:val="00F11E62"/>
    <w:rsid w:val="00F17311"/>
    <w:rsid w:val="00F201A9"/>
    <w:rsid w:val="00F207C7"/>
    <w:rsid w:val="00F21316"/>
    <w:rsid w:val="00F21826"/>
    <w:rsid w:val="00F23F44"/>
    <w:rsid w:val="00F266B9"/>
    <w:rsid w:val="00F30189"/>
    <w:rsid w:val="00F35661"/>
    <w:rsid w:val="00F470B6"/>
    <w:rsid w:val="00F5177C"/>
    <w:rsid w:val="00F5219E"/>
    <w:rsid w:val="00F54A23"/>
    <w:rsid w:val="00F60891"/>
    <w:rsid w:val="00F60AC3"/>
    <w:rsid w:val="00F63031"/>
    <w:rsid w:val="00F63D42"/>
    <w:rsid w:val="00F64B3B"/>
    <w:rsid w:val="00F66339"/>
    <w:rsid w:val="00F6794E"/>
    <w:rsid w:val="00F72E5D"/>
    <w:rsid w:val="00F744F8"/>
    <w:rsid w:val="00F765B7"/>
    <w:rsid w:val="00F803E4"/>
    <w:rsid w:val="00F842D0"/>
    <w:rsid w:val="00F960FD"/>
    <w:rsid w:val="00FA06D5"/>
    <w:rsid w:val="00FA0820"/>
    <w:rsid w:val="00FA5A76"/>
    <w:rsid w:val="00FB1DB1"/>
    <w:rsid w:val="00FB2ADB"/>
    <w:rsid w:val="00FB5471"/>
    <w:rsid w:val="00FB568A"/>
    <w:rsid w:val="00FB79A6"/>
    <w:rsid w:val="00FB7AA8"/>
    <w:rsid w:val="00FB7FF9"/>
    <w:rsid w:val="00FC609D"/>
    <w:rsid w:val="00FC75D6"/>
    <w:rsid w:val="00FD268D"/>
    <w:rsid w:val="00FD2BC0"/>
    <w:rsid w:val="00FD3BB4"/>
    <w:rsid w:val="00FD546D"/>
    <w:rsid w:val="00FD5DFE"/>
    <w:rsid w:val="00FD70EF"/>
    <w:rsid w:val="00FD76B3"/>
    <w:rsid w:val="00FE095C"/>
    <w:rsid w:val="00FE165F"/>
    <w:rsid w:val="00FE22B1"/>
    <w:rsid w:val="00FF34C7"/>
    <w:rsid w:val="00FF5642"/>
    <w:rsid w:val="00FF6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CEFA6"/>
  <w15:docId w15:val="{43D27789-5288-40FB-8AD9-15C74B4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5CDF"/>
    <w:pPr>
      <w:autoSpaceDN/>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FootnoteText">
    <w:name w:val="footnote text"/>
    <w:basedOn w:val="Normal"/>
    <w:uiPriority w:val="99"/>
    <w:pPr>
      <w:spacing w:after="0" w:line="240" w:lineRule="auto"/>
    </w:pPr>
    <w:rPr>
      <w:sz w:val="20"/>
      <w:szCs w:val="20"/>
    </w:rPr>
  </w:style>
  <w:style w:type="character" w:customStyle="1" w:styleId="FootnoteTextChar">
    <w:name w:val="Footnote Text Char"/>
    <w:basedOn w:val="DefaultParagraphFont"/>
    <w:uiPriority w:val="99"/>
    <w:rPr>
      <w:rFonts w:ascii="Calibri" w:eastAsia="Calibri" w:hAnsi="Calibri" w:cs="Arial"/>
      <w:sz w:val="20"/>
      <w:szCs w:val="20"/>
    </w:rPr>
  </w:style>
  <w:style w:type="character" w:styleId="FootnoteReference">
    <w:name w:val="footnote reference"/>
    <w:basedOn w:val="DefaultParagraphFont"/>
    <w:uiPriority w:val="99"/>
    <w:rPr>
      <w:position w:val="0"/>
      <w:vertAlign w:val="superscript"/>
    </w:rPr>
  </w:style>
  <w:style w:type="paragraph" w:styleId="Caption">
    <w:name w:val="caption"/>
    <w:basedOn w:val="Normal"/>
    <w:next w:val="Normal"/>
    <w:uiPriority w:val="35"/>
    <w:qFormat/>
    <w:pPr>
      <w:spacing w:after="200" w:line="240" w:lineRule="auto"/>
      <w:textAlignment w:val="auto"/>
    </w:pPr>
    <w:rPr>
      <w:i/>
      <w:iCs/>
      <w:color w:val="44546A"/>
      <w:sz w:val="18"/>
      <w:szCs w:val="18"/>
    </w:rPr>
  </w:style>
  <w:style w:type="paragraph" w:customStyle="1" w:styleId="Default">
    <w:name w:val="Default"/>
    <w:rsid w:val="00DB0F14"/>
    <w:pPr>
      <w:autoSpaceDE w:val="0"/>
      <w:adjustRightInd w:val="0"/>
      <w:spacing w:after="0" w:line="240" w:lineRule="auto"/>
      <w:textAlignment w:val="auto"/>
    </w:pPr>
    <w:rPr>
      <w:rFonts w:ascii="Arial" w:eastAsiaTheme="minorHAnsi" w:hAnsi="Arial"/>
      <w:color w:val="000000"/>
      <w:sz w:val="24"/>
      <w:szCs w:val="24"/>
      <w:lang w:val="en-US"/>
    </w:rPr>
  </w:style>
  <w:style w:type="table" w:styleId="TableGrid">
    <w:name w:val="Table Grid"/>
    <w:basedOn w:val="TableNormal"/>
    <w:uiPriority w:val="39"/>
    <w:rsid w:val="00DB0F14"/>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A2D98"/>
    <w:rPr>
      <w:color w:val="0000FF"/>
      <w:u w:val="single"/>
    </w:rPr>
  </w:style>
  <w:style w:type="paragraph" w:styleId="BalloonText">
    <w:name w:val="Balloon Text"/>
    <w:basedOn w:val="Normal"/>
    <w:link w:val="BalloonTextChar"/>
    <w:uiPriority w:val="99"/>
    <w:semiHidden/>
    <w:unhideWhenUsed/>
    <w:rsid w:val="001E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C5"/>
    <w:rPr>
      <w:rFonts w:ascii="Segoe UI" w:hAnsi="Segoe UI" w:cs="Segoe UI"/>
      <w:sz w:val="18"/>
      <w:szCs w:val="18"/>
    </w:rPr>
  </w:style>
  <w:style w:type="character" w:customStyle="1" w:styleId="Heading2Char">
    <w:name w:val="Heading 2 Char"/>
    <w:basedOn w:val="DefaultParagraphFont"/>
    <w:link w:val="Heading2"/>
    <w:uiPriority w:val="9"/>
    <w:rsid w:val="00A65CDF"/>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65CDF"/>
    <w:rPr>
      <w:b/>
      <w:bCs/>
    </w:rPr>
  </w:style>
  <w:style w:type="paragraph" w:styleId="NormalWeb">
    <w:name w:val="Normal (Web)"/>
    <w:basedOn w:val="Normal"/>
    <w:uiPriority w:val="99"/>
    <w:unhideWhenUsed/>
    <w:rsid w:val="00A65CDF"/>
    <w:pPr>
      <w:autoSpaceDN/>
      <w:spacing w:before="100" w:beforeAutospacing="1" w:after="100" w:afterAutospacing="1" w:line="240" w:lineRule="auto"/>
      <w:textAlignment w:val="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65CDF"/>
    <w:rPr>
      <w:sz w:val="16"/>
      <w:szCs w:val="16"/>
    </w:rPr>
  </w:style>
  <w:style w:type="paragraph" w:styleId="CommentText">
    <w:name w:val="annotation text"/>
    <w:basedOn w:val="Normal"/>
    <w:link w:val="CommentTextChar"/>
    <w:uiPriority w:val="99"/>
    <w:semiHidden/>
    <w:unhideWhenUsed/>
    <w:rsid w:val="00A65CDF"/>
    <w:pPr>
      <w:spacing w:line="240" w:lineRule="auto"/>
    </w:pPr>
    <w:rPr>
      <w:sz w:val="20"/>
      <w:szCs w:val="20"/>
    </w:rPr>
  </w:style>
  <w:style w:type="character" w:customStyle="1" w:styleId="CommentTextChar">
    <w:name w:val="Comment Text Char"/>
    <w:basedOn w:val="DefaultParagraphFont"/>
    <w:link w:val="CommentText"/>
    <w:uiPriority w:val="99"/>
    <w:semiHidden/>
    <w:rsid w:val="00A65CDF"/>
    <w:rPr>
      <w:sz w:val="20"/>
      <w:szCs w:val="20"/>
    </w:rPr>
  </w:style>
  <w:style w:type="paragraph" w:styleId="CommentSubject">
    <w:name w:val="annotation subject"/>
    <w:basedOn w:val="CommentText"/>
    <w:next w:val="CommentText"/>
    <w:link w:val="CommentSubjectChar"/>
    <w:uiPriority w:val="99"/>
    <w:semiHidden/>
    <w:unhideWhenUsed/>
    <w:rsid w:val="00A65CDF"/>
    <w:rPr>
      <w:b/>
      <w:bCs/>
    </w:rPr>
  </w:style>
  <w:style w:type="character" w:customStyle="1" w:styleId="CommentSubjectChar">
    <w:name w:val="Comment Subject Char"/>
    <w:basedOn w:val="CommentTextChar"/>
    <w:link w:val="CommentSubject"/>
    <w:uiPriority w:val="99"/>
    <w:semiHidden/>
    <w:rsid w:val="00A65CDF"/>
    <w:rPr>
      <w:b/>
      <w:bCs/>
      <w:sz w:val="20"/>
      <w:szCs w:val="20"/>
    </w:rPr>
  </w:style>
  <w:style w:type="paragraph" w:customStyle="1" w:styleId="Pa21">
    <w:name w:val="Pa21"/>
    <w:basedOn w:val="Normal"/>
    <w:next w:val="Normal"/>
    <w:uiPriority w:val="99"/>
    <w:rsid w:val="00A65CDF"/>
    <w:pPr>
      <w:autoSpaceDE w:val="0"/>
      <w:adjustRightInd w:val="0"/>
      <w:spacing w:after="0" w:line="131" w:lineRule="atLeast"/>
      <w:textAlignment w:val="auto"/>
    </w:pPr>
    <w:rPr>
      <w:rFonts w:ascii="Knowledge Regular" w:hAnsi="Knowledge Regular"/>
      <w:sz w:val="24"/>
      <w:szCs w:val="24"/>
      <w:lang w:val="en-US"/>
    </w:rPr>
  </w:style>
  <w:style w:type="character" w:customStyle="1" w:styleId="captionnumber">
    <w:name w:val="captionnumber"/>
    <w:basedOn w:val="DefaultParagraphFont"/>
    <w:rsid w:val="00A65CDF"/>
  </w:style>
  <w:style w:type="paragraph" w:customStyle="1" w:styleId="simplepara">
    <w:name w:val="simplepara"/>
    <w:basedOn w:val="Normal"/>
    <w:rsid w:val="00A65CDF"/>
    <w:pPr>
      <w:autoSpaceDN/>
      <w:spacing w:before="100" w:beforeAutospacing="1" w:after="100" w:afterAutospacing="1" w:line="240" w:lineRule="auto"/>
      <w:textAlignment w:val="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65CDF"/>
    <w:rPr>
      <w:i/>
      <w:iCs/>
    </w:rPr>
  </w:style>
  <w:style w:type="character" w:customStyle="1" w:styleId="Heading1Char">
    <w:name w:val="Heading 1 Char"/>
    <w:basedOn w:val="DefaultParagraphFont"/>
    <w:link w:val="Heading1"/>
    <w:uiPriority w:val="9"/>
    <w:rsid w:val="00C56FD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A6987"/>
    <w:rPr>
      <w:color w:val="605E5C"/>
      <w:shd w:val="clear" w:color="auto" w:fill="E1DFDD"/>
    </w:rPr>
  </w:style>
  <w:style w:type="paragraph" w:styleId="Header">
    <w:name w:val="header"/>
    <w:basedOn w:val="Normal"/>
    <w:link w:val="HeaderChar"/>
    <w:uiPriority w:val="99"/>
    <w:unhideWhenUsed/>
    <w:rsid w:val="009910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053"/>
  </w:style>
  <w:style w:type="paragraph" w:styleId="Footer">
    <w:name w:val="footer"/>
    <w:basedOn w:val="Normal"/>
    <w:link w:val="FooterChar"/>
    <w:uiPriority w:val="99"/>
    <w:unhideWhenUsed/>
    <w:rsid w:val="009910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053"/>
  </w:style>
  <w:style w:type="character" w:styleId="PlaceholderText">
    <w:name w:val="Placeholder Text"/>
    <w:basedOn w:val="DefaultParagraphFont"/>
    <w:uiPriority w:val="99"/>
    <w:semiHidden/>
    <w:rsid w:val="00DB6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5688">
      <w:bodyDiv w:val="1"/>
      <w:marLeft w:val="0"/>
      <w:marRight w:val="0"/>
      <w:marTop w:val="0"/>
      <w:marBottom w:val="0"/>
      <w:divBdr>
        <w:top w:val="none" w:sz="0" w:space="0" w:color="auto"/>
        <w:left w:val="none" w:sz="0" w:space="0" w:color="auto"/>
        <w:bottom w:val="none" w:sz="0" w:space="0" w:color="auto"/>
        <w:right w:val="none" w:sz="0" w:space="0" w:color="auto"/>
      </w:divBdr>
    </w:div>
    <w:div w:id="182865437">
      <w:bodyDiv w:val="1"/>
      <w:marLeft w:val="0"/>
      <w:marRight w:val="0"/>
      <w:marTop w:val="0"/>
      <w:marBottom w:val="0"/>
      <w:divBdr>
        <w:top w:val="none" w:sz="0" w:space="0" w:color="auto"/>
        <w:left w:val="none" w:sz="0" w:space="0" w:color="auto"/>
        <w:bottom w:val="none" w:sz="0" w:space="0" w:color="auto"/>
        <w:right w:val="none" w:sz="0" w:space="0" w:color="auto"/>
      </w:divBdr>
    </w:div>
    <w:div w:id="200872247">
      <w:bodyDiv w:val="1"/>
      <w:marLeft w:val="0"/>
      <w:marRight w:val="0"/>
      <w:marTop w:val="0"/>
      <w:marBottom w:val="0"/>
      <w:divBdr>
        <w:top w:val="none" w:sz="0" w:space="0" w:color="auto"/>
        <w:left w:val="none" w:sz="0" w:space="0" w:color="auto"/>
        <w:bottom w:val="none" w:sz="0" w:space="0" w:color="auto"/>
        <w:right w:val="none" w:sz="0" w:space="0" w:color="auto"/>
      </w:divBdr>
    </w:div>
    <w:div w:id="208297425">
      <w:bodyDiv w:val="1"/>
      <w:marLeft w:val="0"/>
      <w:marRight w:val="0"/>
      <w:marTop w:val="0"/>
      <w:marBottom w:val="0"/>
      <w:divBdr>
        <w:top w:val="none" w:sz="0" w:space="0" w:color="auto"/>
        <w:left w:val="none" w:sz="0" w:space="0" w:color="auto"/>
        <w:bottom w:val="none" w:sz="0" w:space="0" w:color="auto"/>
        <w:right w:val="none" w:sz="0" w:space="0" w:color="auto"/>
      </w:divBdr>
    </w:div>
    <w:div w:id="247034818">
      <w:bodyDiv w:val="1"/>
      <w:marLeft w:val="0"/>
      <w:marRight w:val="0"/>
      <w:marTop w:val="0"/>
      <w:marBottom w:val="0"/>
      <w:divBdr>
        <w:top w:val="none" w:sz="0" w:space="0" w:color="auto"/>
        <w:left w:val="none" w:sz="0" w:space="0" w:color="auto"/>
        <w:bottom w:val="none" w:sz="0" w:space="0" w:color="auto"/>
        <w:right w:val="none" w:sz="0" w:space="0" w:color="auto"/>
      </w:divBdr>
    </w:div>
    <w:div w:id="329531131">
      <w:bodyDiv w:val="1"/>
      <w:marLeft w:val="0"/>
      <w:marRight w:val="0"/>
      <w:marTop w:val="0"/>
      <w:marBottom w:val="0"/>
      <w:divBdr>
        <w:top w:val="none" w:sz="0" w:space="0" w:color="auto"/>
        <w:left w:val="none" w:sz="0" w:space="0" w:color="auto"/>
        <w:bottom w:val="none" w:sz="0" w:space="0" w:color="auto"/>
        <w:right w:val="none" w:sz="0" w:space="0" w:color="auto"/>
      </w:divBdr>
    </w:div>
    <w:div w:id="380985117">
      <w:bodyDiv w:val="1"/>
      <w:marLeft w:val="0"/>
      <w:marRight w:val="0"/>
      <w:marTop w:val="0"/>
      <w:marBottom w:val="0"/>
      <w:divBdr>
        <w:top w:val="none" w:sz="0" w:space="0" w:color="auto"/>
        <w:left w:val="none" w:sz="0" w:space="0" w:color="auto"/>
        <w:bottom w:val="none" w:sz="0" w:space="0" w:color="auto"/>
        <w:right w:val="none" w:sz="0" w:space="0" w:color="auto"/>
      </w:divBdr>
    </w:div>
    <w:div w:id="488449765">
      <w:bodyDiv w:val="1"/>
      <w:marLeft w:val="0"/>
      <w:marRight w:val="0"/>
      <w:marTop w:val="0"/>
      <w:marBottom w:val="0"/>
      <w:divBdr>
        <w:top w:val="none" w:sz="0" w:space="0" w:color="auto"/>
        <w:left w:val="none" w:sz="0" w:space="0" w:color="auto"/>
        <w:bottom w:val="none" w:sz="0" w:space="0" w:color="auto"/>
        <w:right w:val="none" w:sz="0" w:space="0" w:color="auto"/>
      </w:divBdr>
    </w:div>
    <w:div w:id="539514482">
      <w:bodyDiv w:val="1"/>
      <w:marLeft w:val="0"/>
      <w:marRight w:val="0"/>
      <w:marTop w:val="0"/>
      <w:marBottom w:val="0"/>
      <w:divBdr>
        <w:top w:val="none" w:sz="0" w:space="0" w:color="auto"/>
        <w:left w:val="none" w:sz="0" w:space="0" w:color="auto"/>
        <w:bottom w:val="none" w:sz="0" w:space="0" w:color="auto"/>
        <w:right w:val="none" w:sz="0" w:space="0" w:color="auto"/>
      </w:divBdr>
    </w:div>
    <w:div w:id="541409336">
      <w:bodyDiv w:val="1"/>
      <w:marLeft w:val="0"/>
      <w:marRight w:val="0"/>
      <w:marTop w:val="0"/>
      <w:marBottom w:val="0"/>
      <w:divBdr>
        <w:top w:val="none" w:sz="0" w:space="0" w:color="auto"/>
        <w:left w:val="none" w:sz="0" w:space="0" w:color="auto"/>
        <w:bottom w:val="none" w:sz="0" w:space="0" w:color="auto"/>
        <w:right w:val="none" w:sz="0" w:space="0" w:color="auto"/>
      </w:divBdr>
    </w:div>
    <w:div w:id="584610744">
      <w:bodyDiv w:val="1"/>
      <w:marLeft w:val="0"/>
      <w:marRight w:val="0"/>
      <w:marTop w:val="0"/>
      <w:marBottom w:val="0"/>
      <w:divBdr>
        <w:top w:val="none" w:sz="0" w:space="0" w:color="auto"/>
        <w:left w:val="none" w:sz="0" w:space="0" w:color="auto"/>
        <w:bottom w:val="none" w:sz="0" w:space="0" w:color="auto"/>
        <w:right w:val="none" w:sz="0" w:space="0" w:color="auto"/>
      </w:divBdr>
    </w:div>
    <w:div w:id="612203088">
      <w:bodyDiv w:val="1"/>
      <w:marLeft w:val="0"/>
      <w:marRight w:val="0"/>
      <w:marTop w:val="0"/>
      <w:marBottom w:val="0"/>
      <w:divBdr>
        <w:top w:val="none" w:sz="0" w:space="0" w:color="auto"/>
        <w:left w:val="none" w:sz="0" w:space="0" w:color="auto"/>
        <w:bottom w:val="none" w:sz="0" w:space="0" w:color="auto"/>
        <w:right w:val="none" w:sz="0" w:space="0" w:color="auto"/>
      </w:divBdr>
    </w:div>
    <w:div w:id="654531725">
      <w:bodyDiv w:val="1"/>
      <w:marLeft w:val="0"/>
      <w:marRight w:val="0"/>
      <w:marTop w:val="0"/>
      <w:marBottom w:val="0"/>
      <w:divBdr>
        <w:top w:val="none" w:sz="0" w:space="0" w:color="auto"/>
        <w:left w:val="none" w:sz="0" w:space="0" w:color="auto"/>
        <w:bottom w:val="none" w:sz="0" w:space="0" w:color="auto"/>
        <w:right w:val="none" w:sz="0" w:space="0" w:color="auto"/>
      </w:divBdr>
    </w:div>
    <w:div w:id="775368620">
      <w:bodyDiv w:val="1"/>
      <w:marLeft w:val="0"/>
      <w:marRight w:val="0"/>
      <w:marTop w:val="0"/>
      <w:marBottom w:val="0"/>
      <w:divBdr>
        <w:top w:val="none" w:sz="0" w:space="0" w:color="auto"/>
        <w:left w:val="none" w:sz="0" w:space="0" w:color="auto"/>
        <w:bottom w:val="none" w:sz="0" w:space="0" w:color="auto"/>
        <w:right w:val="none" w:sz="0" w:space="0" w:color="auto"/>
      </w:divBdr>
    </w:div>
    <w:div w:id="787049066">
      <w:bodyDiv w:val="1"/>
      <w:marLeft w:val="0"/>
      <w:marRight w:val="0"/>
      <w:marTop w:val="0"/>
      <w:marBottom w:val="0"/>
      <w:divBdr>
        <w:top w:val="none" w:sz="0" w:space="0" w:color="auto"/>
        <w:left w:val="none" w:sz="0" w:space="0" w:color="auto"/>
        <w:bottom w:val="none" w:sz="0" w:space="0" w:color="auto"/>
        <w:right w:val="none" w:sz="0" w:space="0" w:color="auto"/>
      </w:divBdr>
    </w:div>
    <w:div w:id="815686770">
      <w:bodyDiv w:val="1"/>
      <w:marLeft w:val="0"/>
      <w:marRight w:val="0"/>
      <w:marTop w:val="0"/>
      <w:marBottom w:val="0"/>
      <w:divBdr>
        <w:top w:val="none" w:sz="0" w:space="0" w:color="auto"/>
        <w:left w:val="none" w:sz="0" w:space="0" w:color="auto"/>
        <w:bottom w:val="none" w:sz="0" w:space="0" w:color="auto"/>
        <w:right w:val="none" w:sz="0" w:space="0" w:color="auto"/>
      </w:divBdr>
    </w:div>
    <w:div w:id="842164968">
      <w:bodyDiv w:val="1"/>
      <w:marLeft w:val="0"/>
      <w:marRight w:val="0"/>
      <w:marTop w:val="0"/>
      <w:marBottom w:val="0"/>
      <w:divBdr>
        <w:top w:val="none" w:sz="0" w:space="0" w:color="auto"/>
        <w:left w:val="none" w:sz="0" w:space="0" w:color="auto"/>
        <w:bottom w:val="none" w:sz="0" w:space="0" w:color="auto"/>
        <w:right w:val="none" w:sz="0" w:space="0" w:color="auto"/>
      </w:divBdr>
    </w:div>
    <w:div w:id="884944557">
      <w:bodyDiv w:val="1"/>
      <w:marLeft w:val="0"/>
      <w:marRight w:val="0"/>
      <w:marTop w:val="0"/>
      <w:marBottom w:val="0"/>
      <w:divBdr>
        <w:top w:val="none" w:sz="0" w:space="0" w:color="auto"/>
        <w:left w:val="none" w:sz="0" w:space="0" w:color="auto"/>
        <w:bottom w:val="none" w:sz="0" w:space="0" w:color="auto"/>
        <w:right w:val="none" w:sz="0" w:space="0" w:color="auto"/>
      </w:divBdr>
    </w:div>
    <w:div w:id="1240750583">
      <w:bodyDiv w:val="1"/>
      <w:marLeft w:val="0"/>
      <w:marRight w:val="0"/>
      <w:marTop w:val="0"/>
      <w:marBottom w:val="0"/>
      <w:divBdr>
        <w:top w:val="none" w:sz="0" w:space="0" w:color="auto"/>
        <w:left w:val="none" w:sz="0" w:space="0" w:color="auto"/>
        <w:bottom w:val="none" w:sz="0" w:space="0" w:color="auto"/>
        <w:right w:val="none" w:sz="0" w:space="0" w:color="auto"/>
      </w:divBdr>
    </w:div>
    <w:div w:id="1343358782">
      <w:bodyDiv w:val="1"/>
      <w:marLeft w:val="0"/>
      <w:marRight w:val="0"/>
      <w:marTop w:val="0"/>
      <w:marBottom w:val="0"/>
      <w:divBdr>
        <w:top w:val="none" w:sz="0" w:space="0" w:color="auto"/>
        <w:left w:val="none" w:sz="0" w:space="0" w:color="auto"/>
        <w:bottom w:val="none" w:sz="0" w:space="0" w:color="auto"/>
        <w:right w:val="none" w:sz="0" w:space="0" w:color="auto"/>
      </w:divBdr>
    </w:div>
    <w:div w:id="1400058785">
      <w:bodyDiv w:val="1"/>
      <w:marLeft w:val="0"/>
      <w:marRight w:val="0"/>
      <w:marTop w:val="0"/>
      <w:marBottom w:val="0"/>
      <w:divBdr>
        <w:top w:val="none" w:sz="0" w:space="0" w:color="auto"/>
        <w:left w:val="none" w:sz="0" w:space="0" w:color="auto"/>
        <w:bottom w:val="none" w:sz="0" w:space="0" w:color="auto"/>
        <w:right w:val="none" w:sz="0" w:space="0" w:color="auto"/>
      </w:divBdr>
    </w:div>
    <w:div w:id="1406300547">
      <w:bodyDiv w:val="1"/>
      <w:marLeft w:val="0"/>
      <w:marRight w:val="0"/>
      <w:marTop w:val="0"/>
      <w:marBottom w:val="0"/>
      <w:divBdr>
        <w:top w:val="none" w:sz="0" w:space="0" w:color="auto"/>
        <w:left w:val="none" w:sz="0" w:space="0" w:color="auto"/>
        <w:bottom w:val="none" w:sz="0" w:space="0" w:color="auto"/>
        <w:right w:val="none" w:sz="0" w:space="0" w:color="auto"/>
      </w:divBdr>
    </w:div>
    <w:div w:id="1440374136">
      <w:bodyDiv w:val="1"/>
      <w:marLeft w:val="0"/>
      <w:marRight w:val="0"/>
      <w:marTop w:val="0"/>
      <w:marBottom w:val="0"/>
      <w:divBdr>
        <w:top w:val="none" w:sz="0" w:space="0" w:color="auto"/>
        <w:left w:val="none" w:sz="0" w:space="0" w:color="auto"/>
        <w:bottom w:val="none" w:sz="0" w:space="0" w:color="auto"/>
        <w:right w:val="none" w:sz="0" w:space="0" w:color="auto"/>
      </w:divBdr>
    </w:div>
    <w:div w:id="1608778560">
      <w:bodyDiv w:val="1"/>
      <w:marLeft w:val="0"/>
      <w:marRight w:val="0"/>
      <w:marTop w:val="0"/>
      <w:marBottom w:val="0"/>
      <w:divBdr>
        <w:top w:val="none" w:sz="0" w:space="0" w:color="auto"/>
        <w:left w:val="none" w:sz="0" w:space="0" w:color="auto"/>
        <w:bottom w:val="none" w:sz="0" w:space="0" w:color="auto"/>
        <w:right w:val="none" w:sz="0" w:space="0" w:color="auto"/>
      </w:divBdr>
    </w:div>
    <w:div w:id="1700425845">
      <w:bodyDiv w:val="1"/>
      <w:marLeft w:val="0"/>
      <w:marRight w:val="0"/>
      <w:marTop w:val="0"/>
      <w:marBottom w:val="0"/>
      <w:divBdr>
        <w:top w:val="none" w:sz="0" w:space="0" w:color="auto"/>
        <w:left w:val="none" w:sz="0" w:space="0" w:color="auto"/>
        <w:bottom w:val="none" w:sz="0" w:space="0" w:color="auto"/>
        <w:right w:val="none" w:sz="0" w:space="0" w:color="auto"/>
      </w:divBdr>
    </w:div>
    <w:div w:id="1882017013">
      <w:bodyDiv w:val="1"/>
      <w:marLeft w:val="0"/>
      <w:marRight w:val="0"/>
      <w:marTop w:val="0"/>
      <w:marBottom w:val="0"/>
      <w:divBdr>
        <w:top w:val="none" w:sz="0" w:space="0" w:color="auto"/>
        <w:left w:val="none" w:sz="0" w:space="0" w:color="auto"/>
        <w:bottom w:val="none" w:sz="0" w:space="0" w:color="auto"/>
        <w:right w:val="none" w:sz="0" w:space="0" w:color="auto"/>
      </w:divBdr>
    </w:div>
    <w:div w:id="1887646652">
      <w:bodyDiv w:val="1"/>
      <w:marLeft w:val="0"/>
      <w:marRight w:val="0"/>
      <w:marTop w:val="0"/>
      <w:marBottom w:val="0"/>
      <w:divBdr>
        <w:top w:val="none" w:sz="0" w:space="0" w:color="auto"/>
        <w:left w:val="none" w:sz="0" w:space="0" w:color="auto"/>
        <w:bottom w:val="none" w:sz="0" w:space="0" w:color="auto"/>
        <w:right w:val="none" w:sz="0" w:space="0" w:color="auto"/>
      </w:divBdr>
    </w:div>
    <w:div w:id="1976596412">
      <w:bodyDiv w:val="1"/>
      <w:marLeft w:val="0"/>
      <w:marRight w:val="0"/>
      <w:marTop w:val="0"/>
      <w:marBottom w:val="0"/>
      <w:divBdr>
        <w:top w:val="none" w:sz="0" w:space="0" w:color="auto"/>
        <w:left w:val="none" w:sz="0" w:space="0" w:color="auto"/>
        <w:bottom w:val="none" w:sz="0" w:space="0" w:color="auto"/>
        <w:right w:val="none" w:sz="0" w:space="0" w:color="auto"/>
      </w:divBdr>
    </w:div>
    <w:div w:id="213274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link.springer.com/article/10.1007/s41825-019-0011-9" TargetMode="Externa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apecdbsys.oapecorg.org:8080/apex/f?p=101:4:0::NO:RP:P4_COUNTRY,P4_RESERVE,P4_UNIT,P4_UNIT_CHANGED,P4_UNIT_DEF:113,1,30,30,3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mal%20Mohammadia\Desktop\PFI%20Statistics\PF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mal%20Mohammadia\Desktop\Syria%20Econom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amal%20Mohammadia\Desktop\Syria%20Econom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amal%20Mohammadia\Desktop\Syria%20Economy.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mal%20Mohammadia\Desktop\PFI%20Statistics\PF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mal%20Mohammadia\Desktop\PFI%20Statistics\PF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mal%20Mohammadia\Desktop\PFI%20Statistics\PF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mal%20Mohammadia\Desktop\PFI%20Statistics\PF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mal%20Mohammadia\Desktop\medin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mal%20Mohammadia\Desktop\Syria%20Econom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mal%20Mohammadia\Desktop\Syria%20Econom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mal%20Mohammadia\Desktop\Syria%20Econom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96043368410718E-2"/>
          <c:y val="0.14393518518518519"/>
          <c:w val="0.91187411931763984"/>
          <c:h val="0.61498432487605714"/>
        </c:manualLayout>
      </c:layout>
      <c:lineChart>
        <c:grouping val="standard"/>
        <c:varyColors val="0"/>
        <c:ser>
          <c:idx val="1"/>
          <c:order val="0"/>
          <c:tx>
            <c:v> Project Finance Size (Billion USD)</c:v>
          </c:tx>
          <c:spPr>
            <a:ln w="22225" cap="rnd" cmpd="sng" algn="ctr">
              <a:solidFill>
                <a:schemeClr val="accent1"/>
              </a:solidFill>
              <a:round/>
            </a:ln>
            <a:effectLst/>
          </c:spPr>
          <c:marker>
            <c:symbol val="none"/>
          </c:marker>
          <c:dLbls>
            <c:dLbl>
              <c:idx val="0"/>
              <c:layout>
                <c:manualLayout>
                  <c:x val="-3.3705502544269204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94-4B4F-9F0E-3D4314412000}"/>
                </c:ext>
              </c:extLst>
            </c:dLbl>
            <c:dLbl>
              <c:idx val="1"/>
              <c:layout>
                <c:manualLayout>
                  <c:x val="-3.5436205209551298E-2"/>
                  <c:y val="-3.7037037037037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94-4B4F-9F0E-3D4314412000}"/>
                </c:ext>
              </c:extLst>
            </c:dLbl>
            <c:dLbl>
              <c:idx val="2"/>
              <c:layout>
                <c:manualLayout>
                  <c:x val="-3.0244097213704985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94-4B4F-9F0E-3D4314412000}"/>
                </c:ext>
              </c:extLst>
            </c:dLbl>
            <c:dLbl>
              <c:idx val="3"/>
              <c:layout>
                <c:manualLayout>
                  <c:x val="-3.0244097213704985E-2"/>
                  <c:y val="3.7037037037036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94-4B4F-9F0E-3D4314412000}"/>
                </c:ext>
              </c:extLst>
            </c:dLbl>
            <c:dLbl>
              <c:idx val="4"/>
              <c:layout>
                <c:manualLayout>
                  <c:x val="-3.5436205209551333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94-4B4F-9F0E-3D4314412000}"/>
                </c:ext>
              </c:extLst>
            </c:dLbl>
            <c:dLbl>
              <c:idx val="5"/>
              <c:layout>
                <c:manualLayout>
                  <c:x val="-3.2459396625266111E-2"/>
                  <c:y val="-2.77777777777778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94-4B4F-9F0E-3D4314412000}"/>
                </c:ext>
              </c:extLst>
            </c:dLbl>
            <c:dLbl>
              <c:idx val="6"/>
              <c:layout>
                <c:manualLayout>
                  <c:x val="-3.7651504621112393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94-4B4F-9F0E-3D4314412000}"/>
                </c:ext>
              </c:extLst>
            </c:dLbl>
            <c:dLbl>
              <c:idx val="7"/>
              <c:layout>
                <c:manualLayout>
                  <c:x val="-3.0244097213704985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94-4B4F-9F0E-3D4314412000}"/>
                </c:ext>
              </c:extLst>
            </c:dLbl>
            <c:dLbl>
              <c:idx val="8"/>
              <c:layout>
                <c:manualLayout>
                  <c:x val="-3.5436205209551298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94-4B4F-9F0E-3D4314412000}"/>
                </c:ext>
              </c:extLst>
            </c:dLbl>
            <c:dLbl>
              <c:idx val="9"/>
              <c:layout>
                <c:manualLayout>
                  <c:x val="-4.457431528224087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94-4B4F-9F0E-3D4314412000}"/>
                </c:ext>
              </c:extLst>
            </c:dLbl>
            <c:dLbl>
              <c:idx val="10"/>
              <c:layout>
                <c:manualLayout>
                  <c:x val="-3.7651504621112393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94-4B4F-9F0E-3D4314412000}"/>
                </c:ext>
              </c:extLst>
            </c:dLbl>
            <c:dLbl>
              <c:idx val="11"/>
              <c:layout>
                <c:manualLayout>
                  <c:x val="-3.9382207286394494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F94-4B4F-9F0E-3D4314412000}"/>
                </c:ext>
              </c:extLst>
            </c:dLbl>
            <c:dLbl>
              <c:idx val="12"/>
              <c:layout>
                <c:manualLayout>
                  <c:x val="-3.6933194877120178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F94-4B4F-9F0E-3D4314412000}"/>
                </c:ext>
              </c:extLst>
            </c:dLbl>
            <c:dLbl>
              <c:idx val="13"/>
              <c:layout>
                <c:manualLayout>
                  <c:x val="-3.2459396625266139E-2"/>
                  <c:y val="-2.77777777777778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94-4B4F-9F0E-3D4314412000}"/>
                </c:ext>
              </c:extLst>
            </c:dLbl>
            <c:dLbl>
              <c:idx val="14"/>
              <c:layout>
                <c:manualLayout>
                  <c:x val="-3.4190099290548309E-2"/>
                  <c:y val="2.777777777777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F94-4B4F-9F0E-3D4314412000}"/>
                </c:ext>
              </c:extLst>
            </c:dLbl>
            <c:dLbl>
              <c:idx val="15"/>
              <c:layout>
                <c:manualLayout>
                  <c:x val="-4.1112909951676602E-2"/>
                  <c:y val="-3.240740740740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F94-4B4F-9F0E-3D4314412000}"/>
                </c:ext>
              </c:extLst>
            </c:dLbl>
            <c:dLbl>
              <c:idx val="16"/>
              <c:layout>
                <c:manualLayout>
                  <c:x val="-3.2459396625266076E-2"/>
                  <c:y val="-3.240740740740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F94-4B4F-9F0E-3D4314412000}"/>
                </c:ext>
              </c:extLst>
            </c:dLbl>
            <c:dLbl>
              <c:idx val="17"/>
              <c:layout>
                <c:manualLayout>
                  <c:x val="-3.419009929054830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F94-4B4F-9F0E-3D4314412000}"/>
                </c:ext>
              </c:extLst>
            </c:dLbl>
            <c:dLbl>
              <c:idx val="18"/>
              <c:layout>
                <c:manualLayout>
                  <c:x val="-3.1741086881273799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F94-4B4F-9F0E-3D4314412000}"/>
                </c:ext>
              </c:extLst>
            </c:dLbl>
            <c:dLbl>
              <c:idx val="19"/>
              <c:layout>
                <c:manualLayout>
                  <c:x val="-5.4958531273933561E-2"/>
                  <c:y val="-9.259259259259302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F94-4B4F-9F0E-3D4314412000}"/>
                </c:ext>
              </c:extLst>
            </c:dLbl>
            <c:dLbl>
              <c:idx val="20"/>
              <c:layout>
                <c:manualLayout>
                  <c:x val="-3.2459396625266208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F94-4B4F-9F0E-3D4314412000}"/>
                </c:ext>
              </c:extLst>
            </c:dLbl>
            <c:dLbl>
              <c:idx val="21"/>
              <c:layout>
                <c:manualLayout>
                  <c:x val="-3.2459396625266076E-2"/>
                  <c:y val="3.24074074074073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F94-4B4F-9F0E-3D4314412000}"/>
                </c:ext>
              </c:extLst>
            </c:dLbl>
            <c:dLbl>
              <c:idx val="22"/>
              <c:layout>
                <c:manualLayout>
                  <c:x val="-2.3805883298855555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F94-4B4F-9F0E-3D4314412000}"/>
                </c:ext>
              </c:extLst>
            </c:dLbl>
            <c:dLbl>
              <c:idx val="23"/>
              <c:layout>
                <c:manualLayout>
                  <c:x val="-2.0286833304715542E-2"/>
                  <c:y val="-2.77777777777778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F94-4B4F-9F0E-3D43144120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General!$B$1:$Y$1</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General!$B$2:$Y$2</c:f>
              <c:numCache>
                <c:formatCode>0.0</c:formatCode>
                <c:ptCount val="24"/>
                <c:pt idx="0">
                  <c:v>23.326000000000001</c:v>
                </c:pt>
                <c:pt idx="1">
                  <c:v>42.83</c:v>
                </c:pt>
                <c:pt idx="2">
                  <c:v>67.424999999999997</c:v>
                </c:pt>
                <c:pt idx="3">
                  <c:v>56.651000000000003</c:v>
                </c:pt>
                <c:pt idx="4">
                  <c:v>72.391999999999996</c:v>
                </c:pt>
                <c:pt idx="5">
                  <c:v>110.88500000000001</c:v>
                </c:pt>
                <c:pt idx="6">
                  <c:v>108.47799999999999</c:v>
                </c:pt>
                <c:pt idx="7">
                  <c:v>62.171999999999997</c:v>
                </c:pt>
                <c:pt idx="8">
                  <c:v>69.557000000000002</c:v>
                </c:pt>
                <c:pt idx="9">
                  <c:v>116.43899999999999</c:v>
                </c:pt>
                <c:pt idx="10">
                  <c:v>140.30279999999999</c:v>
                </c:pt>
                <c:pt idx="11">
                  <c:v>180.60900000000001</c:v>
                </c:pt>
                <c:pt idx="12" formatCode="0">
                  <c:v>219.98599999999999</c:v>
                </c:pt>
                <c:pt idx="13">
                  <c:v>250.55699999999999</c:v>
                </c:pt>
                <c:pt idx="14">
                  <c:v>139.18600000000001</c:v>
                </c:pt>
                <c:pt idx="15">
                  <c:v>208.1739</c:v>
                </c:pt>
                <c:pt idx="16">
                  <c:v>213.48599999999999</c:v>
                </c:pt>
                <c:pt idx="17">
                  <c:v>198.745</c:v>
                </c:pt>
                <c:pt idx="18" formatCode="0">
                  <c:v>203.0266</c:v>
                </c:pt>
                <c:pt idx="19">
                  <c:v>260.25</c:v>
                </c:pt>
                <c:pt idx="20">
                  <c:v>277.72989999999999</c:v>
                </c:pt>
                <c:pt idx="21">
                  <c:v>236.45500000000001</c:v>
                </c:pt>
                <c:pt idx="22">
                  <c:v>229.63800000000001</c:v>
                </c:pt>
                <c:pt idx="23">
                  <c:v>282.68400000000003</c:v>
                </c:pt>
              </c:numCache>
            </c:numRef>
          </c:val>
          <c:smooth val="0"/>
          <c:extLst>
            <c:ext xmlns:c16="http://schemas.microsoft.com/office/drawing/2014/chart" uri="{C3380CC4-5D6E-409C-BE32-E72D297353CC}">
              <c16:uniqueId val="{00000018-1F94-4B4F-9F0E-3D4314412000}"/>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59110648"/>
        <c:axId val="459109992"/>
      </c:lineChart>
      <c:catAx>
        <c:axId val="4591106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59109992"/>
        <c:crosses val="autoZero"/>
        <c:auto val="1"/>
        <c:lblAlgn val="ctr"/>
        <c:lblOffset val="100"/>
        <c:noMultiLvlLbl val="0"/>
      </c:catAx>
      <c:valAx>
        <c:axId val="459109992"/>
        <c:scaling>
          <c:orientation val="minMax"/>
          <c:max val="300"/>
          <c:min val="0"/>
        </c:scaling>
        <c:delete val="0"/>
        <c:axPos val="l"/>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59110648"/>
        <c:crosses val="autoZero"/>
        <c:crossBetween val="between"/>
        <c:majorUnit val="50"/>
        <c:minorUnit val="10"/>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Sheet1!$X$9</c:f>
              <c:strCache>
                <c:ptCount val="1"/>
                <c:pt idx="0">
                  <c:v>Total expenses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Sheet1!$Y$8:$AH$8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Sheet1!$Y$9:$AH$9</c:f>
              <c:numCache>
                <c:formatCode>_(* #,##0_);_(* \(#,##0\);_(* "-"??_);_(@_)</c:formatCode>
                <c:ptCount val="10"/>
                <c:pt idx="0">
                  <c:v>754</c:v>
                </c:pt>
                <c:pt idx="1">
                  <c:v>835</c:v>
                </c:pt>
                <c:pt idx="2">
                  <c:v>1326.55</c:v>
                </c:pt>
                <c:pt idx="3">
                  <c:v>1383</c:v>
                </c:pt>
                <c:pt idx="4">
                  <c:v>1390</c:v>
                </c:pt>
                <c:pt idx="5">
                  <c:v>1554</c:v>
                </c:pt>
                <c:pt idx="6">
                  <c:v>1980</c:v>
                </c:pt>
                <c:pt idx="7">
                  <c:v>2660</c:v>
                </c:pt>
                <c:pt idx="8">
                  <c:v>3187</c:v>
                </c:pt>
                <c:pt idx="9">
                  <c:v>3882</c:v>
                </c:pt>
              </c:numCache>
            </c:numRef>
          </c:val>
          <c:extLst>
            <c:ext xmlns:c16="http://schemas.microsoft.com/office/drawing/2014/chart" uri="{C3380CC4-5D6E-409C-BE32-E72D297353CC}">
              <c16:uniqueId val="{00000000-C811-4005-9888-F19D323CAA78}"/>
            </c:ext>
          </c:extLst>
        </c:ser>
        <c:ser>
          <c:idx val="1"/>
          <c:order val="1"/>
          <c:tx>
            <c:strRef>
              <c:f>Sheet1!$X$10</c:f>
              <c:strCache>
                <c:ptCount val="1"/>
                <c:pt idx="0">
                  <c:v>Total revenue</c:v>
                </c:pt>
              </c:strCache>
            </c:strRef>
          </c:tx>
          <c:spPr>
            <a:solidFill>
              <a:schemeClr val="accent2"/>
            </a:solidFill>
            <a:ln>
              <a:noFill/>
            </a:ln>
            <a:effectLst/>
          </c:spPr>
          <c:invertIfNegative val="0"/>
          <c:dLbls>
            <c:dLbl>
              <c:idx val="0"/>
              <c:layout>
                <c:manualLayout>
                  <c:x val="1.1194447554013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11-4005-9888-F19D323CAA78}"/>
                </c:ext>
              </c:extLst>
            </c:dLbl>
            <c:dLbl>
              <c:idx val="1"/>
              <c:layout>
                <c:manualLayout>
                  <c:x val="1.119444755401321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11-4005-9888-F19D323CAA78}"/>
                </c:ext>
              </c:extLst>
            </c:dLbl>
            <c:dLbl>
              <c:idx val="2"/>
              <c:layout>
                <c:manualLayout>
                  <c:x val="6.716668532407925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11-4005-9888-F19D323CAA78}"/>
                </c:ext>
              </c:extLst>
            </c:dLbl>
            <c:dLbl>
              <c:idx val="3"/>
              <c:layout>
                <c:manualLayout>
                  <c:x val="8.9555580432105677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11-4005-9888-F19D323CAA78}"/>
                </c:ext>
              </c:extLst>
            </c:dLbl>
            <c:dLbl>
              <c:idx val="4"/>
              <c:layout>
                <c:manualLayout>
                  <c:x val="4.4777790216052838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11-4005-9888-F19D323CAA78}"/>
                </c:ext>
              </c:extLst>
            </c:dLbl>
            <c:dLbl>
              <c:idx val="5"/>
              <c:layout>
                <c:manualLayout>
                  <c:x val="8.955558043210567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11-4005-9888-F19D323CAA78}"/>
                </c:ext>
              </c:extLst>
            </c:dLbl>
            <c:dLbl>
              <c:idx val="6"/>
              <c:layout>
                <c:manualLayout>
                  <c:x val="1.119444755401321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11-4005-9888-F19D323CAA78}"/>
                </c:ext>
              </c:extLst>
            </c:dLbl>
            <c:dLbl>
              <c:idx val="7"/>
              <c:layout>
                <c:manualLayout>
                  <c:x val="1.5672226575618495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11-4005-9888-F19D323CAA78}"/>
                </c:ext>
              </c:extLst>
            </c:dLbl>
            <c:dLbl>
              <c:idx val="8"/>
              <c:layout>
                <c:manualLayout>
                  <c:x val="1.3433337064815851E-2"/>
                  <c:y val="-9.25925925925930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11-4005-9888-F19D323CAA78}"/>
                </c:ext>
              </c:extLst>
            </c:dLbl>
            <c:dLbl>
              <c:idx val="9"/>
              <c:layout>
                <c:manualLayout>
                  <c:x val="1.567222657561849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11-4005-9888-F19D323CAA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Sheet1!$Y$8:$AH$8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Sheet1!$Y$10:$AH$10</c:f>
              <c:numCache>
                <c:formatCode>_(* #,##0_);_(* \(#,##0\);_(* "-"??_);_(@_)</c:formatCode>
                <c:ptCount val="10"/>
                <c:pt idx="0">
                  <c:v>400.49400000000003</c:v>
                </c:pt>
                <c:pt idx="1">
                  <c:v>454.46699999999998</c:v>
                </c:pt>
                <c:pt idx="2">
                  <c:v>278.48700000000002</c:v>
                </c:pt>
                <c:pt idx="3">
                  <c:v>189</c:v>
                </c:pt>
                <c:pt idx="4">
                  <c:v>318.19600000000003</c:v>
                </c:pt>
                <c:pt idx="5">
                  <c:v>350.99400000000003</c:v>
                </c:pt>
                <c:pt idx="6">
                  <c:v>738.25400000000002</c:v>
                </c:pt>
                <c:pt idx="7">
                  <c:v>1101.5319999999999</c:v>
                </c:pt>
                <c:pt idx="8">
                  <c:v>1540.11</c:v>
                </c:pt>
                <c:pt idx="9">
                  <c:v>1881.6005</c:v>
                </c:pt>
              </c:numCache>
            </c:numRef>
          </c:val>
          <c:extLst>
            <c:ext xmlns:c16="http://schemas.microsoft.com/office/drawing/2014/chart" uri="{C3380CC4-5D6E-409C-BE32-E72D297353CC}">
              <c16:uniqueId val="{0000000B-C811-4005-9888-F19D323CAA78}"/>
            </c:ext>
          </c:extLst>
        </c:ser>
        <c:ser>
          <c:idx val="2"/>
          <c:order val="2"/>
          <c:tx>
            <c:strRef>
              <c:f>Sheet1!$X$11</c:f>
              <c:strCache>
                <c:ptCount val="1"/>
                <c:pt idx="0">
                  <c:v>Deficit</c:v>
                </c:pt>
              </c:strCache>
            </c:strRef>
          </c:tx>
          <c:spPr>
            <a:solidFill>
              <a:schemeClr val="accent3"/>
            </a:solidFill>
            <a:ln>
              <a:noFill/>
            </a:ln>
            <a:effectLst/>
          </c:spPr>
          <c:invertIfNegative val="0"/>
          <c:dLbls>
            <c:dLbl>
              <c:idx val="0"/>
              <c:layout>
                <c:manualLayout>
                  <c:x val="-1.2731334408019993E-17"/>
                  <c:y val="-1.85185185185183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11-4005-9888-F19D323CAA78}"/>
                </c:ext>
              </c:extLst>
            </c:dLbl>
            <c:dLbl>
              <c:idx val="1"/>
              <c:layout>
                <c:manualLayout>
                  <c:x val="2.7777777777777779E-3"/>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11-4005-9888-F19D323CAA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Sheet1!$Y$8:$AH$8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Sheet1!$Y$11:$AH$11</c:f>
              <c:numCache>
                <c:formatCode>_(* #,##0_);_(* \(#,##0\);_(* "-"??_);_(@_)</c:formatCode>
                <c:ptCount val="10"/>
                <c:pt idx="0">
                  <c:v>-176.41382799999997</c:v>
                </c:pt>
                <c:pt idx="1">
                  <c:v>-186.34050299999998</c:v>
                </c:pt>
                <c:pt idx="2">
                  <c:v>-547.49708799999996</c:v>
                </c:pt>
                <c:pt idx="3">
                  <c:v>-749.03810099999998</c:v>
                </c:pt>
                <c:pt idx="4">
                  <c:v>-524.10602900000004</c:v>
                </c:pt>
                <c:pt idx="5">
                  <c:v>-573.65998500000001</c:v>
                </c:pt>
                <c:pt idx="6">
                  <c:v>-641.42765600000007</c:v>
                </c:pt>
                <c:pt idx="7">
                  <c:v>-754.32417299999997</c:v>
                </c:pt>
                <c:pt idx="8">
                  <c:v>-808.99854900000003</c:v>
                </c:pt>
                <c:pt idx="9">
                  <c:v>-945.57921099999999</c:v>
                </c:pt>
              </c:numCache>
            </c:numRef>
          </c:val>
          <c:extLst>
            <c:ext xmlns:c16="http://schemas.microsoft.com/office/drawing/2014/chart" uri="{C3380CC4-5D6E-409C-BE32-E72D297353CC}">
              <c16:uniqueId val="{0000000E-C811-4005-9888-F19D323CAA78}"/>
            </c:ext>
          </c:extLst>
        </c:ser>
        <c:dLbls>
          <c:dLblPos val="outEnd"/>
          <c:showLegendKey val="0"/>
          <c:showVal val="1"/>
          <c:showCatName val="0"/>
          <c:showSerName val="0"/>
          <c:showPercent val="0"/>
          <c:showBubbleSize val="0"/>
        </c:dLbls>
        <c:gapWidth val="219"/>
        <c:overlap val="-27"/>
        <c:axId val="460641456"/>
        <c:axId val="460639816"/>
      </c:barChart>
      <c:catAx>
        <c:axId val="46064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39816"/>
        <c:crosses val="autoZero"/>
        <c:auto val="1"/>
        <c:lblAlgn val="ctr"/>
        <c:lblOffset val="100"/>
        <c:noMultiLvlLbl val="0"/>
      </c:catAx>
      <c:valAx>
        <c:axId val="460639816"/>
        <c:scaling>
          <c:orientation val="minMax"/>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4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12276821878748"/>
          <c:y val="7.8315067486793163E-2"/>
          <c:w val="0.86987729658792656"/>
          <c:h val="0.89814814814814814"/>
        </c:manualLayout>
      </c:layout>
      <c:lineChart>
        <c:grouping val="standard"/>
        <c:varyColors val="0"/>
        <c:ser>
          <c:idx val="0"/>
          <c:order val="0"/>
          <c:spPr>
            <a:ln w="28575" cap="rnd">
              <a:solidFill>
                <a:schemeClr val="accent1"/>
              </a:solidFill>
              <a:round/>
            </a:ln>
            <a:effectLst/>
          </c:spPr>
          <c:marker>
            <c:symbol val="none"/>
          </c:marker>
          <c:dLbls>
            <c:dLbl>
              <c:idx val="3"/>
              <c:layout>
                <c:manualLayout>
                  <c:x val="-2.0576030426752212E-2"/>
                  <c:y val="5.30111932573313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3541565406176073E-2"/>
                      <c:h val="6.7790667387950546E-2"/>
                    </c:manualLayout>
                  </c15:layout>
                </c:ext>
                <c:ext xmlns:c16="http://schemas.microsoft.com/office/drawing/2014/chart" uri="{C3380CC4-5D6E-409C-BE32-E72D297353CC}">
                  <c16:uniqueId val="{00000000-0EB8-4CBB-ABA2-0FFFC5BC64CF}"/>
                </c:ext>
              </c:extLst>
            </c:dLbl>
            <c:dLbl>
              <c:idx val="6"/>
              <c:layout>
                <c:manualLayout>
                  <c:x val="-1.5432098765432098E-2"/>
                  <c:y val="4.6649703138252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B8-4CBB-ABA2-0FFFC5BC64CF}"/>
                </c:ext>
              </c:extLst>
            </c:dLbl>
            <c:dLbl>
              <c:idx val="7"/>
              <c:layout>
                <c:manualLayout>
                  <c:x val="-7.7160493827161435E-3"/>
                  <c:y val="5.5131467345207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B8-4CBB-ABA2-0FFFC5BC64CF}"/>
                </c:ext>
              </c:extLst>
            </c:dLbl>
            <c:dLbl>
              <c:idx val="8"/>
              <c:layout>
                <c:manualLayout>
                  <c:x val="-7.716049382716049E-3"/>
                  <c:y val="4.2408821034775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B8-4CBB-ABA2-0FFFC5BC6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ادخار!$I$7:$Q$7</c:f>
              <c:strCache>
                <c:ptCount val="9"/>
                <c:pt idx="0">
                  <c:v>2009</c:v>
                </c:pt>
                <c:pt idx="1">
                  <c:v>2010</c:v>
                </c:pt>
                <c:pt idx="2">
                  <c:v>2011</c:v>
                </c:pt>
                <c:pt idx="3">
                  <c:v>2012</c:v>
                </c:pt>
                <c:pt idx="4">
                  <c:v>2013</c:v>
                </c:pt>
                <c:pt idx="5">
                  <c:v>2014</c:v>
                </c:pt>
                <c:pt idx="6">
                  <c:v>2015 *</c:v>
                </c:pt>
                <c:pt idx="7">
                  <c:v>2016 *</c:v>
                </c:pt>
                <c:pt idx="8">
                  <c:v>2017 **</c:v>
                </c:pt>
              </c:strCache>
            </c:strRef>
          </c:cat>
          <c:val>
            <c:numRef>
              <c:f>ادخار!$I$9:$Q$9</c:f>
              <c:numCache>
                <c:formatCode>0.00</c:formatCode>
                <c:ptCount val="9"/>
                <c:pt idx="0">
                  <c:v>6.5432792175298937</c:v>
                </c:pt>
                <c:pt idx="1">
                  <c:v>9.5606144866749165</c:v>
                </c:pt>
                <c:pt idx="2">
                  <c:v>2.5668850998114325</c:v>
                </c:pt>
                <c:pt idx="3">
                  <c:v>-2.5806129576376771</c:v>
                </c:pt>
                <c:pt idx="4">
                  <c:v>-3.1150873679180107</c:v>
                </c:pt>
                <c:pt idx="5">
                  <c:v>-4.8980584410436654</c:v>
                </c:pt>
                <c:pt idx="6">
                  <c:v>-1.4877289002557545</c:v>
                </c:pt>
                <c:pt idx="7">
                  <c:v>-1.6041058823529413</c:v>
                </c:pt>
                <c:pt idx="8">
                  <c:v>-1.9181256698110709</c:v>
                </c:pt>
              </c:numCache>
            </c:numRef>
          </c:val>
          <c:smooth val="0"/>
          <c:extLst>
            <c:ext xmlns:c16="http://schemas.microsoft.com/office/drawing/2014/chart" uri="{C3380CC4-5D6E-409C-BE32-E72D297353CC}">
              <c16:uniqueId val="{00000004-0EB8-4CBB-ABA2-0FFFC5BC64CF}"/>
            </c:ext>
          </c:extLst>
        </c:ser>
        <c:dLbls>
          <c:showLegendKey val="0"/>
          <c:showVal val="0"/>
          <c:showCatName val="0"/>
          <c:showSerName val="0"/>
          <c:showPercent val="0"/>
          <c:showBubbleSize val="0"/>
        </c:dLbls>
        <c:smooth val="0"/>
        <c:axId val="370709240"/>
        <c:axId val="370709896"/>
      </c:lineChart>
      <c:catAx>
        <c:axId val="37070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709896"/>
        <c:crosses val="autoZero"/>
        <c:auto val="1"/>
        <c:lblAlgn val="ctr"/>
        <c:lblOffset val="100"/>
        <c:noMultiLvlLbl val="0"/>
      </c:catAx>
      <c:valAx>
        <c:axId val="370709896"/>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709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4203849518811"/>
          <c:y val="7.407407407407407E-2"/>
          <c:w val="0.89655796150481193"/>
          <c:h val="0.8416746864975212"/>
        </c:manualLayout>
      </c:layout>
      <c:lineChart>
        <c:grouping val="standard"/>
        <c:varyColors val="0"/>
        <c:ser>
          <c:idx val="0"/>
          <c:order val="0"/>
          <c:spPr>
            <a:ln w="28575" cap="rnd">
              <a:solidFill>
                <a:schemeClr val="accent1"/>
              </a:solidFill>
              <a:round/>
            </a:ln>
            <a:effectLst/>
          </c:spPr>
          <c:marker>
            <c:symbol val="none"/>
          </c:marker>
          <c:dLbls>
            <c:dLbl>
              <c:idx val="0"/>
              <c:layout>
                <c:manualLayout>
                  <c:x val="-2.7777777777777776E-2"/>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21-41DC-B14D-9D7A1EDB0A14}"/>
                </c:ext>
              </c:extLst>
            </c:dLbl>
            <c:dLbl>
              <c:idx val="1"/>
              <c:layout>
                <c:manualLayout>
                  <c:x val="-2.5000000000000001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21-41DC-B14D-9D7A1EDB0A14}"/>
                </c:ext>
              </c:extLst>
            </c:dLbl>
            <c:dLbl>
              <c:idx val="2"/>
              <c:layout>
                <c:manualLayout>
                  <c:x val="-1.1111111111111112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21-41DC-B14D-9D7A1EDB0A14}"/>
                </c:ext>
              </c:extLst>
            </c:dLbl>
            <c:dLbl>
              <c:idx val="4"/>
              <c:layout>
                <c:manualLayout>
                  <c:x val="-5.5555555555555558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21-41DC-B14D-9D7A1EDB0A14}"/>
                </c:ext>
              </c:extLst>
            </c:dLbl>
            <c:dLbl>
              <c:idx val="5"/>
              <c:layout>
                <c:manualLayout>
                  <c:x val="-2.5000000000000102E-2"/>
                  <c:y val="4.1666666666666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21-41DC-B14D-9D7A1EDB0A14}"/>
                </c:ext>
              </c:extLst>
            </c:dLbl>
            <c:dLbl>
              <c:idx val="6"/>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21-41DC-B14D-9D7A1EDB0A14}"/>
                </c:ext>
              </c:extLst>
            </c:dLbl>
            <c:dLbl>
              <c:idx val="7"/>
              <c:layout>
                <c:manualLayout>
                  <c:x val="0"/>
                  <c:y val="3.7037037037037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21-41DC-B14D-9D7A1EDB0A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تحويلات!$H$2:$O$2</c:f>
              <c:numCache>
                <c:formatCode>General</c:formatCode>
                <c:ptCount val="8"/>
                <c:pt idx="0">
                  <c:v>2010</c:v>
                </c:pt>
                <c:pt idx="1">
                  <c:v>2011</c:v>
                </c:pt>
                <c:pt idx="2">
                  <c:v>2012</c:v>
                </c:pt>
                <c:pt idx="3">
                  <c:v>2013</c:v>
                </c:pt>
                <c:pt idx="4">
                  <c:v>2014</c:v>
                </c:pt>
                <c:pt idx="5">
                  <c:v>2015</c:v>
                </c:pt>
                <c:pt idx="6">
                  <c:v>2016</c:v>
                </c:pt>
                <c:pt idx="7">
                  <c:v>2017</c:v>
                </c:pt>
              </c:numCache>
            </c:numRef>
          </c:cat>
          <c:val>
            <c:numRef>
              <c:f>تحويلات!$H$5:$O$5</c:f>
              <c:numCache>
                <c:formatCode>0.00</c:formatCode>
                <c:ptCount val="8"/>
                <c:pt idx="0">
                  <c:v>0.9393191489361703</c:v>
                </c:pt>
                <c:pt idx="1">
                  <c:v>0.98483333333333334</c:v>
                </c:pt>
                <c:pt idx="2">
                  <c:v>1.0182043010752688</c:v>
                </c:pt>
                <c:pt idx="3">
                  <c:v>0.70882876712328768</c:v>
                </c:pt>
                <c:pt idx="4">
                  <c:v>1.2830619047619047</c:v>
                </c:pt>
                <c:pt idx="5">
                  <c:v>1.5564603580562661</c:v>
                </c:pt>
                <c:pt idx="6">
                  <c:v>2.1101549019607844</c:v>
                </c:pt>
                <c:pt idx="7">
                  <c:v>3.5709304347826087</c:v>
                </c:pt>
              </c:numCache>
            </c:numRef>
          </c:val>
          <c:smooth val="0"/>
          <c:extLst>
            <c:ext xmlns:c16="http://schemas.microsoft.com/office/drawing/2014/chart" uri="{C3380CC4-5D6E-409C-BE32-E72D297353CC}">
              <c16:uniqueId val="{00000007-B021-41DC-B14D-9D7A1EDB0A14}"/>
            </c:ext>
          </c:extLst>
        </c:ser>
        <c:dLbls>
          <c:showLegendKey val="0"/>
          <c:showVal val="0"/>
          <c:showCatName val="0"/>
          <c:showSerName val="0"/>
          <c:showPercent val="0"/>
          <c:showBubbleSize val="0"/>
        </c:dLbls>
        <c:smooth val="0"/>
        <c:axId val="471486176"/>
        <c:axId val="471485848"/>
      </c:lineChart>
      <c:catAx>
        <c:axId val="47148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85848"/>
        <c:crosses val="autoZero"/>
        <c:auto val="1"/>
        <c:lblAlgn val="ctr"/>
        <c:lblOffset val="100"/>
        <c:noMultiLvlLbl val="0"/>
      </c:catAx>
      <c:valAx>
        <c:axId val="471485848"/>
        <c:scaling>
          <c:orientation val="minMax"/>
          <c:min val="0"/>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86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32E-3"/>
          <c:y val="0.11377333041703121"/>
          <c:w val="0.93888888888888888"/>
          <c:h val="0.51990558471857684"/>
        </c:manualLayout>
      </c:layout>
      <c:ofPieChart>
        <c:ofPieType val="pie"/>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E90-4597-BD50-4641ECD7015C}"/>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E90-4597-BD50-4641ECD7015C}"/>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E90-4597-BD50-4641ECD7015C}"/>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E90-4597-BD50-4641ECD7015C}"/>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E90-4597-BD50-4641ECD7015C}"/>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7E90-4597-BD50-4641ECD7015C}"/>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7E90-4597-BD50-4641ECD7015C}"/>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7E90-4597-BD50-4641ECD7015C}"/>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7E90-4597-BD50-4641ECD7015C}"/>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7E90-4597-BD50-4641ECD7015C}"/>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7E90-4597-BD50-4641ECD7015C}"/>
              </c:ext>
            </c:extLst>
          </c:dPt>
          <c:dLbls>
            <c:dLbl>
              <c:idx val="0"/>
              <c:tx>
                <c:rich>
                  <a:bodyPr/>
                  <a:lstStyle/>
                  <a:p>
                    <a:fld id="{31363C9D-D1D1-42A8-8A4C-F1655E4F9E59}" type="CATEGORYNAME">
                      <a:rPr lang="en-US">
                        <a:solidFill>
                          <a:sysClr val="windowText" lastClr="000000"/>
                        </a:solidFill>
                      </a:rPr>
                      <a:pPr/>
                      <a:t>[CATEGORY NAME]</a:t>
                    </a:fld>
                    <a:r>
                      <a:rPr lang="en-US" baseline="0">
                        <a:solidFill>
                          <a:sysClr val="windowText" lastClr="000000"/>
                        </a:solidFill>
                      </a:rPr>
                      <a:t>, </a:t>
                    </a:r>
                    <a:fld id="{505479DF-65BD-4136-B0D3-D35A0ABC72B3}"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E90-4597-BD50-4641ECD7015C}"/>
                </c:ext>
              </c:extLst>
            </c:dLbl>
            <c:dLbl>
              <c:idx val="1"/>
              <c:layout>
                <c:manualLayout>
                  <c:x val="1.3535086960283811E-2"/>
                  <c:y val="5.7035578885972583E-2"/>
                </c:manualLayout>
              </c:layout>
              <c:tx>
                <c:rich>
                  <a:bodyPr/>
                  <a:lstStyle/>
                  <a:p>
                    <a:fld id="{A10D736E-5B41-42A5-A577-82C4DBC6E611}" type="CATEGORYNAME">
                      <a:rPr lang="en-US">
                        <a:solidFill>
                          <a:sysClr val="windowText" lastClr="000000"/>
                        </a:solidFill>
                      </a:rPr>
                      <a:pPr/>
                      <a:t>[CATEGORY NAME]</a:t>
                    </a:fld>
                    <a:r>
                      <a:rPr lang="en-US" baseline="0">
                        <a:solidFill>
                          <a:sysClr val="windowText" lastClr="000000"/>
                        </a:solidFill>
                      </a:rPr>
                      <a:t>, </a:t>
                    </a:r>
                    <a:fld id="{599CF8D0-B997-416B-AB88-40C9FC29332C}"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E90-4597-BD50-4641ECD7015C}"/>
                </c:ext>
              </c:extLst>
            </c:dLbl>
            <c:dLbl>
              <c:idx val="2"/>
              <c:layout>
                <c:manualLayout>
                  <c:x val="-0.13502530933633297"/>
                  <c:y val="8.8357010929189361E-3"/>
                </c:manualLayout>
              </c:layout>
              <c:tx>
                <c:rich>
                  <a:bodyPr/>
                  <a:lstStyle/>
                  <a:p>
                    <a:fld id="{372A1F09-7FAF-422D-8C1F-1AAA42BDD4C9}" type="CATEGORYNAME">
                      <a:rPr lang="en-US">
                        <a:solidFill>
                          <a:sysClr val="windowText" lastClr="000000"/>
                        </a:solidFill>
                      </a:rPr>
                      <a:pPr/>
                      <a:t>[CATEGORY NAME]</a:t>
                    </a:fld>
                    <a:r>
                      <a:rPr lang="en-US" baseline="0">
                        <a:solidFill>
                          <a:sysClr val="windowText" lastClr="000000"/>
                        </a:solidFill>
                      </a:rPr>
                      <a:t>, </a:t>
                    </a:r>
                    <a:fld id="{F352CD26-FB9D-49C4-AD4E-F4F23EC51BAF}"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E90-4597-BD50-4641ECD7015C}"/>
                </c:ext>
              </c:extLst>
            </c:dLbl>
            <c:dLbl>
              <c:idx val="3"/>
              <c:tx>
                <c:rich>
                  <a:bodyPr/>
                  <a:lstStyle/>
                  <a:p>
                    <a:fld id="{66E39BBF-2B39-424A-B0BB-C054D80D7885}" type="CATEGORYNAME">
                      <a:rPr lang="en-US">
                        <a:solidFill>
                          <a:sysClr val="windowText" lastClr="000000"/>
                        </a:solidFill>
                      </a:rPr>
                      <a:pPr/>
                      <a:t>[CATEGORY NAME]</a:t>
                    </a:fld>
                    <a:r>
                      <a:rPr lang="en-US" baseline="0">
                        <a:solidFill>
                          <a:sysClr val="windowText" lastClr="000000"/>
                        </a:solidFill>
                      </a:rPr>
                      <a:t>, </a:t>
                    </a:r>
                    <a:fld id="{A02D359B-35A8-4EF3-BD43-C3545783D79B}"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E90-4597-BD50-4641ECD7015C}"/>
                </c:ext>
              </c:extLst>
            </c:dLbl>
            <c:dLbl>
              <c:idx val="4"/>
              <c:layout>
                <c:manualLayout>
                  <c:x val="-4.1276390931902746E-2"/>
                  <c:y val="0.26605597911372192"/>
                </c:manualLayout>
              </c:layout>
              <c:tx>
                <c:rich>
                  <a:bodyPr/>
                  <a:lstStyle/>
                  <a:p>
                    <a:fld id="{FF522A7A-8904-4D38-B89A-F965DC8371BE}" type="CATEGORYNAME">
                      <a:rPr lang="en-US">
                        <a:solidFill>
                          <a:sysClr val="windowText" lastClr="000000"/>
                        </a:solidFill>
                      </a:rPr>
                      <a:pPr/>
                      <a:t>[CATEGORY NAME]</a:t>
                    </a:fld>
                    <a:r>
                      <a:rPr lang="en-US" baseline="0"/>
                      <a:t>, </a:t>
                    </a:r>
                    <a:fld id="{AD8C2AEC-86B6-4E97-94A4-D996ED77C9BE}" type="VALUE">
                      <a:rPr lang="en-US" baseline="0">
                        <a:solidFill>
                          <a:sysClr val="windowText" lastClr="000000"/>
                        </a:solidFill>
                      </a:rPr>
                      <a:pPr/>
                      <a:t>[VALUE]</a:t>
                    </a:fld>
                    <a:endParaRPr lang="en-US" baseline="0"/>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E90-4597-BD50-4641ECD7015C}"/>
                </c:ext>
              </c:extLst>
            </c:dLbl>
            <c:dLbl>
              <c:idx val="5"/>
              <c:layout>
                <c:manualLayout>
                  <c:x val="1.3114436416601771E-2"/>
                  <c:y val="1.8038023024899666E-2"/>
                </c:manualLayout>
              </c:layout>
              <c:tx>
                <c:rich>
                  <a:bodyPr/>
                  <a:lstStyle/>
                  <a:p>
                    <a:fld id="{0B32EF08-E6C5-4311-BF88-99DB81272FB1}" type="CATEGORYNAME">
                      <a:rPr lang="en-US">
                        <a:solidFill>
                          <a:sysClr val="windowText" lastClr="000000"/>
                        </a:solidFill>
                      </a:rPr>
                      <a:pPr/>
                      <a:t>[CATEGORY NAME]</a:t>
                    </a:fld>
                    <a:r>
                      <a:rPr lang="en-US" baseline="0">
                        <a:solidFill>
                          <a:sysClr val="windowText" lastClr="000000"/>
                        </a:solidFill>
                      </a:rPr>
                      <a:t>, </a:t>
                    </a:r>
                    <a:fld id="{5D1289C0-5E4A-40BE-9AFF-BD8A79A4E380}"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E90-4597-BD50-4641ECD7015C}"/>
                </c:ext>
              </c:extLst>
            </c:dLbl>
            <c:dLbl>
              <c:idx val="6"/>
              <c:layout>
                <c:manualLayout>
                  <c:x val="-8.159556978454701E-3"/>
                  <c:y val="1.6789567970670334E-3"/>
                </c:manualLayout>
              </c:layout>
              <c:tx>
                <c:rich>
                  <a:bodyPr/>
                  <a:lstStyle/>
                  <a:p>
                    <a:fld id="{F208112A-5241-43A5-846F-28580029FE9A}" type="CATEGORYNAME">
                      <a:rPr lang="en-US">
                        <a:solidFill>
                          <a:sysClr val="windowText" lastClr="000000"/>
                        </a:solidFill>
                      </a:rPr>
                      <a:pPr/>
                      <a:t>[CATEGORY NAME]</a:t>
                    </a:fld>
                    <a:r>
                      <a:rPr lang="en-US" baseline="0">
                        <a:solidFill>
                          <a:sysClr val="windowText" lastClr="000000"/>
                        </a:solidFill>
                      </a:rPr>
                      <a:t>, </a:t>
                    </a:r>
                    <a:fld id="{C170494E-D251-46C3-B2A4-5F45FC024CE5}"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E90-4597-BD50-4641ECD7015C}"/>
                </c:ext>
              </c:extLst>
            </c:dLbl>
            <c:dLbl>
              <c:idx val="7"/>
              <c:layout>
                <c:manualLayout>
                  <c:x val="-1.097008306653976E-2"/>
                  <c:y val="-2.0601244288908332E-2"/>
                </c:manualLayout>
              </c:layout>
              <c:tx>
                <c:rich>
                  <a:bodyPr/>
                  <a:lstStyle/>
                  <a:p>
                    <a:fld id="{192889E4-F9B4-45E9-8DC4-B58C000FCF45}" type="CATEGORYNAME">
                      <a:rPr lang="en-US">
                        <a:solidFill>
                          <a:sysClr val="windowText" lastClr="000000"/>
                        </a:solidFill>
                      </a:rPr>
                      <a:pPr/>
                      <a:t>[CATEGORY NAME]</a:t>
                    </a:fld>
                    <a:r>
                      <a:rPr lang="en-US" baseline="0">
                        <a:solidFill>
                          <a:sysClr val="windowText" lastClr="000000"/>
                        </a:solidFill>
                      </a:rPr>
                      <a:t>, </a:t>
                    </a:r>
                    <a:fld id="{0C663105-3187-4687-96BB-EFBBDC97A0D1}"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E90-4597-BD50-4641ECD7015C}"/>
                </c:ext>
              </c:extLst>
            </c:dLbl>
            <c:dLbl>
              <c:idx val="8"/>
              <c:tx>
                <c:rich>
                  <a:bodyPr/>
                  <a:lstStyle/>
                  <a:p>
                    <a:fld id="{36F73E5A-30FA-4857-B274-C20924533081}" type="CATEGORYNAME">
                      <a:rPr lang="en-US">
                        <a:solidFill>
                          <a:sysClr val="windowText" lastClr="000000"/>
                        </a:solidFill>
                      </a:rPr>
                      <a:pPr/>
                      <a:t>[CATEGORY NAME]</a:t>
                    </a:fld>
                    <a:r>
                      <a:rPr lang="en-US" baseline="0">
                        <a:solidFill>
                          <a:sysClr val="windowText" lastClr="000000"/>
                        </a:solidFill>
                      </a:rPr>
                      <a:t>, </a:t>
                    </a:r>
                    <a:fld id="{299C570E-E60F-4410-A89B-7D39919772AB}"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E90-4597-BD50-4641ECD7015C}"/>
                </c:ext>
              </c:extLst>
            </c:dLbl>
            <c:dLbl>
              <c:idx val="9"/>
              <c:tx>
                <c:rich>
                  <a:bodyPr/>
                  <a:lstStyle/>
                  <a:p>
                    <a:fld id="{E14AF56C-3A0B-4387-A9C4-ECDBFF4F3489}" type="CATEGORYNAME">
                      <a:rPr lang="en-US">
                        <a:solidFill>
                          <a:sysClr val="windowText" lastClr="000000"/>
                        </a:solidFill>
                      </a:rPr>
                      <a:pPr/>
                      <a:t>[CATEGORY NAME]</a:t>
                    </a:fld>
                    <a:r>
                      <a:rPr lang="en-US" baseline="0">
                        <a:solidFill>
                          <a:sysClr val="windowText" lastClr="000000"/>
                        </a:solidFill>
                      </a:rPr>
                      <a:t>, </a:t>
                    </a:r>
                    <a:fld id="{30CF6F3A-FD21-4044-AB60-154DD3DB0058}" type="VALUE">
                      <a:rPr lang="en-US" baseline="0">
                        <a:solidFill>
                          <a:sysClr val="windowText" lastClr="000000"/>
                        </a:solidFill>
                      </a:rPr>
                      <a:pPr/>
                      <a:t>[VALUE]</a:t>
                    </a:fld>
                    <a:endParaRPr lang="en-US" baseline="0">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7E90-4597-BD50-4641ECD7015C}"/>
                </c:ext>
              </c:extLst>
            </c:dLbl>
            <c:dLbl>
              <c:idx val="10"/>
              <c:layout>
                <c:manualLayout>
                  <c:x val="-9.2410263620893579E-2"/>
                  <c:y val="-6.695343637600896E-3"/>
                </c:manualLayout>
              </c:layout>
              <c:tx>
                <c:rich>
                  <a:bodyPr/>
                  <a:lstStyle/>
                  <a:p>
                    <a:fld id="{8526EA24-AF85-446C-96CD-1963E516CA76}" type="CATEGORYNAME">
                      <a:rPr lang="en-US">
                        <a:solidFill>
                          <a:sysClr val="windowText" lastClr="000000"/>
                        </a:solidFill>
                      </a:rPr>
                      <a:pPr/>
                      <a:t>[CATEGORY NAME]</a:t>
                    </a:fld>
                    <a:r>
                      <a:rPr lang="en-US" baseline="0">
                        <a:solidFill>
                          <a:sysClr val="windowText" lastClr="000000"/>
                        </a:solidFill>
                      </a:rPr>
                      <a:t>, 14.4%</a:t>
                    </a:r>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7E90-4597-BD50-4641ECD7015C}"/>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1"/>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General!$AB$44:$AB$53</c:f>
              <c:strCache>
                <c:ptCount val="10"/>
                <c:pt idx="0">
                  <c:v>Power</c:v>
                </c:pt>
                <c:pt idx="1">
                  <c:v>Oil &amp; Gas</c:v>
                </c:pt>
                <c:pt idx="2">
                  <c:v>Transportation</c:v>
                </c:pt>
                <c:pt idx="3">
                  <c:v>PPP</c:v>
                </c:pt>
                <c:pt idx="4">
                  <c:v>Mining</c:v>
                </c:pt>
                <c:pt idx="5">
                  <c:v>Telecoms</c:v>
                </c:pt>
                <c:pt idx="6">
                  <c:v>Water &amp; Sewage</c:v>
                </c:pt>
                <c:pt idx="7">
                  <c:v>Petrochemicals</c:v>
                </c:pt>
                <c:pt idx="8">
                  <c:v>Industry</c:v>
                </c:pt>
                <c:pt idx="9">
                  <c:v>Waste &amp; Recycling</c:v>
                </c:pt>
              </c:strCache>
            </c:strRef>
          </c:cat>
          <c:val>
            <c:numRef>
              <c:f>General!$AC$44:$AC$53</c:f>
              <c:numCache>
                <c:formatCode>0.0%</c:formatCode>
                <c:ptCount val="10"/>
                <c:pt idx="0">
                  <c:v>0.48699999999999999</c:v>
                </c:pt>
                <c:pt idx="1">
                  <c:v>0.191</c:v>
                </c:pt>
                <c:pt idx="2">
                  <c:v>0.17899999999999999</c:v>
                </c:pt>
                <c:pt idx="3">
                  <c:v>4.7E-2</c:v>
                </c:pt>
                <c:pt idx="4">
                  <c:v>2.7E-2</c:v>
                </c:pt>
                <c:pt idx="5">
                  <c:v>2.5999999999999999E-2</c:v>
                </c:pt>
                <c:pt idx="6">
                  <c:v>1.7000000000000001E-2</c:v>
                </c:pt>
                <c:pt idx="7">
                  <c:v>1.2999999999999999E-2</c:v>
                </c:pt>
                <c:pt idx="8" formatCode="0%">
                  <c:v>0.01</c:v>
                </c:pt>
                <c:pt idx="9">
                  <c:v>4.0000000000000001E-3</c:v>
                </c:pt>
              </c:numCache>
            </c:numRef>
          </c:val>
          <c:extLst>
            <c:ext xmlns:c16="http://schemas.microsoft.com/office/drawing/2014/chart" uri="{C3380CC4-5D6E-409C-BE32-E72D297353CC}">
              <c16:uniqueId val="{00000016-7E90-4597-BD50-4641ECD7015C}"/>
            </c:ext>
          </c:extLst>
        </c:ser>
        <c:dLbls>
          <c:dLblPos val="inEnd"/>
          <c:showLegendKey val="0"/>
          <c:showVal val="0"/>
          <c:showCatName val="0"/>
          <c:showSerName val="0"/>
          <c:showPercent val="1"/>
          <c:showBubbleSize val="0"/>
          <c:showLeaderLines val="1"/>
        </c:dLbls>
        <c:gapWidth val="100"/>
        <c:splitType val="pos"/>
        <c:splitPos val="7"/>
        <c:secondPieSize val="75"/>
        <c:serLines>
          <c:spPr>
            <a:ln w="9525" cap="flat" cmpd="sng" algn="ctr">
              <a:solidFill>
                <a:schemeClr val="dk1">
                  <a:lumMod val="35000"/>
                  <a:lumOff val="65000"/>
                </a:schemeClr>
              </a:solidFill>
              <a:round/>
            </a:ln>
            <a:effectLst/>
          </c:spPr>
        </c:serLines>
      </c:of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project finance transactions by region 2007-2018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Americas</c:v>
          </c:tx>
          <c:spPr>
            <a:solidFill>
              <a:schemeClr val="accent1"/>
            </a:solidFill>
            <a:ln>
              <a:noFill/>
            </a:ln>
            <a:effectLst/>
          </c:spPr>
          <c:invertIfNegative val="0"/>
          <c:dLbls>
            <c:dLbl>
              <c:idx val="2"/>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52D8-40F8-8248-0FC613263B4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General!$Z$60:$AK$60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General!$Z$61:$AK$61</c:f>
              <c:numCache>
                <c:formatCode>0.0</c:formatCode>
                <c:ptCount val="12"/>
                <c:pt idx="0">
                  <c:v>44.476300000000002</c:v>
                </c:pt>
                <c:pt idx="1">
                  <c:v>42.085700000000003</c:v>
                </c:pt>
                <c:pt idx="2">
                  <c:v>20.057700000000001</c:v>
                </c:pt>
                <c:pt idx="3">
                  <c:v>25.534500000000001</c:v>
                </c:pt>
                <c:pt idx="4">
                  <c:v>38.383099999999999</c:v>
                </c:pt>
                <c:pt idx="5">
                  <c:v>39.320599999999999</c:v>
                </c:pt>
                <c:pt idx="6">
                  <c:v>51.420200000000001</c:v>
                </c:pt>
                <c:pt idx="7">
                  <c:v>92.884500000000003</c:v>
                </c:pt>
                <c:pt idx="8">
                  <c:v>93.276399999999995</c:v>
                </c:pt>
                <c:pt idx="9">
                  <c:v>55.901800000000001</c:v>
                </c:pt>
                <c:pt idx="10">
                  <c:v>64.431299999999993</c:v>
                </c:pt>
                <c:pt idx="11" formatCode="0">
                  <c:v>96.043099999999995</c:v>
                </c:pt>
              </c:numCache>
            </c:numRef>
          </c:val>
          <c:extLst>
            <c:ext xmlns:c16="http://schemas.microsoft.com/office/drawing/2014/chart" uri="{C3380CC4-5D6E-409C-BE32-E72D297353CC}">
              <c16:uniqueId val="{00000001-52D8-40F8-8248-0FC613263B4B}"/>
            </c:ext>
          </c:extLst>
        </c:ser>
        <c:ser>
          <c:idx val="1"/>
          <c:order val="1"/>
          <c:tx>
            <c:v>Asia Pacific</c:v>
          </c:tx>
          <c:spPr>
            <a:solidFill>
              <a:schemeClr val="accent2"/>
            </a:solidFill>
            <a:ln>
              <a:noFill/>
            </a:ln>
            <a:effectLst/>
          </c:spPr>
          <c:invertIfNegative val="0"/>
          <c:dLbls>
            <c:dLbl>
              <c:idx val="2"/>
              <c:layout>
                <c:manualLayout>
                  <c:x val="0"/>
                  <c:y val="-4.6296296296297144E-3"/>
                </c:manualLayout>
              </c:layout>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D8-40F8-8248-0FC613263B4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General!$Z$60:$AK$60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General!$Z$62:$AK$62</c:f>
              <c:numCache>
                <c:formatCode>0.0</c:formatCode>
                <c:ptCount val="12"/>
                <c:pt idx="0">
                  <c:v>44.842300000000002</c:v>
                </c:pt>
                <c:pt idx="1">
                  <c:v>70.471299999999999</c:v>
                </c:pt>
                <c:pt idx="2">
                  <c:v>56.613599999999998</c:v>
                </c:pt>
                <c:pt idx="3">
                  <c:v>98.708299999999994</c:v>
                </c:pt>
                <c:pt idx="4">
                  <c:v>91.7637</c:v>
                </c:pt>
                <c:pt idx="5">
                  <c:v>91.522599999999997</c:v>
                </c:pt>
                <c:pt idx="6">
                  <c:v>63.645600000000002</c:v>
                </c:pt>
                <c:pt idx="7">
                  <c:v>72.279300000000006</c:v>
                </c:pt>
                <c:pt idx="8">
                  <c:v>76.262900000000002</c:v>
                </c:pt>
                <c:pt idx="9">
                  <c:v>57.241500000000002</c:v>
                </c:pt>
                <c:pt idx="10">
                  <c:v>80.380600000000001</c:v>
                </c:pt>
                <c:pt idx="11">
                  <c:v>76.531599999999997</c:v>
                </c:pt>
              </c:numCache>
            </c:numRef>
          </c:val>
          <c:extLst>
            <c:ext xmlns:c16="http://schemas.microsoft.com/office/drawing/2014/chart" uri="{C3380CC4-5D6E-409C-BE32-E72D297353CC}">
              <c16:uniqueId val="{00000003-52D8-40F8-8248-0FC613263B4B}"/>
            </c:ext>
          </c:extLst>
        </c:ser>
        <c:ser>
          <c:idx val="2"/>
          <c:order val="2"/>
          <c:tx>
            <c:v>EMEA</c:v>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General!$Z$60:$AK$60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General!$Z$63:$AK$63</c:f>
              <c:numCache>
                <c:formatCode>0</c:formatCode>
                <c:ptCount val="12"/>
                <c:pt idx="0" formatCode="0.0">
                  <c:v>130.66730000000001</c:v>
                </c:pt>
                <c:pt idx="1">
                  <c:v>138.0001</c:v>
                </c:pt>
                <c:pt idx="2" formatCode="0.0">
                  <c:v>62.515000000000001</c:v>
                </c:pt>
                <c:pt idx="3" formatCode="0.0">
                  <c:v>83.931200000000004</c:v>
                </c:pt>
                <c:pt idx="4" formatCode="0.0">
                  <c:v>83.339799999999997</c:v>
                </c:pt>
                <c:pt idx="5" formatCode="0.0">
                  <c:v>67.902299999999997</c:v>
                </c:pt>
                <c:pt idx="6">
                  <c:v>88.960899999999995</c:v>
                </c:pt>
                <c:pt idx="7" formatCode="0.0">
                  <c:v>95.087100000000007</c:v>
                </c:pt>
                <c:pt idx="8" formatCode="0.0">
                  <c:v>108.1905</c:v>
                </c:pt>
                <c:pt idx="9" formatCode="0.0">
                  <c:v>123.3125</c:v>
                </c:pt>
                <c:pt idx="10" formatCode="0.0">
                  <c:v>84.826300000000003</c:v>
                </c:pt>
                <c:pt idx="11" formatCode="0.0">
                  <c:v>110.1101</c:v>
                </c:pt>
              </c:numCache>
            </c:numRef>
          </c:val>
          <c:extLst>
            <c:ext xmlns:c16="http://schemas.microsoft.com/office/drawing/2014/chart" uri="{C3380CC4-5D6E-409C-BE32-E72D297353CC}">
              <c16:uniqueId val="{00000004-52D8-40F8-8248-0FC613263B4B}"/>
            </c:ext>
          </c:extLst>
        </c:ser>
        <c:dLbls>
          <c:dLblPos val="ctr"/>
          <c:showLegendKey val="0"/>
          <c:showVal val="1"/>
          <c:showCatName val="0"/>
          <c:showSerName val="0"/>
          <c:showPercent val="0"/>
          <c:showBubbleSize val="0"/>
        </c:dLbls>
        <c:gapWidth val="150"/>
        <c:overlap val="100"/>
        <c:axId val="364111840"/>
        <c:axId val="364113480"/>
      </c:barChart>
      <c:catAx>
        <c:axId val="36411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113480"/>
        <c:crosses val="autoZero"/>
        <c:auto val="1"/>
        <c:lblAlgn val="ctr"/>
        <c:lblOffset val="100"/>
        <c:noMultiLvlLbl val="0"/>
      </c:catAx>
      <c:valAx>
        <c:axId val="364113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11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96043368410718E-2"/>
          <c:y val="0.14393518518518519"/>
          <c:w val="0.91187411931763984"/>
          <c:h val="0.61498432487605714"/>
        </c:manualLayout>
      </c:layout>
      <c:lineChart>
        <c:grouping val="standard"/>
        <c:varyColors val="0"/>
        <c:ser>
          <c:idx val="1"/>
          <c:order val="0"/>
          <c:tx>
            <c:v> Project Finance Size in Russia (Billion USD)</c:v>
          </c:tx>
          <c:spPr>
            <a:ln w="22225" cap="rnd" cmpd="sng" algn="ctr">
              <a:solidFill>
                <a:srgbClr val="002060"/>
              </a:solidFill>
              <a:round/>
            </a:ln>
            <a:effectLst/>
          </c:spPr>
          <c:marker>
            <c:symbol val="none"/>
          </c:marker>
          <c:dLbls>
            <c:dLbl>
              <c:idx val="0"/>
              <c:layout>
                <c:manualLayout>
                  <c:x val="-3.0244097213704985E-2"/>
                  <c:y val="-4.1666666666666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65-491B-AF19-B45AFD1C3191}"/>
                </c:ext>
              </c:extLst>
            </c:dLbl>
            <c:dLbl>
              <c:idx val="1"/>
              <c:layout>
                <c:manualLayout>
                  <c:x val="-2.8513394548422881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65-491B-AF19-B45AFD1C3191}"/>
                </c:ext>
              </c:extLst>
            </c:dLbl>
            <c:dLbl>
              <c:idx val="2"/>
              <c:layout>
                <c:manualLayout>
                  <c:x val="-3.3705502544269191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65-491B-AF19-B45AFD1C3191}"/>
                </c:ext>
              </c:extLst>
            </c:dLbl>
            <c:dLbl>
              <c:idx val="3"/>
              <c:layout>
                <c:manualLayout>
                  <c:x val="-1.8129178556730317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65-491B-AF19-B45AFD1C3191}"/>
                </c:ext>
              </c:extLst>
            </c:dLbl>
            <c:dLbl>
              <c:idx val="4"/>
              <c:layout>
                <c:manualLayout>
                  <c:x val="-3.4190099290548184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65-491B-AF19-B45AFD1C3191}"/>
                </c:ext>
              </c:extLst>
            </c:dLbl>
            <c:dLbl>
              <c:idx val="5"/>
              <c:layout>
                <c:manualLayout>
                  <c:x val="-3.1974799878987152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65-491B-AF19-B45AFD1C3191}"/>
                </c:ext>
              </c:extLst>
            </c:dLbl>
            <c:dLbl>
              <c:idx val="6"/>
              <c:layout>
                <c:manualLayout>
                  <c:x val="-2.4567392471579682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65-491B-AF19-B45AFD1C3191}"/>
                </c:ext>
              </c:extLst>
            </c:dLbl>
            <c:dLbl>
              <c:idx val="7"/>
              <c:layout>
                <c:manualLayout>
                  <c:x val="-2.8513394548422881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65-491B-AF19-B45AFD1C3191}"/>
                </c:ext>
              </c:extLst>
            </c:dLbl>
            <c:dLbl>
              <c:idx val="8"/>
              <c:layout>
                <c:manualLayout>
                  <c:x val="-1.1206367895601834E-2"/>
                  <c:y val="-4.629629629629714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65-491B-AF19-B45AFD1C3191}"/>
                </c:ext>
              </c:extLst>
            </c:dLbl>
            <c:dLbl>
              <c:idx val="9"/>
              <c:layout>
                <c:manualLayout>
                  <c:x val="-3.245939662526607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65-491B-AF19-B45AFD1C3191}"/>
                </c:ext>
              </c:extLst>
            </c:dLbl>
            <c:dLbl>
              <c:idx val="10"/>
              <c:layout>
                <c:manualLayout>
                  <c:x val="-1.8129178556730251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65-491B-AF19-B45AFD1C3191}"/>
                </c:ext>
              </c:extLst>
            </c:dLbl>
            <c:dLbl>
              <c:idx val="11"/>
              <c:layout>
                <c:manualLayout>
                  <c:x val="-2.8513394548423006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65-491B-AF19-B45AFD1C31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General!$AG$29:$AG$40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General!$AF$29:$AF$40</c:f>
              <c:numCache>
                <c:formatCode>0.00</c:formatCode>
                <c:ptCount val="12"/>
                <c:pt idx="0">
                  <c:v>2.113</c:v>
                </c:pt>
                <c:pt idx="1">
                  <c:v>8.8759999999999994</c:v>
                </c:pt>
                <c:pt idx="2">
                  <c:v>3.306</c:v>
                </c:pt>
                <c:pt idx="3">
                  <c:v>2.7530000000000001</c:v>
                </c:pt>
                <c:pt idx="4" formatCode="0.0">
                  <c:v>11.302</c:v>
                </c:pt>
                <c:pt idx="5" formatCode="0.0">
                  <c:v>5.0949999999999998</c:v>
                </c:pt>
                <c:pt idx="6" formatCode="0.0">
                  <c:v>2.4039999999999999</c:v>
                </c:pt>
                <c:pt idx="7">
                  <c:v>4.3730000000000002</c:v>
                </c:pt>
                <c:pt idx="8">
                  <c:v>0.60799999999999998</c:v>
                </c:pt>
                <c:pt idx="9">
                  <c:v>19.081</c:v>
                </c:pt>
                <c:pt idx="10">
                  <c:v>0.96899999999999997</c:v>
                </c:pt>
                <c:pt idx="11">
                  <c:v>1.895</c:v>
                </c:pt>
              </c:numCache>
            </c:numRef>
          </c:val>
          <c:smooth val="0"/>
          <c:extLst>
            <c:ext xmlns:c16="http://schemas.microsoft.com/office/drawing/2014/chart" uri="{C3380CC4-5D6E-409C-BE32-E72D297353CC}">
              <c16:uniqueId val="{0000000C-4665-491B-AF19-B45AFD1C3191}"/>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59110648"/>
        <c:axId val="459109992"/>
      </c:lineChart>
      <c:catAx>
        <c:axId val="4591106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59109992"/>
        <c:crosses val="autoZero"/>
        <c:auto val="1"/>
        <c:lblAlgn val="ctr"/>
        <c:lblOffset val="100"/>
        <c:noMultiLvlLbl val="0"/>
      </c:catAx>
      <c:valAx>
        <c:axId val="459109992"/>
        <c:scaling>
          <c:orientation val="minMax"/>
          <c:max val="20"/>
          <c:min val="0"/>
        </c:scaling>
        <c:delete val="0"/>
        <c:axPos val="l"/>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59110648"/>
        <c:crosses val="autoZero"/>
        <c:crossBetween val="between"/>
        <c:majorUnit val="4"/>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Loans!$AG$9</c:f>
              <c:strCache>
                <c:ptCount val="1"/>
                <c:pt idx="0">
                  <c:v>Saudi Arabia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Loans!$AF$10:$AF$25</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Loans!$AG$10:$AG$25</c:f>
              <c:numCache>
                <c:formatCode>0.00</c:formatCode>
                <c:ptCount val="16"/>
                <c:pt idx="0">
                  <c:v>0.82</c:v>
                </c:pt>
                <c:pt idx="1">
                  <c:v>3.726</c:v>
                </c:pt>
                <c:pt idx="2">
                  <c:v>2.4660000000000002</c:v>
                </c:pt>
                <c:pt idx="3">
                  <c:v>15.305</c:v>
                </c:pt>
                <c:pt idx="4">
                  <c:v>8.08</c:v>
                </c:pt>
                <c:pt idx="5">
                  <c:v>10.308999999999999</c:v>
                </c:pt>
                <c:pt idx="6" formatCode="0.0">
                  <c:v>1.9</c:v>
                </c:pt>
                <c:pt idx="7" formatCode="0">
                  <c:v>10</c:v>
                </c:pt>
                <c:pt idx="8">
                  <c:v>3.2789999999999999</c:v>
                </c:pt>
                <c:pt idx="9">
                  <c:v>3.6859999999999999</c:v>
                </c:pt>
                <c:pt idx="10">
                  <c:v>6.9359999999999999</c:v>
                </c:pt>
                <c:pt idx="11">
                  <c:v>4.4580000000000002</c:v>
                </c:pt>
                <c:pt idx="12">
                  <c:v>13.077</c:v>
                </c:pt>
                <c:pt idx="13">
                  <c:v>7.9649999999999999</c:v>
                </c:pt>
                <c:pt idx="14">
                  <c:v>2.4889999999999999</c:v>
                </c:pt>
                <c:pt idx="15">
                  <c:v>1.0920000000000001</c:v>
                </c:pt>
              </c:numCache>
            </c:numRef>
          </c:val>
          <c:extLst>
            <c:ext xmlns:c16="http://schemas.microsoft.com/office/drawing/2014/chart" uri="{C3380CC4-5D6E-409C-BE32-E72D297353CC}">
              <c16:uniqueId val="{00000000-3C03-4AF6-B6C4-C4339F6C5456}"/>
            </c:ext>
          </c:extLst>
        </c:ser>
        <c:ser>
          <c:idx val="1"/>
          <c:order val="1"/>
          <c:tx>
            <c:strRef>
              <c:f>Loans!$AH$9</c:f>
              <c:strCache>
                <c:ptCount val="1"/>
                <c:pt idx="0">
                  <c:v>UAE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Loans!$AF$10:$AF$25</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Loans!$AH$10:$AH$25</c:f>
              <c:numCache>
                <c:formatCode>0.00</c:formatCode>
                <c:ptCount val="16"/>
                <c:pt idx="0">
                  <c:v>1.855</c:v>
                </c:pt>
                <c:pt idx="1">
                  <c:v>1.7989999999999999</c:v>
                </c:pt>
                <c:pt idx="2">
                  <c:v>2.367</c:v>
                </c:pt>
                <c:pt idx="3">
                  <c:v>2.1040000000000001</c:v>
                </c:pt>
                <c:pt idx="4">
                  <c:v>11.718</c:v>
                </c:pt>
                <c:pt idx="5">
                  <c:v>4.2130000000000001</c:v>
                </c:pt>
                <c:pt idx="6" formatCode="0.0">
                  <c:v>0.80100000000000005</c:v>
                </c:pt>
                <c:pt idx="7">
                  <c:v>1.65</c:v>
                </c:pt>
                <c:pt idx="8">
                  <c:v>0.98599999999999999</c:v>
                </c:pt>
                <c:pt idx="9">
                  <c:v>0.26900000000000002</c:v>
                </c:pt>
                <c:pt idx="10">
                  <c:v>5.7640000000000002</c:v>
                </c:pt>
                <c:pt idx="11">
                  <c:v>2.8370000000000002</c:v>
                </c:pt>
                <c:pt idx="12">
                  <c:v>1.1459999999999999</c:v>
                </c:pt>
                <c:pt idx="13">
                  <c:v>3.13</c:v>
                </c:pt>
                <c:pt idx="14">
                  <c:v>2.4910000000000001</c:v>
                </c:pt>
                <c:pt idx="15">
                  <c:v>0.16300000000000001</c:v>
                </c:pt>
              </c:numCache>
            </c:numRef>
          </c:val>
          <c:extLst>
            <c:ext xmlns:c16="http://schemas.microsoft.com/office/drawing/2014/chart" uri="{C3380CC4-5D6E-409C-BE32-E72D297353CC}">
              <c16:uniqueId val="{00000001-3C03-4AF6-B6C4-C4339F6C5456}"/>
            </c:ext>
          </c:extLst>
        </c:ser>
        <c:ser>
          <c:idx val="2"/>
          <c:order val="2"/>
          <c:tx>
            <c:strRef>
              <c:f>Loans!$AI$9</c:f>
              <c:strCache>
                <c:ptCount val="1"/>
                <c:pt idx="0">
                  <c:v>Oman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Loans!$AF$10:$AF$25</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Loans!$AI$10:$AI$25</c:f>
              <c:numCache>
                <c:formatCode>0.00</c:formatCode>
                <c:ptCount val="16"/>
                <c:pt idx="0">
                  <c:v>0.90700000000000003</c:v>
                </c:pt>
                <c:pt idx="1">
                  <c:v>1.6080000000000001</c:v>
                </c:pt>
                <c:pt idx="2">
                  <c:v>5.6710000000000003</c:v>
                </c:pt>
                <c:pt idx="3">
                  <c:v>3.1480000000000001</c:v>
                </c:pt>
                <c:pt idx="4">
                  <c:v>3.3159999999999998</c:v>
                </c:pt>
                <c:pt idx="5">
                  <c:v>0.44600000000000001</c:v>
                </c:pt>
                <c:pt idx="6">
                  <c:v>0.80100000000000005</c:v>
                </c:pt>
                <c:pt idx="7">
                  <c:v>1.361</c:v>
                </c:pt>
                <c:pt idx="8" formatCode="0.0">
                  <c:v>1.502</c:v>
                </c:pt>
                <c:pt idx="9">
                  <c:v>4.2999999999999997E-2</c:v>
                </c:pt>
                <c:pt idx="10">
                  <c:v>0.26900000000000002</c:v>
                </c:pt>
                <c:pt idx="11">
                  <c:v>3.101</c:v>
                </c:pt>
                <c:pt idx="12">
                  <c:v>0.90800000000000003</c:v>
                </c:pt>
                <c:pt idx="13">
                  <c:v>5.9189999999999996</c:v>
                </c:pt>
                <c:pt idx="14">
                  <c:v>1.3680000000000001</c:v>
                </c:pt>
                <c:pt idx="15">
                  <c:v>4.8710000000000004</c:v>
                </c:pt>
              </c:numCache>
            </c:numRef>
          </c:val>
          <c:extLst>
            <c:ext xmlns:c16="http://schemas.microsoft.com/office/drawing/2014/chart" uri="{C3380CC4-5D6E-409C-BE32-E72D297353CC}">
              <c16:uniqueId val="{00000002-3C03-4AF6-B6C4-C4339F6C5456}"/>
            </c:ext>
          </c:extLst>
        </c:ser>
        <c:ser>
          <c:idx val="3"/>
          <c:order val="3"/>
          <c:tx>
            <c:strRef>
              <c:f>Loans!$AJ$9</c:f>
              <c:strCache>
                <c:ptCount val="1"/>
                <c:pt idx="0">
                  <c:v>Qatar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Loans!$AF$10:$AF$25</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Loans!$AJ$10:$AJ$25</c:f>
              <c:numCache>
                <c:formatCode>0.00</c:formatCode>
                <c:ptCount val="16"/>
                <c:pt idx="0">
                  <c:v>1.294</c:v>
                </c:pt>
                <c:pt idx="1">
                  <c:v>6.1139999999999999</c:v>
                </c:pt>
                <c:pt idx="2">
                  <c:v>14.076000000000001</c:v>
                </c:pt>
                <c:pt idx="3">
                  <c:v>4.72</c:v>
                </c:pt>
                <c:pt idx="4">
                  <c:v>9.5459999999999994</c:v>
                </c:pt>
                <c:pt idx="5">
                  <c:v>4.3959999999999999</c:v>
                </c:pt>
                <c:pt idx="6">
                  <c:v>5.4329999999999998</c:v>
                </c:pt>
                <c:pt idx="7" formatCode="0">
                  <c:v>0</c:v>
                </c:pt>
                <c:pt idx="8">
                  <c:v>4.1829999999999998</c:v>
                </c:pt>
                <c:pt idx="9" formatCode="0">
                  <c:v>0</c:v>
                </c:pt>
                <c:pt idx="10">
                  <c:v>1.768</c:v>
                </c:pt>
                <c:pt idx="11" formatCode="0">
                  <c:v>0</c:v>
                </c:pt>
                <c:pt idx="12">
                  <c:v>0.86299999999999999</c:v>
                </c:pt>
                <c:pt idx="13">
                  <c:v>2.9649999999999999</c:v>
                </c:pt>
                <c:pt idx="14" formatCode="0">
                  <c:v>0</c:v>
                </c:pt>
                <c:pt idx="15" formatCode="0">
                  <c:v>0</c:v>
                </c:pt>
              </c:numCache>
            </c:numRef>
          </c:val>
          <c:extLst>
            <c:ext xmlns:c16="http://schemas.microsoft.com/office/drawing/2014/chart" uri="{C3380CC4-5D6E-409C-BE32-E72D297353CC}">
              <c16:uniqueId val="{00000003-3C03-4AF6-B6C4-C4339F6C5456}"/>
            </c:ext>
          </c:extLst>
        </c:ser>
        <c:ser>
          <c:idx val="4"/>
          <c:order val="4"/>
          <c:tx>
            <c:strRef>
              <c:f>Loans!$AK$9</c:f>
              <c:strCache>
                <c:ptCount val="1"/>
                <c:pt idx="0">
                  <c:v>Kuwait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Loans!$AF$10:$AF$25</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Loans!$AK$10:$AK$25</c:f>
              <c:numCache>
                <c:formatCode>0.000</c:formatCode>
                <c:ptCount val="16"/>
                <c:pt idx="0" formatCode="0">
                  <c:v>0</c:v>
                </c:pt>
                <c:pt idx="1">
                  <c:v>0.6</c:v>
                </c:pt>
                <c:pt idx="2">
                  <c:v>0.75</c:v>
                </c:pt>
                <c:pt idx="3">
                  <c:v>2.5</c:v>
                </c:pt>
                <c:pt idx="4">
                  <c:v>1.4</c:v>
                </c:pt>
                <c:pt idx="5" formatCode="0">
                  <c:v>0</c:v>
                </c:pt>
                <c:pt idx="6" formatCode="0">
                  <c:v>0</c:v>
                </c:pt>
                <c:pt idx="7" formatCode="0">
                  <c:v>0</c:v>
                </c:pt>
                <c:pt idx="8">
                  <c:v>0.17499999999999999</c:v>
                </c:pt>
                <c:pt idx="9" formatCode="0">
                  <c:v>0</c:v>
                </c:pt>
                <c:pt idx="10">
                  <c:v>1.387</c:v>
                </c:pt>
                <c:pt idx="11">
                  <c:v>5.6800000000000003E-2</c:v>
                </c:pt>
                <c:pt idx="12" formatCode="0">
                  <c:v>0</c:v>
                </c:pt>
                <c:pt idx="13">
                  <c:v>3.98</c:v>
                </c:pt>
                <c:pt idx="14" formatCode="0">
                  <c:v>0</c:v>
                </c:pt>
                <c:pt idx="15" formatCode="0">
                  <c:v>0</c:v>
                </c:pt>
              </c:numCache>
            </c:numRef>
          </c:val>
          <c:extLst>
            <c:ext xmlns:c16="http://schemas.microsoft.com/office/drawing/2014/chart" uri="{C3380CC4-5D6E-409C-BE32-E72D297353CC}">
              <c16:uniqueId val="{00000004-3C03-4AF6-B6C4-C4339F6C5456}"/>
            </c:ext>
          </c:extLst>
        </c:ser>
        <c:ser>
          <c:idx val="5"/>
          <c:order val="5"/>
          <c:tx>
            <c:strRef>
              <c:f>Loans!$AL$9</c:f>
              <c:strCache>
                <c:ptCount val="1"/>
                <c:pt idx="0">
                  <c:v>Bahrain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Loans!$AF$10:$AF$25</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Loans!$AL$10:$AL$25</c:f>
              <c:numCache>
                <c:formatCode>0.000</c:formatCode>
                <c:ptCount val="16"/>
                <c:pt idx="0">
                  <c:v>1.35</c:v>
                </c:pt>
                <c:pt idx="1">
                  <c:v>1.925</c:v>
                </c:pt>
                <c:pt idx="2">
                  <c:v>0.153</c:v>
                </c:pt>
                <c:pt idx="3">
                  <c:v>1.204</c:v>
                </c:pt>
                <c:pt idx="4">
                  <c:v>0.64100000000000001</c:v>
                </c:pt>
                <c:pt idx="5" formatCode="0">
                  <c:v>0</c:v>
                </c:pt>
                <c:pt idx="6">
                  <c:v>1.341</c:v>
                </c:pt>
                <c:pt idx="7">
                  <c:v>0.6</c:v>
                </c:pt>
                <c:pt idx="8">
                  <c:v>0.27700000000000002</c:v>
                </c:pt>
                <c:pt idx="9">
                  <c:v>0.496</c:v>
                </c:pt>
                <c:pt idx="10" formatCode="0">
                  <c:v>0</c:v>
                </c:pt>
                <c:pt idx="11" formatCode="0">
                  <c:v>0</c:v>
                </c:pt>
                <c:pt idx="12" formatCode="0">
                  <c:v>0</c:v>
                </c:pt>
                <c:pt idx="13">
                  <c:v>2.2410000000000001</c:v>
                </c:pt>
                <c:pt idx="14">
                  <c:v>0.72599999999999998</c:v>
                </c:pt>
                <c:pt idx="15">
                  <c:v>1.5429999999999999</c:v>
                </c:pt>
              </c:numCache>
            </c:numRef>
          </c:val>
          <c:extLst>
            <c:ext xmlns:c16="http://schemas.microsoft.com/office/drawing/2014/chart" uri="{C3380CC4-5D6E-409C-BE32-E72D297353CC}">
              <c16:uniqueId val="{00000005-3C03-4AF6-B6C4-C4339F6C5456}"/>
            </c:ext>
          </c:extLst>
        </c:ser>
        <c:dLbls>
          <c:showLegendKey val="0"/>
          <c:showVal val="0"/>
          <c:showCatName val="0"/>
          <c:showSerName val="0"/>
          <c:showPercent val="0"/>
          <c:showBubbleSize val="0"/>
        </c:dLbls>
        <c:gapWidth val="150"/>
        <c:overlap val="100"/>
        <c:axId val="592812800"/>
        <c:axId val="592813784"/>
      </c:barChart>
      <c:catAx>
        <c:axId val="5928128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2813784"/>
        <c:crosses val="autoZero"/>
        <c:auto val="1"/>
        <c:lblAlgn val="ctr"/>
        <c:lblOffset val="100"/>
        <c:noMultiLvlLbl val="0"/>
      </c:catAx>
      <c:valAx>
        <c:axId val="59281378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281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Actual</c:v>
          </c:tx>
          <c:spPr>
            <a:ln w="28575" cap="rnd">
              <a:solidFill>
                <a:schemeClr val="accent1"/>
              </a:solidFill>
              <a:round/>
            </a:ln>
            <a:effectLst/>
          </c:spPr>
          <c:marker>
            <c:symbol val="none"/>
          </c:marker>
          <c:cat>
            <c:numRef>
              <c:f>Sheet1!$B$2:$O$2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Sheet1!$B$3:$O$3</c:f>
              <c:numCache>
                <c:formatCode>_(* #,##0_);_(* \(#,##0\);_(* "-"??_);_(@_)</c:formatCode>
                <c:ptCount val="14"/>
                <c:pt idx="0">
                  <c:v>1641</c:v>
                </c:pt>
                <c:pt idx="1">
                  <c:v>1749</c:v>
                </c:pt>
                <c:pt idx="2">
                  <c:v>2000</c:v>
                </c:pt>
                <c:pt idx="3">
                  <c:v>3321</c:v>
                </c:pt>
                <c:pt idx="4">
                  <c:v>3506</c:v>
                </c:pt>
                <c:pt idx="5">
                  <c:v>3294</c:v>
                </c:pt>
                <c:pt idx="6">
                  <c:v>3549</c:v>
                </c:pt>
                <c:pt idx="7">
                  <c:v>4738</c:v>
                </c:pt>
                <c:pt idx="8">
                  <c:v>5088</c:v>
                </c:pt>
                <c:pt idx="9">
                  <c:v>6337</c:v>
                </c:pt>
                <c:pt idx="10">
                  <c:v>6306</c:v>
                </c:pt>
                <c:pt idx="11">
                  <c:v>6573</c:v>
                </c:pt>
                <c:pt idx="12">
                  <c:v>7584</c:v>
                </c:pt>
                <c:pt idx="13">
                  <c:v>8763</c:v>
                </c:pt>
              </c:numCache>
            </c:numRef>
          </c:val>
          <c:smooth val="0"/>
          <c:extLst>
            <c:ext xmlns:c16="http://schemas.microsoft.com/office/drawing/2014/chart" uri="{C3380CC4-5D6E-409C-BE32-E72D297353CC}">
              <c16:uniqueId val="{00000000-3410-41E4-AE26-85A75C2D27B4}"/>
            </c:ext>
          </c:extLst>
        </c:ser>
        <c:ser>
          <c:idx val="1"/>
          <c:order val="1"/>
          <c:tx>
            <c:v>Expected</c:v>
          </c:tx>
          <c:spPr>
            <a:ln w="28575" cap="rnd">
              <a:solidFill>
                <a:schemeClr val="accent2"/>
              </a:solidFill>
              <a:prstDash val="sysDot"/>
              <a:round/>
            </a:ln>
            <a:effectLst/>
          </c:spPr>
          <c:marker>
            <c:symbol val="none"/>
          </c:marker>
          <c:cat>
            <c:numRef>
              <c:f>Sheet1!$B$2:$O$2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Sheet1!$B$6:$O$6</c:f>
              <c:numCache>
                <c:formatCode>General</c:formatCode>
                <c:ptCount val="14"/>
                <c:pt idx="7" formatCode="_(* #,##0_);_(* \(#,##0\);_(* &quot;-&quot;??_);_(@_)">
                  <c:v>3974.8800000000006</c:v>
                </c:pt>
                <c:pt idx="8" formatCode="_(* #,##0_);_(* \(#,##0\);_(* &quot;-&quot;??_);_(@_)">
                  <c:v>4451.865600000001</c:v>
                </c:pt>
                <c:pt idx="9" formatCode="_(* #,##0_);_(* \(#,##0\);_(* &quot;-&quot;??_);_(@_)">
                  <c:v>4986.0894720000015</c:v>
                </c:pt>
                <c:pt idx="10" formatCode="_(* #,##0_);_(* \(#,##0\);_(* &quot;-&quot;??_);_(@_)">
                  <c:v>5584.4202086400019</c:v>
                </c:pt>
                <c:pt idx="11" formatCode="_(* #,##0_);_(* \(#,##0\);_(* &quot;-&quot;??_);_(@_)">
                  <c:v>6254.550633676803</c:v>
                </c:pt>
                <c:pt idx="12" formatCode="_(* #,##0_);_(* \(#,##0\);_(* &quot;-&quot;??_);_(@_)">
                  <c:v>7005.0967097180201</c:v>
                </c:pt>
                <c:pt idx="13" formatCode="_(* #,##0_);_(* \(#,##0\);_(* &quot;-&quot;??_);_(@_)">
                  <c:v>7845.708314884183</c:v>
                </c:pt>
              </c:numCache>
            </c:numRef>
          </c:val>
          <c:smooth val="0"/>
          <c:extLst>
            <c:ext xmlns:c16="http://schemas.microsoft.com/office/drawing/2014/chart" uri="{C3380CC4-5D6E-409C-BE32-E72D297353CC}">
              <c16:uniqueId val="{00000001-3410-41E4-AE26-85A75C2D27B4}"/>
            </c:ext>
          </c:extLst>
        </c:ser>
        <c:dLbls>
          <c:showLegendKey val="0"/>
          <c:showVal val="0"/>
          <c:showCatName val="0"/>
          <c:showSerName val="0"/>
          <c:showPercent val="0"/>
          <c:showBubbleSize val="0"/>
        </c:dLbls>
        <c:smooth val="0"/>
        <c:axId val="463609840"/>
        <c:axId val="463607544"/>
      </c:lineChart>
      <c:catAx>
        <c:axId val="46360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07544"/>
        <c:crosses val="autoZero"/>
        <c:auto val="1"/>
        <c:lblAlgn val="ctr"/>
        <c:lblOffset val="100"/>
        <c:noMultiLvlLbl val="0"/>
      </c:catAx>
      <c:valAx>
        <c:axId val="4636075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0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none"/>
          </c:marker>
          <c:dLbls>
            <c:dLbl>
              <c:idx val="0"/>
              <c:layout>
                <c:manualLayout>
                  <c:x val="-3.333333333333336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FB-4FD9-AFCD-6EE130CAC437}"/>
                </c:ext>
              </c:extLst>
            </c:dLbl>
            <c:dLbl>
              <c:idx val="1"/>
              <c:layout>
                <c:manualLayout>
                  <c:x val="-1.38888888888889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FB-4FD9-AFCD-6EE130CAC437}"/>
                </c:ext>
              </c:extLst>
            </c:dLbl>
            <c:dLbl>
              <c:idx val="2"/>
              <c:layout>
                <c:manualLayout>
                  <c:x val="-0.11111111111111116"/>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FB-4FD9-AFCD-6EE130CAC437}"/>
                </c:ext>
              </c:extLst>
            </c:dLbl>
            <c:dLbl>
              <c:idx val="4"/>
              <c:layout>
                <c:manualLayout>
                  <c:x val="-1.1111111111111112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FB-4FD9-AFCD-6EE130CAC437}"/>
                </c:ext>
              </c:extLst>
            </c:dLbl>
            <c:dLbl>
              <c:idx val="5"/>
              <c:layout>
                <c:manualLayout>
                  <c:x val="-1.1111111111111212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FB-4FD9-AFCD-6EE130CAC437}"/>
                </c:ext>
              </c:extLst>
            </c:dLbl>
            <c:dLbl>
              <c:idx val="6"/>
              <c:layout>
                <c:manualLayout>
                  <c:x val="-5.5555555555556572E-3"/>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FB-4FD9-AFCD-6EE130CAC437}"/>
                </c:ext>
              </c:extLst>
            </c:dLbl>
            <c:dLbl>
              <c:idx val="7"/>
              <c:layout>
                <c:manualLayout>
                  <c:x val="-2.7777777777778798E-3"/>
                  <c:y val="7.8703703703703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FB-4FD9-AFCD-6EE130CAC4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GDP!$AE$5:$AE$12</c:f>
              <c:numCache>
                <c:formatCode>General</c:formatCode>
                <c:ptCount val="8"/>
                <c:pt idx="0">
                  <c:v>2010</c:v>
                </c:pt>
                <c:pt idx="1">
                  <c:v>2011</c:v>
                </c:pt>
                <c:pt idx="2">
                  <c:v>2012</c:v>
                </c:pt>
                <c:pt idx="3">
                  <c:v>2013</c:v>
                </c:pt>
                <c:pt idx="4">
                  <c:v>2014</c:v>
                </c:pt>
                <c:pt idx="5">
                  <c:v>2015</c:v>
                </c:pt>
                <c:pt idx="6">
                  <c:v>2016</c:v>
                </c:pt>
                <c:pt idx="7">
                  <c:v>2017</c:v>
                </c:pt>
              </c:numCache>
            </c:numRef>
          </c:cat>
          <c:val>
            <c:numRef>
              <c:f>GDP!$AF$5:$AF$12</c:f>
              <c:numCache>
                <c:formatCode>0.00%</c:formatCode>
                <c:ptCount val="8"/>
                <c:pt idx="0">
                  <c:v>5.1900000000000002E-2</c:v>
                </c:pt>
                <c:pt idx="1">
                  <c:v>2.8500000000000001E-2</c:v>
                </c:pt>
                <c:pt idx="2">
                  <c:v>-0.26339017077253252</c:v>
                </c:pt>
                <c:pt idx="3">
                  <c:v>-0.26300146974446392</c:v>
                </c:pt>
                <c:pt idx="4">
                  <c:v>-0.11190721590247263</c:v>
                </c:pt>
                <c:pt idx="5">
                  <c:v>-5.447246088178298E-2</c:v>
                </c:pt>
                <c:pt idx="6">
                  <c:v>-2.5031693801951568E-2</c:v>
                </c:pt>
                <c:pt idx="7">
                  <c:v>-1.4602265467885163E-2</c:v>
                </c:pt>
              </c:numCache>
            </c:numRef>
          </c:val>
          <c:smooth val="0"/>
          <c:extLst>
            <c:ext xmlns:c16="http://schemas.microsoft.com/office/drawing/2014/chart" uri="{C3380CC4-5D6E-409C-BE32-E72D297353CC}">
              <c16:uniqueId val="{00000007-4DFB-4FD9-AFCD-6EE130CAC437}"/>
            </c:ext>
          </c:extLst>
        </c:ser>
        <c:dLbls>
          <c:showLegendKey val="0"/>
          <c:showVal val="0"/>
          <c:showCatName val="0"/>
          <c:showSerName val="0"/>
          <c:showPercent val="0"/>
          <c:showBubbleSize val="0"/>
        </c:dLbls>
        <c:smooth val="0"/>
        <c:axId val="459524792"/>
        <c:axId val="464960400"/>
      </c:lineChart>
      <c:catAx>
        <c:axId val="4595247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4960400"/>
        <c:crosses val="autoZero"/>
        <c:auto val="1"/>
        <c:lblAlgn val="ctr"/>
        <c:lblOffset val="100"/>
        <c:noMultiLvlLbl val="0"/>
      </c:catAx>
      <c:valAx>
        <c:axId val="464960400"/>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9524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Actual GDP</c:v>
          </c:tx>
          <c:spPr>
            <a:ln w="28575" cap="rnd">
              <a:solidFill>
                <a:schemeClr val="accent1"/>
              </a:solidFill>
              <a:round/>
            </a:ln>
            <a:effectLst/>
          </c:spPr>
          <c:marker>
            <c:symbol val="none"/>
          </c:marker>
          <c:cat>
            <c:numRef>
              <c:f>GDP!$AG$22:$AG$29</c:f>
              <c:numCache>
                <c:formatCode>General</c:formatCode>
                <c:ptCount val="8"/>
                <c:pt idx="0">
                  <c:v>2010</c:v>
                </c:pt>
                <c:pt idx="1">
                  <c:v>2011</c:v>
                </c:pt>
                <c:pt idx="2">
                  <c:v>2012</c:v>
                </c:pt>
                <c:pt idx="3">
                  <c:v>2013</c:v>
                </c:pt>
                <c:pt idx="4">
                  <c:v>2014</c:v>
                </c:pt>
                <c:pt idx="5">
                  <c:v>2015</c:v>
                </c:pt>
                <c:pt idx="6">
                  <c:v>2016</c:v>
                </c:pt>
                <c:pt idx="7">
                  <c:v>2017</c:v>
                </c:pt>
              </c:numCache>
            </c:numRef>
          </c:cat>
          <c:val>
            <c:numRef>
              <c:f>GDP!$AH$22:$AH$29</c:f>
              <c:numCache>
                <c:formatCode>_(* #,##0_);_(* \(#,##0\);_(* "-"??_);_(@_)</c:formatCode>
                <c:ptCount val="8"/>
                <c:pt idx="0">
                  <c:v>1494.595</c:v>
                </c:pt>
                <c:pt idx="1">
                  <c:v>1537.191</c:v>
                </c:pt>
                <c:pt idx="2">
                  <c:v>1132.31</c:v>
                </c:pt>
                <c:pt idx="3">
                  <c:v>834.510805793646</c:v>
                </c:pt>
                <c:pt idx="4">
                  <c:v>741.12302487675004</c:v>
                </c:pt>
                <c:pt idx="5">
                  <c:v>700.75222989556266</c:v>
                </c:pt>
                <c:pt idx="6">
                  <c:v>683.21121464578209</c:v>
                </c:pt>
                <c:pt idx="7">
                  <c:v>673.23478311888812</c:v>
                </c:pt>
              </c:numCache>
            </c:numRef>
          </c:val>
          <c:smooth val="0"/>
          <c:extLst>
            <c:ext xmlns:c16="http://schemas.microsoft.com/office/drawing/2014/chart" uri="{C3380CC4-5D6E-409C-BE32-E72D297353CC}">
              <c16:uniqueId val="{00000000-6027-4F6A-BDA0-7D0BDB9EA0AA}"/>
            </c:ext>
          </c:extLst>
        </c:ser>
        <c:ser>
          <c:idx val="1"/>
          <c:order val="1"/>
          <c:tx>
            <c:v>Estimated GDP</c:v>
          </c:tx>
          <c:spPr>
            <a:ln w="28575" cap="rnd">
              <a:solidFill>
                <a:schemeClr val="accent2"/>
              </a:solidFill>
              <a:round/>
            </a:ln>
            <a:effectLst/>
          </c:spPr>
          <c:marker>
            <c:symbol val="none"/>
          </c:marker>
          <c:cat>
            <c:numRef>
              <c:f>GDP!$AG$22:$AG$29</c:f>
              <c:numCache>
                <c:formatCode>General</c:formatCode>
                <c:ptCount val="8"/>
                <c:pt idx="0">
                  <c:v>2010</c:v>
                </c:pt>
                <c:pt idx="1">
                  <c:v>2011</c:v>
                </c:pt>
                <c:pt idx="2">
                  <c:v>2012</c:v>
                </c:pt>
                <c:pt idx="3">
                  <c:v>2013</c:v>
                </c:pt>
                <c:pt idx="4">
                  <c:v>2014</c:v>
                </c:pt>
                <c:pt idx="5">
                  <c:v>2015</c:v>
                </c:pt>
                <c:pt idx="6">
                  <c:v>2016</c:v>
                </c:pt>
                <c:pt idx="7">
                  <c:v>2017</c:v>
                </c:pt>
              </c:numCache>
            </c:numRef>
          </c:cat>
          <c:val>
            <c:numRef>
              <c:f>GDP!$AI$22:$AI$29</c:f>
              <c:numCache>
                <c:formatCode>_(* #,##0_);_(* \(#,##0\);_(* "-"??_);_(@_)</c:formatCode>
                <c:ptCount val="8"/>
                <c:pt idx="0">
                  <c:v>1494.595</c:v>
                </c:pt>
                <c:pt idx="1">
                  <c:v>1571.8655615</c:v>
                </c:pt>
                <c:pt idx="2">
                  <c:v>1653.1310110295501</c:v>
                </c:pt>
                <c:pt idx="3">
                  <c:v>1738.5978842997779</c:v>
                </c:pt>
                <c:pt idx="4">
                  <c:v>1828.4833949180766</c:v>
                </c:pt>
                <c:pt idx="5">
                  <c:v>1923.0159864353411</c:v>
                </c:pt>
                <c:pt idx="6">
                  <c:v>2022.4359129340485</c:v>
                </c:pt>
                <c:pt idx="7">
                  <c:v>2126.995849632739</c:v>
                </c:pt>
              </c:numCache>
            </c:numRef>
          </c:val>
          <c:smooth val="0"/>
          <c:extLst>
            <c:ext xmlns:c16="http://schemas.microsoft.com/office/drawing/2014/chart" uri="{C3380CC4-5D6E-409C-BE32-E72D297353CC}">
              <c16:uniqueId val="{00000001-6027-4F6A-BDA0-7D0BDB9EA0AA}"/>
            </c:ext>
          </c:extLst>
        </c:ser>
        <c:ser>
          <c:idx val="2"/>
          <c:order val="2"/>
          <c:tx>
            <c:v>Accumulated loss</c:v>
          </c:tx>
          <c:spPr>
            <a:ln w="28575" cap="rnd">
              <a:solidFill>
                <a:schemeClr val="accent3"/>
              </a:solidFill>
              <a:round/>
            </a:ln>
            <a:effectLst/>
          </c:spPr>
          <c:marker>
            <c:symbol val="none"/>
          </c:marker>
          <c:cat>
            <c:numRef>
              <c:f>GDP!$AG$22:$AG$29</c:f>
              <c:numCache>
                <c:formatCode>General</c:formatCode>
                <c:ptCount val="8"/>
                <c:pt idx="0">
                  <c:v>2010</c:v>
                </c:pt>
                <c:pt idx="1">
                  <c:v>2011</c:v>
                </c:pt>
                <c:pt idx="2">
                  <c:v>2012</c:v>
                </c:pt>
                <c:pt idx="3">
                  <c:v>2013</c:v>
                </c:pt>
                <c:pt idx="4">
                  <c:v>2014</c:v>
                </c:pt>
                <c:pt idx="5">
                  <c:v>2015</c:v>
                </c:pt>
                <c:pt idx="6">
                  <c:v>2016</c:v>
                </c:pt>
                <c:pt idx="7">
                  <c:v>2017</c:v>
                </c:pt>
              </c:numCache>
            </c:numRef>
          </c:cat>
          <c:val>
            <c:numRef>
              <c:f>GDP!$AK$22:$AK$29</c:f>
              <c:numCache>
                <c:formatCode>_(* #,##0_);_(* \(#,##0\);_(* "-"??_);_(@_)</c:formatCode>
                <c:ptCount val="8"/>
                <c:pt idx="0">
                  <c:v>0</c:v>
                </c:pt>
                <c:pt idx="1">
                  <c:v>34.674561499999982</c:v>
                </c:pt>
                <c:pt idx="2">
                  <c:v>555.49557252955015</c:v>
                </c:pt>
                <c:pt idx="3">
                  <c:v>1459.5826510356819</c:v>
                </c:pt>
                <c:pt idx="4">
                  <c:v>2546.9430210770083</c:v>
                </c:pt>
                <c:pt idx="5">
                  <c:v>3769.2067776167869</c:v>
                </c:pt>
                <c:pt idx="6">
                  <c:v>5108.431475905053</c:v>
                </c:pt>
                <c:pt idx="7">
                  <c:v>6562.1925424189039</c:v>
                </c:pt>
              </c:numCache>
            </c:numRef>
          </c:val>
          <c:smooth val="0"/>
          <c:extLst>
            <c:ext xmlns:c16="http://schemas.microsoft.com/office/drawing/2014/chart" uri="{C3380CC4-5D6E-409C-BE32-E72D297353CC}">
              <c16:uniqueId val="{00000002-6027-4F6A-BDA0-7D0BDB9EA0AA}"/>
            </c:ext>
          </c:extLst>
        </c:ser>
        <c:dLbls>
          <c:showLegendKey val="0"/>
          <c:showVal val="0"/>
          <c:showCatName val="0"/>
          <c:showSerName val="0"/>
          <c:showPercent val="0"/>
          <c:showBubbleSize val="0"/>
        </c:dLbls>
        <c:smooth val="0"/>
        <c:axId val="463818200"/>
        <c:axId val="463816232"/>
      </c:lineChart>
      <c:catAx>
        <c:axId val="46381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816232"/>
        <c:crosses val="autoZero"/>
        <c:auto val="1"/>
        <c:lblAlgn val="ctr"/>
        <c:lblOffset val="100"/>
        <c:noMultiLvlLbl val="0"/>
      </c:catAx>
      <c:valAx>
        <c:axId val="463816232"/>
        <c:scaling>
          <c:orientation val="minMax"/>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818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Official Price</c:v>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308C-499F-86F1-464C3575938B}"/>
                </c:ext>
              </c:extLst>
            </c:dLbl>
            <c:dLbl>
              <c:idx val="1"/>
              <c:layout>
                <c:manualLayout>
                  <c:x val="-2.7777777777777779E-3"/>
                  <c:y val="2.77777777777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8C-499F-86F1-464C3575938B}"/>
                </c:ext>
              </c:extLst>
            </c:dLbl>
            <c:dLbl>
              <c:idx val="2"/>
              <c:layout>
                <c:manualLayout>
                  <c:x val="8.3333333333332829E-3"/>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8C-499F-86F1-464C3575938B}"/>
                </c:ext>
              </c:extLst>
            </c:dLbl>
            <c:dLbl>
              <c:idx val="3"/>
              <c:layout>
                <c:manualLayout>
                  <c:x val="2.7777777777777267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8C-499F-86F1-464C3575938B}"/>
                </c:ext>
              </c:extLst>
            </c:dLbl>
            <c:dLbl>
              <c:idx val="4"/>
              <c:layout>
                <c:manualLayout>
                  <c:x val="-2.7777777777778798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8C-499F-86F1-464C3575938B}"/>
                </c:ext>
              </c:extLst>
            </c:dLbl>
            <c:dLbl>
              <c:idx val="5"/>
              <c:layout>
                <c:manualLayout>
                  <c:x val="-2.7777777777777779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8C-499F-86F1-464C3575938B}"/>
                </c:ext>
              </c:extLst>
            </c:dLbl>
            <c:dLbl>
              <c:idx val="6"/>
              <c:layout>
                <c:manualLayout>
                  <c:x val="-2.2222222222222223E-2"/>
                  <c:y val="4.1666666666666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8C-499F-86F1-464C3575938B}"/>
                </c:ext>
              </c:extLst>
            </c:dLbl>
            <c:dLbl>
              <c:idx val="7"/>
              <c:layout>
                <c:manualLayout>
                  <c:x val="-1.111111111111121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8C-499F-86F1-464C3575938B}"/>
                </c:ext>
              </c:extLst>
            </c:dLbl>
            <c:dLbl>
              <c:idx val="8"/>
              <c:layout>
                <c:manualLayout>
                  <c:x val="-1.9444444444444445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8C-499F-86F1-464C357593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dd/mm/yyyy</c:formatCode>
                <c:ptCount val="10"/>
                <c:pt idx="0">
                  <c:v>40544</c:v>
                </c:pt>
                <c:pt idx="1">
                  <c:v>40909</c:v>
                </c:pt>
                <c:pt idx="2">
                  <c:v>41275</c:v>
                </c:pt>
                <c:pt idx="3">
                  <c:v>41640</c:v>
                </c:pt>
                <c:pt idx="4">
                  <c:v>42005</c:v>
                </c:pt>
                <c:pt idx="5">
                  <c:v>42370</c:v>
                </c:pt>
                <c:pt idx="6">
                  <c:v>42736</c:v>
                </c:pt>
                <c:pt idx="7">
                  <c:v>43101</c:v>
                </c:pt>
                <c:pt idx="8">
                  <c:v>43466</c:v>
                </c:pt>
                <c:pt idx="9">
                  <c:v>43831</c:v>
                </c:pt>
              </c:numCache>
            </c:numRef>
          </c:cat>
          <c:val>
            <c:numRef>
              <c:f>Sheet1!$B$2:$B$11</c:f>
              <c:numCache>
                <c:formatCode>General</c:formatCode>
                <c:ptCount val="10"/>
                <c:pt idx="0">
                  <c:v>47</c:v>
                </c:pt>
                <c:pt idx="1">
                  <c:v>55.75</c:v>
                </c:pt>
                <c:pt idx="2">
                  <c:v>77.5</c:v>
                </c:pt>
                <c:pt idx="3">
                  <c:v>141.80000000000001</c:v>
                </c:pt>
                <c:pt idx="4">
                  <c:v>181</c:v>
                </c:pt>
                <c:pt idx="5">
                  <c:v>313</c:v>
                </c:pt>
                <c:pt idx="6">
                  <c:v>498.5</c:v>
                </c:pt>
                <c:pt idx="7">
                  <c:v>434</c:v>
                </c:pt>
                <c:pt idx="8">
                  <c:v>436.5</c:v>
                </c:pt>
                <c:pt idx="9">
                  <c:v>436.5</c:v>
                </c:pt>
              </c:numCache>
            </c:numRef>
          </c:val>
          <c:smooth val="0"/>
          <c:extLst>
            <c:ext xmlns:c16="http://schemas.microsoft.com/office/drawing/2014/chart" uri="{C3380CC4-5D6E-409C-BE32-E72D297353CC}">
              <c16:uniqueId val="{00000009-308C-499F-86F1-464C3575938B}"/>
            </c:ext>
          </c:extLst>
        </c:ser>
        <c:ser>
          <c:idx val="1"/>
          <c:order val="1"/>
          <c:tx>
            <c:v>Market Price</c:v>
          </c:tx>
          <c:spPr>
            <a:ln w="28575" cap="rnd">
              <a:solidFill>
                <a:schemeClr val="accent2"/>
              </a:solidFill>
              <a:round/>
            </a:ln>
            <a:effectLst/>
          </c:spPr>
          <c:marker>
            <c:symbol val="none"/>
          </c:marker>
          <c:dLbls>
            <c:dLbl>
              <c:idx val="0"/>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8C-499F-86F1-464C3575938B}"/>
                </c:ext>
              </c:extLst>
            </c:dLbl>
            <c:dLbl>
              <c:idx val="1"/>
              <c:layout>
                <c:manualLayout>
                  <c:x val="-8.3333333333333835E-3"/>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8C-499F-86F1-464C3575938B}"/>
                </c:ext>
              </c:extLst>
            </c:dLbl>
            <c:dLbl>
              <c:idx val="2"/>
              <c:layout>
                <c:manualLayout>
                  <c:x val="-2.7777777777778286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8C-499F-86F1-464C3575938B}"/>
                </c:ext>
              </c:extLst>
            </c:dLbl>
            <c:dLbl>
              <c:idx val="3"/>
              <c:layout>
                <c:manualLayout>
                  <c:x val="-8.3333333333333332E-3"/>
                  <c:y val="-0.101851851851851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8C-499F-86F1-464C3575938B}"/>
                </c:ext>
              </c:extLst>
            </c:dLbl>
            <c:dLbl>
              <c:idx val="4"/>
              <c:layout>
                <c:manualLayout>
                  <c:x val="-2.5000000000000001E-2"/>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8C-499F-86F1-464C3575938B}"/>
                </c:ext>
              </c:extLst>
            </c:dLbl>
            <c:dLbl>
              <c:idx val="5"/>
              <c:layout>
                <c:manualLayout>
                  <c:x val="-2.7777777777777776E-2"/>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8C-499F-86F1-464C3575938B}"/>
                </c:ext>
              </c:extLst>
            </c:dLbl>
            <c:dLbl>
              <c:idx val="6"/>
              <c:layout>
                <c:manualLayout>
                  <c:x val="-2.5000000000000001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8C-499F-86F1-464C3575938B}"/>
                </c:ext>
              </c:extLst>
            </c:dLbl>
            <c:dLbl>
              <c:idx val="7"/>
              <c:layout>
                <c:manualLayout>
                  <c:x val="-1.9444444444444545E-2"/>
                  <c:y val="-8.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8C-499F-86F1-464C3575938B}"/>
                </c:ext>
              </c:extLst>
            </c:dLbl>
            <c:dLbl>
              <c:idx val="8"/>
              <c:layout>
                <c:manualLayout>
                  <c:x val="-4.4444444444444446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8C-499F-86F1-464C357593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dd/mm/yyyy</c:formatCode>
                <c:ptCount val="10"/>
                <c:pt idx="0">
                  <c:v>40544</c:v>
                </c:pt>
                <c:pt idx="1">
                  <c:v>40909</c:v>
                </c:pt>
                <c:pt idx="2">
                  <c:v>41275</c:v>
                </c:pt>
                <c:pt idx="3">
                  <c:v>41640</c:v>
                </c:pt>
                <c:pt idx="4">
                  <c:v>42005</c:v>
                </c:pt>
                <c:pt idx="5">
                  <c:v>42370</c:v>
                </c:pt>
                <c:pt idx="6">
                  <c:v>42736</c:v>
                </c:pt>
                <c:pt idx="7">
                  <c:v>43101</c:v>
                </c:pt>
                <c:pt idx="8">
                  <c:v>43466</c:v>
                </c:pt>
                <c:pt idx="9">
                  <c:v>43831</c:v>
                </c:pt>
              </c:numCache>
            </c:numRef>
          </c:cat>
          <c:val>
            <c:numRef>
              <c:f>Sheet1!$C$2:$C$11</c:f>
              <c:numCache>
                <c:formatCode>General</c:formatCode>
                <c:ptCount val="10"/>
                <c:pt idx="0">
                  <c:v>47</c:v>
                </c:pt>
                <c:pt idx="1">
                  <c:v>60</c:v>
                </c:pt>
                <c:pt idx="2">
                  <c:v>93</c:v>
                </c:pt>
                <c:pt idx="3">
                  <c:v>146</c:v>
                </c:pt>
                <c:pt idx="4">
                  <c:v>210</c:v>
                </c:pt>
                <c:pt idx="5">
                  <c:v>391</c:v>
                </c:pt>
                <c:pt idx="6">
                  <c:v>510</c:v>
                </c:pt>
                <c:pt idx="7">
                  <c:v>460</c:v>
                </c:pt>
                <c:pt idx="8">
                  <c:v>498</c:v>
                </c:pt>
                <c:pt idx="9">
                  <c:v>911</c:v>
                </c:pt>
              </c:numCache>
            </c:numRef>
          </c:val>
          <c:smooth val="0"/>
          <c:extLst>
            <c:ext xmlns:c16="http://schemas.microsoft.com/office/drawing/2014/chart" uri="{C3380CC4-5D6E-409C-BE32-E72D297353CC}">
              <c16:uniqueId val="{00000013-308C-499F-86F1-464C3575938B}"/>
            </c:ext>
          </c:extLst>
        </c:ser>
        <c:dLbls>
          <c:showLegendKey val="0"/>
          <c:showVal val="0"/>
          <c:showCatName val="0"/>
          <c:showSerName val="0"/>
          <c:showPercent val="0"/>
          <c:showBubbleSize val="0"/>
        </c:dLbls>
        <c:smooth val="0"/>
        <c:axId val="467789160"/>
        <c:axId val="467789488"/>
      </c:lineChart>
      <c:dateAx>
        <c:axId val="467789160"/>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89488"/>
        <c:crosses val="autoZero"/>
        <c:auto val="1"/>
        <c:lblOffset val="100"/>
        <c:baseTimeUnit val="years"/>
      </c:dateAx>
      <c:valAx>
        <c:axId val="46778948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789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3C62-6EAE-489E-8458-4E5B7A70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1</Pages>
  <Words>27067</Words>
  <Characters>154286</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Mohammadia</dc:creator>
  <dc:description/>
  <cp:lastModifiedBy>Kamal Mohammadia</cp:lastModifiedBy>
  <cp:revision>304</cp:revision>
  <cp:lastPrinted>2020-05-31T00:41:00Z</cp:lastPrinted>
  <dcterms:created xsi:type="dcterms:W3CDTF">2020-05-21T21:46:00Z</dcterms:created>
  <dcterms:modified xsi:type="dcterms:W3CDTF">2020-05-31T00:43:00Z</dcterms:modified>
</cp:coreProperties>
</file>