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63087" w:rsidRPr="00032306" w:rsidRDefault="00563087" w:rsidP="00563087">
      <w:pPr>
        <w:pStyle w:val="SVEcentered"/>
      </w:pPr>
      <w:r w:rsidRPr="00032306">
        <w:t>Federal State Institution of Higher Professional Education</w:t>
      </w:r>
    </w:p>
    <w:p w:rsidR="00563087" w:rsidRPr="00032306" w:rsidRDefault="00563087" w:rsidP="00563087">
      <w:pPr>
        <w:pStyle w:val="SVEcentered"/>
      </w:pPr>
      <w:r w:rsidRPr="00032306">
        <w:t>Saint-Petersburg University</w:t>
      </w:r>
    </w:p>
    <w:p w:rsidR="00563087" w:rsidRDefault="00563087" w:rsidP="00563087">
      <w:pPr>
        <w:pStyle w:val="SVEcentered"/>
      </w:pPr>
      <w:r w:rsidRPr="00032306">
        <w:t>Graduate School of Management</w:t>
      </w:r>
    </w:p>
    <w:p w:rsidR="00413738" w:rsidRDefault="00413738" w:rsidP="00413738">
      <w:pPr>
        <w:rPr>
          <w:lang w:val="en-US"/>
        </w:rPr>
      </w:pPr>
    </w:p>
    <w:p w:rsidR="00413738" w:rsidRPr="00413738" w:rsidRDefault="00413738" w:rsidP="00413738">
      <w:pPr>
        <w:jc w:val="center"/>
        <w:rPr>
          <w:lang w:val="en-US"/>
        </w:rPr>
      </w:pPr>
      <w:r>
        <w:rPr>
          <w:lang w:val="en-US"/>
        </w:rPr>
        <w:t>International Management</w:t>
      </w:r>
    </w:p>
    <w:p w:rsidR="00850877" w:rsidRDefault="00850877" w:rsidP="00413738">
      <w:pPr>
        <w:ind w:firstLine="0"/>
        <w:rPr>
          <w:lang w:val="en-US"/>
        </w:rPr>
      </w:pPr>
    </w:p>
    <w:p w:rsidR="00850877" w:rsidRPr="00AA1B93" w:rsidRDefault="00850877" w:rsidP="00850877">
      <w:pPr>
        <w:rPr>
          <w:lang w:val="en-US"/>
        </w:rPr>
      </w:pPr>
    </w:p>
    <w:p w:rsidR="00850877" w:rsidRPr="00B7393A" w:rsidRDefault="00B7393A" w:rsidP="00850877">
      <w:pPr>
        <w:rPr>
          <w:b/>
          <w:lang w:val="en-US"/>
        </w:rPr>
      </w:pPr>
      <w:r w:rsidRPr="00B7393A">
        <w:rPr>
          <w:b/>
          <w:lang w:val="en-GB"/>
        </w:rPr>
        <w:t>Impact of renewable energy M&amp;A deals on stock returns of oil and gas companies</w:t>
      </w:r>
    </w:p>
    <w:p w:rsidR="00850877" w:rsidRPr="00AA1B93" w:rsidRDefault="00850877" w:rsidP="0056410F">
      <w:pPr>
        <w:ind w:firstLine="0"/>
        <w:rPr>
          <w:lang w:val="en-US"/>
        </w:rPr>
      </w:pPr>
    </w:p>
    <w:p w:rsidR="00563087" w:rsidRPr="00032306" w:rsidRDefault="00413738" w:rsidP="00850877">
      <w:pPr>
        <w:pStyle w:val="SVEwithindent"/>
      </w:pPr>
      <w:r>
        <w:t>Final paper by</w:t>
      </w:r>
    </w:p>
    <w:p w:rsidR="00563087" w:rsidRPr="00563087" w:rsidRDefault="00D44257" w:rsidP="00850877">
      <w:pPr>
        <w:pStyle w:val="SVEwithindent"/>
        <w:rPr>
          <w:rStyle w:val="SVEemphsized"/>
        </w:rPr>
      </w:pPr>
      <w:r>
        <w:t>4</w:t>
      </w:r>
      <w:r w:rsidRPr="00D44257">
        <w:rPr>
          <w:vertAlign w:val="superscript"/>
        </w:rPr>
        <w:t>th</w:t>
      </w:r>
      <w:r w:rsidR="00563087" w:rsidRPr="00032306">
        <w:t xml:space="preserve"> year bachelor</w:t>
      </w:r>
      <w:r w:rsidR="008A0911">
        <w:t xml:space="preserve"> </w:t>
      </w:r>
      <w:r w:rsidR="008A0911" w:rsidRPr="00032306">
        <w:t>student</w:t>
      </w:r>
      <w:r w:rsidR="00563087" w:rsidRPr="00032306">
        <w:t xml:space="preserve">, </w:t>
      </w:r>
    </w:p>
    <w:p w:rsidR="00563087" w:rsidRPr="00032306" w:rsidRDefault="00D44257" w:rsidP="00850877">
      <w:pPr>
        <w:pStyle w:val="SVEwithindent"/>
      </w:pPr>
      <w:r>
        <w:t>International Management</w:t>
      </w:r>
      <w:r w:rsidR="008A0911">
        <w:t xml:space="preserve"> program</w:t>
      </w:r>
    </w:p>
    <w:p w:rsidR="00563087" w:rsidRPr="00850877" w:rsidRDefault="00563087" w:rsidP="00850877">
      <w:pPr>
        <w:pStyle w:val="SVEwithindent"/>
        <w:rPr>
          <w:rStyle w:val="SVEemphsized"/>
        </w:rPr>
      </w:pPr>
      <w:r w:rsidRPr="00850877">
        <w:rPr>
          <w:rStyle w:val="SVEemphsized"/>
        </w:rPr>
        <w:t>Sviridov Artem</w:t>
      </w:r>
    </w:p>
    <w:p w:rsidR="00850877" w:rsidRDefault="00850877" w:rsidP="00563087">
      <w:pPr>
        <w:pStyle w:val="SVEwithindent"/>
        <w:rPr>
          <w:rStyle w:val="SVEunderlined"/>
        </w:rPr>
      </w:pPr>
      <w:r>
        <w:rPr>
          <w:rStyle w:val="SVEunderlined"/>
        </w:rPr>
        <w:tab/>
      </w:r>
      <w:r>
        <w:rPr>
          <w:rStyle w:val="SVEunderlined"/>
        </w:rPr>
        <w:tab/>
      </w:r>
      <w:r>
        <w:rPr>
          <w:rStyle w:val="SVEunderlined"/>
        </w:rPr>
        <w:tab/>
      </w:r>
      <w:r>
        <w:rPr>
          <w:rStyle w:val="SVEunderlined"/>
        </w:rPr>
        <w:tab/>
      </w:r>
      <w:r>
        <w:rPr>
          <w:rStyle w:val="SVEunderlined"/>
        </w:rPr>
        <w:tab/>
      </w:r>
      <w:r>
        <w:rPr>
          <w:rStyle w:val="SVEunderlined"/>
        </w:rPr>
        <w:tab/>
      </w:r>
      <w:r>
        <w:rPr>
          <w:rStyle w:val="SVEunderlined"/>
        </w:rPr>
        <w:tab/>
      </w:r>
    </w:p>
    <w:p w:rsidR="00850877" w:rsidRDefault="00850877" w:rsidP="00563087">
      <w:pPr>
        <w:pStyle w:val="SVEwithindent"/>
        <w:rPr>
          <w:rStyle w:val="SVEunderlined"/>
        </w:rPr>
      </w:pPr>
    </w:p>
    <w:p w:rsidR="00D44257" w:rsidRPr="00D44257" w:rsidRDefault="00D44257" w:rsidP="00D44257">
      <w:pPr>
        <w:pStyle w:val="SSwithleftindent8cm"/>
        <w:rPr>
          <w:rStyle w:val="SSUnderlined"/>
          <w:u w:val="none"/>
          <w:lang w:val="en-US"/>
        </w:rPr>
      </w:pPr>
      <w:r w:rsidRPr="00D44257">
        <w:rPr>
          <w:rStyle w:val="SSUnderlined"/>
          <w:u w:val="none"/>
          <w:lang w:val="en-US"/>
        </w:rPr>
        <w:t>Scientific Advisor:</w:t>
      </w:r>
    </w:p>
    <w:p w:rsidR="00D44257" w:rsidRPr="00D44257" w:rsidRDefault="00D44257" w:rsidP="00D44257">
      <w:pPr>
        <w:pStyle w:val="SSwithleftindent8cm"/>
        <w:rPr>
          <w:rStyle w:val="SSUnderlined"/>
          <w:u w:val="none"/>
          <w:lang w:val="en-US"/>
        </w:rPr>
      </w:pPr>
      <w:r w:rsidRPr="00D44257">
        <w:rPr>
          <w:rStyle w:val="SSUnderlined"/>
          <w:u w:val="none"/>
          <w:lang w:val="en-US"/>
        </w:rPr>
        <w:t>Associate Professor, Department of Strategic and International Management</w:t>
      </w:r>
    </w:p>
    <w:p w:rsidR="00850877" w:rsidRPr="00D44257" w:rsidRDefault="00D44257" w:rsidP="00D44257">
      <w:pPr>
        <w:pStyle w:val="SSwithleftindent8cm"/>
        <w:rPr>
          <w:rStyle w:val="SVEunderlined"/>
          <w:b/>
          <w:u w:val="none"/>
          <w:lang w:val="en-US"/>
        </w:rPr>
      </w:pPr>
      <w:r>
        <w:rPr>
          <w:rStyle w:val="SSBold"/>
        </w:rPr>
        <w:t>Olga L. Garanina</w:t>
      </w:r>
    </w:p>
    <w:p w:rsidR="00850877" w:rsidRPr="00850877" w:rsidRDefault="00850877" w:rsidP="00563087">
      <w:pPr>
        <w:pStyle w:val="SVEwithindent"/>
        <w:rPr>
          <w:rStyle w:val="SVEunderlined"/>
        </w:rPr>
      </w:pPr>
      <w:r w:rsidRPr="00850877">
        <w:rPr>
          <w:rStyle w:val="SVEunderlined"/>
        </w:rPr>
        <w:tab/>
      </w:r>
      <w:r w:rsidRPr="00850877">
        <w:rPr>
          <w:rStyle w:val="SVEunderlined"/>
        </w:rPr>
        <w:tab/>
      </w:r>
      <w:r w:rsidRPr="00850877">
        <w:rPr>
          <w:rStyle w:val="SVEunderlined"/>
        </w:rPr>
        <w:tab/>
      </w:r>
      <w:r w:rsidRPr="00850877">
        <w:rPr>
          <w:rStyle w:val="SVEunderlined"/>
        </w:rPr>
        <w:tab/>
      </w:r>
    </w:p>
    <w:p w:rsidR="00850877" w:rsidRDefault="00850877" w:rsidP="00563087">
      <w:pPr>
        <w:pStyle w:val="SVEwithindent"/>
        <w:rPr>
          <w:rStyle w:val="SVEemphsized"/>
        </w:rPr>
      </w:pPr>
    </w:p>
    <w:p w:rsidR="00850877" w:rsidRDefault="00850877" w:rsidP="00563087">
      <w:pPr>
        <w:pStyle w:val="SVEwithindent"/>
        <w:rPr>
          <w:rStyle w:val="SVEemphsized"/>
        </w:rPr>
      </w:pPr>
    </w:p>
    <w:p w:rsidR="00850877" w:rsidRDefault="00850877" w:rsidP="00563087">
      <w:pPr>
        <w:pStyle w:val="SVEwithindent"/>
        <w:rPr>
          <w:rStyle w:val="SVEemphsized"/>
        </w:rPr>
      </w:pPr>
    </w:p>
    <w:p w:rsidR="00850877" w:rsidRDefault="00850877" w:rsidP="00563087">
      <w:pPr>
        <w:pStyle w:val="SVEwithindent"/>
        <w:rPr>
          <w:rStyle w:val="SVEemphsized"/>
        </w:rPr>
      </w:pPr>
    </w:p>
    <w:p w:rsidR="00850877" w:rsidRDefault="00850877" w:rsidP="00563087">
      <w:pPr>
        <w:pStyle w:val="SVEwithindent"/>
        <w:rPr>
          <w:rStyle w:val="SVEemphsized"/>
        </w:rPr>
      </w:pPr>
    </w:p>
    <w:p w:rsidR="00850877" w:rsidRDefault="00850877" w:rsidP="00563087">
      <w:pPr>
        <w:pStyle w:val="SVEwithindent"/>
        <w:rPr>
          <w:rStyle w:val="SVEemphsized"/>
        </w:rPr>
      </w:pPr>
    </w:p>
    <w:p w:rsidR="00850877" w:rsidRPr="00563087" w:rsidRDefault="00850877" w:rsidP="00563087">
      <w:pPr>
        <w:pStyle w:val="SVEwithindent"/>
        <w:rPr>
          <w:rStyle w:val="SVEemphsized"/>
        </w:rPr>
      </w:pPr>
    </w:p>
    <w:p w:rsidR="00563087" w:rsidRPr="00032306" w:rsidRDefault="00563087" w:rsidP="00850877">
      <w:pPr>
        <w:pStyle w:val="SVEcentered"/>
      </w:pPr>
      <w:r w:rsidRPr="00032306">
        <w:t>Saint-Petersburg</w:t>
      </w:r>
    </w:p>
    <w:p w:rsidR="00850877" w:rsidRDefault="00D44257" w:rsidP="00850877">
      <w:pPr>
        <w:pStyle w:val="SVEcentered"/>
      </w:pPr>
      <w:r>
        <w:t>2021</w:t>
      </w:r>
    </w:p>
    <w:p w:rsidR="00D44257" w:rsidRDefault="00D44257" w:rsidP="00D44257">
      <w:pPr>
        <w:rPr>
          <w:lang w:val="en-US"/>
        </w:rPr>
      </w:pPr>
    </w:p>
    <w:p w:rsidR="00D44257" w:rsidRDefault="00D44257" w:rsidP="00D44257">
      <w:pPr>
        <w:rPr>
          <w:lang w:val="en-US"/>
        </w:rPr>
      </w:pPr>
    </w:p>
    <w:p w:rsidR="00D44257" w:rsidRDefault="00D44257" w:rsidP="00D44257">
      <w:pPr>
        <w:rPr>
          <w:lang w:val="en-US"/>
        </w:rPr>
      </w:pPr>
    </w:p>
    <w:p w:rsidR="0030078C" w:rsidRDefault="0030078C" w:rsidP="00E818AC">
      <w:pPr>
        <w:ind w:firstLine="0"/>
        <w:jc w:val="left"/>
        <w:rPr>
          <w:b/>
          <w:lang w:val="en-GB"/>
        </w:rPr>
      </w:pPr>
    </w:p>
    <w:p w:rsidR="008A0911" w:rsidRDefault="008A0911" w:rsidP="00E818AC">
      <w:pPr>
        <w:ind w:firstLine="0"/>
        <w:jc w:val="left"/>
        <w:rPr>
          <w:b/>
          <w:lang w:val="en-GB"/>
        </w:rPr>
      </w:pPr>
    </w:p>
    <w:p w:rsidR="008A0911" w:rsidRDefault="008A0911" w:rsidP="00B1176A">
      <w:pPr>
        <w:ind w:firstLine="0"/>
        <w:jc w:val="right"/>
        <w:rPr>
          <w:b/>
          <w:lang w:val="en-GB"/>
        </w:rPr>
      </w:pPr>
    </w:p>
    <w:p w:rsidR="008A0911" w:rsidRPr="008A0911" w:rsidRDefault="008A0911" w:rsidP="008A0911">
      <w:pPr>
        <w:ind w:firstLine="0"/>
        <w:jc w:val="left"/>
        <w:rPr>
          <w:b/>
          <w:lang w:val="en-GB"/>
        </w:rPr>
      </w:pPr>
      <w:r w:rsidRPr="008A0911">
        <w:rPr>
          <w:b/>
          <w:lang w:val="en-GB"/>
        </w:rPr>
        <w:lastRenderedPageBreak/>
        <w:t>STATEMENT ABOUT THE INDEPENDENT CHARACTER OF THE COURSE PAPER.</w:t>
      </w:r>
    </w:p>
    <w:p w:rsidR="008A0911" w:rsidRPr="008A0911" w:rsidRDefault="008A0911" w:rsidP="008A0911">
      <w:pPr>
        <w:ind w:firstLine="0"/>
        <w:jc w:val="left"/>
        <w:rPr>
          <w:lang w:val="en-GB"/>
        </w:rPr>
      </w:pPr>
      <w:r>
        <w:rPr>
          <w:lang w:val="en-GB"/>
        </w:rPr>
        <w:t xml:space="preserve">I, Sviridov </w:t>
      </w:r>
      <w:r w:rsidR="00B1176A">
        <w:rPr>
          <w:lang w:val="en-GB"/>
        </w:rPr>
        <w:t>Artem</w:t>
      </w:r>
      <w:r w:rsidRPr="008A0911">
        <w:rPr>
          <w:lang w:val="en-GB"/>
        </w:rPr>
        <w:t xml:space="preserve">, the fourth-year bachelor student, GSOM SPbU (program “International Management”), state that my course paper on the topic “Impact of renewable energy M&amp;A deals on stock returns of oil and gas companies”, which is presented for the public </w:t>
      </w:r>
      <w:r w:rsidR="00B1176A" w:rsidRPr="008A0911">
        <w:rPr>
          <w:lang w:val="en-GB"/>
        </w:rPr>
        <w:t>defence</w:t>
      </w:r>
      <w:r w:rsidRPr="008A0911">
        <w:rPr>
          <w:lang w:val="en-GB"/>
        </w:rPr>
        <w:t xml:space="preserve"> in June </w:t>
      </w:r>
      <w:r w:rsidR="004E31F2">
        <w:rPr>
          <w:lang w:val="en-GB"/>
        </w:rPr>
        <w:t>18</w:t>
      </w:r>
      <w:r w:rsidR="004E31F2" w:rsidRPr="004E31F2">
        <w:rPr>
          <w:vertAlign w:val="superscript"/>
          <w:lang w:val="en-GB"/>
        </w:rPr>
        <w:t>th</w:t>
      </w:r>
      <w:r w:rsidR="004E31F2">
        <w:rPr>
          <w:lang w:val="en-GB"/>
        </w:rPr>
        <w:t xml:space="preserve"> </w:t>
      </w:r>
      <w:r w:rsidRPr="008A0911">
        <w:rPr>
          <w:lang w:val="en-GB"/>
        </w:rPr>
        <w:t>2020, does not contain any elements of plagiarism.</w:t>
      </w:r>
    </w:p>
    <w:p w:rsidR="008A0911" w:rsidRPr="008A0911" w:rsidRDefault="008A0911" w:rsidP="008A0911">
      <w:pPr>
        <w:ind w:firstLine="0"/>
        <w:jc w:val="left"/>
        <w:rPr>
          <w:lang w:val="en-GB"/>
        </w:rPr>
      </w:pPr>
      <w:r w:rsidRPr="008A0911">
        <w:rPr>
          <w:lang w:val="en-GB"/>
        </w:rPr>
        <w:t>All direct borrowings from printed and electronic sources, as well as from bachelor and master theses, PhD and doctoral theses, which were defended earlier, have appropriated references.</w:t>
      </w:r>
    </w:p>
    <w:p w:rsidR="008A0911" w:rsidRDefault="008A0911" w:rsidP="008A0911">
      <w:pPr>
        <w:ind w:firstLine="0"/>
        <w:jc w:val="left"/>
        <w:rPr>
          <w:lang w:val="en-GB"/>
        </w:rPr>
      </w:pPr>
      <w:r w:rsidRPr="008A0911">
        <w:rPr>
          <w:lang w:val="en-GB"/>
        </w:rPr>
        <w:t>I am aware that according to the paragraph 9.7.1. of Guidelines for instruction in major curriculum programs of higher and secondary professional education at St. Petersburg University “Final thesis must be completed by each of the degree candidates individually under the supervision of his or her advisors, and according to the paragraph 51 of Charter of the Federal State Institution of Higher Professional Education St. Petersburg State University “a student can be expelled from St. Petersburg State University for submitting of the course or graduation qualification work developed by other person (persons)”.</w:t>
      </w:r>
    </w:p>
    <w:p w:rsidR="00FA4CB6" w:rsidRDefault="00FA4CB6" w:rsidP="008A0911">
      <w:pPr>
        <w:ind w:firstLine="0"/>
        <w:jc w:val="left"/>
        <w:rPr>
          <w:lang w:val="en-GB"/>
        </w:rPr>
      </w:pPr>
      <w:r>
        <w:rPr>
          <w:lang w:val="en-GB"/>
        </w:rPr>
        <w:t>Date: 3 June 2021</w:t>
      </w:r>
    </w:p>
    <w:p w:rsidR="00A035BA" w:rsidRDefault="00FA4CB6" w:rsidP="008A0911">
      <w:pPr>
        <w:ind w:firstLine="0"/>
        <w:jc w:val="left"/>
        <w:rPr>
          <w:lang w:val="en-GB"/>
        </w:rPr>
      </w:pPr>
      <w:r>
        <w:rPr>
          <w:lang w:val="en-GB"/>
        </w:rPr>
        <w:t xml:space="preserve">Signature: </w:t>
      </w:r>
    </w:p>
    <w:p w:rsidR="00FA4CB6" w:rsidRPr="00FA4CB6" w:rsidRDefault="00A035BA" w:rsidP="008A0911">
      <w:pPr>
        <w:ind w:firstLine="0"/>
        <w:jc w:val="left"/>
        <w:rPr>
          <w:lang w:val="en-GB"/>
        </w:rPr>
      </w:pPr>
      <w:r>
        <w:rPr>
          <w:noProof/>
          <w:lang w:eastAsia="ru-RU"/>
        </w:rPr>
        <w:drawing>
          <wp:inline distT="0" distB="0" distL="0" distR="0">
            <wp:extent cx="868697" cy="437321"/>
            <wp:effectExtent l="0" t="0" r="7620" b="127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N2oXro9QHdc.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02222" cy="454198"/>
                    </a:xfrm>
                    <a:prstGeom prst="rect">
                      <a:avLst/>
                    </a:prstGeom>
                  </pic:spPr>
                </pic:pic>
              </a:graphicData>
            </a:graphic>
          </wp:inline>
        </w:drawing>
      </w:r>
    </w:p>
    <w:p w:rsidR="004E31F2" w:rsidRDefault="004E31F2" w:rsidP="008A0911">
      <w:pPr>
        <w:ind w:firstLine="0"/>
        <w:jc w:val="left"/>
        <w:rPr>
          <w:lang w:val="en-GB"/>
        </w:rPr>
      </w:pPr>
    </w:p>
    <w:p w:rsidR="004E31F2" w:rsidRPr="00A035BA" w:rsidRDefault="004E31F2" w:rsidP="008A0911">
      <w:pPr>
        <w:ind w:firstLine="0"/>
        <w:jc w:val="left"/>
      </w:pPr>
    </w:p>
    <w:p w:rsidR="008A0911" w:rsidRDefault="008A0911" w:rsidP="008A0911">
      <w:pPr>
        <w:spacing w:after="200" w:line="276" w:lineRule="auto"/>
        <w:ind w:firstLine="0"/>
        <w:jc w:val="left"/>
        <w:rPr>
          <w:b/>
          <w:lang w:val="en-GB"/>
        </w:rPr>
      </w:pPr>
    </w:p>
    <w:p w:rsidR="004E31F2" w:rsidRDefault="004E31F2" w:rsidP="008A0911">
      <w:pPr>
        <w:spacing w:after="200" w:line="276" w:lineRule="auto"/>
        <w:ind w:firstLine="0"/>
        <w:jc w:val="left"/>
        <w:rPr>
          <w:b/>
          <w:lang w:val="en-GB"/>
        </w:rPr>
      </w:pPr>
    </w:p>
    <w:p w:rsidR="004E31F2" w:rsidRDefault="004E31F2" w:rsidP="008A0911">
      <w:pPr>
        <w:spacing w:after="200" w:line="276" w:lineRule="auto"/>
        <w:ind w:firstLine="0"/>
        <w:jc w:val="left"/>
        <w:rPr>
          <w:b/>
          <w:lang w:val="en-GB"/>
        </w:rPr>
      </w:pPr>
    </w:p>
    <w:p w:rsidR="004E31F2" w:rsidRDefault="004E31F2" w:rsidP="008A0911">
      <w:pPr>
        <w:spacing w:after="200" w:line="276" w:lineRule="auto"/>
        <w:ind w:firstLine="0"/>
        <w:jc w:val="left"/>
        <w:rPr>
          <w:b/>
          <w:lang w:val="en-GB"/>
        </w:rPr>
      </w:pPr>
    </w:p>
    <w:p w:rsidR="004E31F2" w:rsidRDefault="004E31F2" w:rsidP="008A0911">
      <w:pPr>
        <w:spacing w:after="200" w:line="276" w:lineRule="auto"/>
        <w:ind w:firstLine="0"/>
        <w:jc w:val="left"/>
        <w:rPr>
          <w:b/>
          <w:lang w:val="en-GB"/>
        </w:rPr>
      </w:pPr>
    </w:p>
    <w:p w:rsidR="004E31F2" w:rsidRDefault="004E31F2" w:rsidP="008A0911">
      <w:pPr>
        <w:spacing w:after="200" w:line="276" w:lineRule="auto"/>
        <w:ind w:firstLine="0"/>
        <w:jc w:val="left"/>
        <w:rPr>
          <w:b/>
          <w:lang w:val="en-GB"/>
        </w:rPr>
      </w:pPr>
    </w:p>
    <w:p w:rsidR="004E31F2" w:rsidRDefault="004E31F2" w:rsidP="008A0911">
      <w:pPr>
        <w:spacing w:after="200" w:line="276" w:lineRule="auto"/>
        <w:ind w:firstLine="0"/>
        <w:jc w:val="left"/>
        <w:rPr>
          <w:b/>
          <w:lang w:val="en-GB"/>
        </w:rPr>
      </w:pPr>
    </w:p>
    <w:p w:rsidR="004E31F2" w:rsidRDefault="004E31F2" w:rsidP="008A0911">
      <w:pPr>
        <w:spacing w:after="200" w:line="276" w:lineRule="auto"/>
        <w:ind w:firstLine="0"/>
        <w:jc w:val="left"/>
        <w:rPr>
          <w:b/>
          <w:lang w:val="en-GB"/>
        </w:rPr>
      </w:pPr>
    </w:p>
    <w:p w:rsidR="004E31F2" w:rsidRDefault="004E31F2" w:rsidP="008A0911">
      <w:pPr>
        <w:spacing w:after="200" w:line="276" w:lineRule="auto"/>
        <w:ind w:firstLine="0"/>
        <w:jc w:val="left"/>
        <w:rPr>
          <w:b/>
          <w:lang w:val="en-GB"/>
        </w:rPr>
      </w:pPr>
    </w:p>
    <w:p w:rsidR="004E31F2" w:rsidRDefault="004E31F2" w:rsidP="008A0911">
      <w:pPr>
        <w:spacing w:after="200" w:line="276" w:lineRule="auto"/>
        <w:ind w:firstLine="0"/>
        <w:jc w:val="left"/>
        <w:rPr>
          <w:b/>
          <w:lang w:val="en-GB"/>
        </w:rPr>
      </w:pPr>
    </w:p>
    <w:p w:rsidR="004E31F2" w:rsidRDefault="004E31F2" w:rsidP="008A0911">
      <w:pPr>
        <w:spacing w:after="200" w:line="276" w:lineRule="auto"/>
        <w:ind w:firstLine="0"/>
        <w:jc w:val="left"/>
        <w:rPr>
          <w:b/>
          <w:lang w:val="en-GB"/>
        </w:rPr>
      </w:pPr>
    </w:p>
    <w:p w:rsidR="004E31F2" w:rsidRDefault="004E31F2" w:rsidP="008A0911">
      <w:pPr>
        <w:spacing w:after="200" w:line="276" w:lineRule="auto"/>
        <w:ind w:firstLine="0"/>
        <w:jc w:val="left"/>
        <w:rPr>
          <w:b/>
          <w:lang w:val="en-GB"/>
        </w:rPr>
      </w:pPr>
    </w:p>
    <w:p w:rsidR="00EF57F7" w:rsidRDefault="00EF57F7" w:rsidP="008A0911">
      <w:pPr>
        <w:spacing w:after="200" w:line="276" w:lineRule="auto"/>
        <w:ind w:firstLine="0"/>
        <w:jc w:val="left"/>
        <w:rPr>
          <w:b/>
          <w:lang w:val="en-GB"/>
        </w:rPr>
        <w:sectPr w:rsidR="00EF57F7" w:rsidSect="004E31F2">
          <w:footerReference w:type="default" r:id="rId9"/>
          <w:footerReference w:type="first" r:id="rId10"/>
          <w:pgSz w:w="11906" w:h="16838"/>
          <w:pgMar w:top="1134" w:right="851" w:bottom="1134" w:left="1701"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pPr>
    </w:p>
    <w:p w:rsidR="004E31F2" w:rsidRDefault="004E31F2" w:rsidP="008A0911">
      <w:pPr>
        <w:spacing w:after="200" w:line="276" w:lineRule="auto"/>
        <w:ind w:firstLine="0"/>
        <w:jc w:val="left"/>
        <w:rPr>
          <w:b/>
          <w:lang w:val="en-GB"/>
        </w:rPr>
      </w:pPr>
    </w:p>
    <w:sdt>
      <w:sdtPr>
        <w:rPr>
          <w:rFonts w:ascii="Times New Roman" w:eastAsiaTheme="minorHAnsi" w:hAnsi="Times New Roman" w:cstheme="minorBidi"/>
          <w:color w:val="auto"/>
          <w:sz w:val="24"/>
          <w:szCs w:val="22"/>
          <w:lang w:val="ru-RU" w:eastAsia="en-US"/>
        </w:rPr>
        <w:id w:val="444118362"/>
        <w:docPartObj>
          <w:docPartGallery w:val="Table of Contents"/>
          <w:docPartUnique/>
        </w:docPartObj>
      </w:sdtPr>
      <w:sdtEndPr>
        <w:rPr>
          <w:b/>
          <w:bCs/>
          <w:highlight w:val="yellow"/>
        </w:rPr>
      </w:sdtEndPr>
      <w:sdtContent>
        <w:p w:rsidR="00B7393A" w:rsidRDefault="00B7393A">
          <w:pPr>
            <w:pStyle w:val="ad"/>
            <w:rPr>
              <w:rFonts w:ascii="Times New Roman" w:eastAsiaTheme="minorHAnsi" w:hAnsi="Times New Roman" w:cstheme="minorBidi"/>
              <w:color w:val="auto"/>
              <w:sz w:val="24"/>
              <w:szCs w:val="22"/>
              <w:lang w:val="ru-RU" w:eastAsia="en-US"/>
            </w:rPr>
          </w:pPr>
        </w:p>
        <w:p w:rsidR="0030078C" w:rsidRPr="0030078C" w:rsidRDefault="0030078C">
          <w:pPr>
            <w:pStyle w:val="ad"/>
            <w:rPr>
              <w:color w:val="000000" w:themeColor="text1"/>
            </w:rPr>
          </w:pPr>
          <w:r w:rsidRPr="0030078C">
            <w:rPr>
              <w:color w:val="000000" w:themeColor="text1"/>
            </w:rPr>
            <w:t>Table of contents</w:t>
          </w:r>
        </w:p>
        <w:p w:rsidR="004E31F2" w:rsidRDefault="0030078C">
          <w:pPr>
            <w:pStyle w:val="12"/>
            <w:tabs>
              <w:tab w:val="right" w:leader="dot" w:pos="9344"/>
            </w:tabs>
            <w:rPr>
              <w:rFonts w:asciiTheme="minorHAnsi" w:eastAsiaTheme="minorEastAsia" w:hAnsiTheme="minorHAnsi"/>
              <w:noProof/>
              <w:sz w:val="22"/>
              <w:lang w:eastAsia="ru-RU"/>
            </w:rPr>
          </w:pPr>
          <w:r>
            <w:rPr>
              <w:b/>
              <w:bCs/>
            </w:rPr>
            <w:fldChar w:fldCharType="begin"/>
          </w:r>
          <w:r>
            <w:rPr>
              <w:b/>
              <w:bCs/>
            </w:rPr>
            <w:instrText xml:space="preserve"> TOC \o "1-3" \h \z \u </w:instrText>
          </w:r>
          <w:r>
            <w:rPr>
              <w:b/>
              <w:bCs/>
            </w:rPr>
            <w:fldChar w:fldCharType="separate"/>
          </w:r>
          <w:hyperlink w:anchor="_Toc73640559" w:history="1">
            <w:r w:rsidR="004E31F2" w:rsidRPr="007257AB">
              <w:rPr>
                <w:rStyle w:val="a4"/>
                <w:noProof/>
                <w:lang w:val="en-GB"/>
              </w:rPr>
              <w:t>Introduction</w:t>
            </w:r>
            <w:r w:rsidR="004E31F2">
              <w:rPr>
                <w:noProof/>
                <w:webHidden/>
              </w:rPr>
              <w:tab/>
            </w:r>
            <w:r w:rsidR="004E31F2">
              <w:rPr>
                <w:noProof/>
                <w:webHidden/>
              </w:rPr>
              <w:fldChar w:fldCharType="begin"/>
            </w:r>
            <w:r w:rsidR="004E31F2">
              <w:rPr>
                <w:noProof/>
                <w:webHidden/>
              </w:rPr>
              <w:instrText xml:space="preserve"> PAGEREF _Toc73640559 \h </w:instrText>
            </w:r>
            <w:r w:rsidR="004E31F2">
              <w:rPr>
                <w:noProof/>
                <w:webHidden/>
              </w:rPr>
            </w:r>
            <w:r w:rsidR="004E31F2">
              <w:rPr>
                <w:noProof/>
                <w:webHidden/>
              </w:rPr>
              <w:fldChar w:fldCharType="separate"/>
            </w:r>
            <w:r w:rsidR="004E31F2">
              <w:rPr>
                <w:noProof/>
                <w:webHidden/>
              </w:rPr>
              <w:t>5</w:t>
            </w:r>
            <w:r w:rsidR="004E31F2">
              <w:rPr>
                <w:noProof/>
                <w:webHidden/>
              </w:rPr>
              <w:fldChar w:fldCharType="end"/>
            </w:r>
          </w:hyperlink>
        </w:p>
        <w:p w:rsidR="004E31F2" w:rsidRDefault="008E3922">
          <w:pPr>
            <w:pStyle w:val="12"/>
            <w:tabs>
              <w:tab w:val="right" w:leader="dot" w:pos="9344"/>
            </w:tabs>
            <w:rPr>
              <w:rFonts w:asciiTheme="minorHAnsi" w:eastAsiaTheme="minorEastAsia" w:hAnsiTheme="minorHAnsi"/>
              <w:noProof/>
              <w:sz w:val="22"/>
              <w:lang w:eastAsia="ru-RU"/>
            </w:rPr>
          </w:pPr>
          <w:hyperlink w:anchor="_Toc73640560" w:history="1">
            <w:r w:rsidR="004E31F2" w:rsidRPr="007257AB">
              <w:rPr>
                <w:rStyle w:val="a4"/>
                <w:noProof/>
                <w:lang w:val="en-GB"/>
              </w:rPr>
              <w:t>Chapter 1. literature review</w:t>
            </w:r>
            <w:r w:rsidR="004E31F2">
              <w:rPr>
                <w:noProof/>
                <w:webHidden/>
              </w:rPr>
              <w:tab/>
            </w:r>
            <w:r w:rsidR="004E31F2">
              <w:rPr>
                <w:noProof/>
                <w:webHidden/>
              </w:rPr>
              <w:fldChar w:fldCharType="begin"/>
            </w:r>
            <w:r w:rsidR="004E31F2">
              <w:rPr>
                <w:noProof/>
                <w:webHidden/>
              </w:rPr>
              <w:instrText xml:space="preserve"> PAGEREF _Toc73640560 \h </w:instrText>
            </w:r>
            <w:r w:rsidR="004E31F2">
              <w:rPr>
                <w:noProof/>
                <w:webHidden/>
              </w:rPr>
            </w:r>
            <w:r w:rsidR="004E31F2">
              <w:rPr>
                <w:noProof/>
                <w:webHidden/>
              </w:rPr>
              <w:fldChar w:fldCharType="separate"/>
            </w:r>
            <w:r w:rsidR="004E31F2">
              <w:rPr>
                <w:noProof/>
                <w:webHidden/>
              </w:rPr>
              <w:t>7</w:t>
            </w:r>
            <w:r w:rsidR="004E31F2">
              <w:rPr>
                <w:noProof/>
                <w:webHidden/>
              </w:rPr>
              <w:fldChar w:fldCharType="end"/>
            </w:r>
          </w:hyperlink>
        </w:p>
        <w:p w:rsidR="004E31F2" w:rsidRDefault="008E3922">
          <w:pPr>
            <w:pStyle w:val="22"/>
            <w:rPr>
              <w:rFonts w:asciiTheme="minorHAnsi" w:eastAsiaTheme="minorEastAsia" w:hAnsiTheme="minorHAnsi"/>
              <w:noProof/>
              <w:sz w:val="22"/>
              <w:lang w:eastAsia="ru-RU"/>
            </w:rPr>
          </w:pPr>
          <w:hyperlink w:anchor="_Toc73640561" w:history="1">
            <w:r w:rsidR="004E31F2" w:rsidRPr="007257AB">
              <w:rPr>
                <w:rStyle w:val="a4"/>
                <w:noProof/>
                <w:lang w:val="en-GB"/>
              </w:rPr>
              <w:t>1.1 The oil and gas industry</w:t>
            </w:r>
            <w:r w:rsidR="004E31F2">
              <w:rPr>
                <w:noProof/>
                <w:webHidden/>
              </w:rPr>
              <w:tab/>
            </w:r>
            <w:r w:rsidR="004E31F2">
              <w:rPr>
                <w:noProof/>
                <w:webHidden/>
              </w:rPr>
              <w:fldChar w:fldCharType="begin"/>
            </w:r>
            <w:r w:rsidR="004E31F2">
              <w:rPr>
                <w:noProof/>
                <w:webHidden/>
              </w:rPr>
              <w:instrText xml:space="preserve"> PAGEREF _Toc73640561 \h </w:instrText>
            </w:r>
            <w:r w:rsidR="004E31F2">
              <w:rPr>
                <w:noProof/>
                <w:webHidden/>
              </w:rPr>
            </w:r>
            <w:r w:rsidR="004E31F2">
              <w:rPr>
                <w:noProof/>
                <w:webHidden/>
              </w:rPr>
              <w:fldChar w:fldCharType="separate"/>
            </w:r>
            <w:r w:rsidR="004E31F2">
              <w:rPr>
                <w:noProof/>
                <w:webHidden/>
              </w:rPr>
              <w:t>7</w:t>
            </w:r>
            <w:r w:rsidR="004E31F2">
              <w:rPr>
                <w:noProof/>
                <w:webHidden/>
              </w:rPr>
              <w:fldChar w:fldCharType="end"/>
            </w:r>
          </w:hyperlink>
        </w:p>
        <w:p w:rsidR="004E31F2" w:rsidRDefault="008E3922">
          <w:pPr>
            <w:pStyle w:val="22"/>
            <w:rPr>
              <w:rFonts w:asciiTheme="minorHAnsi" w:eastAsiaTheme="minorEastAsia" w:hAnsiTheme="minorHAnsi"/>
              <w:noProof/>
              <w:sz w:val="22"/>
              <w:lang w:eastAsia="ru-RU"/>
            </w:rPr>
          </w:pPr>
          <w:hyperlink w:anchor="_Toc73640562" w:history="1">
            <w:r w:rsidR="004E31F2" w:rsidRPr="007257AB">
              <w:rPr>
                <w:rStyle w:val="a4"/>
                <w:noProof/>
                <w:lang w:val="en-GB"/>
              </w:rPr>
              <w:t>1.3 Research gap</w:t>
            </w:r>
            <w:r w:rsidR="004E31F2">
              <w:rPr>
                <w:noProof/>
                <w:webHidden/>
              </w:rPr>
              <w:tab/>
            </w:r>
            <w:r w:rsidR="004E31F2">
              <w:rPr>
                <w:noProof/>
                <w:webHidden/>
              </w:rPr>
              <w:fldChar w:fldCharType="begin"/>
            </w:r>
            <w:r w:rsidR="004E31F2">
              <w:rPr>
                <w:noProof/>
                <w:webHidden/>
              </w:rPr>
              <w:instrText xml:space="preserve"> PAGEREF _Toc73640562 \h </w:instrText>
            </w:r>
            <w:r w:rsidR="004E31F2">
              <w:rPr>
                <w:noProof/>
                <w:webHidden/>
              </w:rPr>
            </w:r>
            <w:r w:rsidR="004E31F2">
              <w:rPr>
                <w:noProof/>
                <w:webHidden/>
              </w:rPr>
              <w:fldChar w:fldCharType="separate"/>
            </w:r>
            <w:r w:rsidR="004E31F2">
              <w:rPr>
                <w:noProof/>
                <w:webHidden/>
              </w:rPr>
              <w:t>21</w:t>
            </w:r>
            <w:r w:rsidR="004E31F2">
              <w:rPr>
                <w:noProof/>
                <w:webHidden/>
              </w:rPr>
              <w:fldChar w:fldCharType="end"/>
            </w:r>
          </w:hyperlink>
        </w:p>
        <w:p w:rsidR="004E31F2" w:rsidRDefault="008E3922">
          <w:pPr>
            <w:pStyle w:val="12"/>
            <w:tabs>
              <w:tab w:val="right" w:leader="dot" w:pos="9344"/>
            </w:tabs>
            <w:rPr>
              <w:rFonts w:asciiTheme="minorHAnsi" w:eastAsiaTheme="minorEastAsia" w:hAnsiTheme="minorHAnsi"/>
              <w:noProof/>
              <w:sz w:val="22"/>
              <w:lang w:eastAsia="ru-RU"/>
            </w:rPr>
          </w:pPr>
          <w:hyperlink w:anchor="_Toc73640563" w:history="1">
            <w:r w:rsidR="004E31F2" w:rsidRPr="007257AB">
              <w:rPr>
                <w:rStyle w:val="a4"/>
                <w:noProof/>
                <w:lang w:val="en-GB"/>
              </w:rPr>
              <w:t>Chapter 2. Hypotheses and research model</w:t>
            </w:r>
            <w:r w:rsidR="004E31F2">
              <w:rPr>
                <w:noProof/>
                <w:webHidden/>
              </w:rPr>
              <w:tab/>
            </w:r>
            <w:r w:rsidR="004E31F2">
              <w:rPr>
                <w:noProof/>
                <w:webHidden/>
              </w:rPr>
              <w:fldChar w:fldCharType="begin"/>
            </w:r>
            <w:r w:rsidR="004E31F2">
              <w:rPr>
                <w:noProof/>
                <w:webHidden/>
              </w:rPr>
              <w:instrText xml:space="preserve"> PAGEREF _Toc73640563 \h </w:instrText>
            </w:r>
            <w:r w:rsidR="004E31F2">
              <w:rPr>
                <w:noProof/>
                <w:webHidden/>
              </w:rPr>
            </w:r>
            <w:r w:rsidR="004E31F2">
              <w:rPr>
                <w:noProof/>
                <w:webHidden/>
              </w:rPr>
              <w:fldChar w:fldCharType="separate"/>
            </w:r>
            <w:r w:rsidR="004E31F2">
              <w:rPr>
                <w:noProof/>
                <w:webHidden/>
              </w:rPr>
              <w:t>22</w:t>
            </w:r>
            <w:r w:rsidR="004E31F2">
              <w:rPr>
                <w:noProof/>
                <w:webHidden/>
              </w:rPr>
              <w:fldChar w:fldCharType="end"/>
            </w:r>
          </w:hyperlink>
        </w:p>
        <w:p w:rsidR="004E31F2" w:rsidRDefault="008E3922">
          <w:pPr>
            <w:pStyle w:val="22"/>
            <w:rPr>
              <w:rFonts w:asciiTheme="minorHAnsi" w:eastAsiaTheme="minorEastAsia" w:hAnsiTheme="minorHAnsi"/>
              <w:noProof/>
              <w:sz w:val="22"/>
              <w:lang w:eastAsia="ru-RU"/>
            </w:rPr>
          </w:pPr>
          <w:hyperlink w:anchor="_Toc73640564" w:history="1">
            <w:r w:rsidR="004E31F2" w:rsidRPr="007257AB">
              <w:rPr>
                <w:rStyle w:val="a4"/>
                <w:noProof/>
                <w:lang w:val="en-GB"/>
              </w:rPr>
              <w:t>2.1 Hypotheses formulation</w:t>
            </w:r>
            <w:r w:rsidR="004E31F2">
              <w:rPr>
                <w:noProof/>
                <w:webHidden/>
              </w:rPr>
              <w:tab/>
            </w:r>
            <w:r w:rsidR="004E31F2">
              <w:rPr>
                <w:noProof/>
                <w:webHidden/>
              </w:rPr>
              <w:fldChar w:fldCharType="begin"/>
            </w:r>
            <w:r w:rsidR="004E31F2">
              <w:rPr>
                <w:noProof/>
                <w:webHidden/>
              </w:rPr>
              <w:instrText xml:space="preserve"> PAGEREF _Toc73640564 \h </w:instrText>
            </w:r>
            <w:r w:rsidR="004E31F2">
              <w:rPr>
                <w:noProof/>
                <w:webHidden/>
              </w:rPr>
            </w:r>
            <w:r w:rsidR="004E31F2">
              <w:rPr>
                <w:noProof/>
                <w:webHidden/>
              </w:rPr>
              <w:fldChar w:fldCharType="separate"/>
            </w:r>
            <w:r w:rsidR="004E31F2">
              <w:rPr>
                <w:noProof/>
                <w:webHidden/>
              </w:rPr>
              <w:t>22</w:t>
            </w:r>
            <w:r w:rsidR="004E31F2">
              <w:rPr>
                <w:noProof/>
                <w:webHidden/>
              </w:rPr>
              <w:fldChar w:fldCharType="end"/>
            </w:r>
          </w:hyperlink>
        </w:p>
        <w:p w:rsidR="004E31F2" w:rsidRDefault="008E3922">
          <w:pPr>
            <w:pStyle w:val="22"/>
            <w:rPr>
              <w:rFonts w:asciiTheme="minorHAnsi" w:eastAsiaTheme="minorEastAsia" w:hAnsiTheme="minorHAnsi"/>
              <w:noProof/>
              <w:sz w:val="22"/>
              <w:lang w:eastAsia="ru-RU"/>
            </w:rPr>
          </w:pPr>
          <w:hyperlink w:anchor="_Toc73640565" w:history="1">
            <w:r w:rsidR="004E31F2" w:rsidRPr="007257AB">
              <w:rPr>
                <w:rStyle w:val="a4"/>
                <w:noProof/>
                <w:lang w:val="en-GB"/>
              </w:rPr>
              <w:t>2.2. Research methodology</w:t>
            </w:r>
            <w:r w:rsidR="004E31F2">
              <w:rPr>
                <w:noProof/>
                <w:webHidden/>
              </w:rPr>
              <w:tab/>
            </w:r>
            <w:r w:rsidR="004E31F2">
              <w:rPr>
                <w:noProof/>
                <w:webHidden/>
              </w:rPr>
              <w:fldChar w:fldCharType="begin"/>
            </w:r>
            <w:r w:rsidR="004E31F2">
              <w:rPr>
                <w:noProof/>
                <w:webHidden/>
              </w:rPr>
              <w:instrText xml:space="preserve"> PAGEREF _Toc73640565 \h </w:instrText>
            </w:r>
            <w:r w:rsidR="004E31F2">
              <w:rPr>
                <w:noProof/>
                <w:webHidden/>
              </w:rPr>
            </w:r>
            <w:r w:rsidR="004E31F2">
              <w:rPr>
                <w:noProof/>
                <w:webHidden/>
              </w:rPr>
              <w:fldChar w:fldCharType="separate"/>
            </w:r>
            <w:r w:rsidR="004E31F2">
              <w:rPr>
                <w:noProof/>
                <w:webHidden/>
              </w:rPr>
              <w:t>24</w:t>
            </w:r>
            <w:r w:rsidR="004E31F2">
              <w:rPr>
                <w:noProof/>
                <w:webHidden/>
              </w:rPr>
              <w:fldChar w:fldCharType="end"/>
            </w:r>
          </w:hyperlink>
        </w:p>
        <w:p w:rsidR="004E31F2" w:rsidRDefault="008E3922">
          <w:pPr>
            <w:pStyle w:val="31"/>
            <w:tabs>
              <w:tab w:val="right" w:leader="dot" w:pos="9344"/>
            </w:tabs>
            <w:rPr>
              <w:rFonts w:asciiTheme="minorHAnsi" w:eastAsiaTheme="minorEastAsia" w:hAnsiTheme="minorHAnsi"/>
              <w:noProof/>
              <w:sz w:val="22"/>
              <w:lang w:eastAsia="ru-RU"/>
            </w:rPr>
          </w:pPr>
          <w:hyperlink w:anchor="_Toc73640566" w:history="1">
            <w:r w:rsidR="004E31F2" w:rsidRPr="007257AB">
              <w:rPr>
                <w:rStyle w:val="a4"/>
                <w:noProof/>
                <w:lang w:val="en-GB"/>
              </w:rPr>
              <w:t>2.2.1. Event study</w:t>
            </w:r>
            <w:r w:rsidR="004E31F2">
              <w:rPr>
                <w:noProof/>
                <w:webHidden/>
              </w:rPr>
              <w:tab/>
            </w:r>
            <w:r w:rsidR="004E31F2">
              <w:rPr>
                <w:noProof/>
                <w:webHidden/>
              </w:rPr>
              <w:fldChar w:fldCharType="begin"/>
            </w:r>
            <w:r w:rsidR="004E31F2">
              <w:rPr>
                <w:noProof/>
                <w:webHidden/>
              </w:rPr>
              <w:instrText xml:space="preserve"> PAGEREF _Toc73640566 \h </w:instrText>
            </w:r>
            <w:r w:rsidR="004E31F2">
              <w:rPr>
                <w:noProof/>
                <w:webHidden/>
              </w:rPr>
            </w:r>
            <w:r w:rsidR="004E31F2">
              <w:rPr>
                <w:noProof/>
                <w:webHidden/>
              </w:rPr>
              <w:fldChar w:fldCharType="separate"/>
            </w:r>
            <w:r w:rsidR="004E31F2">
              <w:rPr>
                <w:noProof/>
                <w:webHidden/>
              </w:rPr>
              <w:t>24</w:t>
            </w:r>
            <w:r w:rsidR="004E31F2">
              <w:rPr>
                <w:noProof/>
                <w:webHidden/>
              </w:rPr>
              <w:fldChar w:fldCharType="end"/>
            </w:r>
          </w:hyperlink>
        </w:p>
        <w:p w:rsidR="004E31F2" w:rsidRDefault="008E3922">
          <w:pPr>
            <w:pStyle w:val="31"/>
            <w:tabs>
              <w:tab w:val="right" w:leader="dot" w:pos="9344"/>
            </w:tabs>
            <w:rPr>
              <w:rFonts w:asciiTheme="minorHAnsi" w:eastAsiaTheme="minorEastAsia" w:hAnsiTheme="minorHAnsi"/>
              <w:noProof/>
              <w:sz w:val="22"/>
              <w:lang w:eastAsia="ru-RU"/>
            </w:rPr>
          </w:pPr>
          <w:hyperlink w:anchor="_Toc73640567" w:history="1">
            <w:r w:rsidR="004E31F2" w:rsidRPr="007257AB">
              <w:rPr>
                <w:rStyle w:val="a4"/>
                <w:noProof/>
                <w:lang w:val="en-GB"/>
              </w:rPr>
              <w:t>2.2.1. (a) Short-term study</w:t>
            </w:r>
            <w:r w:rsidR="004E31F2">
              <w:rPr>
                <w:noProof/>
                <w:webHidden/>
              </w:rPr>
              <w:tab/>
            </w:r>
            <w:r w:rsidR="004E31F2">
              <w:rPr>
                <w:noProof/>
                <w:webHidden/>
              </w:rPr>
              <w:fldChar w:fldCharType="begin"/>
            </w:r>
            <w:r w:rsidR="004E31F2">
              <w:rPr>
                <w:noProof/>
                <w:webHidden/>
              </w:rPr>
              <w:instrText xml:space="preserve"> PAGEREF _Toc73640567 \h </w:instrText>
            </w:r>
            <w:r w:rsidR="004E31F2">
              <w:rPr>
                <w:noProof/>
                <w:webHidden/>
              </w:rPr>
            </w:r>
            <w:r w:rsidR="004E31F2">
              <w:rPr>
                <w:noProof/>
                <w:webHidden/>
              </w:rPr>
              <w:fldChar w:fldCharType="separate"/>
            </w:r>
            <w:r w:rsidR="004E31F2">
              <w:rPr>
                <w:noProof/>
                <w:webHidden/>
              </w:rPr>
              <w:t>25</w:t>
            </w:r>
            <w:r w:rsidR="004E31F2">
              <w:rPr>
                <w:noProof/>
                <w:webHidden/>
              </w:rPr>
              <w:fldChar w:fldCharType="end"/>
            </w:r>
          </w:hyperlink>
        </w:p>
        <w:p w:rsidR="004E31F2" w:rsidRDefault="008E3922">
          <w:pPr>
            <w:pStyle w:val="31"/>
            <w:tabs>
              <w:tab w:val="right" w:leader="dot" w:pos="9344"/>
            </w:tabs>
            <w:rPr>
              <w:rFonts w:asciiTheme="minorHAnsi" w:eastAsiaTheme="minorEastAsia" w:hAnsiTheme="minorHAnsi"/>
              <w:noProof/>
              <w:sz w:val="22"/>
              <w:lang w:eastAsia="ru-RU"/>
            </w:rPr>
          </w:pPr>
          <w:hyperlink w:anchor="_Toc73640568" w:history="1">
            <w:r w:rsidR="004E31F2" w:rsidRPr="007257AB">
              <w:rPr>
                <w:rStyle w:val="a4"/>
                <w:noProof/>
                <w:lang w:val="en-GB"/>
              </w:rPr>
              <w:t>2.2.1. (b) Long-term study</w:t>
            </w:r>
            <w:r w:rsidR="004E31F2">
              <w:rPr>
                <w:noProof/>
                <w:webHidden/>
              </w:rPr>
              <w:tab/>
            </w:r>
            <w:r w:rsidR="004E31F2">
              <w:rPr>
                <w:noProof/>
                <w:webHidden/>
              </w:rPr>
              <w:fldChar w:fldCharType="begin"/>
            </w:r>
            <w:r w:rsidR="004E31F2">
              <w:rPr>
                <w:noProof/>
                <w:webHidden/>
              </w:rPr>
              <w:instrText xml:space="preserve"> PAGEREF _Toc73640568 \h </w:instrText>
            </w:r>
            <w:r w:rsidR="004E31F2">
              <w:rPr>
                <w:noProof/>
                <w:webHidden/>
              </w:rPr>
            </w:r>
            <w:r w:rsidR="004E31F2">
              <w:rPr>
                <w:noProof/>
                <w:webHidden/>
              </w:rPr>
              <w:fldChar w:fldCharType="separate"/>
            </w:r>
            <w:r w:rsidR="004E31F2">
              <w:rPr>
                <w:noProof/>
                <w:webHidden/>
              </w:rPr>
              <w:t>29</w:t>
            </w:r>
            <w:r w:rsidR="004E31F2">
              <w:rPr>
                <w:noProof/>
                <w:webHidden/>
              </w:rPr>
              <w:fldChar w:fldCharType="end"/>
            </w:r>
          </w:hyperlink>
        </w:p>
        <w:p w:rsidR="004E31F2" w:rsidRDefault="008E3922">
          <w:pPr>
            <w:pStyle w:val="31"/>
            <w:tabs>
              <w:tab w:val="right" w:leader="dot" w:pos="9344"/>
            </w:tabs>
            <w:rPr>
              <w:rFonts w:asciiTheme="minorHAnsi" w:eastAsiaTheme="minorEastAsia" w:hAnsiTheme="minorHAnsi"/>
              <w:noProof/>
              <w:sz w:val="22"/>
              <w:lang w:eastAsia="ru-RU"/>
            </w:rPr>
          </w:pPr>
          <w:hyperlink w:anchor="_Toc73640569" w:history="1">
            <w:r w:rsidR="004E31F2" w:rsidRPr="007257AB">
              <w:rPr>
                <w:rStyle w:val="a4"/>
                <w:noProof/>
                <w:lang w:val="en-GB"/>
              </w:rPr>
              <w:t>Summary</w:t>
            </w:r>
            <w:r w:rsidR="004E31F2">
              <w:rPr>
                <w:noProof/>
                <w:webHidden/>
              </w:rPr>
              <w:tab/>
            </w:r>
            <w:r w:rsidR="004E31F2">
              <w:rPr>
                <w:noProof/>
                <w:webHidden/>
              </w:rPr>
              <w:fldChar w:fldCharType="begin"/>
            </w:r>
            <w:r w:rsidR="004E31F2">
              <w:rPr>
                <w:noProof/>
                <w:webHidden/>
              </w:rPr>
              <w:instrText xml:space="preserve"> PAGEREF _Toc73640569 \h </w:instrText>
            </w:r>
            <w:r w:rsidR="004E31F2">
              <w:rPr>
                <w:noProof/>
                <w:webHidden/>
              </w:rPr>
            </w:r>
            <w:r w:rsidR="004E31F2">
              <w:rPr>
                <w:noProof/>
                <w:webHidden/>
              </w:rPr>
              <w:fldChar w:fldCharType="separate"/>
            </w:r>
            <w:r w:rsidR="004E31F2">
              <w:rPr>
                <w:noProof/>
                <w:webHidden/>
              </w:rPr>
              <w:t>33</w:t>
            </w:r>
            <w:r w:rsidR="004E31F2">
              <w:rPr>
                <w:noProof/>
                <w:webHidden/>
              </w:rPr>
              <w:fldChar w:fldCharType="end"/>
            </w:r>
          </w:hyperlink>
        </w:p>
        <w:p w:rsidR="004E31F2" w:rsidRDefault="008E3922">
          <w:pPr>
            <w:pStyle w:val="22"/>
            <w:rPr>
              <w:rFonts w:asciiTheme="minorHAnsi" w:eastAsiaTheme="minorEastAsia" w:hAnsiTheme="minorHAnsi"/>
              <w:noProof/>
              <w:sz w:val="22"/>
              <w:lang w:eastAsia="ru-RU"/>
            </w:rPr>
          </w:pPr>
          <w:hyperlink w:anchor="_Toc73640570" w:history="1">
            <w:r w:rsidR="004E31F2" w:rsidRPr="007257AB">
              <w:rPr>
                <w:rStyle w:val="a4"/>
                <w:noProof/>
                <w:lang w:val="en-GB"/>
              </w:rPr>
              <w:t>2.3. Data sampling</w:t>
            </w:r>
            <w:r w:rsidR="004E31F2">
              <w:rPr>
                <w:noProof/>
                <w:webHidden/>
              </w:rPr>
              <w:tab/>
            </w:r>
            <w:r w:rsidR="004E31F2">
              <w:rPr>
                <w:noProof/>
                <w:webHidden/>
              </w:rPr>
              <w:fldChar w:fldCharType="begin"/>
            </w:r>
            <w:r w:rsidR="004E31F2">
              <w:rPr>
                <w:noProof/>
                <w:webHidden/>
              </w:rPr>
              <w:instrText xml:space="preserve"> PAGEREF _Toc73640570 \h </w:instrText>
            </w:r>
            <w:r w:rsidR="004E31F2">
              <w:rPr>
                <w:noProof/>
                <w:webHidden/>
              </w:rPr>
            </w:r>
            <w:r w:rsidR="004E31F2">
              <w:rPr>
                <w:noProof/>
                <w:webHidden/>
              </w:rPr>
              <w:fldChar w:fldCharType="separate"/>
            </w:r>
            <w:r w:rsidR="004E31F2">
              <w:rPr>
                <w:noProof/>
                <w:webHidden/>
              </w:rPr>
              <w:t>35</w:t>
            </w:r>
            <w:r w:rsidR="004E31F2">
              <w:rPr>
                <w:noProof/>
                <w:webHidden/>
              </w:rPr>
              <w:fldChar w:fldCharType="end"/>
            </w:r>
          </w:hyperlink>
        </w:p>
        <w:p w:rsidR="004E31F2" w:rsidRDefault="008E3922">
          <w:pPr>
            <w:pStyle w:val="31"/>
            <w:tabs>
              <w:tab w:val="right" w:leader="dot" w:pos="9344"/>
            </w:tabs>
            <w:rPr>
              <w:rFonts w:asciiTheme="minorHAnsi" w:eastAsiaTheme="minorEastAsia" w:hAnsiTheme="minorHAnsi"/>
              <w:noProof/>
              <w:sz w:val="22"/>
              <w:lang w:eastAsia="ru-RU"/>
            </w:rPr>
          </w:pPr>
          <w:hyperlink w:anchor="_Toc73640571" w:history="1">
            <w:r w:rsidR="004E31F2" w:rsidRPr="007257AB">
              <w:rPr>
                <w:rStyle w:val="a4"/>
                <w:noProof/>
                <w:lang w:val="en-GB"/>
              </w:rPr>
              <w:t>2.3.1 Data for short-term study</w:t>
            </w:r>
            <w:r w:rsidR="004E31F2">
              <w:rPr>
                <w:noProof/>
                <w:webHidden/>
              </w:rPr>
              <w:tab/>
            </w:r>
            <w:r w:rsidR="004E31F2">
              <w:rPr>
                <w:noProof/>
                <w:webHidden/>
              </w:rPr>
              <w:fldChar w:fldCharType="begin"/>
            </w:r>
            <w:r w:rsidR="004E31F2">
              <w:rPr>
                <w:noProof/>
                <w:webHidden/>
              </w:rPr>
              <w:instrText xml:space="preserve"> PAGEREF _Toc73640571 \h </w:instrText>
            </w:r>
            <w:r w:rsidR="004E31F2">
              <w:rPr>
                <w:noProof/>
                <w:webHidden/>
              </w:rPr>
            </w:r>
            <w:r w:rsidR="004E31F2">
              <w:rPr>
                <w:noProof/>
                <w:webHidden/>
              </w:rPr>
              <w:fldChar w:fldCharType="separate"/>
            </w:r>
            <w:r w:rsidR="004E31F2">
              <w:rPr>
                <w:noProof/>
                <w:webHidden/>
              </w:rPr>
              <w:t>39</w:t>
            </w:r>
            <w:r w:rsidR="004E31F2">
              <w:rPr>
                <w:noProof/>
                <w:webHidden/>
              </w:rPr>
              <w:fldChar w:fldCharType="end"/>
            </w:r>
          </w:hyperlink>
        </w:p>
        <w:p w:rsidR="004E31F2" w:rsidRDefault="008E3922">
          <w:pPr>
            <w:pStyle w:val="31"/>
            <w:tabs>
              <w:tab w:val="right" w:leader="dot" w:pos="9344"/>
            </w:tabs>
            <w:rPr>
              <w:rFonts w:asciiTheme="minorHAnsi" w:eastAsiaTheme="minorEastAsia" w:hAnsiTheme="minorHAnsi"/>
              <w:noProof/>
              <w:sz w:val="22"/>
              <w:lang w:eastAsia="ru-RU"/>
            </w:rPr>
          </w:pPr>
          <w:hyperlink w:anchor="_Toc73640572" w:history="1">
            <w:r w:rsidR="004E31F2" w:rsidRPr="007257AB">
              <w:rPr>
                <w:rStyle w:val="a4"/>
                <w:noProof/>
                <w:lang w:val="en-GB"/>
              </w:rPr>
              <w:t>2.3.1 (a) Descriptive statistics</w:t>
            </w:r>
            <w:r w:rsidR="004E31F2">
              <w:rPr>
                <w:noProof/>
                <w:webHidden/>
              </w:rPr>
              <w:tab/>
            </w:r>
            <w:r w:rsidR="004E31F2">
              <w:rPr>
                <w:noProof/>
                <w:webHidden/>
              </w:rPr>
              <w:fldChar w:fldCharType="begin"/>
            </w:r>
            <w:r w:rsidR="004E31F2">
              <w:rPr>
                <w:noProof/>
                <w:webHidden/>
              </w:rPr>
              <w:instrText xml:space="preserve"> PAGEREF _Toc73640572 \h </w:instrText>
            </w:r>
            <w:r w:rsidR="004E31F2">
              <w:rPr>
                <w:noProof/>
                <w:webHidden/>
              </w:rPr>
            </w:r>
            <w:r w:rsidR="004E31F2">
              <w:rPr>
                <w:noProof/>
                <w:webHidden/>
              </w:rPr>
              <w:fldChar w:fldCharType="separate"/>
            </w:r>
            <w:r w:rsidR="004E31F2">
              <w:rPr>
                <w:noProof/>
                <w:webHidden/>
              </w:rPr>
              <w:t>41</w:t>
            </w:r>
            <w:r w:rsidR="004E31F2">
              <w:rPr>
                <w:noProof/>
                <w:webHidden/>
              </w:rPr>
              <w:fldChar w:fldCharType="end"/>
            </w:r>
          </w:hyperlink>
        </w:p>
        <w:p w:rsidR="004E31F2" w:rsidRDefault="008E3922">
          <w:pPr>
            <w:pStyle w:val="31"/>
            <w:tabs>
              <w:tab w:val="right" w:leader="dot" w:pos="9344"/>
            </w:tabs>
            <w:rPr>
              <w:rFonts w:asciiTheme="minorHAnsi" w:eastAsiaTheme="minorEastAsia" w:hAnsiTheme="minorHAnsi"/>
              <w:noProof/>
              <w:sz w:val="22"/>
              <w:lang w:eastAsia="ru-RU"/>
            </w:rPr>
          </w:pPr>
          <w:hyperlink w:anchor="_Toc73640573" w:history="1">
            <w:r w:rsidR="004E31F2" w:rsidRPr="007257AB">
              <w:rPr>
                <w:rStyle w:val="a4"/>
                <w:noProof/>
                <w:lang w:val="en-GB"/>
              </w:rPr>
              <w:t>2.3.2 Data for long-term study</w:t>
            </w:r>
            <w:r w:rsidR="004E31F2">
              <w:rPr>
                <w:noProof/>
                <w:webHidden/>
              </w:rPr>
              <w:tab/>
            </w:r>
            <w:r w:rsidR="004E31F2">
              <w:rPr>
                <w:noProof/>
                <w:webHidden/>
              </w:rPr>
              <w:fldChar w:fldCharType="begin"/>
            </w:r>
            <w:r w:rsidR="004E31F2">
              <w:rPr>
                <w:noProof/>
                <w:webHidden/>
              </w:rPr>
              <w:instrText xml:space="preserve"> PAGEREF _Toc73640573 \h </w:instrText>
            </w:r>
            <w:r w:rsidR="004E31F2">
              <w:rPr>
                <w:noProof/>
                <w:webHidden/>
              </w:rPr>
            </w:r>
            <w:r w:rsidR="004E31F2">
              <w:rPr>
                <w:noProof/>
                <w:webHidden/>
              </w:rPr>
              <w:fldChar w:fldCharType="separate"/>
            </w:r>
            <w:r w:rsidR="004E31F2">
              <w:rPr>
                <w:noProof/>
                <w:webHidden/>
              </w:rPr>
              <w:t>44</w:t>
            </w:r>
            <w:r w:rsidR="004E31F2">
              <w:rPr>
                <w:noProof/>
                <w:webHidden/>
              </w:rPr>
              <w:fldChar w:fldCharType="end"/>
            </w:r>
          </w:hyperlink>
        </w:p>
        <w:p w:rsidR="004E31F2" w:rsidRDefault="008E3922">
          <w:pPr>
            <w:pStyle w:val="22"/>
            <w:rPr>
              <w:rFonts w:asciiTheme="minorHAnsi" w:eastAsiaTheme="minorEastAsia" w:hAnsiTheme="minorHAnsi"/>
              <w:noProof/>
              <w:sz w:val="22"/>
              <w:lang w:eastAsia="ru-RU"/>
            </w:rPr>
          </w:pPr>
          <w:hyperlink w:anchor="_Toc73640574" w:history="1">
            <w:r w:rsidR="004E31F2" w:rsidRPr="007257AB">
              <w:rPr>
                <w:rStyle w:val="a4"/>
                <w:noProof/>
                <w:lang w:val="en-US"/>
              </w:rPr>
              <w:t>2.3.2 Conclusion on the 2</w:t>
            </w:r>
            <w:r w:rsidR="004E31F2" w:rsidRPr="007257AB">
              <w:rPr>
                <w:rStyle w:val="a4"/>
                <w:noProof/>
                <w:vertAlign w:val="superscript"/>
                <w:lang w:val="en-US"/>
              </w:rPr>
              <w:t>nd</w:t>
            </w:r>
            <w:r w:rsidR="004E31F2" w:rsidRPr="007257AB">
              <w:rPr>
                <w:rStyle w:val="a4"/>
                <w:noProof/>
                <w:lang w:val="en-US"/>
              </w:rPr>
              <w:t xml:space="preserve"> chapter</w:t>
            </w:r>
            <w:r w:rsidR="004E31F2">
              <w:rPr>
                <w:noProof/>
                <w:webHidden/>
              </w:rPr>
              <w:tab/>
            </w:r>
            <w:r w:rsidR="004E31F2">
              <w:rPr>
                <w:noProof/>
                <w:webHidden/>
              </w:rPr>
              <w:fldChar w:fldCharType="begin"/>
            </w:r>
            <w:r w:rsidR="004E31F2">
              <w:rPr>
                <w:noProof/>
                <w:webHidden/>
              </w:rPr>
              <w:instrText xml:space="preserve"> PAGEREF _Toc73640574 \h </w:instrText>
            </w:r>
            <w:r w:rsidR="004E31F2">
              <w:rPr>
                <w:noProof/>
                <w:webHidden/>
              </w:rPr>
            </w:r>
            <w:r w:rsidR="004E31F2">
              <w:rPr>
                <w:noProof/>
                <w:webHidden/>
              </w:rPr>
              <w:fldChar w:fldCharType="separate"/>
            </w:r>
            <w:r w:rsidR="004E31F2">
              <w:rPr>
                <w:noProof/>
                <w:webHidden/>
              </w:rPr>
              <w:t>47</w:t>
            </w:r>
            <w:r w:rsidR="004E31F2">
              <w:rPr>
                <w:noProof/>
                <w:webHidden/>
              </w:rPr>
              <w:fldChar w:fldCharType="end"/>
            </w:r>
          </w:hyperlink>
        </w:p>
        <w:p w:rsidR="004E31F2" w:rsidRDefault="008E3922">
          <w:pPr>
            <w:pStyle w:val="12"/>
            <w:tabs>
              <w:tab w:val="right" w:leader="dot" w:pos="9344"/>
            </w:tabs>
            <w:rPr>
              <w:rFonts w:asciiTheme="minorHAnsi" w:eastAsiaTheme="minorEastAsia" w:hAnsiTheme="minorHAnsi"/>
              <w:noProof/>
              <w:sz w:val="22"/>
              <w:lang w:eastAsia="ru-RU"/>
            </w:rPr>
          </w:pPr>
          <w:hyperlink w:anchor="_Toc73640575" w:history="1">
            <w:r w:rsidR="004E31F2" w:rsidRPr="007257AB">
              <w:rPr>
                <w:rStyle w:val="a4"/>
                <w:noProof/>
                <w:lang w:val="en-US"/>
              </w:rPr>
              <w:t>Chapter 3. Event study</w:t>
            </w:r>
            <w:r w:rsidR="004E31F2">
              <w:rPr>
                <w:noProof/>
                <w:webHidden/>
              </w:rPr>
              <w:tab/>
            </w:r>
            <w:r w:rsidR="004E31F2">
              <w:rPr>
                <w:noProof/>
                <w:webHidden/>
              </w:rPr>
              <w:fldChar w:fldCharType="begin"/>
            </w:r>
            <w:r w:rsidR="004E31F2">
              <w:rPr>
                <w:noProof/>
                <w:webHidden/>
              </w:rPr>
              <w:instrText xml:space="preserve"> PAGEREF _Toc73640575 \h </w:instrText>
            </w:r>
            <w:r w:rsidR="004E31F2">
              <w:rPr>
                <w:noProof/>
                <w:webHidden/>
              </w:rPr>
            </w:r>
            <w:r w:rsidR="004E31F2">
              <w:rPr>
                <w:noProof/>
                <w:webHidden/>
              </w:rPr>
              <w:fldChar w:fldCharType="separate"/>
            </w:r>
            <w:r w:rsidR="004E31F2">
              <w:rPr>
                <w:noProof/>
                <w:webHidden/>
              </w:rPr>
              <w:t>48</w:t>
            </w:r>
            <w:r w:rsidR="004E31F2">
              <w:rPr>
                <w:noProof/>
                <w:webHidden/>
              </w:rPr>
              <w:fldChar w:fldCharType="end"/>
            </w:r>
          </w:hyperlink>
        </w:p>
        <w:p w:rsidR="004E31F2" w:rsidRDefault="008E3922">
          <w:pPr>
            <w:pStyle w:val="22"/>
            <w:rPr>
              <w:rFonts w:asciiTheme="minorHAnsi" w:eastAsiaTheme="minorEastAsia" w:hAnsiTheme="minorHAnsi"/>
              <w:noProof/>
              <w:sz w:val="22"/>
              <w:lang w:eastAsia="ru-RU"/>
            </w:rPr>
          </w:pPr>
          <w:hyperlink w:anchor="_Toc73640576" w:history="1">
            <w:r w:rsidR="004E31F2" w:rsidRPr="007257AB">
              <w:rPr>
                <w:rStyle w:val="a4"/>
                <w:noProof/>
                <w:lang w:val="en-US"/>
              </w:rPr>
              <w:t>3.1 Results discussion</w:t>
            </w:r>
            <w:r w:rsidR="004E31F2">
              <w:rPr>
                <w:noProof/>
                <w:webHidden/>
              </w:rPr>
              <w:tab/>
            </w:r>
            <w:r w:rsidR="004E31F2">
              <w:rPr>
                <w:noProof/>
                <w:webHidden/>
              </w:rPr>
              <w:fldChar w:fldCharType="begin"/>
            </w:r>
            <w:r w:rsidR="004E31F2">
              <w:rPr>
                <w:noProof/>
                <w:webHidden/>
              </w:rPr>
              <w:instrText xml:space="preserve"> PAGEREF _Toc73640576 \h </w:instrText>
            </w:r>
            <w:r w:rsidR="004E31F2">
              <w:rPr>
                <w:noProof/>
                <w:webHidden/>
              </w:rPr>
            </w:r>
            <w:r w:rsidR="004E31F2">
              <w:rPr>
                <w:noProof/>
                <w:webHidden/>
              </w:rPr>
              <w:fldChar w:fldCharType="separate"/>
            </w:r>
            <w:r w:rsidR="004E31F2">
              <w:rPr>
                <w:noProof/>
                <w:webHidden/>
              </w:rPr>
              <w:t>48</w:t>
            </w:r>
            <w:r w:rsidR="004E31F2">
              <w:rPr>
                <w:noProof/>
                <w:webHidden/>
              </w:rPr>
              <w:fldChar w:fldCharType="end"/>
            </w:r>
          </w:hyperlink>
        </w:p>
        <w:p w:rsidR="004E31F2" w:rsidRDefault="008E3922">
          <w:pPr>
            <w:pStyle w:val="31"/>
            <w:tabs>
              <w:tab w:val="right" w:leader="dot" w:pos="9344"/>
            </w:tabs>
            <w:rPr>
              <w:rFonts w:asciiTheme="minorHAnsi" w:eastAsiaTheme="minorEastAsia" w:hAnsiTheme="minorHAnsi"/>
              <w:noProof/>
              <w:sz w:val="22"/>
              <w:lang w:eastAsia="ru-RU"/>
            </w:rPr>
          </w:pPr>
          <w:hyperlink w:anchor="_Toc73640577" w:history="1">
            <w:r w:rsidR="004E31F2" w:rsidRPr="007257AB">
              <w:rPr>
                <w:rStyle w:val="a4"/>
                <w:noProof/>
                <w:lang w:val="en-US"/>
              </w:rPr>
              <w:t>3.1.2 Results of short-term study</w:t>
            </w:r>
            <w:r w:rsidR="004E31F2">
              <w:rPr>
                <w:noProof/>
                <w:webHidden/>
              </w:rPr>
              <w:tab/>
            </w:r>
            <w:r w:rsidR="004E31F2">
              <w:rPr>
                <w:noProof/>
                <w:webHidden/>
              </w:rPr>
              <w:fldChar w:fldCharType="begin"/>
            </w:r>
            <w:r w:rsidR="004E31F2">
              <w:rPr>
                <w:noProof/>
                <w:webHidden/>
              </w:rPr>
              <w:instrText xml:space="preserve"> PAGEREF _Toc73640577 \h </w:instrText>
            </w:r>
            <w:r w:rsidR="004E31F2">
              <w:rPr>
                <w:noProof/>
                <w:webHidden/>
              </w:rPr>
            </w:r>
            <w:r w:rsidR="004E31F2">
              <w:rPr>
                <w:noProof/>
                <w:webHidden/>
              </w:rPr>
              <w:fldChar w:fldCharType="separate"/>
            </w:r>
            <w:r w:rsidR="004E31F2">
              <w:rPr>
                <w:noProof/>
                <w:webHidden/>
              </w:rPr>
              <w:t>48</w:t>
            </w:r>
            <w:r w:rsidR="004E31F2">
              <w:rPr>
                <w:noProof/>
                <w:webHidden/>
              </w:rPr>
              <w:fldChar w:fldCharType="end"/>
            </w:r>
          </w:hyperlink>
        </w:p>
        <w:p w:rsidR="004E31F2" w:rsidRDefault="008E3922">
          <w:pPr>
            <w:pStyle w:val="31"/>
            <w:tabs>
              <w:tab w:val="right" w:leader="dot" w:pos="9344"/>
            </w:tabs>
            <w:rPr>
              <w:rFonts w:asciiTheme="minorHAnsi" w:eastAsiaTheme="minorEastAsia" w:hAnsiTheme="minorHAnsi"/>
              <w:noProof/>
              <w:sz w:val="22"/>
              <w:lang w:eastAsia="ru-RU"/>
            </w:rPr>
          </w:pPr>
          <w:hyperlink w:anchor="_Toc73640578" w:history="1">
            <w:r w:rsidR="004E31F2" w:rsidRPr="007257AB">
              <w:rPr>
                <w:rStyle w:val="a4"/>
                <w:noProof/>
                <w:lang w:val="en-GB"/>
              </w:rPr>
              <w:t>3.1.3 Results for long-term study</w:t>
            </w:r>
            <w:r w:rsidR="004E31F2">
              <w:rPr>
                <w:noProof/>
                <w:webHidden/>
              </w:rPr>
              <w:tab/>
            </w:r>
            <w:r w:rsidR="004E31F2">
              <w:rPr>
                <w:noProof/>
                <w:webHidden/>
              </w:rPr>
              <w:fldChar w:fldCharType="begin"/>
            </w:r>
            <w:r w:rsidR="004E31F2">
              <w:rPr>
                <w:noProof/>
                <w:webHidden/>
              </w:rPr>
              <w:instrText xml:space="preserve"> PAGEREF _Toc73640578 \h </w:instrText>
            </w:r>
            <w:r w:rsidR="004E31F2">
              <w:rPr>
                <w:noProof/>
                <w:webHidden/>
              </w:rPr>
            </w:r>
            <w:r w:rsidR="004E31F2">
              <w:rPr>
                <w:noProof/>
                <w:webHidden/>
              </w:rPr>
              <w:fldChar w:fldCharType="separate"/>
            </w:r>
            <w:r w:rsidR="004E31F2">
              <w:rPr>
                <w:noProof/>
                <w:webHidden/>
              </w:rPr>
              <w:t>53</w:t>
            </w:r>
            <w:r w:rsidR="004E31F2">
              <w:rPr>
                <w:noProof/>
                <w:webHidden/>
              </w:rPr>
              <w:fldChar w:fldCharType="end"/>
            </w:r>
          </w:hyperlink>
        </w:p>
        <w:p w:rsidR="004E31F2" w:rsidRDefault="008E3922">
          <w:pPr>
            <w:pStyle w:val="31"/>
            <w:tabs>
              <w:tab w:val="right" w:leader="dot" w:pos="9344"/>
            </w:tabs>
            <w:rPr>
              <w:rFonts w:asciiTheme="minorHAnsi" w:eastAsiaTheme="minorEastAsia" w:hAnsiTheme="minorHAnsi"/>
              <w:noProof/>
              <w:sz w:val="22"/>
              <w:lang w:eastAsia="ru-RU"/>
            </w:rPr>
          </w:pPr>
          <w:hyperlink w:anchor="_Toc73640579" w:history="1">
            <w:r w:rsidR="004E31F2" w:rsidRPr="007257AB">
              <w:rPr>
                <w:rStyle w:val="a4"/>
                <w:noProof/>
                <w:lang w:val="en-GB"/>
              </w:rPr>
              <w:t>3.1.4 Conclusion</w:t>
            </w:r>
            <w:r w:rsidR="004E31F2">
              <w:rPr>
                <w:noProof/>
                <w:webHidden/>
              </w:rPr>
              <w:tab/>
            </w:r>
            <w:r w:rsidR="004E31F2">
              <w:rPr>
                <w:noProof/>
                <w:webHidden/>
              </w:rPr>
              <w:fldChar w:fldCharType="begin"/>
            </w:r>
            <w:r w:rsidR="004E31F2">
              <w:rPr>
                <w:noProof/>
                <w:webHidden/>
              </w:rPr>
              <w:instrText xml:space="preserve"> PAGEREF _Toc73640579 \h </w:instrText>
            </w:r>
            <w:r w:rsidR="004E31F2">
              <w:rPr>
                <w:noProof/>
                <w:webHidden/>
              </w:rPr>
            </w:r>
            <w:r w:rsidR="004E31F2">
              <w:rPr>
                <w:noProof/>
                <w:webHidden/>
              </w:rPr>
              <w:fldChar w:fldCharType="separate"/>
            </w:r>
            <w:r w:rsidR="004E31F2">
              <w:rPr>
                <w:noProof/>
                <w:webHidden/>
              </w:rPr>
              <w:t>58</w:t>
            </w:r>
            <w:r w:rsidR="004E31F2">
              <w:rPr>
                <w:noProof/>
                <w:webHidden/>
              </w:rPr>
              <w:fldChar w:fldCharType="end"/>
            </w:r>
          </w:hyperlink>
        </w:p>
        <w:p w:rsidR="004E31F2" w:rsidRDefault="008E3922">
          <w:pPr>
            <w:pStyle w:val="22"/>
            <w:rPr>
              <w:rFonts w:asciiTheme="minorHAnsi" w:eastAsiaTheme="minorEastAsia" w:hAnsiTheme="minorHAnsi"/>
              <w:noProof/>
              <w:sz w:val="22"/>
              <w:lang w:eastAsia="ru-RU"/>
            </w:rPr>
          </w:pPr>
          <w:hyperlink w:anchor="_Toc73640580" w:history="1">
            <w:r w:rsidR="004E31F2" w:rsidRPr="007257AB">
              <w:rPr>
                <w:rStyle w:val="a4"/>
                <w:noProof/>
                <w:lang w:val="en-US"/>
              </w:rPr>
              <w:t>Managerial implications</w:t>
            </w:r>
            <w:r w:rsidR="004E31F2">
              <w:rPr>
                <w:noProof/>
                <w:webHidden/>
              </w:rPr>
              <w:tab/>
            </w:r>
            <w:r w:rsidR="004E31F2">
              <w:rPr>
                <w:noProof/>
                <w:webHidden/>
              </w:rPr>
              <w:fldChar w:fldCharType="begin"/>
            </w:r>
            <w:r w:rsidR="004E31F2">
              <w:rPr>
                <w:noProof/>
                <w:webHidden/>
              </w:rPr>
              <w:instrText xml:space="preserve"> PAGEREF _Toc73640580 \h </w:instrText>
            </w:r>
            <w:r w:rsidR="004E31F2">
              <w:rPr>
                <w:noProof/>
                <w:webHidden/>
              </w:rPr>
            </w:r>
            <w:r w:rsidR="004E31F2">
              <w:rPr>
                <w:noProof/>
                <w:webHidden/>
              </w:rPr>
              <w:fldChar w:fldCharType="separate"/>
            </w:r>
            <w:r w:rsidR="004E31F2">
              <w:rPr>
                <w:noProof/>
                <w:webHidden/>
              </w:rPr>
              <w:t>59</w:t>
            </w:r>
            <w:r w:rsidR="004E31F2">
              <w:rPr>
                <w:noProof/>
                <w:webHidden/>
              </w:rPr>
              <w:fldChar w:fldCharType="end"/>
            </w:r>
          </w:hyperlink>
        </w:p>
        <w:p w:rsidR="004E31F2" w:rsidRDefault="008E3922">
          <w:pPr>
            <w:pStyle w:val="31"/>
            <w:tabs>
              <w:tab w:val="right" w:leader="dot" w:pos="9344"/>
            </w:tabs>
            <w:rPr>
              <w:rFonts w:asciiTheme="minorHAnsi" w:eastAsiaTheme="minorEastAsia" w:hAnsiTheme="minorHAnsi"/>
              <w:noProof/>
              <w:sz w:val="22"/>
              <w:lang w:eastAsia="ru-RU"/>
            </w:rPr>
          </w:pPr>
          <w:hyperlink w:anchor="_Toc73640581" w:history="1">
            <w:r w:rsidR="004E31F2" w:rsidRPr="007257AB">
              <w:rPr>
                <w:rStyle w:val="a4"/>
                <w:noProof/>
                <w:lang w:val="en-US"/>
              </w:rPr>
              <w:t>3.2. Contribution to academic literature</w:t>
            </w:r>
            <w:r w:rsidR="004E31F2">
              <w:rPr>
                <w:noProof/>
                <w:webHidden/>
              </w:rPr>
              <w:tab/>
            </w:r>
            <w:r w:rsidR="004E31F2">
              <w:rPr>
                <w:noProof/>
                <w:webHidden/>
              </w:rPr>
              <w:fldChar w:fldCharType="begin"/>
            </w:r>
            <w:r w:rsidR="004E31F2">
              <w:rPr>
                <w:noProof/>
                <w:webHidden/>
              </w:rPr>
              <w:instrText xml:space="preserve"> PAGEREF _Toc73640581 \h </w:instrText>
            </w:r>
            <w:r w:rsidR="004E31F2">
              <w:rPr>
                <w:noProof/>
                <w:webHidden/>
              </w:rPr>
            </w:r>
            <w:r w:rsidR="004E31F2">
              <w:rPr>
                <w:noProof/>
                <w:webHidden/>
              </w:rPr>
              <w:fldChar w:fldCharType="separate"/>
            </w:r>
            <w:r w:rsidR="004E31F2">
              <w:rPr>
                <w:noProof/>
                <w:webHidden/>
              </w:rPr>
              <w:t>60</w:t>
            </w:r>
            <w:r w:rsidR="004E31F2">
              <w:rPr>
                <w:noProof/>
                <w:webHidden/>
              </w:rPr>
              <w:fldChar w:fldCharType="end"/>
            </w:r>
          </w:hyperlink>
        </w:p>
        <w:p w:rsidR="004E31F2" w:rsidRDefault="008E3922">
          <w:pPr>
            <w:pStyle w:val="31"/>
            <w:tabs>
              <w:tab w:val="right" w:leader="dot" w:pos="9344"/>
            </w:tabs>
            <w:rPr>
              <w:rFonts w:asciiTheme="minorHAnsi" w:eastAsiaTheme="minorEastAsia" w:hAnsiTheme="minorHAnsi"/>
              <w:noProof/>
              <w:sz w:val="22"/>
              <w:lang w:eastAsia="ru-RU"/>
            </w:rPr>
          </w:pPr>
          <w:hyperlink w:anchor="_Toc73640582" w:history="1">
            <w:r w:rsidR="004E31F2" w:rsidRPr="007257AB">
              <w:rPr>
                <w:rStyle w:val="a4"/>
                <w:noProof/>
                <w:lang w:val="en-US"/>
              </w:rPr>
              <w:t>3.2 Limitations of the study</w:t>
            </w:r>
            <w:r w:rsidR="004E31F2">
              <w:rPr>
                <w:noProof/>
                <w:webHidden/>
              </w:rPr>
              <w:tab/>
            </w:r>
            <w:r w:rsidR="004E31F2">
              <w:rPr>
                <w:noProof/>
                <w:webHidden/>
              </w:rPr>
              <w:fldChar w:fldCharType="begin"/>
            </w:r>
            <w:r w:rsidR="004E31F2">
              <w:rPr>
                <w:noProof/>
                <w:webHidden/>
              </w:rPr>
              <w:instrText xml:space="preserve"> PAGEREF _Toc73640582 \h </w:instrText>
            </w:r>
            <w:r w:rsidR="004E31F2">
              <w:rPr>
                <w:noProof/>
                <w:webHidden/>
              </w:rPr>
            </w:r>
            <w:r w:rsidR="004E31F2">
              <w:rPr>
                <w:noProof/>
                <w:webHidden/>
              </w:rPr>
              <w:fldChar w:fldCharType="separate"/>
            </w:r>
            <w:r w:rsidR="004E31F2">
              <w:rPr>
                <w:noProof/>
                <w:webHidden/>
              </w:rPr>
              <w:t>60</w:t>
            </w:r>
            <w:r w:rsidR="004E31F2">
              <w:rPr>
                <w:noProof/>
                <w:webHidden/>
              </w:rPr>
              <w:fldChar w:fldCharType="end"/>
            </w:r>
          </w:hyperlink>
        </w:p>
        <w:p w:rsidR="004E31F2" w:rsidRDefault="008E3922">
          <w:pPr>
            <w:pStyle w:val="12"/>
            <w:tabs>
              <w:tab w:val="right" w:leader="dot" w:pos="9344"/>
            </w:tabs>
            <w:rPr>
              <w:rFonts w:asciiTheme="minorHAnsi" w:eastAsiaTheme="minorEastAsia" w:hAnsiTheme="minorHAnsi"/>
              <w:noProof/>
              <w:sz w:val="22"/>
              <w:lang w:eastAsia="ru-RU"/>
            </w:rPr>
          </w:pPr>
          <w:hyperlink w:anchor="_Toc73640583" w:history="1">
            <w:r w:rsidR="004E31F2" w:rsidRPr="007257AB">
              <w:rPr>
                <w:rStyle w:val="a4"/>
                <w:noProof/>
                <w:lang w:val="en-US"/>
              </w:rPr>
              <w:t>Chapter 4 Conclusion</w:t>
            </w:r>
            <w:r w:rsidR="004E31F2">
              <w:rPr>
                <w:noProof/>
                <w:webHidden/>
              </w:rPr>
              <w:tab/>
            </w:r>
            <w:r w:rsidR="004E31F2">
              <w:rPr>
                <w:noProof/>
                <w:webHidden/>
              </w:rPr>
              <w:fldChar w:fldCharType="begin"/>
            </w:r>
            <w:r w:rsidR="004E31F2">
              <w:rPr>
                <w:noProof/>
                <w:webHidden/>
              </w:rPr>
              <w:instrText xml:space="preserve"> PAGEREF _Toc73640583 \h </w:instrText>
            </w:r>
            <w:r w:rsidR="004E31F2">
              <w:rPr>
                <w:noProof/>
                <w:webHidden/>
              </w:rPr>
            </w:r>
            <w:r w:rsidR="004E31F2">
              <w:rPr>
                <w:noProof/>
                <w:webHidden/>
              </w:rPr>
              <w:fldChar w:fldCharType="separate"/>
            </w:r>
            <w:r w:rsidR="004E31F2">
              <w:rPr>
                <w:noProof/>
                <w:webHidden/>
              </w:rPr>
              <w:t>62</w:t>
            </w:r>
            <w:r w:rsidR="004E31F2">
              <w:rPr>
                <w:noProof/>
                <w:webHidden/>
              </w:rPr>
              <w:fldChar w:fldCharType="end"/>
            </w:r>
          </w:hyperlink>
        </w:p>
        <w:p w:rsidR="004E31F2" w:rsidRDefault="008E3922">
          <w:pPr>
            <w:pStyle w:val="12"/>
            <w:tabs>
              <w:tab w:val="right" w:leader="dot" w:pos="9344"/>
            </w:tabs>
            <w:rPr>
              <w:rFonts w:asciiTheme="minorHAnsi" w:eastAsiaTheme="minorEastAsia" w:hAnsiTheme="minorHAnsi"/>
              <w:noProof/>
              <w:sz w:val="22"/>
              <w:lang w:eastAsia="ru-RU"/>
            </w:rPr>
          </w:pPr>
          <w:hyperlink w:anchor="_Toc73640584" w:history="1">
            <w:r w:rsidR="004E31F2" w:rsidRPr="007257AB">
              <w:rPr>
                <w:rStyle w:val="a4"/>
                <w:noProof/>
                <w:lang w:val="en-US"/>
              </w:rPr>
              <w:t>Reference list</w:t>
            </w:r>
            <w:r w:rsidR="004E31F2">
              <w:rPr>
                <w:noProof/>
                <w:webHidden/>
              </w:rPr>
              <w:tab/>
            </w:r>
            <w:r w:rsidR="004E31F2">
              <w:rPr>
                <w:noProof/>
                <w:webHidden/>
              </w:rPr>
              <w:fldChar w:fldCharType="begin"/>
            </w:r>
            <w:r w:rsidR="004E31F2">
              <w:rPr>
                <w:noProof/>
                <w:webHidden/>
              </w:rPr>
              <w:instrText xml:space="preserve"> PAGEREF _Toc73640584 \h </w:instrText>
            </w:r>
            <w:r w:rsidR="004E31F2">
              <w:rPr>
                <w:noProof/>
                <w:webHidden/>
              </w:rPr>
            </w:r>
            <w:r w:rsidR="004E31F2">
              <w:rPr>
                <w:noProof/>
                <w:webHidden/>
              </w:rPr>
              <w:fldChar w:fldCharType="separate"/>
            </w:r>
            <w:r w:rsidR="004E31F2">
              <w:rPr>
                <w:noProof/>
                <w:webHidden/>
              </w:rPr>
              <w:t>65</w:t>
            </w:r>
            <w:r w:rsidR="004E31F2">
              <w:rPr>
                <w:noProof/>
                <w:webHidden/>
              </w:rPr>
              <w:fldChar w:fldCharType="end"/>
            </w:r>
          </w:hyperlink>
        </w:p>
        <w:p w:rsidR="004E31F2" w:rsidRDefault="008E3922">
          <w:pPr>
            <w:pStyle w:val="12"/>
            <w:tabs>
              <w:tab w:val="right" w:leader="dot" w:pos="9344"/>
            </w:tabs>
            <w:rPr>
              <w:rFonts w:asciiTheme="minorHAnsi" w:eastAsiaTheme="minorEastAsia" w:hAnsiTheme="minorHAnsi"/>
              <w:noProof/>
              <w:sz w:val="22"/>
              <w:lang w:eastAsia="ru-RU"/>
            </w:rPr>
          </w:pPr>
          <w:hyperlink w:anchor="_Toc73640585" w:history="1">
            <w:r w:rsidR="004E31F2" w:rsidRPr="007257AB">
              <w:rPr>
                <w:rStyle w:val="a4"/>
                <w:noProof/>
                <w:lang w:val="en-US"/>
              </w:rPr>
              <w:t>Appendix</w:t>
            </w:r>
            <w:r w:rsidR="004E31F2">
              <w:rPr>
                <w:noProof/>
                <w:webHidden/>
              </w:rPr>
              <w:tab/>
            </w:r>
            <w:r w:rsidR="004E31F2">
              <w:rPr>
                <w:noProof/>
                <w:webHidden/>
              </w:rPr>
              <w:fldChar w:fldCharType="begin"/>
            </w:r>
            <w:r w:rsidR="004E31F2">
              <w:rPr>
                <w:noProof/>
                <w:webHidden/>
              </w:rPr>
              <w:instrText xml:space="preserve"> PAGEREF _Toc73640585 \h </w:instrText>
            </w:r>
            <w:r w:rsidR="004E31F2">
              <w:rPr>
                <w:noProof/>
                <w:webHidden/>
              </w:rPr>
            </w:r>
            <w:r w:rsidR="004E31F2">
              <w:rPr>
                <w:noProof/>
                <w:webHidden/>
              </w:rPr>
              <w:fldChar w:fldCharType="separate"/>
            </w:r>
            <w:r w:rsidR="004E31F2">
              <w:rPr>
                <w:noProof/>
                <w:webHidden/>
              </w:rPr>
              <w:t>66</w:t>
            </w:r>
            <w:r w:rsidR="004E31F2">
              <w:rPr>
                <w:noProof/>
                <w:webHidden/>
              </w:rPr>
              <w:fldChar w:fldCharType="end"/>
            </w:r>
          </w:hyperlink>
        </w:p>
        <w:p w:rsidR="00873D2A" w:rsidRPr="00327FAA" w:rsidRDefault="0030078C" w:rsidP="006147BB">
          <w:pPr>
            <w:rPr>
              <w:lang w:val="en-GB"/>
            </w:rPr>
          </w:pPr>
          <w:r>
            <w:rPr>
              <w:b/>
              <w:bCs/>
            </w:rPr>
            <w:fldChar w:fldCharType="end"/>
          </w:r>
          <w:r w:rsidR="00F33485" w:rsidRPr="00327FAA">
            <w:rPr>
              <w:b/>
              <w:bCs/>
              <w:highlight w:val="yellow"/>
              <w:lang w:val="en-GB"/>
            </w:rPr>
            <w:t xml:space="preserve"> </w:t>
          </w:r>
        </w:p>
      </w:sdtContent>
    </w:sdt>
    <w:p w:rsidR="00DE1B6A" w:rsidRPr="00DE1B6A" w:rsidRDefault="003C7AED" w:rsidP="001D6177">
      <w:pPr>
        <w:pStyle w:val="1"/>
        <w:rPr>
          <w:lang w:val="en-GB"/>
        </w:rPr>
      </w:pPr>
      <w:bookmarkStart w:id="0" w:name="_Toc67082948"/>
      <w:bookmarkStart w:id="1" w:name="_Toc73640559"/>
      <w:r>
        <w:rPr>
          <w:lang w:val="en-GB"/>
        </w:rPr>
        <w:lastRenderedPageBreak/>
        <w:t>I</w:t>
      </w:r>
      <w:r w:rsidR="00D44257">
        <w:rPr>
          <w:lang w:val="en-GB"/>
        </w:rPr>
        <w:t>ntroduction</w:t>
      </w:r>
      <w:bookmarkEnd w:id="0"/>
      <w:bookmarkEnd w:id="1"/>
    </w:p>
    <w:p w:rsidR="00AB42E6" w:rsidRDefault="00AB42E6" w:rsidP="00963CD5">
      <w:pPr>
        <w:rPr>
          <w:lang w:val="en-GB"/>
        </w:rPr>
      </w:pPr>
      <w:r>
        <w:rPr>
          <w:lang w:val="en-GB"/>
        </w:rPr>
        <w:t>The oil and gas industry is one of most important part of modern economy and major proportion of global economy depends from companies operating in this sector.</w:t>
      </w:r>
    </w:p>
    <w:p w:rsidR="00AB42E6" w:rsidRDefault="00AB42E6" w:rsidP="00963CD5">
      <w:pPr>
        <w:rPr>
          <w:lang w:val="en-GB"/>
        </w:rPr>
      </w:pPr>
      <w:r>
        <w:rPr>
          <w:lang w:val="en-GB"/>
        </w:rPr>
        <w:t xml:space="preserve">Nevertheless, nowadays exist a crucial challenge </w:t>
      </w:r>
      <w:r w:rsidR="006C586E">
        <w:rPr>
          <w:lang w:val="en-GB"/>
        </w:rPr>
        <w:t xml:space="preserve">of energy transition to low carbon sources, what can significantly undermine </w:t>
      </w:r>
      <w:r>
        <w:rPr>
          <w:lang w:val="en-GB"/>
        </w:rPr>
        <w:t xml:space="preserve">this industry </w:t>
      </w:r>
      <w:r w:rsidR="006C586E">
        <w:rPr>
          <w:lang w:val="en-GB"/>
        </w:rPr>
        <w:t xml:space="preserve">positions on market, especially in Western countries, where the measures for energy transition are most severe. In general, the process of economy move from fossil fuels to green energy is just a part of </w:t>
      </w:r>
      <w:r w:rsidR="00FA35CB">
        <w:rPr>
          <w:lang w:val="en-GB"/>
        </w:rPr>
        <w:t xml:space="preserve">the </w:t>
      </w:r>
      <w:r w:rsidR="006C586E">
        <w:rPr>
          <w:lang w:val="en-GB"/>
        </w:rPr>
        <w:t xml:space="preserve">sustainable development context that raise the awareness of global problems like climate change. In average, among researches there are a prevalent consensus of the role of oil&amp;gas industry being responsible for most greenhouse emissions. </w:t>
      </w:r>
      <w:r w:rsidR="00FA35CB">
        <w:rPr>
          <w:lang w:val="en-GB"/>
        </w:rPr>
        <w:t>Since, investors becoming more aware of global problems as well, they start allocating their capitals in sustainable companies more than in not sustainable. Therefore, the oil&amp;gas companies are at the face of big risks of losing not only its positions in demand/supply energy chain due to appearance of new energy solutions, but also losing its investors, what in combination with current low oil prices and other internal industry problems could have very negative impact on oil and gas firms.</w:t>
      </w:r>
    </w:p>
    <w:p w:rsidR="00E818AC" w:rsidRDefault="00FA35CB" w:rsidP="001D6177">
      <w:pPr>
        <w:rPr>
          <w:lang w:val="en-GB"/>
        </w:rPr>
      </w:pPr>
      <w:r>
        <w:rPr>
          <w:lang w:val="en-GB"/>
        </w:rPr>
        <w:t xml:space="preserve">As the result, O&amp;G companies rethink their business models and planning to adopt its strategies to new low emissions reality. One of possible ways that actually is used is entering the </w:t>
      </w:r>
      <w:r w:rsidR="001D6177">
        <w:rPr>
          <w:lang w:val="en-GB"/>
        </w:rPr>
        <w:t xml:space="preserve">renewable energy sector through conducting M&amp;A deals. Therefore, </w:t>
      </w:r>
      <w:r w:rsidR="001D6177" w:rsidRPr="001D6177">
        <w:rPr>
          <w:b/>
          <w:lang w:val="en-GB" w:eastAsia="ru-RU"/>
        </w:rPr>
        <w:t>t</w:t>
      </w:r>
      <w:r w:rsidR="00F27146" w:rsidRPr="001D6177">
        <w:rPr>
          <w:b/>
          <w:lang w:val="en-GB" w:eastAsia="ru-RU"/>
        </w:rPr>
        <w:t>he goal</w:t>
      </w:r>
      <w:r w:rsidR="00F27146" w:rsidRPr="00F27146">
        <w:rPr>
          <w:lang w:val="en-GB" w:eastAsia="ru-RU"/>
        </w:rPr>
        <w:t xml:space="preserve"> of this research is to show, how the </w:t>
      </w:r>
      <w:r>
        <w:rPr>
          <w:lang w:val="en-GB" w:eastAsia="ru-RU"/>
        </w:rPr>
        <w:t xml:space="preserve">stock </w:t>
      </w:r>
      <w:r w:rsidR="00F27146" w:rsidRPr="00F27146">
        <w:rPr>
          <w:lang w:val="en-GB" w:eastAsia="ru-RU"/>
        </w:rPr>
        <w:t xml:space="preserve">market reacts to the transformation oil and gas </w:t>
      </w:r>
      <w:r w:rsidR="00F27146">
        <w:rPr>
          <w:lang w:val="en-GB" w:eastAsia="ru-RU"/>
        </w:rPr>
        <w:t>companies</w:t>
      </w:r>
      <w:r w:rsidR="00F27146" w:rsidRPr="00F27146">
        <w:rPr>
          <w:lang w:val="en-GB" w:eastAsia="ru-RU"/>
        </w:rPr>
        <w:t xml:space="preserve"> in the context of mergers and acquisitions in the current </w:t>
      </w:r>
      <w:r>
        <w:rPr>
          <w:lang w:val="en-GB" w:eastAsia="ru-RU"/>
        </w:rPr>
        <w:t>conditions</w:t>
      </w:r>
      <w:r w:rsidR="00F27146">
        <w:rPr>
          <w:lang w:val="en-GB" w:eastAsia="ru-RU"/>
        </w:rPr>
        <w:t xml:space="preserve"> low carbon energy transition.</w:t>
      </w:r>
      <w:r w:rsidR="001D6177">
        <w:rPr>
          <w:lang w:val="en-GB" w:eastAsia="ru-RU"/>
        </w:rPr>
        <w:t xml:space="preserve"> </w:t>
      </w:r>
      <w:r w:rsidR="00E818AC">
        <w:rPr>
          <w:lang w:val="en-GB"/>
        </w:rPr>
        <w:t xml:space="preserve">In order to address the stated goal the next </w:t>
      </w:r>
      <w:r w:rsidR="00E818AC" w:rsidRPr="00E50E2D">
        <w:rPr>
          <w:b/>
          <w:lang w:val="en-GB"/>
        </w:rPr>
        <w:t>objectives</w:t>
      </w:r>
      <w:r w:rsidR="00E818AC">
        <w:rPr>
          <w:lang w:val="en-GB"/>
        </w:rPr>
        <w:t xml:space="preserve"> have been formulated:</w:t>
      </w:r>
    </w:p>
    <w:p w:rsidR="00E818AC" w:rsidRDefault="00E818AC" w:rsidP="00A36559">
      <w:pPr>
        <w:pStyle w:val="aa"/>
        <w:numPr>
          <w:ilvl w:val="0"/>
          <w:numId w:val="4"/>
        </w:numPr>
        <w:rPr>
          <w:lang w:val="en-GB"/>
        </w:rPr>
      </w:pPr>
      <w:r>
        <w:rPr>
          <w:lang w:val="en-GB"/>
        </w:rPr>
        <w:t>Arrang</w:t>
      </w:r>
      <w:r w:rsidR="00361F90">
        <w:rPr>
          <w:lang w:val="en-GB"/>
        </w:rPr>
        <w:t xml:space="preserve">e the literature review covering issues oil&amp;gas industry in </w:t>
      </w:r>
      <w:r w:rsidR="00E50E2D">
        <w:rPr>
          <w:lang w:val="en-GB"/>
        </w:rPr>
        <w:t>context of low-carbon transition</w:t>
      </w:r>
    </w:p>
    <w:p w:rsidR="00E50E2D" w:rsidRPr="00E50E2D" w:rsidRDefault="00E50E2D" w:rsidP="00E50E2D">
      <w:pPr>
        <w:ind w:firstLine="0"/>
        <w:rPr>
          <w:lang w:val="en-GB"/>
        </w:rPr>
      </w:pPr>
      <w:r>
        <w:rPr>
          <w:lang w:val="en-GB"/>
        </w:rPr>
        <w:t>The literature review can be logically divided into three parts, in one part the issues of sustainable development and ESG, then narrowing discussion to oil&amp;gas industry in the context of low carbon transition and finally the oil&amp;gas business transformation. On the basis of this literature review the research gap will be formulated.</w:t>
      </w:r>
    </w:p>
    <w:p w:rsidR="00361F90" w:rsidRDefault="00E818AC" w:rsidP="00A36559">
      <w:pPr>
        <w:pStyle w:val="aa"/>
        <w:numPr>
          <w:ilvl w:val="0"/>
          <w:numId w:val="4"/>
        </w:numPr>
        <w:rPr>
          <w:lang w:val="en-GB"/>
        </w:rPr>
      </w:pPr>
      <w:r>
        <w:rPr>
          <w:lang w:val="en-GB"/>
        </w:rPr>
        <w:t>Form</w:t>
      </w:r>
      <w:r w:rsidR="00361F90">
        <w:rPr>
          <w:lang w:val="en-GB"/>
        </w:rPr>
        <w:t>ulate hypotheses based on research gap</w:t>
      </w:r>
      <w:r>
        <w:rPr>
          <w:lang w:val="en-GB"/>
        </w:rPr>
        <w:t xml:space="preserve"> </w:t>
      </w:r>
    </w:p>
    <w:p w:rsidR="00E50E2D" w:rsidRPr="00E50E2D" w:rsidRDefault="00E50E2D" w:rsidP="00E50E2D">
      <w:pPr>
        <w:ind w:firstLine="0"/>
        <w:rPr>
          <w:lang w:val="en-GB"/>
        </w:rPr>
      </w:pPr>
      <w:r>
        <w:rPr>
          <w:lang w:val="en-GB"/>
        </w:rPr>
        <w:t>There will be a main hypotheses that will test short-term and long-term market reaction and in addition some supplementary hypotheses could be added in order to clarify the portrait of the companies that bring the highest returns.</w:t>
      </w:r>
    </w:p>
    <w:p w:rsidR="00361F90" w:rsidRDefault="00361F90" w:rsidP="00A36559">
      <w:pPr>
        <w:pStyle w:val="aa"/>
        <w:numPr>
          <w:ilvl w:val="0"/>
          <w:numId w:val="4"/>
        </w:numPr>
        <w:rPr>
          <w:lang w:val="en-GB"/>
        </w:rPr>
      </w:pPr>
      <w:r>
        <w:rPr>
          <w:lang w:val="en-GB"/>
        </w:rPr>
        <w:t>Develop and j</w:t>
      </w:r>
      <w:r w:rsidR="00E50E2D">
        <w:rPr>
          <w:lang w:val="en-GB"/>
        </w:rPr>
        <w:t>ustify the research methodology</w:t>
      </w:r>
    </w:p>
    <w:p w:rsidR="00E818AC" w:rsidRDefault="00963CD5" w:rsidP="00A36559">
      <w:pPr>
        <w:pStyle w:val="aa"/>
        <w:numPr>
          <w:ilvl w:val="0"/>
          <w:numId w:val="4"/>
        </w:numPr>
        <w:rPr>
          <w:lang w:val="en-GB"/>
        </w:rPr>
      </w:pPr>
      <w:r>
        <w:rPr>
          <w:lang w:val="en-GB"/>
        </w:rPr>
        <w:t>Collect necessary data</w:t>
      </w:r>
    </w:p>
    <w:p w:rsidR="00963CD5" w:rsidRDefault="00963CD5" w:rsidP="00A36559">
      <w:pPr>
        <w:pStyle w:val="aa"/>
        <w:numPr>
          <w:ilvl w:val="0"/>
          <w:numId w:val="4"/>
        </w:numPr>
        <w:rPr>
          <w:lang w:val="en-GB"/>
        </w:rPr>
      </w:pPr>
      <w:r>
        <w:rPr>
          <w:lang w:val="en-GB"/>
        </w:rPr>
        <w:t>P</w:t>
      </w:r>
      <w:r w:rsidRPr="00963CD5">
        <w:rPr>
          <w:lang w:val="en-GB"/>
        </w:rPr>
        <w:t xml:space="preserve">erform an empirical </w:t>
      </w:r>
      <w:r>
        <w:rPr>
          <w:lang w:val="en-GB"/>
        </w:rPr>
        <w:t>study for testing hypotheses</w:t>
      </w:r>
    </w:p>
    <w:p w:rsidR="00E818AC" w:rsidRDefault="00963CD5" w:rsidP="00A36559">
      <w:pPr>
        <w:pStyle w:val="aa"/>
        <w:numPr>
          <w:ilvl w:val="0"/>
          <w:numId w:val="4"/>
        </w:numPr>
        <w:rPr>
          <w:lang w:val="en-GB"/>
        </w:rPr>
      </w:pPr>
      <w:r>
        <w:rPr>
          <w:lang w:val="en-GB"/>
        </w:rPr>
        <w:lastRenderedPageBreak/>
        <w:t xml:space="preserve">Formulate findings </w:t>
      </w:r>
      <w:r w:rsidR="00E818AC">
        <w:rPr>
          <w:lang w:val="en-GB"/>
        </w:rPr>
        <w:t>results implication</w:t>
      </w:r>
    </w:p>
    <w:p w:rsidR="000D31DE" w:rsidRDefault="00E818AC" w:rsidP="00A36559">
      <w:pPr>
        <w:pStyle w:val="aa"/>
        <w:numPr>
          <w:ilvl w:val="0"/>
          <w:numId w:val="4"/>
        </w:numPr>
        <w:rPr>
          <w:lang w:val="en-GB"/>
        </w:rPr>
      </w:pPr>
      <w:r>
        <w:rPr>
          <w:lang w:val="en-GB"/>
        </w:rPr>
        <w:t>Mention the space for further study</w:t>
      </w:r>
    </w:p>
    <w:p w:rsidR="00F33485" w:rsidRPr="00963CD5" w:rsidRDefault="001D6177" w:rsidP="00386EA7">
      <w:pPr>
        <w:ind w:firstLine="0"/>
        <w:rPr>
          <w:lang w:val="en-GB"/>
        </w:rPr>
      </w:pPr>
      <w:r>
        <w:rPr>
          <w:lang w:val="en-GB"/>
        </w:rPr>
        <w:t xml:space="preserve">The </w:t>
      </w:r>
      <w:r w:rsidRPr="00E50E2D">
        <w:rPr>
          <w:b/>
          <w:lang w:val="en-GB"/>
        </w:rPr>
        <w:t>object</w:t>
      </w:r>
      <w:r>
        <w:rPr>
          <w:lang w:val="en-GB"/>
        </w:rPr>
        <w:t xml:space="preserve"> of this </w:t>
      </w:r>
      <w:r w:rsidRPr="00E50E2D">
        <w:rPr>
          <w:b/>
          <w:lang w:val="en-GB"/>
        </w:rPr>
        <w:t>study</w:t>
      </w:r>
      <w:r>
        <w:rPr>
          <w:lang w:val="en-GB"/>
        </w:rPr>
        <w:t xml:space="preserve"> is</w:t>
      </w:r>
      <w:r w:rsidR="000D31DE">
        <w:rPr>
          <w:lang w:val="en-GB"/>
        </w:rPr>
        <w:t>–</w:t>
      </w:r>
      <w:r w:rsidR="00963CD5">
        <w:rPr>
          <w:lang w:val="en-GB"/>
        </w:rPr>
        <w:t xml:space="preserve"> </w:t>
      </w:r>
      <w:r w:rsidR="000D31DE">
        <w:rPr>
          <w:lang w:val="en-GB"/>
        </w:rPr>
        <w:t>O&amp;G companies acquiring renewable energy companies</w:t>
      </w:r>
      <w:r>
        <w:rPr>
          <w:lang w:val="en-GB"/>
        </w:rPr>
        <w:t xml:space="preserve">, while the </w:t>
      </w:r>
      <w:r w:rsidRPr="00E50E2D">
        <w:rPr>
          <w:b/>
          <w:lang w:val="en-GB"/>
        </w:rPr>
        <w:t>subject</w:t>
      </w:r>
      <w:r>
        <w:rPr>
          <w:lang w:val="en-GB"/>
        </w:rPr>
        <w:t xml:space="preserve"> is </w:t>
      </w:r>
      <w:r w:rsidR="000D31DE" w:rsidRPr="00963CD5">
        <w:rPr>
          <w:lang w:val="en-GB"/>
        </w:rPr>
        <w:t xml:space="preserve">– </w:t>
      </w:r>
      <w:r w:rsidR="00963CD5">
        <w:rPr>
          <w:lang w:val="en-GB"/>
        </w:rPr>
        <w:t>the dynamic of abnormal stock returns</w:t>
      </w:r>
      <w:r>
        <w:rPr>
          <w:lang w:val="en-GB"/>
        </w:rPr>
        <w:t>.</w:t>
      </w:r>
    </w:p>
    <w:p w:rsidR="007837C4" w:rsidRPr="002560BA" w:rsidRDefault="00411302" w:rsidP="007837C4">
      <w:pPr>
        <w:pStyle w:val="1"/>
        <w:rPr>
          <w:lang w:val="en-GB"/>
        </w:rPr>
      </w:pPr>
      <w:bookmarkStart w:id="2" w:name="_Toc73640560"/>
      <w:r>
        <w:rPr>
          <w:lang w:val="en-GB"/>
        </w:rPr>
        <w:lastRenderedPageBreak/>
        <w:t>C</w:t>
      </w:r>
      <w:r w:rsidR="00D22DE5">
        <w:rPr>
          <w:lang w:val="en-GB"/>
        </w:rPr>
        <w:t xml:space="preserve">hapter 1. </w:t>
      </w:r>
      <w:r w:rsidR="007837C4">
        <w:rPr>
          <w:lang w:val="en-GB"/>
        </w:rPr>
        <w:t>literature review</w:t>
      </w:r>
      <w:bookmarkEnd w:id="2"/>
    </w:p>
    <w:p w:rsidR="001358C9" w:rsidRPr="001358C9" w:rsidRDefault="000E446D" w:rsidP="000E446D">
      <w:pPr>
        <w:rPr>
          <w:lang w:val="en-GB"/>
        </w:rPr>
      </w:pPr>
      <w:r>
        <w:rPr>
          <w:lang w:val="en-GB"/>
        </w:rPr>
        <w:t>In the first chapter of my research the description of oil and gas industry</w:t>
      </w:r>
      <w:r w:rsidR="000408D1">
        <w:rPr>
          <w:lang w:val="en-GB"/>
        </w:rPr>
        <w:t xml:space="preserve"> is provided</w:t>
      </w:r>
      <w:r>
        <w:rPr>
          <w:lang w:val="en-GB"/>
        </w:rPr>
        <w:t xml:space="preserve"> first, in order to have a brief understanding of peculiarities of this sector o</w:t>
      </w:r>
      <w:r w:rsidR="000408D1">
        <w:rPr>
          <w:lang w:val="en-GB"/>
        </w:rPr>
        <w:t>f economy. This subpart is</w:t>
      </w:r>
      <w:r>
        <w:rPr>
          <w:lang w:val="en-GB"/>
        </w:rPr>
        <w:t xml:space="preserve"> finish</w:t>
      </w:r>
      <w:r w:rsidR="000408D1">
        <w:rPr>
          <w:lang w:val="en-GB"/>
        </w:rPr>
        <w:t>ed</w:t>
      </w:r>
      <w:r>
        <w:rPr>
          <w:lang w:val="en-GB"/>
        </w:rPr>
        <w:t xml:space="preserve"> with a discussion of what trends are shaping the industry and logically mov</w:t>
      </w:r>
      <w:r w:rsidR="000408D1">
        <w:rPr>
          <w:lang w:val="en-GB"/>
        </w:rPr>
        <w:t>e to the next subchapter. There</w:t>
      </w:r>
      <w:r w:rsidRPr="000E446D">
        <w:rPr>
          <w:lang w:val="en-GB"/>
        </w:rPr>
        <w:t xml:space="preserve"> </w:t>
      </w:r>
      <w:r w:rsidR="000408D1">
        <w:rPr>
          <w:lang w:val="en-GB"/>
        </w:rPr>
        <w:t xml:space="preserve">the topic on </w:t>
      </w:r>
      <w:r w:rsidRPr="000E446D">
        <w:rPr>
          <w:lang w:val="en-GB"/>
        </w:rPr>
        <w:t xml:space="preserve">the transition of the energy market from </w:t>
      </w:r>
      <w:r>
        <w:rPr>
          <w:lang w:val="en-GB"/>
        </w:rPr>
        <w:t>fossil</w:t>
      </w:r>
      <w:r w:rsidRPr="000E446D">
        <w:rPr>
          <w:lang w:val="en-GB"/>
        </w:rPr>
        <w:t xml:space="preserve"> fuels</w:t>
      </w:r>
      <w:r w:rsidR="000408D1">
        <w:rPr>
          <w:lang w:val="en-GB"/>
        </w:rPr>
        <w:t xml:space="preserve"> is covered</w:t>
      </w:r>
      <w:r w:rsidRPr="000E446D">
        <w:rPr>
          <w:lang w:val="en-GB"/>
        </w:rPr>
        <w:t xml:space="preserve">, or in a broader sense, the transition from a high-carbon industry to a low-carbon economy, </w:t>
      </w:r>
      <w:r>
        <w:rPr>
          <w:lang w:val="en-GB"/>
        </w:rPr>
        <w:t>that is</w:t>
      </w:r>
      <w:r w:rsidRPr="000E446D">
        <w:rPr>
          <w:lang w:val="en-GB"/>
        </w:rPr>
        <w:t xml:space="preserve"> usually understand </w:t>
      </w:r>
      <w:r>
        <w:rPr>
          <w:lang w:val="en-GB"/>
        </w:rPr>
        <w:t xml:space="preserve">as </w:t>
      </w:r>
      <w:r w:rsidRPr="000E446D">
        <w:rPr>
          <w:lang w:val="en-GB"/>
        </w:rPr>
        <w:t>renewable energy sources.</w:t>
      </w:r>
      <w:r>
        <w:rPr>
          <w:lang w:val="en-GB"/>
        </w:rPr>
        <w:t xml:space="preserve"> This discussion flows into the consideration how oil and gas companies are addressing this challenge. The particular attention here is paid to the process of investing and acquiring renewable energy companies by O&amp;G companies, what </w:t>
      </w:r>
      <w:r w:rsidRPr="000E446D">
        <w:rPr>
          <w:lang w:val="en-GB"/>
        </w:rPr>
        <w:t>turns the latter into</w:t>
      </w:r>
      <w:r w:rsidR="00044032">
        <w:rPr>
          <w:lang w:val="en-GB"/>
        </w:rPr>
        <w:t xml:space="preserve"> integrated energy entities.</w:t>
      </w:r>
    </w:p>
    <w:p w:rsidR="001E706D" w:rsidRPr="00E13470" w:rsidRDefault="00D22DE5" w:rsidP="007837C4">
      <w:pPr>
        <w:pStyle w:val="2"/>
        <w:rPr>
          <w:lang w:val="en-GB"/>
        </w:rPr>
      </w:pPr>
      <w:bookmarkStart w:id="3" w:name="_Toc67082949"/>
      <w:bookmarkStart w:id="4" w:name="_Toc73640561"/>
      <w:r>
        <w:rPr>
          <w:lang w:val="en-GB"/>
        </w:rPr>
        <w:t xml:space="preserve">1.1 </w:t>
      </w:r>
      <w:r w:rsidR="001E706D">
        <w:rPr>
          <w:lang w:val="en-GB"/>
        </w:rPr>
        <w:t>The oil and gas industry</w:t>
      </w:r>
      <w:bookmarkEnd w:id="3"/>
      <w:bookmarkEnd w:id="4"/>
    </w:p>
    <w:p w:rsidR="00D44257" w:rsidRPr="00F12E68" w:rsidRDefault="006461EE" w:rsidP="00D44257">
      <w:pPr>
        <w:rPr>
          <w:lang w:val="en-GB"/>
        </w:rPr>
      </w:pPr>
      <w:r>
        <w:rPr>
          <w:lang w:val="en-GB"/>
        </w:rPr>
        <w:t xml:space="preserve">The gas and oil industry remains as one of the most crucial part of the global economy. Moreover, being the primary source of energy nowadays, the role of this industry spreads not only on economic issues but also on geopolitical that includes the energy security, international relations and conflicts. </w:t>
      </w:r>
      <w:r w:rsidR="002231ED">
        <w:rPr>
          <w:lang w:val="en-GB"/>
        </w:rPr>
        <w:t>The inner structure of O&amp;G industry is rather complex, therefore, in this part I am going to make an introduction into</w:t>
      </w:r>
      <w:r w:rsidR="006C4A64">
        <w:rPr>
          <w:lang w:val="en-GB"/>
        </w:rPr>
        <w:t xml:space="preserve"> main aspects if this industry according to (</w:t>
      </w:r>
      <w:r w:rsidR="000408D1">
        <w:rPr>
          <w:rStyle w:val="addmd"/>
          <w:lang w:val="en-GB"/>
        </w:rPr>
        <w:t>A. C. Inkpen, M.</w:t>
      </w:r>
      <w:r w:rsidR="006C4A64" w:rsidRPr="00F12E68">
        <w:rPr>
          <w:rStyle w:val="addmd"/>
          <w:lang w:val="en-GB"/>
        </w:rPr>
        <w:t xml:space="preserve"> H. Moffett</w:t>
      </w:r>
      <w:r w:rsidR="006C4A64">
        <w:rPr>
          <w:lang w:val="en-GB"/>
        </w:rPr>
        <w:t>)</w:t>
      </w:r>
      <w:r w:rsidR="00DB5066">
        <w:rPr>
          <w:rStyle w:val="af0"/>
          <w:lang w:val="en-GB"/>
        </w:rPr>
        <w:footnoteReference w:id="1"/>
      </w:r>
      <w:r w:rsidR="00F12E68">
        <w:rPr>
          <w:rStyle w:val="addmd"/>
          <w:lang w:val="en-GB"/>
        </w:rPr>
        <w:t xml:space="preserve">. </w:t>
      </w:r>
    </w:p>
    <w:p w:rsidR="008D2372" w:rsidRPr="00A12A9B" w:rsidRDefault="00A12A9B" w:rsidP="00D44257">
      <w:pPr>
        <w:rPr>
          <w:b/>
          <w:i/>
          <w:lang w:val="en-GB"/>
        </w:rPr>
      </w:pPr>
      <w:r>
        <w:rPr>
          <w:b/>
          <w:i/>
          <w:lang w:val="en-GB"/>
        </w:rPr>
        <w:t>Market p</w:t>
      </w:r>
      <w:r w:rsidR="008D2372" w:rsidRPr="00A12A9B">
        <w:rPr>
          <w:b/>
          <w:i/>
          <w:lang w:val="en-GB"/>
        </w:rPr>
        <w:t>layers</w:t>
      </w:r>
    </w:p>
    <w:p w:rsidR="00404198" w:rsidRDefault="00DB5066" w:rsidP="00D44257">
      <w:pPr>
        <w:rPr>
          <w:lang w:val="en-GB"/>
        </w:rPr>
      </w:pPr>
      <w:r>
        <w:rPr>
          <w:lang w:val="en-GB"/>
        </w:rPr>
        <w:t xml:space="preserve">The market is presented by thousands of companies in </w:t>
      </w:r>
      <w:r w:rsidR="00EB629A">
        <w:rPr>
          <w:lang w:val="en-GB"/>
        </w:rPr>
        <w:t xml:space="preserve">O&amp;G sector, however, all of them can be categorised in major several names. </w:t>
      </w:r>
    </w:p>
    <w:p w:rsidR="00EB629A" w:rsidRDefault="00EB629A" w:rsidP="00D44257">
      <w:pPr>
        <w:rPr>
          <w:lang w:val="en-GB"/>
        </w:rPr>
      </w:pPr>
      <w:r>
        <w:rPr>
          <w:lang w:val="en-GB"/>
        </w:rPr>
        <w:t xml:space="preserve">International oil companies (IOC). </w:t>
      </w:r>
      <w:r w:rsidRPr="00EB629A">
        <w:rPr>
          <w:lang w:val="en-GB"/>
        </w:rPr>
        <w:t>Distinctive features of such a company</w:t>
      </w:r>
      <w:r>
        <w:rPr>
          <w:lang w:val="en-GB"/>
        </w:rPr>
        <w:t xml:space="preserve"> are vertical structure, ability to compete on all levels of value chains, operates internationally. Its main goal is profit maximization. </w:t>
      </w:r>
      <w:r w:rsidR="00204C20">
        <w:rPr>
          <w:lang w:val="en-GB"/>
        </w:rPr>
        <w:t>Ge</w:t>
      </w:r>
      <w:r w:rsidR="00204C20" w:rsidRPr="00204C20">
        <w:rPr>
          <w:lang w:val="en-GB"/>
        </w:rPr>
        <w:t>nerally</w:t>
      </w:r>
      <w:r w:rsidR="00204C20">
        <w:rPr>
          <w:lang w:val="en-GB"/>
        </w:rPr>
        <w:t xml:space="preserve"> </w:t>
      </w:r>
      <w:r w:rsidR="00204C20" w:rsidRPr="00204C20">
        <w:rPr>
          <w:lang w:val="en-GB"/>
        </w:rPr>
        <w:t>based</w:t>
      </w:r>
      <w:r w:rsidR="00204C20">
        <w:rPr>
          <w:lang w:val="en-GB"/>
        </w:rPr>
        <w:t xml:space="preserve"> </w:t>
      </w:r>
      <w:r w:rsidR="00204C20" w:rsidRPr="00204C20">
        <w:rPr>
          <w:lang w:val="en-GB"/>
        </w:rPr>
        <w:t>in the United States and Europe</w:t>
      </w:r>
      <w:r w:rsidR="00204C20">
        <w:rPr>
          <w:lang w:val="en-GB"/>
        </w:rPr>
        <w:t>, major IOCs are Ex</w:t>
      </w:r>
      <w:r w:rsidR="00862D70">
        <w:rPr>
          <w:lang w:val="en-GB"/>
        </w:rPr>
        <w:t>xon, Total, BP, and Shell (M.</w:t>
      </w:r>
      <w:r w:rsidR="00204C20">
        <w:rPr>
          <w:lang w:val="en-GB"/>
        </w:rPr>
        <w:t xml:space="preserve"> Grasso, 2019).</w:t>
      </w:r>
    </w:p>
    <w:p w:rsidR="00EB629A" w:rsidRDefault="00EB629A" w:rsidP="00D44257">
      <w:pPr>
        <w:rPr>
          <w:lang w:val="en-GB"/>
        </w:rPr>
      </w:pPr>
      <w:r>
        <w:rPr>
          <w:lang w:val="en-GB"/>
        </w:rPr>
        <w:t xml:space="preserve">National oil companies (NOC). Its main feature is that they belong to a state. In comparison with a IOCs its main goal is not always profit maximization, actually they can act as a tool for geopolitical influence. Very often these companies become partners of IOCs. Examples are Rosneft and Sinopec. </w:t>
      </w:r>
    </w:p>
    <w:p w:rsidR="00EB629A" w:rsidRPr="00404198" w:rsidRDefault="00D437C5" w:rsidP="00D44257">
      <w:pPr>
        <w:rPr>
          <w:lang w:val="en-GB"/>
        </w:rPr>
      </w:pPr>
      <w:r>
        <w:rPr>
          <w:lang w:val="en-GB"/>
        </w:rPr>
        <w:t xml:space="preserve">These two types play the major role in the industry, but there exist other types of companies like independent producers, service companies, traders and downstream </w:t>
      </w:r>
      <w:r w:rsidR="002B71CA">
        <w:rPr>
          <w:lang w:val="en-GB"/>
        </w:rPr>
        <w:t>operators</w:t>
      </w:r>
      <w:r>
        <w:rPr>
          <w:lang w:val="en-GB"/>
        </w:rPr>
        <w:t>.</w:t>
      </w:r>
    </w:p>
    <w:p w:rsidR="002231ED" w:rsidRPr="00A12A9B" w:rsidRDefault="002231ED" w:rsidP="00D44257">
      <w:pPr>
        <w:rPr>
          <w:b/>
          <w:i/>
          <w:lang w:val="en-GB"/>
        </w:rPr>
      </w:pPr>
      <w:r w:rsidRPr="00A12A9B">
        <w:rPr>
          <w:b/>
          <w:i/>
          <w:lang w:val="en-GB"/>
        </w:rPr>
        <w:t>Value Chain</w:t>
      </w:r>
    </w:p>
    <w:p w:rsidR="00A74FF4" w:rsidRDefault="006461EE" w:rsidP="00D44257">
      <w:pPr>
        <w:rPr>
          <w:lang w:val="en-GB"/>
        </w:rPr>
      </w:pPr>
      <w:r>
        <w:rPr>
          <w:lang w:val="en-GB"/>
        </w:rPr>
        <w:lastRenderedPageBreak/>
        <w:t xml:space="preserve">By itself this industry has a complex value chain that is divided into three major </w:t>
      </w:r>
      <w:r w:rsidR="002231ED">
        <w:rPr>
          <w:lang w:val="en-GB"/>
        </w:rPr>
        <w:t>segments</w:t>
      </w:r>
      <w:r>
        <w:rPr>
          <w:lang w:val="en-GB"/>
        </w:rPr>
        <w:t xml:space="preserve">, in particular upstream, midstream and downstream. </w:t>
      </w:r>
      <w:r w:rsidR="002231ED">
        <w:rPr>
          <w:lang w:val="en-GB"/>
        </w:rPr>
        <w:t xml:space="preserve">Starting with the </w:t>
      </w:r>
      <w:r w:rsidR="002231ED" w:rsidRPr="00AC306E">
        <w:rPr>
          <w:b/>
          <w:lang w:val="en-GB"/>
        </w:rPr>
        <w:t>upstream</w:t>
      </w:r>
      <w:r w:rsidR="002231ED">
        <w:rPr>
          <w:lang w:val="en-GB"/>
        </w:rPr>
        <w:t xml:space="preserve"> segment, on this level the O&amp;G industry starts with the exploration and further extraction of crude oil and gas. This process includes</w:t>
      </w:r>
      <w:r w:rsidR="00A871D6">
        <w:rPr>
          <w:lang w:val="en-GB"/>
        </w:rPr>
        <w:t xml:space="preserve"> obtaining a lease for a development of field,</w:t>
      </w:r>
      <w:r w:rsidR="002231ED">
        <w:rPr>
          <w:lang w:val="en-GB"/>
        </w:rPr>
        <w:t xml:space="preserve"> drilling operations, sea </w:t>
      </w:r>
      <w:r w:rsidR="00A871D6">
        <w:rPr>
          <w:lang w:val="en-GB"/>
        </w:rPr>
        <w:t xml:space="preserve">platforms installation, production and a </w:t>
      </w:r>
      <w:r w:rsidR="002231ED">
        <w:rPr>
          <w:lang w:val="en-GB"/>
        </w:rPr>
        <w:t>fi</w:t>
      </w:r>
      <w:r w:rsidR="00A871D6">
        <w:rPr>
          <w:lang w:val="en-GB"/>
        </w:rPr>
        <w:t xml:space="preserve">eld management, thus this is the initial stage of the value chain. On this level, the companies involved into process depend a lot on the local government decisions, since all fields belong to some state. Very often the conflict of interests appear here. </w:t>
      </w:r>
    </w:p>
    <w:p w:rsidR="00A74FF4" w:rsidRDefault="00EB74BB" w:rsidP="00D44257">
      <w:pPr>
        <w:rPr>
          <w:lang w:val="en-GB"/>
        </w:rPr>
      </w:pPr>
      <w:r>
        <w:rPr>
          <w:lang w:val="en-GB"/>
        </w:rPr>
        <w:t xml:space="preserve">The next stage, </w:t>
      </w:r>
      <w:r w:rsidRPr="00AC306E">
        <w:rPr>
          <w:b/>
          <w:lang w:val="en-GB"/>
        </w:rPr>
        <w:t>midstream</w:t>
      </w:r>
      <w:r>
        <w:rPr>
          <w:lang w:val="en-GB"/>
        </w:rPr>
        <w:t xml:space="preserve"> is about trading, transportation and refinery of obtained resources on the previous stage. </w:t>
      </w:r>
      <w:r w:rsidR="008D2372">
        <w:rPr>
          <w:lang w:val="en-GB"/>
        </w:rPr>
        <w:t>The process of transportation take place through pipelines and ships, in some cases it can be railroads as well.</w:t>
      </w:r>
      <w:r w:rsidR="0049014B">
        <w:rPr>
          <w:lang w:val="en-GB"/>
        </w:rPr>
        <w:t xml:space="preserve"> The main goal here is to supply the crude oil to refiners.</w:t>
      </w:r>
      <w:r w:rsidR="008D2372">
        <w:rPr>
          <w:lang w:val="en-GB"/>
        </w:rPr>
        <w:t xml:space="preserve"> </w:t>
      </w:r>
      <w:r>
        <w:rPr>
          <w:lang w:val="en-GB"/>
        </w:rPr>
        <w:t xml:space="preserve">Main market players on this stage </w:t>
      </w:r>
      <w:r w:rsidR="008D2372">
        <w:rPr>
          <w:lang w:val="en-GB"/>
        </w:rPr>
        <w:t xml:space="preserve">are traders, refiners, </w:t>
      </w:r>
      <w:r w:rsidR="0049014B">
        <w:rPr>
          <w:lang w:val="en-GB"/>
        </w:rPr>
        <w:t>and logistics</w:t>
      </w:r>
      <w:r w:rsidR="008D2372">
        <w:rPr>
          <w:lang w:val="en-GB"/>
        </w:rPr>
        <w:t xml:space="preserve"> and transportation firms, also OPEC plays an important role here.</w:t>
      </w:r>
      <w:r>
        <w:rPr>
          <w:lang w:val="en-GB"/>
        </w:rPr>
        <w:t xml:space="preserve"> All negotiations among these parties have a strong impact on the daily oil prices.</w:t>
      </w:r>
    </w:p>
    <w:p w:rsidR="00A871D6" w:rsidRDefault="008D2372" w:rsidP="00D44257">
      <w:pPr>
        <w:rPr>
          <w:lang w:val="en-GB"/>
        </w:rPr>
      </w:pPr>
      <w:r>
        <w:rPr>
          <w:lang w:val="en-GB"/>
        </w:rPr>
        <w:t xml:space="preserve">Finally, the </w:t>
      </w:r>
      <w:r w:rsidRPr="00AC306E">
        <w:rPr>
          <w:b/>
          <w:lang w:val="en-GB"/>
        </w:rPr>
        <w:t>down</w:t>
      </w:r>
      <w:r w:rsidR="0049014B" w:rsidRPr="00AC306E">
        <w:rPr>
          <w:b/>
          <w:lang w:val="en-GB"/>
        </w:rPr>
        <w:t>stream</w:t>
      </w:r>
      <w:r w:rsidR="0049014B">
        <w:rPr>
          <w:lang w:val="en-GB"/>
        </w:rPr>
        <w:t xml:space="preserve"> is about refinery and selling of final oil and gas goods. The downstream part of value chain is crucial, because here crude oil get processed into final goods like </w:t>
      </w:r>
      <w:r w:rsidR="0049014B" w:rsidRPr="00EB74BB">
        <w:rPr>
          <w:lang w:val="en-GB"/>
        </w:rPr>
        <w:t xml:space="preserve">plastics, gasoline, </w:t>
      </w:r>
      <w:r w:rsidR="00E35890">
        <w:rPr>
          <w:lang w:val="en-GB"/>
        </w:rPr>
        <w:t>petrochemicals</w:t>
      </w:r>
      <w:r w:rsidR="0049014B" w:rsidRPr="00EB74BB">
        <w:rPr>
          <w:lang w:val="en-GB"/>
        </w:rPr>
        <w:t>, and o</w:t>
      </w:r>
      <w:r w:rsidR="0049014B">
        <w:rPr>
          <w:lang w:val="en-GB"/>
        </w:rPr>
        <w:t xml:space="preserve">ther refined petroleum products. </w:t>
      </w:r>
      <w:r w:rsidR="00E35890">
        <w:rPr>
          <w:lang w:val="en-GB"/>
        </w:rPr>
        <w:t>Then these products are sold to final customers.</w:t>
      </w:r>
    </w:p>
    <w:p w:rsidR="00AC306E" w:rsidRPr="005D0413" w:rsidRDefault="00AC306E" w:rsidP="00D44257">
      <w:pPr>
        <w:rPr>
          <w:lang w:val="en-GB"/>
        </w:rPr>
      </w:pPr>
      <w:r>
        <w:rPr>
          <w:lang w:val="en-GB"/>
        </w:rPr>
        <w:t xml:space="preserve">In addition to conventional oil&amp;gas companies participating in these parts, there are also companies that can specified by oil&amp;gas industry and that provide </w:t>
      </w:r>
      <w:r w:rsidRPr="00AC306E">
        <w:rPr>
          <w:b/>
          <w:lang w:val="en-GB"/>
        </w:rPr>
        <w:t>equipment and services</w:t>
      </w:r>
      <w:r>
        <w:rPr>
          <w:lang w:val="en-GB"/>
        </w:rPr>
        <w:t xml:space="preserve"> to conventional oil&amp;gas companies, so also paying a crucial role in the industry. In services can be included those firms that work in </w:t>
      </w:r>
      <w:r w:rsidR="005D0413">
        <w:rPr>
          <w:lang w:val="en-GB"/>
        </w:rPr>
        <w:t xml:space="preserve">geology services, engineering and platforming, providing equipment like turbines and pipelines, refinery operation and so on. c. (C .Ribeiro, T. </w:t>
      </w:r>
      <w:r w:rsidR="005D0413" w:rsidRPr="005D0413">
        <w:rPr>
          <w:lang w:val="en-GB"/>
        </w:rPr>
        <w:t>Furtado, 2014)</w:t>
      </w:r>
      <w:r w:rsidR="005D0413">
        <w:rPr>
          <w:rStyle w:val="af0"/>
          <w:lang w:val="en-GB"/>
        </w:rPr>
        <w:footnoteReference w:id="2"/>
      </w:r>
    </w:p>
    <w:p w:rsidR="00862D70" w:rsidRDefault="00862D70" w:rsidP="00D44257">
      <w:pPr>
        <w:rPr>
          <w:lang w:val="en-GB"/>
        </w:rPr>
      </w:pPr>
      <w:r>
        <w:rPr>
          <w:lang w:val="en-GB"/>
        </w:rPr>
        <w:t>There also exist companies that are operate in several segments, or in all three at the same time, such companies are known as vertically integrated companies. Very often these are IOCs or NOCs companies.</w:t>
      </w:r>
    </w:p>
    <w:p w:rsidR="00204C20" w:rsidRPr="00A12A9B" w:rsidRDefault="00204C20" w:rsidP="00D44257">
      <w:pPr>
        <w:rPr>
          <w:b/>
          <w:lang w:val="en-GB"/>
        </w:rPr>
      </w:pPr>
      <w:r w:rsidRPr="00A12A9B">
        <w:rPr>
          <w:b/>
          <w:i/>
          <w:lang w:val="en-GB"/>
        </w:rPr>
        <w:t xml:space="preserve">Importance of the </w:t>
      </w:r>
      <w:r w:rsidR="00940194" w:rsidRPr="00A12A9B">
        <w:rPr>
          <w:b/>
          <w:i/>
          <w:lang w:val="en-GB"/>
        </w:rPr>
        <w:t>industry</w:t>
      </w:r>
    </w:p>
    <w:p w:rsidR="004B402A" w:rsidRDefault="004B402A" w:rsidP="006C4A64">
      <w:pPr>
        <w:rPr>
          <w:noProof/>
          <w:lang w:val="en-GB" w:eastAsia="ru-RU"/>
        </w:rPr>
      </w:pPr>
      <w:r>
        <w:rPr>
          <w:noProof/>
          <w:lang w:val="en-GB" w:eastAsia="ru-RU"/>
        </w:rPr>
        <w:t>Since 1965 the share of fossil fuels in primary energy consumption has been solid</w:t>
      </w:r>
      <w:r w:rsidR="00723C85">
        <w:rPr>
          <w:noProof/>
          <w:lang w:val="en-GB" w:eastAsia="ru-RU"/>
        </w:rPr>
        <w:t xml:space="preserve"> and always has been dominating over</w:t>
      </w:r>
      <w:r w:rsidR="00FD23ED">
        <w:rPr>
          <w:noProof/>
          <w:lang w:val="en-GB" w:eastAsia="ru-RU"/>
        </w:rPr>
        <w:t xml:space="preserve"> other types of energy sourses. The reason why is oil dominated is its attractiveness for large economies of scale and its cheapness for transporting. </w:t>
      </w:r>
      <w:r w:rsidR="00F36850">
        <w:rPr>
          <w:noProof/>
          <w:lang w:val="en-GB" w:eastAsia="ru-RU"/>
        </w:rPr>
        <w:t>The fu</w:t>
      </w:r>
      <w:r w:rsidR="00A93EAA">
        <w:rPr>
          <w:noProof/>
          <w:lang w:val="en-GB" w:eastAsia="ru-RU"/>
        </w:rPr>
        <w:t>rther oil and gas demand is also expected to grow in case of global GDP al</w:t>
      </w:r>
      <w:r w:rsidR="00F36850">
        <w:rPr>
          <w:noProof/>
          <w:lang w:val="en-GB" w:eastAsia="ru-RU"/>
        </w:rPr>
        <w:t>so will grow, however this will</w:t>
      </w:r>
      <w:r w:rsidR="00A93EAA">
        <w:rPr>
          <w:noProof/>
          <w:lang w:val="en-GB" w:eastAsia="ru-RU"/>
        </w:rPr>
        <w:t xml:space="preserve"> </w:t>
      </w:r>
      <w:r w:rsidR="00F36850">
        <w:rPr>
          <w:noProof/>
          <w:lang w:val="en-GB" w:eastAsia="ru-RU"/>
        </w:rPr>
        <w:t>n</w:t>
      </w:r>
      <w:r w:rsidR="00A93EAA">
        <w:rPr>
          <w:noProof/>
          <w:lang w:val="en-GB" w:eastAsia="ru-RU"/>
        </w:rPr>
        <w:t xml:space="preserve">ot take a place in a situation of crises undermining the growth </w:t>
      </w:r>
      <w:r w:rsidR="00723C85">
        <w:rPr>
          <w:noProof/>
          <w:lang w:val="en-GB" w:eastAsia="ru-RU"/>
        </w:rPr>
        <w:t>(</w:t>
      </w:r>
      <w:r w:rsidR="00E6425E">
        <w:rPr>
          <w:lang w:val="en-GB"/>
        </w:rPr>
        <w:t>P.</w:t>
      </w:r>
      <w:r w:rsidR="00723C85" w:rsidRPr="00723C85">
        <w:rPr>
          <w:lang w:val="en-GB"/>
        </w:rPr>
        <w:t xml:space="preserve"> Stevens</w:t>
      </w:r>
      <w:r w:rsidR="00723C85">
        <w:rPr>
          <w:lang w:val="en-GB"/>
        </w:rPr>
        <w:t>, 2016</w:t>
      </w:r>
      <w:r w:rsidR="00723C85">
        <w:rPr>
          <w:noProof/>
          <w:lang w:val="en-GB" w:eastAsia="ru-RU"/>
        </w:rPr>
        <w:t>)</w:t>
      </w:r>
      <w:r w:rsidR="003959C0">
        <w:rPr>
          <w:rStyle w:val="af0"/>
          <w:noProof/>
          <w:lang w:val="en-GB" w:eastAsia="ru-RU"/>
        </w:rPr>
        <w:footnoteReference w:id="3"/>
      </w:r>
      <w:r w:rsidR="00723C85">
        <w:rPr>
          <w:noProof/>
          <w:lang w:val="en-GB" w:eastAsia="ru-RU"/>
        </w:rPr>
        <w:t xml:space="preserve">. </w:t>
      </w:r>
      <w:r w:rsidR="00A93EAA">
        <w:rPr>
          <w:noProof/>
          <w:lang w:val="en-GB" w:eastAsia="ru-RU"/>
        </w:rPr>
        <w:t xml:space="preserve">The </w:t>
      </w:r>
      <w:r w:rsidR="00A93EAA">
        <w:rPr>
          <w:noProof/>
          <w:lang w:val="en-GB" w:eastAsia="ru-RU"/>
        </w:rPr>
        <w:lastRenderedPageBreak/>
        <w:t xml:space="preserve">coronovarirus is the good example of such situation, when the oil demand had drammatically fallen. </w:t>
      </w:r>
    </w:p>
    <w:p w:rsidR="00AB112C" w:rsidRDefault="00AB112C" w:rsidP="00AB112C">
      <w:pPr>
        <w:pStyle w:val="SVEfigure"/>
        <w:rPr>
          <w:lang w:val="en-GB"/>
        </w:rPr>
      </w:pPr>
      <w:r>
        <w:rPr>
          <w:noProof/>
          <w:lang w:val="ru-RU" w:eastAsia="ru-RU"/>
        </w:rPr>
        <w:drawing>
          <wp:inline distT="0" distB="0" distL="0" distR="0" wp14:anchorId="14C77374" wp14:editId="42A4D546">
            <wp:extent cx="2647950" cy="1841500"/>
            <wp:effectExtent l="0" t="0" r="0" b="635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4586" t="26036" r="30838" b="18852"/>
                    <a:stretch/>
                  </pic:blipFill>
                  <pic:spPr bwMode="auto">
                    <a:xfrm>
                      <a:off x="0" y="0"/>
                      <a:ext cx="2647950" cy="1841500"/>
                    </a:xfrm>
                    <a:prstGeom prst="rect">
                      <a:avLst/>
                    </a:prstGeom>
                    <a:ln>
                      <a:noFill/>
                    </a:ln>
                    <a:extLst>
                      <a:ext uri="{53640926-AAD7-44D8-BBD7-CCE9431645EC}">
                        <a14:shadowObscured xmlns:a14="http://schemas.microsoft.com/office/drawing/2010/main"/>
                      </a:ext>
                    </a:extLst>
                  </pic:spPr>
                </pic:pic>
              </a:graphicData>
            </a:graphic>
          </wp:inline>
        </w:drawing>
      </w:r>
    </w:p>
    <w:p w:rsidR="00AB112C" w:rsidRPr="00AB112C" w:rsidRDefault="00AB112C" w:rsidP="00AB112C">
      <w:pPr>
        <w:pStyle w:val="SVEfigurecaption"/>
        <w:rPr>
          <w:lang w:val="en-GB"/>
        </w:rPr>
      </w:pPr>
      <w:r>
        <w:rPr>
          <w:lang w:val="en-GB"/>
        </w:rPr>
        <w:t>Global commercial primary energy consumption, 1965-2015</w:t>
      </w:r>
      <w:r w:rsidR="00CA0B8F">
        <w:rPr>
          <w:lang w:val="en-GB"/>
        </w:rPr>
        <w:t>. Source: [P.</w:t>
      </w:r>
      <w:r w:rsidR="00CA0B8F" w:rsidRPr="00723C85">
        <w:rPr>
          <w:lang w:val="en-GB"/>
        </w:rPr>
        <w:t xml:space="preserve"> Stevens</w:t>
      </w:r>
      <w:r w:rsidR="00CA0B8F">
        <w:rPr>
          <w:lang w:val="en-GB"/>
        </w:rPr>
        <w:t>, 2016]</w:t>
      </w:r>
    </w:p>
    <w:p w:rsidR="007A6F82" w:rsidRDefault="007A6F82" w:rsidP="006C4A64">
      <w:pPr>
        <w:rPr>
          <w:noProof/>
          <w:lang w:val="en-GB" w:eastAsia="ru-RU"/>
        </w:rPr>
      </w:pPr>
      <w:r>
        <w:rPr>
          <w:noProof/>
          <w:lang w:val="en-GB" w:eastAsia="ru-RU"/>
        </w:rPr>
        <w:t>Main drivers for change towards decreased oil and gas demand will be innovations, like improved batteries for electro vechiles, emergung markets, increase in energy efficiency and wider implemenation of renewable energy (</w:t>
      </w:r>
      <w:r w:rsidR="006762AF">
        <w:rPr>
          <w:rStyle w:val="addmd"/>
          <w:lang w:val="en-GB"/>
        </w:rPr>
        <w:t>A. C. Inkpen, M.</w:t>
      </w:r>
      <w:r w:rsidRPr="00F12E68">
        <w:rPr>
          <w:rStyle w:val="addmd"/>
          <w:lang w:val="en-GB"/>
        </w:rPr>
        <w:t xml:space="preserve"> H. Moffett</w:t>
      </w:r>
      <w:r>
        <w:rPr>
          <w:rStyle w:val="addmd"/>
          <w:lang w:val="en-GB"/>
        </w:rPr>
        <w:t xml:space="preserve">; </w:t>
      </w:r>
      <w:r w:rsidR="006762AF">
        <w:rPr>
          <w:lang w:val="en-GB"/>
        </w:rPr>
        <w:t>P.</w:t>
      </w:r>
      <w:r w:rsidRPr="00723C85">
        <w:rPr>
          <w:lang w:val="en-GB"/>
        </w:rPr>
        <w:t xml:space="preserve"> Stevens</w:t>
      </w:r>
      <w:r>
        <w:rPr>
          <w:lang w:val="en-GB"/>
        </w:rPr>
        <w:t>, 2016</w:t>
      </w:r>
      <w:r>
        <w:rPr>
          <w:noProof/>
          <w:lang w:val="en-GB" w:eastAsia="ru-RU"/>
        </w:rPr>
        <w:t xml:space="preserve">). </w:t>
      </w:r>
    </w:p>
    <w:p w:rsidR="006C4A64" w:rsidRPr="006762AF" w:rsidRDefault="006C4A64" w:rsidP="003959C0">
      <w:pPr>
        <w:ind w:firstLine="0"/>
        <w:rPr>
          <w:lang w:val="en-GB"/>
        </w:rPr>
      </w:pPr>
    </w:p>
    <w:p w:rsidR="001A7BD4" w:rsidRDefault="001A7BD4" w:rsidP="001A7BD4">
      <w:pPr>
        <w:rPr>
          <w:lang w:val="en-GB"/>
        </w:rPr>
      </w:pPr>
      <w:r>
        <w:rPr>
          <w:lang w:val="en-GB"/>
        </w:rPr>
        <w:t>Even though the topic that is studied in this research is connected to the oil&amp;gas industry, actually this is an individual case of general transition of whole economy to sustainable future. Thus, the topics connected to theory on sustainable development will are discussed first: stakeholder theory, revaluation of sustainable business, recent trends in sustainability, ESG in investments are covered in this part. After the discussion of this theory, the literature review moves to the specific issues affecting oil&amp;gas industry and its transition process.</w:t>
      </w:r>
    </w:p>
    <w:p w:rsidR="008B673E" w:rsidRDefault="008B673E" w:rsidP="008B673E">
      <w:pPr>
        <w:rPr>
          <w:b/>
          <w:i/>
          <w:lang w:val="en-GB"/>
        </w:rPr>
      </w:pPr>
      <w:r>
        <w:rPr>
          <w:b/>
          <w:i/>
          <w:lang w:val="en-GB"/>
        </w:rPr>
        <w:t>Stakeholder theory</w:t>
      </w:r>
    </w:p>
    <w:p w:rsidR="008B673E" w:rsidRPr="007700B9" w:rsidRDefault="008B673E" w:rsidP="008B673E">
      <w:pPr>
        <w:ind w:firstLine="0"/>
        <w:rPr>
          <w:lang w:val="en-GB"/>
        </w:rPr>
      </w:pPr>
      <w:r>
        <w:rPr>
          <w:lang w:val="en-GB"/>
        </w:rPr>
        <w:t xml:space="preserve">The concept of stakeholders has been proposed </w:t>
      </w:r>
      <w:r w:rsidRPr="008B673E">
        <w:rPr>
          <w:lang w:val="en-GB"/>
        </w:rPr>
        <w:t>quite a while ago</w:t>
      </w:r>
      <w:r w:rsidR="007700B9">
        <w:rPr>
          <w:lang w:val="en-GB"/>
        </w:rPr>
        <w:t>. R. E.</w:t>
      </w:r>
      <w:r w:rsidRPr="008B673E">
        <w:rPr>
          <w:lang w:val="en-GB"/>
        </w:rPr>
        <w:t xml:space="preserve"> Freeman</w:t>
      </w:r>
      <w:r>
        <w:rPr>
          <w:lang w:val="en-GB"/>
        </w:rPr>
        <w:t xml:space="preserve"> </w:t>
      </w:r>
      <w:r w:rsidR="007700B9">
        <w:rPr>
          <w:lang w:val="en-GB"/>
        </w:rPr>
        <w:t xml:space="preserve">and J.F. Mcvea </w:t>
      </w:r>
      <w:r>
        <w:rPr>
          <w:lang w:val="en-GB"/>
        </w:rPr>
        <w:t>(2001)</w:t>
      </w:r>
      <w:r w:rsidR="007700B9">
        <w:rPr>
          <w:rStyle w:val="af0"/>
          <w:lang w:val="en-GB"/>
        </w:rPr>
        <w:footnoteReference w:id="4"/>
      </w:r>
      <w:r w:rsidR="007700B9">
        <w:rPr>
          <w:lang w:val="en-GB"/>
        </w:rPr>
        <w:t xml:space="preserve"> provide an evidence that companies that will be able to build a collaborative relations with their stakeholders, so providing the balance of </w:t>
      </w:r>
      <w:r w:rsidR="007700B9" w:rsidRPr="007700B9">
        <w:rPr>
          <w:lang w:val="en-GB"/>
        </w:rPr>
        <w:t xml:space="preserve">interests </w:t>
      </w:r>
      <w:r w:rsidR="007700B9">
        <w:rPr>
          <w:lang w:val="en-GB"/>
        </w:rPr>
        <w:t xml:space="preserve">could hope to become more </w:t>
      </w:r>
      <w:r w:rsidR="007700B9" w:rsidRPr="007700B9">
        <w:rPr>
          <w:lang w:val="en-GB"/>
        </w:rPr>
        <w:t>successful in the next decade.</w:t>
      </w:r>
      <w:r w:rsidR="007700B9">
        <w:rPr>
          <w:lang w:val="en-GB"/>
        </w:rPr>
        <w:t xml:space="preserve"> So, by the beginning of 21</w:t>
      </w:r>
      <w:r w:rsidR="007700B9" w:rsidRPr="007700B9">
        <w:rPr>
          <w:vertAlign w:val="superscript"/>
          <w:lang w:val="en-GB"/>
        </w:rPr>
        <w:t>st</w:t>
      </w:r>
      <w:r w:rsidR="007700B9">
        <w:rPr>
          <w:lang w:val="en-GB"/>
        </w:rPr>
        <w:t xml:space="preserve"> century these authors have correctly assumed companies that would be able to include the interests of their stakeholders and go beyond the profit maximization, would become more successful. In addition to that T. Donaldson and L.</w:t>
      </w:r>
      <w:r w:rsidR="007700B9" w:rsidRPr="007700B9">
        <w:rPr>
          <w:lang w:val="en-GB"/>
        </w:rPr>
        <w:t xml:space="preserve"> E. Preston</w:t>
      </w:r>
      <w:r w:rsidR="007700B9">
        <w:rPr>
          <w:lang w:val="en-GB"/>
        </w:rPr>
        <w:t xml:space="preserve"> (1995)</w:t>
      </w:r>
      <w:r w:rsidR="007700B9">
        <w:rPr>
          <w:rStyle w:val="af0"/>
          <w:lang w:val="en-GB"/>
        </w:rPr>
        <w:footnoteReference w:id="5"/>
      </w:r>
      <w:r w:rsidR="007700B9">
        <w:rPr>
          <w:lang w:val="en-GB"/>
        </w:rPr>
        <w:t xml:space="preserve"> argue that companies theory of stakeholder is not only about that firms have some stakeholders, but also that </w:t>
      </w:r>
      <w:r w:rsidR="0008787A">
        <w:rPr>
          <w:lang w:val="en-GB"/>
        </w:rPr>
        <w:t>stakeholder theory is fully applicable to management.</w:t>
      </w:r>
    </w:p>
    <w:p w:rsidR="00E55976" w:rsidRDefault="003955D4" w:rsidP="00E55976">
      <w:pPr>
        <w:rPr>
          <w:b/>
          <w:i/>
          <w:lang w:val="en-GB"/>
        </w:rPr>
      </w:pPr>
      <w:r>
        <w:rPr>
          <w:b/>
          <w:i/>
          <w:lang w:val="en-GB"/>
        </w:rPr>
        <w:t>Awareness of s</w:t>
      </w:r>
      <w:r w:rsidR="00E55976">
        <w:rPr>
          <w:b/>
          <w:i/>
          <w:lang w:val="en-GB"/>
        </w:rPr>
        <w:t xml:space="preserve">ustainability </w:t>
      </w:r>
    </w:p>
    <w:p w:rsidR="003E03DD" w:rsidRPr="009B5BD5" w:rsidRDefault="003E03DD" w:rsidP="00E55976">
      <w:pPr>
        <w:rPr>
          <w:lang w:val="en-GB"/>
        </w:rPr>
      </w:pPr>
      <w:r>
        <w:rPr>
          <w:lang w:val="en-GB"/>
        </w:rPr>
        <w:lastRenderedPageBreak/>
        <w:t>Sustainability actually has its roots in stakeholder theory</w:t>
      </w:r>
      <w:r w:rsidR="009B5BD5">
        <w:rPr>
          <w:lang w:val="en-GB"/>
        </w:rPr>
        <w:t>, as the business is responsible to stakeholders for its actions in broad terms.</w:t>
      </w:r>
    </w:p>
    <w:p w:rsidR="003E03DD" w:rsidRPr="00BC1F05" w:rsidRDefault="003E03DD" w:rsidP="00E55976">
      <w:pPr>
        <w:rPr>
          <w:lang w:val="en-GB"/>
        </w:rPr>
      </w:pPr>
      <w:r>
        <w:rPr>
          <w:lang w:val="en-GB"/>
        </w:rPr>
        <w:t>The idea of sustainable company is still evolving, thus before moving to the discussion how sustainable image of the future will influence already influencing the of oil and gas companies, the idea of sustainable bu</w:t>
      </w:r>
      <w:r w:rsidR="00D41D31">
        <w:rPr>
          <w:lang w:val="en-GB"/>
        </w:rPr>
        <w:t xml:space="preserve">siness will be clarified first. It should be noted that a big disconnect between the progress on micro level (business) and the </w:t>
      </w:r>
      <w:r w:rsidR="00D41D31" w:rsidRPr="00D41D31">
        <w:rPr>
          <w:lang w:val="en-GB"/>
        </w:rPr>
        <w:t>macro-level deteriora</w:t>
      </w:r>
      <w:r w:rsidR="00D41D31">
        <w:rPr>
          <w:lang w:val="en-GB"/>
        </w:rPr>
        <w:t xml:space="preserve">tion exist (global problems). Even though more and more companies admit its commitment to the sustainability, the global problems, like a climate change and hunger still remains and even become more severe. Mainly this happens because global sustainable goals differ from the business sustainable </w:t>
      </w:r>
      <w:r w:rsidR="00F177F9">
        <w:rPr>
          <w:lang w:val="en-GB"/>
        </w:rPr>
        <w:t>goals. Therefore, the concept of business being sustainable is under reconsideration</w:t>
      </w:r>
      <w:r w:rsidR="00B3357B">
        <w:rPr>
          <w:lang w:val="en-GB"/>
        </w:rPr>
        <w:t xml:space="preserve">. </w:t>
      </w:r>
      <w:r w:rsidR="00BC1F05">
        <w:rPr>
          <w:lang w:val="en-GB"/>
        </w:rPr>
        <w:t xml:space="preserve">A fully sustainable business denoted a </w:t>
      </w:r>
      <w:r w:rsidR="001A7BD4">
        <w:rPr>
          <w:lang w:val="en-GB"/>
        </w:rPr>
        <w:t xml:space="preserve">company, </w:t>
      </w:r>
      <w:r w:rsidR="00BC1F05">
        <w:rPr>
          <w:lang w:val="en-GB"/>
        </w:rPr>
        <w:t xml:space="preserve">which concerns are surrounded among ESG principles rather than firm’s economic concerns; the value created is not only for business and its shareholders but for all levels of triple bottom, including people, planet and profit; from the organizational perspective a business should become outside-in what means the focus on society </w:t>
      </w:r>
      <w:r w:rsidR="001A7BD4">
        <w:rPr>
          <w:lang w:val="en-GB"/>
        </w:rPr>
        <w:t>and sustainability challenges. If all these three levels included, then business can be assessed as sustainable according to the Business sustainability 3.0 (T. Dyllick, K. Muff, 2016)</w:t>
      </w:r>
      <w:r w:rsidR="00C843F5">
        <w:rPr>
          <w:rStyle w:val="af0"/>
          <w:lang w:val="en-GB"/>
        </w:rPr>
        <w:footnoteReference w:id="6"/>
      </w:r>
      <w:r w:rsidR="001A7BD4">
        <w:rPr>
          <w:lang w:val="en-GB"/>
        </w:rPr>
        <w:t>.</w:t>
      </w:r>
    </w:p>
    <w:p w:rsidR="00ED6868" w:rsidRDefault="003955D4" w:rsidP="00E55976">
      <w:pPr>
        <w:rPr>
          <w:lang w:val="en-GB"/>
        </w:rPr>
      </w:pPr>
      <w:r>
        <w:rPr>
          <w:lang w:val="en-GB"/>
        </w:rPr>
        <w:t xml:space="preserve"> </w:t>
      </w:r>
      <w:r w:rsidR="0059171C">
        <w:rPr>
          <w:lang w:val="en-GB"/>
        </w:rPr>
        <w:t>Nowadays, the financial p</w:t>
      </w:r>
      <w:r w:rsidR="003E03DD">
        <w:rPr>
          <w:lang w:val="en-GB"/>
        </w:rPr>
        <w:t>rofitability of companies and GD</w:t>
      </w:r>
      <w:r w:rsidR="0059171C">
        <w:rPr>
          <w:lang w:val="en-GB"/>
        </w:rPr>
        <w:t xml:space="preserve">P indicator are not considered as core value anymore. Thus, the value of business is under the process of rethink. </w:t>
      </w:r>
      <w:r w:rsidR="002765BD">
        <w:rPr>
          <w:lang w:val="en-GB"/>
        </w:rPr>
        <w:t>For example, researches are trying to understand how to include the e</w:t>
      </w:r>
      <w:r w:rsidR="002765BD" w:rsidRPr="002765BD">
        <w:rPr>
          <w:lang w:val="en-GB"/>
        </w:rPr>
        <w:t xml:space="preserve">nvironmental </w:t>
      </w:r>
      <w:r w:rsidR="002765BD">
        <w:rPr>
          <w:lang w:val="en-GB"/>
        </w:rPr>
        <w:t xml:space="preserve">capital in the evaluation process, for example such metrics as </w:t>
      </w:r>
      <w:r w:rsidR="002765BD" w:rsidRPr="002765BD">
        <w:rPr>
          <w:lang w:val="en-GB"/>
        </w:rPr>
        <w:t>Gross Environmental Damages</w:t>
      </w:r>
      <w:r w:rsidR="002765BD">
        <w:rPr>
          <w:lang w:val="en-GB"/>
        </w:rPr>
        <w:t xml:space="preserve"> (GED), has been proposed. But, the main goal of these new metrics is about to create more sustainable future, where the </w:t>
      </w:r>
      <w:r w:rsidR="002765BD" w:rsidRPr="002765BD">
        <w:rPr>
          <w:lang w:val="en-GB"/>
        </w:rPr>
        <w:t>financial incentives with sustainability objectives</w:t>
      </w:r>
      <w:r w:rsidR="002765BD">
        <w:rPr>
          <w:lang w:val="en-GB"/>
        </w:rPr>
        <w:t xml:space="preserve"> will be aligned (J. Messina, J.A. Zanten, 2021)</w:t>
      </w:r>
      <w:r w:rsidR="00C843F5">
        <w:rPr>
          <w:rStyle w:val="af0"/>
          <w:lang w:val="en-GB"/>
        </w:rPr>
        <w:footnoteReference w:id="7"/>
      </w:r>
      <w:r w:rsidR="002765BD">
        <w:rPr>
          <w:lang w:val="en-GB"/>
        </w:rPr>
        <w:t xml:space="preserve">. </w:t>
      </w:r>
      <w:r>
        <w:rPr>
          <w:lang w:val="en-GB"/>
        </w:rPr>
        <w:t xml:space="preserve">In 2020, after the crisis caused by the Covid, the awareness of sustainability has significantly increased. </w:t>
      </w:r>
      <w:r w:rsidR="007A2CD3">
        <w:rPr>
          <w:lang w:val="en-GB"/>
        </w:rPr>
        <w:t>A</w:t>
      </w:r>
      <w:r>
        <w:rPr>
          <w:lang w:val="en-GB"/>
        </w:rPr>
        <w:t>mong many trends in the scope of sustainable development, industrial decarbonisation one of major one. The industry is responsible for the third of greenhouse emissions, thus companies and its stakeholders are trying to find solutions for this problem. Solutions that are proposed</w:t>
      </w:r>
      <w:r w:rsidR="007A2CD3">
        <w:rPr>
          <w:lang w:val="en-GB"/>
        </w:rPr>
        <w:t xml:space="preserve"> to cope with the greenhouse risk are all connected with transition to green energy technologies and structural transformation of business models of oil&amp;gas sector to become more eco-friendly</w:t>
      </w:r>
      <w:r w:rsidR="00ED6868">
        <w:rPr>
          <w:lang w:val="en-GB"/>
        </w:rPr>
        <w:t>.</w:t>
      </w:r>
    </w:p>
    <w:p w:rsidR="00ED6868" w:rsidRDefault="00ED6868" w:rsidP="00ED6868">
      <w:pPr>
        <w:rPr>
          <w:lang w:val="en-GB"/>
        </w:rPr>
      </w:pPr>
      <w:r>
        <w:rPr>
          <w:lang w:val="en-GB"/>
        </w:rPr>
        <w:t>Among many risks that arise ahead of our world, the climate risk is one of the most dangerous. E</w:t>
      </w:r>
      <w:r w:rsidRPr="007A2CD3">
        <w:rPr>
          <w:lang w:val="en-GB"/>
        </w:rPr>
        <w:t xml:space="preserve">xtreme weather conditions are starting to have a material impact on the global </w:t>
      </w:r>
      <w:r>
        <w:rPr>
          <w:lang w:val="en-GB"/>
        </w:rPr>
        <w:t xml:space="preserve">economic </w:t>
      </w:r>
      <w:r w:rsidRPr="007A2CD3">
        <w:rPr>
          <w:lang w:val="en-GB"/>
        </w:rPr>
        <w:t>system</w:t>
      </w:r>
      <w:r>
        <w:rPr>
          <w:lang w:val="en-GB"/>
        </w:rPr>
        <w:t xml:space="preserve">. One of solutions that has been proposed is to putting the price on the carbon </w:t>
      </w:r>
      <w:r>
        <w:rPr>
          <w:lang w:val="en-GB"/>
        </w:rPr>
        <w:lastRenderedPageBreak/>
        <w:t>emissions (</w:t>
      </w:r>
      <w:r w:rsidRPr="007A2CD3">
        <w:rPr>
          <w:lang w:val="en-GB"/>
        </w:rPr>
        <w:t>J. Makower</w:t>
      </w:r>
      <w:r>
        <w:rPr>
          <w:lang w:val="en-GB"/>
        </w:rPr>
        <w:t>, 2021). Both of these, the trend and the risk will influence a lot the fossil fuel industry and the oil&amp;gas sector as part of it.</w:t>
      </w:r>
    </w:p>
    <w:p w:rsidR="00E55976" w:rsidRPr="00E55976" w:rsidRDefault="003955D4" w:rsidP="00FE2C4D">
      <w:pPr>
        <w:rPr>
          <w:lang w:val="en-GB"/>
        </w:rPr>
      </w:pPr>
      <w:r>
        <w:rPr>
          <w:lang w:val="en-GB"/>
        </w:rPr>
        <w:t xml:space="preserve"> </w:t>
      </w:r>
      <w:r w:rsidR="007A2CD3">
        <w:rPr>
          <w:lang w:val="en-GB"/>
        </w:rPr>
        <w:t>In order to evaluate the transition of companies, the ESG principles, especially in relation to the climate change, become included into the balance sheet, so ensure the transition to the sustainable future.</w:t>
      </w:r>
    </w:p>
    <w:p w:rsidR="00CA0B8F" w:rsidRPr="00E55976" w:rsidRDefault="00E55976" w:rsidP="009A033D">
      <w:pPr>
        <w:rPr>
          <w:b/>
          <w:i/>
          <w:lang w:val="en-GB"/>
        </w:rPr>
      </w:pPr>
      <w:r w:rsidRPr="00E55976">
        <w:rPr>
          <w:b/>
          <w:i/>
          <w:lang w:val="en-GB"/>
        </w:rPr>
        <w:t>Importance of ESG</w:t>
      </w:r>
      <w:r w:rsidR="000E07B3">
        <w:rPr>
          <w:b/>
          <w:i/>
          <w:lang w:val="en-GB"/>
        </w:rPr>
        <w:t xml:space="preserve"> (</w:t>
      </w:r>
      <w:r w:rsidR="000E07B3" w:rsidRPr="000E07B3">
        <w:rPr>
          <w:b/>
          <w:i/>
          <w:lang w:val="en-GB"/>
        </w:rPr>
        <w:t>Environmental, social and corporate governance</w:t>
      </w:r>
      <w:r w:rsidR="000E07B3">
        <w:rPr>
          <w:b/>
          <w:i/>
          <w:lang w:val="en-GB"/>
        </w:rPr>
        <w:t>)</w:t>
      </w:r>
    </w:p>
    <w:p w:rsidR="0059171C" w:rsidRPr="0059171C" w:rsidRDefault="0059171C" w:rsidP="009A033D">
      <w:pPr>
        <w:rPr>
          <w:lang w:val="en-GB"/>
        </w:rPr>
      </w:pPr>
      <w:r>
        <w:rPr>
          <w:lang w:val="en-GB"/>
        </w:rPr>
        <w:t>ESG performance of a company influence the attitude of stakeholders more and more. The first proposed kind of ESG metrics was the</w:t>
      </w:r>
      <w:r w:rsidRPr="0059171C">
        <w:rPr>
          <w:lang w:val="en-GB"/>
        </w:rPr>
        <w:t xml:space="preserve"> SAM Corporate Sustainability Assessment (CSA)</w:t>
      </w:r>
      <w:r>
        <w:rPr>
          <w:rStyle w:val="af0"/>
          <w:lang w:val="en-GB"/>
        </w:rPr>
        <w:footnoteReference w:id="8"/>
      </w:r>
      <w:r w:rsidRPr="0059171C">
        <w:rPr>
          <w:lang w:val="en-GB"/>
        </w:rPr>
        <w:t>, first established in 1999 and now published by S&amp;P Global</w:t>
      </w:r>
      <w:r>
        <w:rPr>
          <w:lang w:val="en-GB"/>
        </w:rPr>
        <w:t xml:space="preserve">. </w:t>
      </w:r>
      <w:r w:rsidRPr="0059171C">
        <w:rPr>
          <w:lang w:val="en-GB"/>
        </w:rPr>
        <w:t xml:space="preserve">Each year, over 3,500 publicly traded companies are invited to participate in the CSA. </w:t>
      </w:r>
      <w:r>
        <w:rPr>
          <w:lang w:val="en-GB"/>
        </w:rPr>
        <w:t>“</w:t>
      </w:r>
      <w:r w:rsidRPr="0059171C">
        <w:rPr>
          <w:lang w:val="en-GB"/>
        </w:rPr>
        <w:t>Of these, the largest 2,500 global companies by market capitalization are eligible for inclusion in the flagship Dow Jones Sustainability World Index (DJSI World)</w:t>
      </w:r>
      <w:r>
        <w:rPr>
          <w:rStyle w:val="af0"/>
          <w:lang w:val="en-GB"/>
        </w:rPr>
        <w:footnoteReference w:id="9"/>
      </w:r>
      <w:r>
        <w:rPr>
          <w:lang w:val="en-GB"/>
        </w:rPr>
        <w:t>” (</w:t>
      </w:r>
      <w:r w:rsidRPr="007A2CD3">
        <w:rPr>
          <w:lang w:val="en-GB"/>
        </w:rPr>
        <w:t>J. Makower</w:t>
      </w:r>
      <w:r>
        <w:rPr>
          <w:lang w:val="en-GB"/>
        </w:rPr>
        <w:t>, 2021).</w:t>
      </w:r>
    </w:p>
    <w:p w:rsidR="00FE2C4D" w:rsidRDefault="00E55976" w:rsidP="00FD319B">
      <w:pPr>
        <w:rPr>
          <w:lang w:val="en-GB"/>
        </w:rPr>
      </w:pPr>
      <w:r>
        <w:rPr>
          <w:lang w:val="en-GB"/>
        </w:rPr>
        <w:t xml:space="preserve">In 2020 there have been a record high capital inflows in ESG </w:t>
      </w:r>
      <w:r w:rsidR="00615CCA">
        <w:rPr>
          <w:lang w:val="en-GB"/>
        </w:rPr>
        <w:t xml:space="preserve">investments options. </w:t>
      </w:r>
      <w:r>
        <w:rPr>
          <w:lang w:val="en-GB"/>
        </w:rPr>
        <w:t>During the pandemic the ESG funds have proven itself to be more effective than non-ESG</w:t>
      </w:r>
      <w:r w:rsidR="00615CCA">
        <w:rPr>
          <w:lang w:val="en-GB"/>
        </w:rPr>
        <w:t xml:space="preserve"> .It should be expected that updating regulatory on ESG will accelerate the process further, especially in Europe. Therefore, it is expected that ESG investments decisions will become even more popular among fund managers in the nearest future (</w:t>
      </w:r>
      <w:r w:rsidR="00DA68D6">
        <w:rPr>
          <w:lang w:val="en-GB"/>
        </w:rPr>
        <w:t xml:space="preserve">L. Street, </w:t>
      </w:r>
      <w:proofErr w:type="gramStart"/>
      <w:r w:rsidR="00DA68D6">
        <w:rPr>
          <w:lang w:val="en-GB"/>
        </w:rPr>
        <w:t>et</w:t>
      </w:r>
      <w:proofErr w:type="gramEnd"/>
      <w:r w:rsidR="00DA68D6">
        <w:rPr>
          <w:lang w:val="en-GB"/>
        </w:rPr>
        <w:t>. Al, 2021</w:t>
      </w:r>
      <w:r w:rsidR="00615CCA">
        <w:rPr>
          <w:lang w:val="en-GB"/>
        </w:rPr>
        <w:t>)</w:t>
      </w:r>
      <w:r w:rsidR="00FD319B">
        <w:rPr>
          <w:rStyle w:val="af0"/>
          <w:lang w:val="en-GB"/>
        </w:rPr>
        <w:footnoteReference w:id="10"/>
      </w:r>
      <w:r w:rsidR="00615CCA">
        <w:rPr>
          <w:lang w:val="en-GB"/>
        </w:rPr>
        <w:t xml:space="preserve">. </w:t>
      </w:r>
    </w:p>
    <w:p w:rsidR="00FD319B" w:rsidRPr="00E55976" w:rsidRDefault="00FD319B" w:rsidP="00FD319B">
      <w:pPr>
        <w:rPr>
          <w:lang w:val="en-GB"/>
        </w:rPr>
      </w:pPr>
      <w:r>
        <w:rPr>
          <w:lang w:val="en-GB"/>
        </w:rPr>
        <w:t xml:space="preserve">The main value of business that following ESG gives is that it can help an entity to reduce its costs and improve the firm valuation, because more investors </w:t>
      </w:r>
      <w:r w:rsidR="00192F73">
        <w:rPr>
          <w:lang w:val="en-GB"/>
        </w:rPr>
        <w:t>want to allocate their capitals in firms with a stronger ESG scores (G. Serafeim, et al. 2020)</w:t>
      </w:r>
      <w:r w:rsidR="00192F73">
        <w:rPr>
          <w:rStyle w:val="af0"/>
          <w:lang w:val="en-GB"/>
        </w:rPr>
        <w:footnoteReference w:id="11"/>
      </w:r>
      <w:r w:rsidR="00192F73">
        <w:rPr>
          <w:lang w:val="en-GB"/>
        </w:rPr>
        <w:t xml:space="preserve"> Also, by implementing ESG principles into its value chain, companies safeguards themselves from strict regulations, for example connected to limitations of carbon emissions.</w:t>
      </w:r>
      <w:r w:rsidR="00113D62">
        <w:rPr>
          <w:lang w:val="en-GB"/>
        </w:rPr>
        <w:t xml:space="preserve"> The companies that have higher CSR (corporate social responsibility) ratings attract more institutional investors as well individual investors (J. Kim, B. Li, Z.</w:t>
      </w:r>
      <w:r w:rsidR="00113D62" w:rsidRPr="00113D62">
        <w:rPr>
          <w:lang w:val="en-GB"/>
        </w:rPr>
        <w:t xml:space="preserve"> Liu</w:t>
      </w:r>
      <w:r w:rsidR="00113D62">
        <w:rPr>
          <w:lang w:val="en-GB"/>
        </w:rPr>
        <w:t>, 2018)</w:t>
      </w:r>
      <w:r w:rsidR="00113D62">
        <w:rPr>
          <w:rStyle w:val="af0"/>
          <w:lang w:val="en-GB"/>
        </w:rPr>
        <w:footnoteReference w:id="12"/>
      </w:r>
    </w:p>
    <w:p w:rsidR="004A2CCC" w:rsidRDefault="004447D2" w:rsidP="009A033D">
      <w:pPr>
        <w:rPr>
          <w:b/>
          <w:i/>
          <w:lang w:val="en-GB"/>
        </w:rPr>
      </w:pPr>
      <w:r w:rsidRPr="00A12A9B">
        <w:rPr>
          <w:b/>
          <w:i/>
          <w:lang w:val="en-GB"/>
        </w:rPr>
        <w:t>Oil&amp;gas companies causing climate harm</w:t>
      </w:r>
    </w:p>
    <w:p w:rsidR="00FE2C4D" w:rsidRPr="00FE2C4D" w:rsidRDefault="00FE2C4D" w:rsidP="009A033D">
      <w:pPr>
        <w:rPr>
          <w:lang w:val="en-GB"/>
        </w:rPr>
      </w:pPr>
      <w:r>
        <w:rPr>
          <w:lang w:val="en-GB"/>
        </w:rPr>
        <w:t>Now, then the general issues of sustainable theory and trends can be discussed the literature review can be narrowed to consideration of oil&amp;gas industry in the new reality of sustainable transition.</w:t>
      </w:r>
    </w:p>
    <w:p w:rsidR="00940194" w:rsidRDefault="00204C20" w:rsidP="009A033D">
      <w:pPr>
        <w:rPr>
          <w:lang w:val="en-GB"/>
        </w:rPr>
      </w:pPr>
      <w:r>
        <w:rPr>
          <w:lang w:val="en-GB"/>
        </w:rPr>
        <w:lastRenderedPageBreak/>
        <w:t>There are a lot of studies, old and new one, raising the issue of oil and gas extraction directly influencing the climate change by increasing CO2 in the atmosphere.</w:t>
      </w:r>
      <w:r w:rsidR="00343B86">
        <w:rPr>
          <w:lang w:val="en-GB"/>
        </w:rPr>
        <w:t xml:space="preserve"> </w:t>
      </w:r>
      <w:r w:rsidR="000E4F05">
        <w:rPr>
          <w:lang w:val="en-GB"/>
        </w:rPr>
        <w:t xml:space="preserve">One of research made by </w:t>
      </w:r>
      <w:r w:rsidR="000E4F05" w:rsidRPr="000E4F05">
        <w:rPr>
          <w:lang w:val="en-GB"/>
        </w:rPr>
        <w:t>Richard</w:t>
      </w:r>
      <w:r w:rsidR="000E4F05">
        <w:rPr>
          <w:lang w:val="en-GB"/>
        </w:rPr>
        <w:t xml:space="preserve"> </w:t>
      </w:r>
      <w:r w:rsidR="000E4F05" w:rsidRPr="000E4F05">
        <w:rPr>
          <w:lang w:val="en-GB"/>
        </w:rPr>
        <w:t>Heed</w:t>
      </w:r>
      <w:r w:rsidR="000E4F05">
        <w:rPr>
          <w:lang w:val="en-GB"/>
        </w:rPr>
        <w:t>e</w:t>
      </w:r>
      <w:r w:rsidR="000E4F05" w:rsidRPr="000E4F05">
        <w:rPr>
          <w:lang w:val="en-GB"/>
        </w:rPr>
        <w:t xml:space="preserve"> </w:t>
      </w:r>
      <w:r w:rsidR="000E4F05">
        <w:rPr>
          <w:lang w:val="en-GB"/>
        </w:rPr>
        <w:t>has explicitly showed that 100 major carbon majors were responsible for 71% global industrial emissions starting from the 1988 (</w:t>
      </w:r>
      <w:r w:rsidR="000E4F05" w:rsidRPr="000E4F05">
        <w:rPr>
          <w:lang w:val="en-GB"/>
        </w:rPr>
        <w:t>R. Heede</w:t>
      </w:r>
      <w:r w:rsidR="000E4F05">
        <w:rPr>
          <w:lang w:val="en-GB"/>
        </w:rPr>
        <w:t>, 2014)</w:t>
      </w:r>
      <w:r w:rsidR="000E4F05">
        <w:rPr>
          <w:rStyle w:val="af0"/>
          <w:lang w:val="en-GB"/>
        </w:rPr>
        <w:footnoteReference w:id="13"/>
      </w:r>
      <w:r w:rsidR="000E4F05">
        <w:rPr>
          <w:lang w:val="en-GB"/>
        </w:rPr>
        <w:t xml:space="preserve">. </w:t>
      </w:r>
      <w:r>
        <w:rPr>
          <w:lang w:val="en-GB"/>
        </w:rPr>
        <w:t>Since, the second half 20</w:t>
      </w:r>
      <w:r w:rsidRPr="00204C20">
        <w:rPr>
          <w:vertAlign w:val="superscript"/>
          <w:lang w:val="en-GB"/>
        </w:rPr>
        <w:t>th</w:t>
      </w:r>
      <w:r>
        <w:rPr>
          <w:lang w:val="en-GB"/>
        </w:rPr>
        <w:t xml:space="preserve"> century </w:t>
      </w:r>
      <w:r w:rsidR="00C54320">
        <w:rPr>
          <w:lang w:val="en-GB"/>
        </w:rPr>
        <w:t>scientist has been warned about the climate change and started to provide advises on how to solve the problem (</w:t>
      </w:r>
      <w:r w:rsidR="00C54320" w:rsidRPr="00204C20">
        <w:rPr>
          <w:lang w:val="en-GB"/>
        </w:rPr>
        <w:t>E. Robinson and R.C. Robbins</w:t>
      </w:r>
      <w:r w:rsidR="00C54320">
        <w:rPr>
          <w:lang w:val="en-GB"/>
        </w:rPr>
        <w:t>, 1968</w:t>
      </w:r>
      <w:r w:rsidR="00343B86">
        <w:rPr>
          <w:lang w:val="en-GB"/>
        </w:rPr>
        <w:t xml:space="preserve">; </w:t>
      </w:r>
      <w:r w:rsidR="00343B86" w:rsidRPr="00343B86">
        <w:rPr>
          <w:lang w:val="en-GB"/>
        </w:rPr>
        <w:t>M. Hope</w:t>
      </w:r>
      <w:r w:rsidR="00343B86">
        <w:rPr>
          <w:lang w:val="en-GB"/>
        </w:rPr>
        <w:t>, 2018</w:t>
      </w:r>
      <w:r w:rsidR="00C54320">
        <w:rPr>
          <w:lang w:val="en-GB"/>
        </w:rPr>
        <w:t>)</w:t>
      </w:r>
      <w:r w:rsidR="00343B86">
        <w:rPr>
          <w:lang w:val="en-GB"/>
        </w:rPr>
        <w:t>.</w:t>
      </w:r>
      <w:r w:rsidR="00C742C1">
        <w:rPr>
          <w:lang w:val="en-GB"/>
        </w:rPr>
        <w:t xml:space="preserve"> Most emissions nowadays come from downstream industry, it counts for 70-90% lifecycle emissions (S. Dietz, V. Julius, J. Noels, 2020)</w:t>
      </w:r>
      <w:r w:rsidR="00C742C1">
        <w:rPr>
          <w:rStyle w:val="af0"/>
          <w:lang w:val="en-GB"/>
        </w:rPr>
        <w:footnoteReference w:id="14"/>
      </w:r>
      <w:r w:rsidR="00C742C1">
        <w:rPr>
          <w:lang w:val="en-GB"/>
        </w:rPr>
        <w:t>.</w:t>
      </w:r>
      <w:r w:rsidR="00343B86">
        <w:rPr>
          <w:lang w:val="en-GB"/>
        </w:rPr>
        <w:t xml:space="preserve"> However for some period of time in the beginning of 90s most of companies, especially the NOCs who were protected by their governments, refused to acknowledge the anthropogenic impact on climate, but later on few years this situation has changed (</w:t>
      </w:r>
      <w:r w:rsidR="00343B86" w:rsidRPr="00343B86">
        <w:rPr>
          <w:lang w:val="en-GB"/>
        </w:rPr>
        <w:t>M.S. Bach</w:t>
      </w:r>
      <w:r w:rsidR="00343B86">
        <w:rPr>
          <w:lang w:val="en-GB"/>
        </w:rPr>
        <w:t>, 2017)</w:t>
      </w:r>
      <w:r w:rsidR="00343B86">
        <w:rPr>
          <w:rStyle w:val="af0"/>
          <w:lang w:val="en-GB"/>
        </w:rPr>
        <w:footnoteReference w:id="15"/>
      </w:r>
      <w:r w:rsidR="00343B86">
        <w:rPr>
          <w:lang w:val="en-GB"/>
        </w:rPr>
        <w:t xml:space="preserve">. </w:t>
      </w:r>
      <w:r w:rsidR="00940194">
        <w:rPr>
          <w:lang w:val="en-GB"/>
        </w:rPr>
        <w:t>W</w:t>
      </w:r>
      <w:r w:rsidR="00C742C1">
        <w:rPr>
          <w:lang w:val="en-GB"/>
        </w:rPr>
        <w:t>hat is more significant, there are</w:t>
      </w:r>
      <w:r w:rsidR="00940194">
        <w:rPr>
          <w:lang w:val="en-GB"/>
        </w:rPr>
        <w:t xml:space="preserve"> different attitudes to the problem from both sides of Atlantic, while European companies, like BP and Shell are more willing to take action about climate change, American companies, especially Exxon and Chevron, proclaimed a ruinous effect of emissions cut policies (Marco Grasso, 2019). As it will observed later in the literature review on the topic how O&amp;G companies transforming into integrated energy companies, US’s companies still hold to oil energy, but improving efficiency, whereas European companies investing more in renewable energy companies.</w:t>
      </w:r>
      <w:r w:rsidR="002A0BF2" w:rsidRPr="002A0BF2">
        <w:rPr>
          <w:lang w:val="en-GB"/>
        </w:rPr>
        <w:t xml:space="preserve"> </w:t>
      </w:r>
      <w:r w:rsidR="002A0BF2">
        <w:rPr>
          <w:lang w:val="en-GB"/>
        </w:rPr>
        <w:t>Even though some IOCs (Exxon) were trying to stop ratification of cl</w:t>
      </w:r>
      <w:r w:rsidR="00862D70">
        <w:rPr>
          <w:lang w:val="en-GB"/>
        </w:rPr>
        <w:t>imate acts, like Kyoto Protocol</w:t>
      </w:r>
      <w:r w:rsidR="00862D70">
        <w:rPr>
          <w:rStyle w:val="af0"/>
          <w:lang w:val="en-GB"/>
        </w:rPr>
        <w:footnoteReference w:id="16"/>
      </w:r>
      <w:r w:rsidR="002A0BF2">
        <w:rPr>
          <w:lang w:val="en-GB"/>
        </w:rPr>
        <w:t xml:space="preserve">, </w:t>
      </w:r>
      <w:r w:rsidR="00073902">
        <w:rPr>
          <w:lang w:val="en-GB"/>
        </w:rPr>
        <w:t>most of oil and gas producing countries have signed it, hence the further move to low carbon sources of energy can be expected (</w:t>
      </w:r>
      <w:r w:rsidR="00073902" w:rsidRPr="00073902">
        <w:rPr>
          <w:lang w:val="en-GB"/>
        </w:rPr>
        <w:t>G. Supran and N. Oreskes</w:t>
      </w:r>
      <w:r w:rsidR="00073902">
        <w:rPr>
          <w:lang w:val="en-GB"/>
        </w:rPr>
        <w:t>, 2017)</w:t>
      </w:r>
      <w:r w:rsidR="00073902">
        <w:rPr>
          <w:rStyle w:val="af0"/>
          <w:lang w:val="en-GB"/>
        </w:rPr>
        <w:footnoteReference w:id="17"/>
      </w:r>
      <w:r w:rsidR="00FE2C4D">
        <w:rPr>
          <w:lang w:val="en-GB"/>
        </w:rPr>
        <w:t>.</w:t>
      </w:r>
    </w:p>
    <w:p w:rsidR="00FE2C4D" w:rsidRDefault="00FE2C4D" w:rsidP="00FE2C4D">
      <w:pPr>
        <w:rPr>
          <w:b/>
          <w:i/>
          <w:lang w:val="en-GB"/>
        </w:rPr>
      </w:pPr>
      <w:r w:rsidRPr="003B3EFD">
        <w:rPr>
          <w:b/>
          <w:i/>
          <w:lang w:val="en-GB"/>
        </w:rPr>
        <w:t xml:space="preserve">Economy transition to </w:t>
      </w:r>
      <w:r>
        <w:rPr>
          <w:b/>
          <w:i/>
          <w:lang w:val="en-GB"/>
        </w:rPr>
        <w:t>low carbon energy</w:t>
      </w:r>
    </w:p>
    <w:p w:rsidR="00FE2C4D" w:rsidRPr="0048265E" w:rsidRDefault="00FE2C4D" w:rsidP="00FE2C4D">
      <w:pPr>
        <w:rPr>
          <w:lang w:val="en-GB"/>
        </w:rPr>
      </w:pPr>
      <w:r>
        <w:rPr>
          <w:lang w:val="en-GB"/>
        </w:rPr>
        <w:t>It is expected that the main driver for energy transition will become the electro vehicle industry K.</w:t>
      </w:r>
      <w:r w:rsidRPr="003B3EFD">
        <w:rPr>
          <w:lang w:val="en-GB"/>
        </w:rPr>
        <w:t xml:space="preserve"> Dobson</w:t>
      </w:r>
      <w:r>
        <w:rPr>
          <w:lang w:val="en-GB"/>
        </w:rPr>
        <w:t xml:space="preserve"> and M. Jus (2021)</w:t>
      </w:r>
      <w:r>
        <w:rPr>
          <w:rStyle w:val="af0"/>
          <w:lang w:val="en-GB"/>
        </w:rPr>
        <w:footnoteReference w:id="18"/>
      </w:r>
      <w:r>
        <w:rPr>
          <w:lang w:val="en-GB"/>
        </w:rPr>
        <w:t>. This trend will or sure has a strong impact on oil and gas companies, because it significantly cuts the demand on fossil fuel products, in combination with low oil prices it will undermine the industry. Mostly it will affect the upstream sector. Nevertheless, it opens a space for companies to review its strategies and restructure its business models to correspond to the appearance of EVs.</w:t>
      </w:r>
      <w:r w:rsidR="0048265E">
        <w:rPr>
          <w:lang w:val="en-GB"/>
        </w:rPr>
        <w:t xml:space="preserve"> In addition to EV market there are other energy </w:t>
      </w:r>
      <w:r w:rsidR="0048265E">
        <w:rPr>
          <w:lang w:val="en-GB"/>
        </w:rPr>
        <w:lastRenderedPageBreak/>
        <w:t xml:space="preserve">technologies that will accelerate the process of low-carbon transition. These are </w:t>
      </w:r>
      <w:r w:rsidR="0048265E" w:rsidRPr="0048265E">
        <w:rPr>
          <w:lang w:val="en-GB"/>
        </w:rPr>
        <w:t>hydrogen production, storage projects</w:t>
      </w:r>
      <w:r w:rsidR="0048265E">
        <w:rPr>
          <w:lang w:val="en-GB"/>
        </w:rPr>
        <w:t xml:space="preserve"> and new efficient batteries (M. </w:t>
      </w:r>
      <w:proofErr w:type="spellStart"/>
      <w:r w:rsidR="0048265E">
        <w:rPr>
          <w:lang w:val="en-GB"/>
        </w:rPr>
        <w:t>Motyka</w:t>
      </w:r>
      <w:proofErr w:type="spellEnd"/>
      <w:r w:rsidR="0048265E">
        <w:rPr>
          <w:lang w:val="en-GB"/>
        </w:rPr>
        <w:t>, 2021)</w:t>
      </w:r>
      <w:r w:rsidR="0048265E">
        <w:rPr>
          <w:rStyle w:val="af0"/>
          <w:lang w:val="en-GB"/>
        </w:rPr>
        <w:footnoteReference w:id="19"/>
      </w:r>
    </w:p>
    <w:p w:rsidR="00B01D2D" w:rsidRPr="00A12A9B" w:rsidRDefault="00CA0B8F" w:rsidP="003B673A">
      <w:pPr>
        <w:rPr>
          <w:b/>
          <w:i/>
          <w:lang w:val="en-GB"/>
        </w:rPr>
      </w:pPr>
      <w:r>
        <w:rPr>
          <w:b/>
          <w:i/>
          <w:lang w:val="en-GB"/>
        </w:rPr>
        <w:t>Improvements in alternative energy sector</w:t>
      </w:r>
    </w:p>
    <w:p w:rsidR="003B673A" w:rsidRPr="003B673A" w:rsidRDefault="00954051" w:rsidP="003B673A">
      <w:pPr>
        <w:rPr>
          <w:lang w:val="en-GB"/>
        </w:rPr>
      </w:pPr>
      <w:r>
        <w:rPr>
          <w:lang w:val="en-GB"/>
        </w:rPr>
        <w:t>As</w:t>
      </w:r>
      <w:r w:rsidRPr="00B00758">
        <w:rPr>
          <w:lang w:val="en-GB"/>
        </w:rPr>
        <w:t xml:space="preserve"> </w:t>
      </w:r>
      <w:r>
        <w:rPr>
          <w:lang w:val="en-GB"/>
        </w:rPr>
        <w:t>it</w:t>
      </w:r>
      <w:r w:rsidRPr="00B00758">
        <w:rPr>
          <w:lang w:val="en-GB"/>
        </w:rPr>
        <w:t xml:space="preserve"> </w:t>
      </w:r>
      <w:r>
        <w:rPr>
          <w:lang w:val="en-GB"/>
        </w:rPr>
        <w:t>was</w:t>
      </w:r>
      <w:r w:rsidRPr="00B00758">
        <w:rPr>
          <w:lang w:val="en-GB"/>
        </w:rPr>
        <w:t xml:space="preserve"> </w:t>
      </w:r>
      <w:r>
        <w:rPr>
          <w:lang w:val="en-GB"/>
        </w:rPr>
        <w:t>already</w:t>
      </w:r>
      <w:r w:rsidRPr="00B00758">
        <w:rPr>
          <w:lang w:val="en-GB"/>
        </w:rPr>
        <w:t xml:space="preserve"> </w:t>
      </w:r>
      <w:r>
        <w:rPr>
          <w:lang w:val="en-GB"/>
        </w:rPr>
        <w:t>stated</w:t>
      </w:r>
      <w:r w:rsidRPr="00B00758">
        <w:rPr>
          <w:lang w:val="en-GB"/>
        </w:rPr>
        <w:t xml:space="preserve"> </w:t>
      </w:r>
      <w:r>
        <w:rPr>
          <w:lang w:val="en-GB"/>
        </w:rPr>
        <w:t>in</w:t>
      </w:r>
      <w:r w:rsidRPr="00B00758">
        <w:rPr>
          <w:lang w:val="en-GB"/>
        </w:rPr>
        <w:t xml:space="preserve"> </w:t>
      </w:r>
      <w:r>
        <w:rPr>
          <w:lang w:val="en-GB"/>
        </w:rPr>
        <w:t>the</w:t>
      </w:r>
      <w:r w:rsidRPr="00B00758">
        <w:rPr>
          <w:lang w:val="en-GB"/>
        </w:rPr>
        <w:t xml:space="preserve"> </w:t>
      </w:r>
      <w:r>
        <w:rPr>
          <w:lang w:val="en-GB"/>
        </w:rPr>
        <w:t>end of the previous part, new sources of energy that are</w:t>
      </w:r>
      <w:r w:rsidR="00241142">
        <w:rPr>
          <w:lang w:val="en-GB"/>
        </w:rPr>
        <w:t xml:space="preserve"> characterised by such peculiarities like being</w:t>
      </w:r>
      <w:r>
        <w:rPr>
          <w:lang w:val="en-GB"/>
        </w:rPr>
        <w:t xml:space="preserve"> low-carbon</w:t>
      </w:r>
      <w:r w:rsidR="00241142">
        <w:rPr>
          <w:lang w:val="en-GB"/>
        </w:rPr>
        <w:t xml:space="preserve"> and renewable</w:t>
      </w:r>
      <w:r>
        <w:rPr>
          <w:lang w:val="en-GB"/>
        </w:rPr>
        <w:t xml:space="preserve"> </w:t>
      </w:r>
      <w:r w:rsidR="00241142">
        <w:rPr>
          <w:lang w:val="en-GB"/>
        </w:rPr>
        <w:t>have a strong impact on the development of oil and gas industry. This trend will only accelerate in future decades. As it was supposed in BP Energy outlook report for 2020</w:t>
      </w:r>
      <w:r w:rsidR="006A4915">
        <w:rPr>
          <w:rStyle w:val="af0"/>
          <w:lang w:val="en-GB"/>
        </w:rPr>
        <w:footnoteReference w:id="20"/>
      </w:r>
      <w:r w:rsidR="00241142">
        <w:rPr>
          <w:lang w:val="en-GB"/>
        </w:rPr>
        <w:t xml:space="preserve">, </w:t>
      </w:r>
      <w:r w:rsidR="00924046">
        <w:rPr>
          <w:lang w:val="en-GB"/>
        </w:rPr>
        <w:t>the shares in primary energy of oil, gas and coal will decrease, whereas, the share of nuclear, hydro, wind, solar and bio energy will increase.</w:t>
      </w:r>
    </w:p>
    <w:p w:rsidR="003B673A" w:rsidRDefault="003B673A" w:rsidP="003B673A">
      <w:pPr>
        <w:pStyle w:val="SVEfigure"/>
        <w:rPr>
          <w:lang w:val="en-GB"/>
        </w:rPr>
      </w:pPr>
      <w:r>
        <w:rPr>
          <w:noProof/>
          <w:lang w:val="ru-RU" w:eastAsia="ru-RU"/>
        </w:rPr>
        <w:drawing>
          <wp:inline distT="0" distB="0" distL="0" distR="0" wp14:anchorId="2F0D3A56" wp14:editId="0F70B499">
            <wp:extent cx="3543300" cy="141605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9348" t="41049" r="21005" b="16572"/>
                    <a:stretch/>
                  </pic:blipFill>
                  <pic:spPr bwMode="auto">
                    <a:xfrm>
                      <a:off x="0" y="0"/>
                      <a:ext cx="3543300" cy="1416050"/>
                    </a:xfrm>
                    <a:prstGeom prst="rect">
                      <a:avLst/>
                    </a:prstGeom>
                    <a:ln>
                      <a:noFill/>
                    </a:ln>
                    <a:extLst>
                      <a:ext uri="{53640926-AAD7-44D8-BBD7-CCE9431645EC}">
                        <a14:shadowObscured xmlns:a14="http://schemas.microsoft.com/office/drawing/2010/main"/>
                      </a:ext>
                    </a:extLst>
                  </pic:spPr>
                </pic:pic>
              </a:graphicData>
            </a:graphic>
          </wp:inline>
        </w:drawing>
      </w:r>
      <w:r w:rsidR="00924046">
        <w:rPr>
          <w:lang w:val="en-GB"/>
        </w:rPr>
        <w:t xml:space="preserve"> </w:t>
      </w:r>
    </w:p>
    <w:p w:rsidR="003B673A" w:rsidRPr="003B673A" w:rsidRDefault="003B673A" w:rsidP="003B673A">
      <w:pPr>
        <w:pStyle w:val="SVEfigurecaption"/>
        <w:rPr>
          <w:lang w:val="en-GB"/>
        </w:rPr>
      </w:pPr>
      <w:r>
        <w:rPr>
          <w:lang w:val="en-GB"/>
        </w:rPr>
        <w:t>Shares of primary energy share</w:t>
      </w:r>
      <w:r w:rsidR="00AE36A4">
        <w:rPr>
          <w:lang w:val="en-GB"/>
        </w:rPr>
        <w:t>. Source [BP Energy outlook 2020]</w:t>
      </w:r>
    </w:p>
    <w:p w:rsidR="000F3447" w:rsidRPr="000F3447" w:rsidRDefault="000F3447" w:rsidP="000F3447">
      <w:pPr>
        <w:rPr>
          <w:lang w:val="en-GB"/>
        </w:rPr>
      </w:pPr>
      <w:r>
        <w:rPr>
          <w:lang w:val="en-GB"/>
        </w:rPr>
        <w:t xml:space="preserve">Considering the low carbon transition by regions (US, EU, India and China), it was verified by BP </w:t>
      </w:r>
      <w:r w:rsidR="008A339C">
        <w:rPr>
          <w:lang w:val="en-GB"/>
        </w:rPr>
        <w:t xml:space="preserve">report </w:t>
      </w:r>
      <w:r>
        <w:rPr>
          <w:lang w:val="en-GB"/>
        </w:rPr>
        <w:t>that a gradual shift from oil towards renewables will be made, particularly for Europe and US, therefore companies oriented into these regions might expect profit decrease.</w:t>
      </w:r>
    </w:p>
    <w:p w:rsidR="000F3447" w:rsidRDefault="000F3447" w:rsidP="000F3447">
      <w:pPr>
        <w:pStyle w:val="SVEfigure"/>
        <w:rPr>
          <w:lang w:val="en-GB"/>
        </w:rPr>
      </w:pPr>
      <w:r>
        <w:rPr>
          <w:noProof/>
          <w:lang w:val="ru-RU" w:eastAsia="ru-RU"/>
        </w:rPr>
        <w:drawing>
          <wp:inline distT="0" distB="0" distL="0" distR="0" wp14:anchorId="3BDA2C5E" wp14:editId="73135BDA">
            <wp:extent cx="3473450" cy="15240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19028" t="31547" r="22501" b="22843"/>
                    <a:stretch/>
                  </pic:blipFill>
                  <pic:spPr bwMode="auto">
                    <a:xfrm>
                      <a:off x="0" y="0"/>
                      <a:ext cx="3473450" cy="1524000"/>
                    </a:xfrm>
                    <a:prstGeom prst="rect">
                      <a:avLst/>
                    </a:prstGeom>
                    <a:ln>
                      <a:noFill/>
                    </a:ln>
                    <a:extLst>
                      <a:ext uri="{53640926-AAD7-44D8-BBD7-CCE9431645EC}">
                        <a14:shadowObscured xmlns:a14="http://schemas.microsoft.com/office/drawing/2010/main"/>
                      </a:ext>
                    </a:extLst>
                  </pic:spPr>
                </pic:pic>
              </a:graphicData>
            </a:graphic>
          </wp:inline>
        </w:drawing>
      </w:r>
    </w:p>
    <w:p w:rsidR="000F3447" w:rsidRPr="000F3447" w:rsidRDefault="000F3447" w:rsidP="000F3447">
      <w:pPr>
        <w:pStyle w:val="SVEfigurecaption"/>
        <w:rPr>
          <w:lang w:val="en-GB"/>
        </w:rPr>
      </w:pPr>
      <w:r>
        <w:rPr>
          <w:lang w:val="en-GB"/>
        </w:rPr>
        <w:t>Fuel mix by each region</w:t>
      </w:r>
      <w:r w:rsidR="00AE36A4">
        <w:rPr>
          <w:lang w:val="en-GB"/>
        </w:rPr>
        <w:t>. Source [BP Energy outlook 2020]</w:t>
      </w:r>
    </w:p>
    <w:p w:rsidR="00AF61DD" w:rsidRPr="00AF61DD" w:rsidRDefault="00924046" w:rsidP="00AF61DD">
      <w:pPr>
        <w:rPr>
          <w:lang w:val="en-GB"/>
        </w:rPr>
      </w:pPr>
      <w:r>
        <w:rPr>
          <w:lang w:val="en-GB"/>
        </w:rPr>
        <w:t>This scenario is supported by several factors. T</w:t>
      </w:r>
      <w:r w:rsidR="00241142">
        <w:rPr>
          <w:lang w:val="en-GB"/>
        </w:rPr>
        <w:t>he cost of solar and wind energy will reduce</w:t>
      </w:r>
      <w:r w:rsidR="00AF61DD">
        <w:rPr>
          <w:lang w:val="en-GB"/>
        </w:rPr>
        <w:t xml:space="preserve"> in all three scenarios</w:t>
      </w:r>
      <w:r w:rsidR="00241142">
        <w:rPr>
          <w:lang w:val="en-GB"/>
        </w:rPr>
        <w:t xml:space="preserve">, by 2050, what will make these sources of energy more efficient for the usage. </w:t>
      </w:r>
    </w:p>
    <w:p w:rsidR="00AF61DD" w:rsidRDefault="00AF61DD" w:rsidP="00AF61DD">
      <w:pPr>
        <w:pStyle w:val="SVEfigure"/>
        <w:rPr>
          <w:lang w:val="en-GB"/>
        </w:rPr>
      </w:pPr>
      <w:r>
        <w:rPr>
          <w:noProof/>
          <w:lang w:val="ru-RU" w:eastAsia="ru-RU"/>
        </w:rPr>
        <w:lastRenderedPageBreak/>
        <w:drawing>
          <wp:inline distT="0" distB="0" distL="0" distR="0" wp14:anchorId="1A549A9E" wp14:editId="5D11EFEE">
            <wp:extent cx="2482850" cy="1960145"/>
            <wp:effectExtent l="0" t="0" r="0" b="254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5965" t="47320" r="21539" b="7070"/>
                    <a:stretch/>
                  </pic:blipFill>
                  <pic:spPr bwMode="auto">
                    <a:xfrm>
                      <a:off x="0" y="0"/>
                      <a:ext cx="2494832" cy="1969605"/>
                    </a:xfrm>
                    <a:prstGeom prst="rect">
                      <a:avLst/>
                    </a:prstGeom>
                    <a:ln>
                      <a:noFill/>
                    </a:ln>
                    <a:extLst>
                      <a:ext uri="{53640926-AAD7-44D8-BBD7-CCE9431645EC}">
                        <a14:shadowObscured xmlns:a14="http://schemas.microsoft.com/office/drawing/2010/main"/>
                      </a:ext>
                    </a:extLst>
                  </pic:spPr>
                </pic:pic>
              </a:graphicData>
            </a:graphic>
          </wp:inline>
        </w:drawing>
      </w:r>
    </w:p>
    <w:p w:rsidR="00AF61DD" w:rsidRPr="00AF61DD" w:rsidRDefault="00AF61DD" w:rsidP="00AF61DD">
      <w:pPr>
        <w:pStyle w:val="SVEfigurecaption"/>
        <w:rPr>
          <w:lang w:val="en-GB"/>
        </w:rPr>
      </w:pPr>
      <w:r>
        <w:rPr>
          <w:lang w:val="en-GB"/>
        </w:rPr>
        <w:t>Cost of wind and solar energy</w:t>
      </w:r>
      <w:r w:rsidR="00AE36A4">
        <w:rPr>
          <w:lang w:val="en-GB"/>
        </w:rPr>
        <w:t>. Source [BP Energy outlook 2020]</w:t>
      </w:r>
    </w:p>
    <w:p w:rsidR="00AF61DD" w:rsidRDefault="001D5E77" w:rsidP="009A033D">
      <w:pPr>
        <w:rPr>
          <w:lang w:val="en-GB"/>
        </w:rPr>
      </w:pPr>
      <w:r>
        <w:rPr>
          <w:lang w:val="en-GB"/>
        </w:rPr>
        <w:t>At the same time the capacity of these sources of power are also promised to increase rapidly in next 15 years.</w:t>
      </w:r>
      <w:r w:rsidR="00333320">
        <w:rPr>
          <w:lang w:val="en-GB"/>
        </w:rPr>
        <w:t xml:space="preserve"> </w:t>
      </w:r>
    </w:p>
    <w:p w:rsidR="00AF61DD" w:rsidRPr="00AF61DD" w:rsidRDefault="00AF61DD" w:rsidP="009A033D">
      <w:pPr>
        <w:rPr>
          <w:noProof/>
          <w:lang w:val="en-GB" w:eastAsia="ru-RU"/>
        </w:rPr>
      </w:pPr>
    </w:p>
    <w:p w:rsidR="00AF61DD" w:rsidRPr="004915A0" w:rsidRDefault="00AF61DD" w:rsidP="00AF61DD">
      <w:pPr>
        <w:pStyle w:val="SVEfigure"/>
        <w:rPr>
          <w:lang w:val="ru-RU"/>
        </w:rPr>
      </w:pPr>
      <w:r>
        <w:rPr>
          <w:noProof/>
          <w:lang w:val="ru-RU" w:eastAsia="ru-RU"/>
        </w:rPr>
        <w:drawing>
          <wp:inline distT="0" distB="0" distL="0" distR="0" wp14:anchorId="724B8F73" wp14:editId="01A2E2E9">
            <wp:extent cx="2413000" cy="1944927"/>
            <wp:effectExtent l="0" t="0" r="635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0524" t="40099" r="47515" b="14101"/>
                    <a:stretch/>
                  </pic:blipFill>
                  <pic:spPr bwMode="auto">
                    <a:xfrm>
                      <a:off x="0" y="0"/>
                      <a:ext cx="2429050" cy="1957864"/>
                    </a:xfrm>
                    <a:prstGeom prst="rect">
                      <a:avLst/>
                    </a:prstGeom>
                    <a:ln>
                      <a:noFill/>
                    </a:ln>
                    <a:extLst>
                      <a:ext uri="{53640926-AAD7-44D8-BBD7-CCE9431645EC}">
                        <a14:shadowObscured xmlns:a14="http://schemas.microsoft.com/office/drawing/2010/main"/>
                      </a:ext>
                    </a:extLst>
                  </pic:spPr>
                </pic:pic>
              </a:graphicData>
            </a:graphic>
          </wp:inline>
        </w:drawing>
      </w:r>
    </w:p>
    <w:p w:rsidR="00AF61DD" w:rsidRPr="00AF61DD" w:rsidRDefault="00AF61DD" w:rsidP="00AF61DD">
      <w:pPr>
        <w:pStyle w:val="SVEfigurecaption"/>
        <w:rPr>
          <w:lang w:val="en-GB"/>
        </w:rPr>
      </w:pPr>
      <w:r>
        <w:rPr>
          <w:lang w:val="en-GB"/>
        </w:rPr>
        <w:t>Average annual increase in wind and solar capacity</w:t>
      </w:r>
      <w:r w:rsidR="00AE36A4">
        <w:rPr>
          <w:lang w:val="en-GB"/>
        </w:rPr>
        <w:t>. Source [BP Energy outlook 2020]</w:t>
      </w:r>
    </w:p>
    <w:p w:rsidR="00304517" w:rsidRDefault="00333320" w:rsidP="00304517">
      <w:pPr>
        <w:rPr>
          <w:lang w:val="en-GB"/>
        </w:rPr>
      </w:pPr>
      <w:r>
        <w:rPr>
          <w:lang w:val="en-GB"/>
        </w:rPr>
        <w:t>At the same, BP’s report states that in front of reduction in consumption and production of oi</w:t>
      </w:r>
      <w:r w:rsidR="000F3447">
        <w:rPr>
          <w:lang w:val="en-GB"/>
        </w:rPr>
        <w:t>l</w:t>
      </w:r>
      <w:r>
        <w:rPr>
          <w:lang w:val="en-GB"/>
        </w:rPr>
        <w:t xml:space="preserve"> and gas, the extra investments in upstream sector will be needed. </w:t>
      </w:r>
      <w:r w:rsidR="004915A0">
        <w:rPr>
          <w:lang w:val="en-GB"/>
        </w:rPr>
        <w:t>Therefore</w:t>
      </w:r>
      <w:r>
        <w:rPr>
          <w:lang w:val="en-GB"/>
        </w:rPr>
        <w:t>, it can be assumed that companies working in this sector will need to find extra funds in order to maintain its profitability.</w:t>
      </w:r>
    </w:p>
    <w:p w:rsidR="00BC47BE" w:rsidRPr="0006672B" w:rsidRDefault="00D24B82" w:rsidP="00304517">
      <w:pPr>
        <w:rPr>
          <w:b/>
          <w:lang w:val="en-GB"/>
        </w:rPr>
      </w:pPr>
      <w:r w:rsidRPr="0006672B">
        <w:rPr>
          <w:b/>
          <w:i/>
          <w:lang w:val="en-GB"/>
        </w:rPr>
        <w:t>Internal industry reasons</w:t>
      </w:r>
      <w:r w:rsidR="00BC47BE" w:rsidRPr="0006672B">
        <w:rPr>
          <w:b/>
          <w:lang w:val="en-GB"/>
        </w:rPr>
        <w:t xml:space="preserve"> </w:t>
      </w:r>
    </w:p>
    <w:p w:rsidR="00206DD6" w:rsidRDefault="00CA0B8F" w:rsidP="00304517">
      <w:pPr>
        <w:rPr>
          <w:lang w:val="en-GB"/>
        </w:rPr>
      </w:pPr>
      <w:r>
        <w:rPr>
          <w:lang w:val="en-GB"/>
        </w:rPr>
        <w:t>The industry specific problems undermine the power of oil&amp;gas companies as well</w:t>
      </w:r>
      <w:r w:rsidR="00733E0D">
        <w:rPr>
          <w:lang w:val="en-GB"/>
        </w:rPr>
        <w:t>. The profitability (according to return on capital employed) in all parts of value chain (upstream, midstream and downstream) has decreased in the period 2000-2012. In addition to that EU and US majors are losing its technological advance due to Chinese oil and gas companies investing much more in R&amp;D.</w:t>
      </w:r>
      <w:r w:rsidR="00D24B82">
        <w:rPr>
          <w:lang w:val="en-GB"/>
        </w:rPr>
        <w:t xml:space="preserve"> I</w:t>
      </w:r>
      <w:r w:rsidR="004915A0">
        <w:rPr>
          <w:lang w:val="en-GB"/>
        </w:rPr>
        <w:t>ncreasing cost of production of US and Europe</w:t>
      </w:r>
      <w:r w:rsidR="00D24B82">
        <w:rPr>
          <w:lang w:val="en-GB"/>
        </w:rPr>
        <w:t xml:space="preserve"> major companies take place because of </w:t>
      </w:r>
      <w:r w:rsidR="00D24B82" w:rsidRPr="00D24B82">
        <w:rPr>
          <w:lang w:val="en-GB"/>
        </w:rPr>
        <w:t>depletion</w:t>
      </w:r>
      <w:r w:rsidR="00D24B82">
        <w:rPr>
          <w:lang w:val="en-GB"/>
        </w:rPr>
        <w:t xml:space="preserve"> of conventional place for extraction and move to mor</w:t>
      </w:r>
      <w:r w:rsidR="0003354F">
        <w:rPr>
          <w:lang w:val="en-GB"/>
        </w:rPr>
        <w:t>e expensive deep water drilling, for instance, upstream CapEx rose by 4.5 times from 2000 to 2012.</w:t>
      </w:r>
      <w:r w:rsidR="00D24B82">
        <w:rPr>
          <w:lang w:val="en-GB"/>
        </w:rPr>
        <w:t xml:space="preserve"> Another problem that </w:t>
      </w:r>
      <w:r w:rsidR="00D24B82">
        <w:rPr>
          <w:lang w:val="en-GB"/>
        </w:rPr>
        <w:lastRenderedPageBreak/>
        <w:t>threat</w:t>
      </w:r>
      <w:r w:rsidR="00F722A3">
        <w:rPr>
          <w:lang w:val="en-GB"/>
        </w:rPr>
        <w:t>en major oil companies is loss of leverage on tax regimes</w:t>
      </w:r>
      <w:r w:rsidR="00D24B82">
        <w:rPr>
          <w:lang w:val="en-GB"/>
        </w:rPr>
        <w:t xml:space="preserve">, </w:t>
      </w:r>
      <w:r w:rsidR="00D24B82" w:rsidRPr="00D24B82">
        <w:rPr>
          <w:lang w:val="en-GB"/>
        </w:rPr>
        <w:t>which partly may explain higher tax</w:t>
      </w:r>
      <w:r w:rsidR="00D24B82">
        <w:rPr>
          <w:lang w:val="en-GB"/>
        </w:rPr>
        <w:t>es</w:t>
      </w:r>
      <w:r w:rsidR="00A70EF3">
        <w:rPr>
          <w:lang w:val="en-GB"/>
        </w:rPr>
        <w:t>.</w:t>
      </w:r>
      <w:r w:rsidR="004915A0">
        <w:rPr>
          <w:lang w:val="en-GB"/>
        </w:rPr>
        <w:t xml:space="preserve"> </w:t>
      </w:r>
      <w:r w:rsidR="00A70EF3">
        <w:rPr>
          <w:lang w:val="en-GB"/>
        </w:rPr>
        <w:t>Even though the shares return of US major were twice more than EU major returns, a</w:t>
      </w:r>
      <w:r w:rsidR="00D24B82">
        <w:rPr>
          <w:lang w:val="en-GB"/>
        </w:rPr>
        <w:t>ll these reasons might be an explanation why investors’ return from oil companies are decreasing since 2006. Therefore, all these problems in oil and gas industry</w:t>
      </w:r>
      <w:r w:rsidR="004915A0">
        <w:rPr>
          <w:lang w:val="en-GB"/>
        </w:rPr>
        <w:t xml:space="preserve"> will accelerate the move </w:t>
      </w:r>
      <w:r w:rsidR="00D24B82">
        <w:rPr>
          <w:lang w:val="en-GB"/>
        </w:rPr>
        <w:t xml:space="preserve">of capitals </w:t>
      </w:r>
      <w:r w:rsidR="004915A0">
        <w:rPr>
          <w:lang w:val="en-GB"/>
        </w:rPr>
        <w:t xml:space="preserve">from expensive hydrocarbon </w:t>
      </w:r>
      <w:r w:rsidR="00D24B82">
        <w:rPr>
          <w:lang w:val="en-GB"/>
        </w:rPr>
        <w:t>industry</w:t>
      </w:r>
      <w:r w:rsidR="004915A0">
        <w:rPr>
          <w:lang w:val="en-GB"/>
        </w:rPr>
        <w:t xml:space="preserve"> to renewables. </w:t>
      </w:r>
      <w:r w:rsidR="00E23A89">
        <w:rPr>
          <w:lang w:val="en-GB"/>
        </w:rPr>
        <w:t>(Ruud Weijermars, Oswald Clint, Lain Pyke, 2014)</w:t>
      </w:r>
      <w:r w:rsidR="00066BF1">
        <w:rPr>
          <w:rStyle w:val="af0"/>
          <w:lang w:val="en-GB"/>
        </w:rPr>
        <w:footnoteReference w:id="21"/>
      </w:r>
      <w:r w:rsidR="004915A0">
        <w:rPr>
          <w:lang w:val="en-GB"/>
        </w:rPr>
        <w:t>.</w:t>
      </w:r>
    </w:p>
    <w:p w:rsidR="00BC47BE" w:rsidRPr="0006672B" w:rsidRDefault="00F722A3" w:rsidP="00304517">
      <w:pPr>
        <w:rPr>
          <w:b/>
          <w:lang w:val="en-GB"/>
        </w:rPr>
      </w:pPr>
      <w:r w:rsidRPr="0006672B">
        <w:rPr>
          <w:b/>
          <w:i/>
          <w:lang w:val="en-GB"/>
        </w:rPr>
        <w:t>Climate change policies</w:t>
      </w:r>
    </w:p>
    <w:p w:rsidR="00794AED" w:rsidRPr="00DA0451" w:rsidRDefault="004915A0" w:rsidP="00304517">
      <w:pPr>
        <w:rPr>
          <w:lang w:val="en-GB"/>
        </w:rPr>
      </w:pPr>
      <w:r>
        <w:rPr>
          <w:lang w:val="en-GB"/>
        </w:rPr>
        <w:t xml:space="preserve">However, despite of economic reasons for energy transition, discussed above, there exist strong political one that </w:t>
      </w:r>
      <w:r w:rsidRPr="000C11FB">
        <w:rPr>
          <w:lang w:val="en-GB"/>
        </w:rPr>
        <w:t xml:space="preserve">will accelerate the </w:t>
      </w:r>
      <w:r>
        <w:rPr>
          <w:lang w:val="en-GB"/>
        </w:rPr>
        <w:t>energy</w:t>
      </w:r>
      <w:r w:rsidRPr="000C11FB">
        <w:rPr>
          <w:lang w:val="en-GB"/>
        </w:rPr>
        <w:t xml:space="preserve"> transition</w:t>
      </w:r>
      <w:r>
        <w:rPr>
          <w:lang w:val="en-GB"/>
        </w:rPr>
        <w:t>. C</w:t>
      </w:r>
      <w:r w:rsidRPr="000C11FB">
        <w:rPr>
          <w:lang w:val="en-GB"/>
        </w:rPr>
        <w:t xml:space="preserve">arbon restriction policies will lead and already has led to a reduced investments in oil and gas projects, what, logically, will undermine the ability of oil and gas companies to </w:t>
      </w:r>
      <w:r>
        <w:rPr>
          <w:lang w:val="en-GB"/>
        </w:rPr>
        <w:t xml:space="preserve">attract </w:t>
      </w:r>
      <w:r w:rsidRPr="000C11FB">
        <w:rPr>
          <w:lang w:val="en-GB"/>
        </w:rPr>
        <w:t>investments, especially in countries where exist strong tran</w:t>
      </w:r>
      <w:r>
        <w:rPr>
          <w:lang w:val="en-GB"/>
        </w:rPr>
        <w:t xml:space="preserve">sition policies like in Europe </w:t>
      </w:r>
      <w:r w:rsidR="00052FC5">
        <w:rPr>
          <w:lang w:val="en-GB"/>
        </w:rPr>
        <w:t>(R. J. Johnston, R. Blakemore, R.</w:t>
      </w:r>
      <w:r w:rsidR="003A6E41" w:rsidRPr="003A6E41">
        <w:rPr>
          <w:lang w:val="en-GB"/>
        </w:rPr>
        <w:t xml:space="preserve"> Bell</w:t>
      </w:r>
      <w:r w:rsidR="00206DD6">
        <w:rPr>
          <w:lang w:val="en-GB"/>
        </w:rPr>
        <w:t>, 2020</w:t>
      </w:r>
      <w:r w:rsidR="003A6E41" w:rsidRPr="003A6E41">
        <w:rPr>
          <w:lang w:val="en-GB"/>
        </w:rPr>
        <w:t>)</w:t>
      </w:r>
      <w:r w:rsidR="009A033D">
        <w:rPr>
          <w:rStyle w:val="af0"/>
          <w:lang w:val="en-GB"/>
        </w:rPr>
        <w:footnoteReference w:id="22"/>
      </w:r>
      <w:r>
        <w:rPr>
          <w:lang w:val="en-GB"/>
        </w:rPr>
        <w:t xml:space="preserve">. </w:t>
      </w:r>
      <w:r w:rsidR="003974E0">
        <w:rPr>
          <w:lang w:val="en-GB"/>
        </w:rPr>
        <w:t>To expand the argument</w:t>
      </w:r>
      <w:r w:rsidR="001003A4">
        <w:rPr>
          <w:lang w:val="en-GB"/>
        </w:rPr>
        <w:t xml:space="preserve"> on climate change agreements, let us discuss the successful one and their influence on oil and gas industry.</w:t>
      </w:r>
      <w:r w:rsidR="00206DD6">
        <w:rPr>
          <w:lang w:val="en-GB"/>
        </w:rPr>
        <w:t xml:space="preserve"> Most significant agreements for last several decades were</w:t>
      </w:r>
      <w:r w:rsidR="00456F5A">
        <w:rPr>
          <w:lang w:val="en-GB"/>
        </w:rPr>
        <w:t xml:space="preserve"> Montreal Protocol (1987)</w:t>
      </w:r>
      <w:r w:rsidR="00223D5E">
        <w:rPr>
          <w:rStyle w:val="af0"/>
          <w:lang w:val="en-GB"/>
        </w:rPr>
        <w:footnoteReference w:id="23"/>
      </w:r>
      <w:r w:rsidR="00B5302F">
        <w:rPr>
          <w:lang w:val="en-GB"/>
        </w:rPr>
        <w:t xml:space="preserve"> and its supplement </w:t>
      </w:r>
      <w:r w:rsidR="00B5302F" w:rsidRPr="00B5302F">
        <w:rPr>
          <w:lang w:val="en-GB"/>
        </w:rPr>
        <w:t xml:space="preserve">Kigali Amendment </w:t>
      </w:r>
      <w:r w:rsidR="00B5302F">
        <w:rPr>
          <w:lang w:val="en-GB"/>
        </w:rPr>
        <w:t>(2016)</w:t>
      </w:r>
      <w:r w:rsidR="00223D5E">
        <w:rPr>
          <w:rStyle w:val="af0"/>
          <w:lang w:val="en-GB"/>
        </w:rPr>
        <w:footnoteReference w:id="24"/>
      </w:r>
      <w:r w:rsidR="00B5302F">
        <w:rPr>
          <w:lang w:val="en-GB"/>
        </w:rPr>
        <w:t xml:space="preserve">, which were dedicated to reduce negative impact on ozone layer and reduce carbon emissions; </w:t>
      </w:r>
      <w:r w:rsidR="00B5302F" w:rsidRPr="00B5302F">
        <w:rPr>
          <w:lang w:val="en-GB"/>
        </w:rPr>
        <w:t xml:space="preserve">UN Framework Convention on Climate Change </w:t>
      </w:r>
      <w:r w:rsidR="00B5302F">
        <w:rPr>
          <w:lang w:val="en-GB"/>
        </w:rPr>
        <w:t>(1992)</w:t>
      </w:r>
      <w:r w:rsidR="00223D5E">
        <w:rPr>
          <w:rStyle w:val="af0"/>
          <w:lang w:val="en-GB"/>
        </w:rPr>
        <w:footnoteReference w:id="25"/>
      </w:r>
      <w:r w:rsidR="00D51A00" w:rsidRPr="00D51A00">
        <w:rPr>
          <w:lang w:val="en-GB"/>
        </w:rPr>
        <w:t xml:space="preserve"> </w:t>
      </w:r>
      <w:r w:rsidR="00D51A00">
        <w:rPr>
          <w:lang w:val="en-GB"/>
        </w:rPr>
        <w:t xml:space="preserve">the goal of this framework was </w:t>
      </w:r>
      <w:r w:rsidR="00D51A00" w:rsidRPr="00D51A00">
        <w:rPr>
          <w:lang w:val="en-GB"/>
        </w:rPr>
        <w:t>stabilizing the concentration of greenhouse gases in the atmosphere</w:t>
      </w:r>
      <w:r w:rsidR="00D51A00">
        <w:rPr>
          <w:lang w:val="en-GB"/>
        </w:rPr>
        <w:t>, 192 countries has ratified it, later it has become the basis for next two agreements;</w:t>
      </w:r>
      <w:r w:rsidR="00B5302F">
        <w:rPr>
          <w:lang w:val="en-GB"/>
        </w:rPr>
        <w:t xml:space="preserve"> Kyoto </w:t>
      </w:r>
      <w:r w:rsidR="00B5302F" w:rsidRPr="00052FC5">
        <w:rPr>
          <w:lang w:val="en-GB"/>
        </w:rPr>
        <w:t>Protocol (2005)</w:t>
      </w:r>
      <w:r w:rsidR="009453C7" w:rsidRPr="00052FC5">
        <w:rPr>
          <w:lang w:val="en-GB"/>
        </w:rPr>
        <w:t xml:space="preserve"> was</w:t>
      </w:r>
      <w:r w:rsidR="009453C7">
        <w:rPr>
          <w:lang w:val="en-GB"/>
        </w:rPr>
        <w:t xml:space="preserve"> the first binding act that has developed requirements to participants on emission reduction and a monitoring system</w:t>
      </w:r>
      <w:r w:rsidR="00B5302F">
        <w:rPr>
          <w:lang w:val="en-GB"/>
        </w:rPr>
        <w:t>; Paris Agreement</w:t>
      </w:r>
      <w:r w:rsidR="00B5302F" w:rsidRPr="00B5302F">
        <w:rPr>
          <w:lang w:val="en-GB"/>
        </w:rPr>
        <w:t xml:space="preserve"> </w:t>
      </w:r>
      <w:r w:rsidR="00B5302F">
        <w:rPr>
          <w:lang w:val="en-GB"/>
        </w:rPr>
        <w:t>(</w:t>
      </w:r>
      <w:r w:rsidR="00B5302F" w:rsidRPr="00B5302F">
        <w:rPr>
          <w:lang w:val="en-GB"/>
        </w:rPr>
        <w:t>2015</w:t>
      </w:r>
      <w:r w:rsidR="00B5302F">
        <w:rPr>
          <w:lang w:val="en-GB"/>
        </w:rPr>
        <w:t>)</w:t>
      </w:r>
      <w:r w:rsidR="009453C7">
        <w:rPr>
          <w:lang w:val="en-GB"/>
        </w:rPr>
        <w:t xml:space="preserve"> this one is considered as the most important so far, according to it all ratified governments should take all possible actions on preventing the climate change</w:t>
      </w:r>
      <w:r w:rsidR="007B1AA0">
        <w:rPr>
          <w:lang w:val="en-GB"/>
        </w:rPr>
        <w:t>, its final aim is to reach the zero level of emissions</w:t>
      </w:r>
      <w:r w:rsidR="00B5302F" w:rsidRPr="00B5302F">
        <w:rPr>
          <w:lang w:val="en-GB"/>
        </w:rPr>
        <w:t xml:space="preserve"> </w:t>
      </w:r>
      <w:r w:rsidR="00F837AF">
        <w:rPr>
          <w:lang w:val="en-GB"/>
        </w:rPr>
        <w:t>(L.</w:t>
      </w:r>
      <w:r w:rsidR="00206DD6">
        <w:rPr>
          <w:lang w:val="en-GB"/>
        </w:rPr>
        <w:t xml:space="preserve"> Maizland, 2021)</w:t>
      </w:r>
      <w:r w:rsidR="00456F5A">
        <w:rPr>
          <w:rStyle w:val="af0"/>
          <w:lang w:val="en-GB"/>
        </w:rPr>
        <w:footnoteReference w:id="26"/>
      </w:r>
      <w:r w:rsidR="007B1AA0">
        <w:rPr>
          <w:lang w:val="en-GB"/>
        </w:rPr>
        <w:t xml:space="preserve">. </w:t>
      </w:r>
      <w:r w:rsidR="00C44F4F">
        <w:rPr>
          <w:lang w:val="en-GB"/>
        </w:rPr>
        <w:t>The Paris Agreement has, probably, the most significant impact on oil and gas industry, fossil fuels come with financial risks for its investors nowadays.</w:t>
      </w:r>
      <w:r w:rsidR="001454A4">
        <w:rPr>
          <w:lang w:val="en-GB"/>
        </w:rPr>
        <w:t xml:space="preserve"> </w:t>
      </w:r>
      <w:r w:rsidR="00B00758">
        <w:rPr>
          <w:lang w:val="en-GB"/>
        </w:rPr>
        <w:t xml:space="preserve"> It was revealed by the study that subsidies made into US oil industry are responsible for profits of companies</w:t>
      </w:r>
      <w:r w:rsidR="00624C33">
        <w:rPr>
          <w:lang w:val="en-GB"/>
        </w:rPr>
        <w:t>, in case of oil prices are below 50$</w:t>
      </w:r>
      <w:r w:rsidR="00B00758">
        <w:rPr>
          <w:lang w:val="en-GB"/>
        </w:rPr>
        <w:t xml:space="preserve">, but at the same time will make these companies to produce more CO2 emissions by 2050 and not hold </w:t>
      </w:r>
      <w:r w:rsidR="00624C33">
        <w:rPr>
          <w:lang w:val="en-GB"/>
        </w:rPr>
        <w:t xml:space="preserve">to </w:t>
      </w:r>
      <w:r w:rsidR="00B00758">
        <w:rPr>
          <w:lang w:val="en-GB"/>
        </w:rPr>
        <w:t xml:space="preserve">Paris Agreement. Therefore, </w:t>
      </w:r>
      <w:r w:rsidR="00624C33">
        <w:rPr>
          <w:lang w:val="en-GB"/>
        </w:rPr>
        <w:t xml:space="preserve">after US has </w:t>
      </w:r>
      <w:r w:rsidR="00624C33">
        <w:rPr>
          <w:lang w:val="en-GB"/>
        </w:rPr>
        <w:lastRenderedPageBreak/>
        <w:t xml:space="preserve">returned to the Paris Agreement </w:t>
      </w:r>
      <w:r w:rsidR="00B00758">
        <w:rPr>
          <w:lang w:val="en-GB"/>
        </w:rPr>
        <w:t>these subsidies</w:t>
      </w:r>
      <w:r w:rsidR="00B00758" w:rsidRPr="00B00758">
        <w:rPr>
          <w:lang w:val="en-GB"/>
        </w:rPr>
        <w:t xml:space="preserve"> </w:t>
      </w:r>
      <w:r w:rsidR="00B00758">
        <w:rPr>
          <w:lang w:val="en-GB"/>
        </w:rPr>
        <w:t>in US might be cut, what will lead to loss in profits fir US companies</w:t>
      </w:r>
      <w:r w:rsidR="00B6463D">
        <w:rPr>
          <w:lang w:val="en-GB"/>
        </w:rPr>
        <w:t xml:space="preserve"> (</w:t>
      </w:r>
      <w:r w:rsidR="00052FC5">
        <w:rPr>
          <w:lang w:val="en-GB"/>
        </w:rPr>
        <w:t>P. Erickson, A. Down, M. Lazarus and D.</w:t>
      </w:r>
      <w:r w:rsidR="00B6463D" w:rsidRPr="00B6463D">
        <w:rPr>
          <w:lang w:val="en-GB"/>
        </w:rPr>
        <w:t xml:space="preserve"> Koplow</w:t>
      </w:r>
      <w:r w:rsidR="00B6463D">
        <w:rPr>
          <w:lang w:val="en-GB"/>
        </w:rPr>
        <w:t>, 2017)</w:t>
      </w:r>
      <w:r w:rsidR="00B6463D">
        <w:rPr>
          <w:rStyle w:val="af0"/>
          <w:lang w:val="en-GB"/>
        </w:rPr>
        <w:footnoteReference w:id="27"/>
      </w:r>
      <w:r w:rsidR="00624C33">
        <w:rPr>
          <w:lang w:val="en-GB"/>
        </w:rPr>
        <w:t>.</w:t>
      </w:r>
      <w:r w:rsidR="00117EB7">
        <w:rPr>
          <w:color w:val="FF0000"/>
          <w:lang w:val="en-GB"/>
        </w:rPr>
        <w:t xml:space="preserve"> </w:t>
      </w:r>
      <w:r w:rsidR="00117EB7" w:rsidRPr="00DA0451">
        <w:rPr>
          <w:color w:val="000000" w:themeColor="text1"/>
          <w:lang w:val="en-GB"/>
        </w:rPr>
        <w:t>I</w:t>
      </w:r>
      <w:r w:rsidR="00794AED" w:rsidRPr="00DA0451">
        <w:rPr>
          <w:color w:val="000000" w:themeColor="text1"/>
          <w:lang w:val="en-GB"/>
        </w:rPr>
        <w:t>deas of sustainable development and especially about circular economy are playing crucial role in energy transition from oil to renewables sources of e</w:t>
      </w:r>
      <w:r w:rsidR="00052FC5">
        <w:rPr>
          <w:color w:val="000000" w:themeColor="text1"/>
          <w:lang w:val="en-GB"/>
        </w:rPr>
        <w:t>nergy (R.</w:t>
      </w:r>
      <w:r w:rsidR="00F837AF">
        <w:rPr>
          <w:color w:val="000000" w:themeColor="text1"/>
          <w:lang w:val="en-GB"/>
        </w:rPr>
        <w:t xml:space="preserve"> J. Johnston, R. Blakemore, R. </w:t>
      </w:r>
      <w:r w:rsidR="00794AED" w:rsidRPr="00DA0451">
        <w:rPr>
          <w:color w:val="000000" w:themeColor="text1"/>
          <w:lang w:val="en-GB"/>
        </w:rPr>
        <w:t xml:space="preserve">Bell, </w:t>
      </w:r>
      <w:r w:rsidR="00794AED" w:rsidRPr="00052FC5">
        <w:rPr>
          <w:color w:val="000000" w:themeColor="text1"/>
          <w:lang w:val="en-GB"/>
        </w:rPr>
        <w:t>2020).</w:t>
      </w:r>
      <w:r w:rsidR="00117EB7" w:rsidRPr="00DA0451">
        <w:rPr>
          <w:color w:val="000000" w:themeColor="text1"/>
          <w:lang w:val="en-GB"/>
        </w:rPr>
        <w:t xml:space="preserve"> </w:t>
      </w:r>
      <w:r w:rsidR="005925FE">
        <w:rPr>
          <w:lang w:val="en-GB"/>
        </w:rPr>
        <w:t>Talking</w:t>
      </w:r>
      <w:r w:rsidR="00117EB7">
        <w:rPr>
          <w:lang w:val="en-GB"/>
        </w:rPr>
        <w:t xml:space="preserve"> about theories and frameworks that will influence the oil and gas industry </w:t>
      </w:r>
      <w:r w:rsidR="005925FE">
        <w:rPr>
          <w:lang w:val="en-GB"/>
        </w:rPr>
        <w:t>further</w:t>
      </w:r>
      <w:r w:rsidR="00117EB7">
        <w:rPr>
          <w:lang w:val="en-GB"/>
        </w:rPr>
        <w:t xml:space="preserve">, the </w:t>
      </w:r>
      <w:r w:rsidR="00117EB7" w:rsidRPr="00117EB7">
        <w:rPr>
          <w:lang w:val="en-GB"/>
        </w:rPr>
        <w:t xml:space="preserve">two that are likely </w:t>
      </w:r>
      <w:r w:rsidR="00117EB7">
        <w:rPr>
          <w:lang w:val="en-GB"/>
        </w:rPr>
        <w:t xml:space="preserve">to have the </w:t>
      </w:r>
      <w:r w:rsidR="00117EB7" w:rsidRPr="00117EB7">
        <w:rPr>
          <w:lang w:val="en-GB"/>
        </w:rPr>
        <w:t xml:space="preserve">most </w:t>
      </w:r>
      <w:r w:rsidR="00117EB7">
        <w:rPr>
          <w:lang w:val="en-GB"/>
        </w:rPr>
        <w:t>impact</w:t>
      </w:r>
      <w:r w:rsidR="00117EB7" w:rsidRPr="00117EB7">
        <w:rPr>
          <w:lang w:val="en-GB"/>
        </w:rPr>
        <w:t xml:space="preserve"> </w:t>
      </w:r>
      <w:r w:rsidR="00117EB7">
        <w:rPr>
          <w:lang w:val="en-GB"/>
        </w:rPr>
        <w:t>on</w:t>
      </w:r>
      <w:r w:rsidR="00117EB7" w:rsidRPr="00117EB7">
        <w:rPr>
          <w:lang w:val="en-GB"/>
        </w:rPr>
        <w:t xml:space="preserve"> the </w:t>
      </w:r>
      <w:r w:rsidR="00117EB7">
        <w:rPr>
          <w:lang w:val="en-GB"/>
        </w:rPr>
        <w:t xml:space="preserve">O&amp;G </w:t>
      </w:r>
      <w:r w:rsidR="00117EB7" w:rsidRPr="00117EB7">
        <w:rPr>
          <w:lang w:val="en-GB"/>
        </w:rPr>
        <w:t>sector are the Task Force on Climate Disclosures (TCFD)</w:t>
      </w:r>
      <w:r w:rsidR="00DA0451">
        <w:rPr>
          <w:rStyle w:val="af0"/>
          <w:lang w:val="en-GB"/>
        </w:rPr>
        <w:footnoteReference w:id="28"/>
      </w:r>
      <w:r w:rsidR="00117EB7" w:rsidRPr="00117EB7">
        <w:rPr>
          <w:lang w:val="en-GB"/>
        </w:rPr>
        <w:t xml:space="preserve"> and the </w:t>
      </w:r>
      <w:r w:rsidR="00117EB7" w:rsidRPr="00A21614">
        <w:rPr>
          <w:lang w:val="en-GB"/>
        </w:rPr>
        <w:t xml:space="preserve">Principles for Responsible </w:t>
      </w:r>
      <w:r w:rsidR="00117EB7" w:rsidRPr="00052FC5">
        <w:rPr>
          <w:lang w:val="en-GB"/>
        </w:rPr>
        <w:t>Investing (PRI)</w:t>
      </w:r>
      <w:r w:rsidR="00052FC5" w:rsidRPr="00052FC5">
        <w:rPr>
          <w:rStyle w:val="af0"/>
          <w:lang w:val="en-GB"/>
        </w:rPr>
        <w:footnoteReference w:id="29"/>
      </w:r>
      <w:r w:rsidR="00117EB7" w:rsidRPr="00052FC5">
        <w:rPr>
          <w:lang w:val="en-GB"/>
        </w:rPr>
        <w:t>.</w:t>
      </w:r>
      <w:r w:rsidR="00794AED">
        <w:rPr>
          <w:lang w:val="en-GB"/>
        </w:rPr>
        <w:t xml:space="preserve"> </w:t>
      </w:r>
      <w:r w:rsidR="00DA0451" w:rsidRPr="00DA0451">
        <w:rPr>
          <w:lang w:val="en-GB"/>
        </w:rPr>
        <w:t>PRI standards are difficult for any public oil and gas company to ignore given the scale of the financial institutions that have signed up to support the goals of the organization.</w:t>
      </w:r>
    </w:p>
    <w:p w:rsidR="00BC47BE" w:rsidRPr="0006672B" w:rsidRDefault="000E193D" w:rsidP="0041705E">
      <w:pPr>
        <w:rPr>
          <w:b/>
          <w:lang w:val="en-GB"/>
        </w:rPr>
      </w:pPr>
      <w:r w:rsidRPr="0006672B">
        <w:rPr>
          <w:b/>
          <w:i/>
          <w:lang w:val="en-GB"/>
        </w:rPr>
        <w:t>Public opinion</w:t>
      </w:r>
    </w:p>
    <w:p w:rsidR="0050275A" w:rsidRDefault="00F837AF" w:rsidP="0041705E">
      <w:pPr>
        <w:rPr>
          <w:lang w:val="en-GB"/>
        </w:rPr>
      </w:pPr>
      <w:r>
        <w:rPr>
          <w:lang w:val="en-GB"/>
        </w:rPr>
        <w:t>In sphere of general public exists a sceptic</w:t>
      </w:r>
      <w:r w:rsidRPr="00A21614">
        <w:rPr>
          <w:lang w:val="en-GB"/>
        </w:rPr>
        <w:t xml:space="preserve"> perception towards oil and gas industry</w:t>
      </w:r>
      <w:r>
        <w:rPr>
          <w:lang w:val="en-GB"/>
        </w:rPr>
        <w:t xml:space="preserve"> in context of its negative influence on the climate. </w:t>
      </w:r>
      <w:r w:rsidR="00FE183E">
        <w:rPr>
          <w:lang w:val="en-GB"/>
        </w:rPr>
        <w:t>Accor</w:t>
      </w:r>
      <w:r>
        <w:rPr>
          <w:lang w:val="en-GB"/>
        </w:rPr>
        <w:t>d</w:t>
      </w:r>
      <w:r w:rsidR="00FE183E">
        <w:rPr>
          <w:lang w:val="en-GB"/>
        </w:rPr>
        <w:t>ing to the poll study conducted by EY</w:t>
      </w:r>
      <w:r>
        <w:rPr>
          <w:lang w:val="en-GB"/>
        </w:rPr>
        <w:t xml:space="preserve"> (</w:t>
      </w:r>
      <w:r w:rsidRPr="00F837AF">
        <w:rPr>
          <w:lang w:val="en-GB"/>
        </w:rPr>
        <w:t>D. Byers</w:t>
      </w:r>
      <w:r>
        <w:rPr>
          <w:lang w:val="en-GB"/>
        </w:rPr>
        <w:t>, et.al, 2017)</w:t>
      </w:r>
      <w:r>
        <w:rPr>
          <w:rStyle w:val="af0"/>
          <w:lang w:val="en-GB"/>
        </w:rPr>
        <w:footnoteReference w:id="30"/>
      </w:r>
      <w:r>
        <w:rPr>
          <w:lang w:val="en-GB"/>
        </w:rPr>
        <w:t>, r</w:t>
      </w:r>
      <w:r w:rsidR="00FE183E">
        <w:rPr>
          <w:lang w:val="en-GB"/>
        </w:rPr>
        <w:t xml:space="preserve">enewable energy sector has much higher </w:t>
      </w:r>
      <w:r>
        <w:rPr>
          <w:lang w:val="en-GB"/>
        </w:rPr>
        <w:t>positive perception in comparison with the oil&amp;gas industry, and around 60% consider it as a polluter</w:t>
      </w:r>
      <w:r w:rsidR="009776B3" w:rsidRPr="00A21614">
        <w:rPr>
          <w:lang w:val="en-GB"/>
        </w:rPr>
        <w:t>.</w:t>
      </w:r>
      <w:r w:rsidR="009776B3">
        <w:rPr>
          <w:lang w:val="en-GB"/>
        </w:rPr>
        <w:t xml:space="preserve"> </w:t>
      </w:r>
      <w:r>
        <w:rPr>
          <w:lang w:val="en-GB"/>
        </w:rPr>
        <w:t>Another poll study (</w:t>
      </w:r>
      <w:r w:rsidRPr="00F837AF">
        <w:rPr>
          <w:lang w:val="en-GB"/>
        </w:rPr>
        <w:t>Oil and Gas Industry Reputation</w:t>
      </w:r>
      <w:r>
        <w:rPr>
          <w:lang w:val="en-GB"/>
        </w:rPr>
        <w:t>, 2020)</w:t>
      </w:r>
      <w:r>
        <w:rPr>
          <w:rStyle w:val="af0"/>
          <w:lang w:val="en-GB"/>
        </w:rPr>
        <w:footnoteReference w:id="31"/>
      </w:r>
      <w:r>
        <w:rPr>
          <w:lang w:val="en-GB"/>
        </w:rPr>
        <w:t xml:space="preserve"> </w:t>
      </w:r>
      <w:r w:rsidR="00052FC5">
        <w:rPr>
          <w:lang w:val="en-GB"/>
        </w:rPr>
        <w:t xml:space="preserve">has found that most </w:t>
      </w:r>
      <w:r w:rsidR="00052FC5" w:rsidRPr="00052FC5">
        <w:rPr>
          <w:lang w:val="en-GB"/>
        </w:rPr>
        <w:t xml:space="preserve">unfavourable view of the industry </w:t>
      </w:r>
      <w:r w:rsidR="00052FC5">
        <w:rPr>
          <w:lang w:val="en-GB"/>
        </w:rPr>
        <w:t xml:space="preserve">connect with its adverse effect on the environment. In real life, </w:t>
      </w:r>
      <w:r w:rsidR="009776B3" w:rsidRPr="009776B3">
        <w:rPr>
          <w:lang w:val="en-GB"/>
        </w:rPr>
        <w:t>recent</w:t>
      </w:r>
      <w:r w:rsidR="00052FC5">
        <w:rPr>
          <w:lang w:val="en-GB"/>
        </w:rPr>
        <w:t xml:space="preserve"> examples of negative public attitude can </w:t>
      </w:r>
      <w:r w:rsidR="00052FC5" w:rsidRPr="009776B3">
        <w:rPr>
          <w:lang w:val="en-GB"/>
        </w:rPr>
        <w:t>include</w:t>
      </w:r>
      <w:r w:rsidR="009776B3" w:rsidRPr="009776B3">
        <w:rPr>
          <w:lang w:val="en-GB"/>
        </w:rPr>
        <w:t xml:space="preserve"> protests against the Keystone XL pipeline</w:t>
      </w:r>
      <w:r w:rsidR="00FE183E" w:rsidRPr="00FE183E">
        <w:rPr>
          <w:lang w:val="en-GB"/>
        </w:rPr>
        <w:t xml:space="preserve"> (</w:t>
      </w:r>
      <w:r w:rsidR="00FE183E">
        <w:rPr>
          <w:lang w:val="en-GB"/>
        </w:rPr>
        <w:t xml:space="preserve">H. </w:t>
      </w:r>
      <w:r w:rsidR="00FE183E" w:rsidRPr="00FE183E">
        <w:rPr>
          <w:lang w:val="en-GB"/>
        </w:rPr>
        <w:t>Honderich)</w:t>
      </w:r>
      <w:r w:rsidR="00FE183E">
        <w:rPr>
          <w:rStyle w:val="af0"/>
        </w:rPr>
        <w:footnoteReference w:id="32"/>
      </w:r>
      <w:r w:rsidR="009776B3" w:rsidRPr="009776B3">
        <w:rPr>
          <w:lang w:val="en-GB"/>
        </w:rPr>
        <w:t>, largely driven by climate concerns, as well as the Dakota Access Pipelines</w:t>
      </w:r>
      <w:r w:rsidR="009776B3">
        <w:rPr>
          <w:lang w:val="en-GB"/>
        </w:rPr>
        <w:t xml:space="preserve"> in US. Another example took place in London two years ago, where the group Extinction Rebellion vandalise the office of Shell, </w:t>
      </w:r>
      <w:r w:rsidR="009776B3" w:rsidRPr="00A21614">
        <w:rPr>
          <w:lang w:val="en-GB"/>
        </w:rPr>
        <w:t>even though the company has already repositioned itself to eco-friendly</w:t>
      </w:r>
      <w:r w:rsidR="0012303A">
        <w:rPr>
          <w:lang w:val="en-GB"/>
        </w:rPr>
        <w:t xml:space="preserve"> (K.</w:t>
      </w:r>
      <w:r w:rsidR="009776B3">
        <w:rPr>
          <w:lang w:val="en-GB"/>
        </w:rPr>
        <w:t xml:space="preserve"> Giblom, 2019)</w:t>
      </w:r>
      <w:r w:rsidR="009776B3">
        <w:rPr>
          <w:rStyle w:val="af0"/>
          <w:lang w:val="en-GB"/>
        </w:rPr>
        <w:footnoteReference w:id="33"/>
      </w:r>
      <w:r w:rsidR="00193CDE">
        <w:rPr>
          <w:lang w:val="en-GB"/>
        </w:rPr>
        <w:t>.</w:t>
      </w:r>
    </w:p>
    <w:p w:rsidR="0012303A" w:rsidRPr="0012303A" w:rsidRDefault="0012303A" w:rsidP="0041705E">
      <w:pPr>
        <w:rPr>
          <w:b/>
          <w:i/>
          <w:color w:val="FF0000"/>
          <w:lang w:val="en-GB"/>
        </w:rPr>
      </w:pPr>
      <w:r w:rsidRPr="0012303A">
        <w:rPr>
          <w:b/>
          <w:lang w:val="en-GB"/>
        </w:rPr>
        <w:t>Influence of ESG principles on investors behaviour</w:t>
      </w:r>
    </w:p>
    <w:p w:rsidR="000E193D" w:rsidRPr="00327FAA" w:rsidRDefault="004447D2" w:rsidP="000B670F">
      <w:pPr>
        <w:rPr>
          <w:b/>
          <w:lang w:val="en-GB"/>
        </w:rPr>
      </w:pPr>
      <w:r w:rsidRPr="00327FAA">
        <w:rPr>
          <w:b/>
          <w:i/>
          <w:lang w:val="en-GB"/>
        </w:rPr>
        <w:t>Change in investor</w:t>
      </w:r>
      <w:r w:rsidR="00BC47BE" w:rsidRPr="00327FAA">
        <w:rPr>
          <w:b/>
          <w:i/>
          <w:lang w:val="en-GB"/>
        </w:rPr>
        <w:t>s’ attitude and funding actions</w:t>
      </w:r>
      <w:r w:rsidRPr="00327FAA">
        <w:rPr>
          <w:b/>
          <w:lang w:val="en-GB"/>
        </w:rPr>
        <w:t xml:space="preserve"> </w:t>
      </w:r>
    </w:p>
    <w:p w:rsidR="000F3ADA" w:rsidRPr="002C0DDA" w:rsidRDefault="000E193D" w:rsidP="000F3ADA">
      <w:pPr>
        <w:rPr>
          <w:lang w:val="en-GB"/>
        </w:rPr>
      </w:pPr>
      <w:r w:rsidRPr="00EC6FE8">
        <w:rPr>
          <w:lang w:val="en-GB"/>
        </w:rPr>
        <w:t xml:space="preserve">This situation is crucial not only for companies itself but for their shareholders as well, because major oil and gas companies have to generate returns for them.  Otherwise, the situation can end up in decreasing stock returns and there on investors leaving industry, what would </w:t>
      </w:r>
      <w:r w:rsidR="00653C44" w:rsidRPr="00EC6FE8">
        <w:rPr>
          <w:lang w:val="en-GB"/>
        </w:rPr>
        <w:t>worse situation for oil and gas companies</w:t>
      </w:r>
      <w:r w:rsidRPr="00EC6FE8">
        <w:rPr>
          <w:lang w:val="en-GB"/>
        </w:rPr>
        <w:t xml:space="preserve">. </w:t>
      </w:r>
      <w:r w:rsidR="008019EE" w:rsidRPr="00EC6FE8">
        <w:rPr>
          <w:lang w:val="en-GB"/>
        </w:rPr>
        <w:t>To begin with, it should be mentioned that overall trend on sustainable investments (investments in companies following ESG principles</w:t>
      </w:r>
      <w:r w:rsidR="00773E0F">
        <w:rPr>
          <w:lang w:val="en-GB"/>
        </w:rPr>
        <w:t xml:space="preserve">, where ESG stands </w:t>
      </w:r>
      <w:r w:rsidR="00773E0F">
        <w:rPr>
          <w:lang w:val="en-GB"/>
        </w:rPr>
        <w:lastRenderedPageBreak/>
        <w:t xml:space="preserve">for </w:t>
      </w:r>
      <w:r w:rsidR="00773E0F" w:rsidRPr="00773E0F">
        <w:rPr>
          <w:lang w:val="en-GB"/>
        </w:rPr>
        <w:t>Environmental, Social, and Governance</w:t>
      </w:r>
      <w:r w:rsidR="008019EE" w:rsidRPr="00EC6FE8">
        <w:rPr>
          <w:lang w:val="en-GB"/>
        </w:rPr>
        <w:t>) by fund m</w:t>
      </w:r>
      <w:r w:rsidR="00DC33E3">
        <w:rPr>
          <w:lang w:val="en-GB"/>
        </w:rPr>
        <w:t>anagers is observed. The report</w:t>
      </w:r>
      <w:r w:rsidR="008019EE" w:rsidRPr="00EC6FE8">
        <w:rPr>
          <w:lang w:val="en-GB"/>
        </w:rPr>
        <w:t xml:space="preserve"> by Global Sustainable Investment Alliance (2018)</w:t>
      </w:r>
      <w:r w:rsidR="008019EE" w:rsidRPr="00EC6FE8">
        <w:rPr>
          <w:rStyle w:val="af0"/>
          <w:lang w:val="en-GB"/>
        </w:rPr>
        <w:footnoteReference w:id="34"/>
      </w:r>
      <w:r w:rsidR="008019EE" w:rsidRPr="00EC6FE8">
        <w:rPr>
          <w:lang w:val="en-GB"/>
        </w:rPr>
        <w:t xml:space="preserve"> verified that Europe, the United States and Japan were major regions in terms of value of their sustainable investing assets.</w:t>
      </w:r>
      <w:r w:rsidR="00AD3D7C" w:rsidRPr="00EC6FE8">
        <w:rPr>
          <w:lang w:val="en-GB"/>
        </w:rPr>
        <w:t xml:space="preserve"> For example, in 2018 the total investments made </w:t>
      </w:r>
      <w:r w:rsidR="002C0DDA" w:rsidRPr="00EC6FE8">
        <w:rPr>
          <w:lang w:val="en-GB"/>
        </w:rPr>
        <w:t>by EU funds has reached €25.2 trillion, increase by 11% since 2016. In US has reached $12.0 trillion, increased by 38% since 2016. Main reasons for US investors were to pursue social or environmental benefits, to improve returns over time, to minimize risks and fulfil one or more UN sustainable goal. Therefore</w:t>
      </w:r>
      <w:r w:rsidR="002C0DDA">
        <w:rPr>
          <w:lang w:val="en-GB"/>
        </w:rPr>
        <w:t>, fund managers are taking such decisions according to both moral values and financial profitability.</w:t>
      </w:r>
    </w:p>
    <w:p w:rsidR="000F3ADA" w:rsidRDefault="000F3ADA" w:rsidP="000F3ADA">
      <w:pPr>
        <w:pStyle w:val="SVEfigure"/>
        <w:rPr>
          <w:lang w:val="en-GB"/>
        </w:rPr>
      </w:pPr>
      <w:r>
        <w:rPr>
          <w:noProof/>
          <w:lang w:val="ru-RU" w:eastAsia="ru-RU"/>
        </w:rPr>
        <w:drawing>
          <wp:inline distT="0" distB="0" distL="0" distR="0" wp14:anchorId="14061B59" wp14:editId="0887BD6B">
            <wp:extent cx="2794000" cy="2029829"/>
            <wp:effectExtent l="0" t="0" r="6350" b="889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6665" t="53212" r="38322" b="14481"/>
                    <a:stretch/>
                  </pic:blipFill>
                  <pic:spPr bwMode="auto">
                    <a:xfrm>
                      <a:off x="0" y="0"/>
                      <a:ext cx="2808292" cy="2040212"/>
                    </a:xfrm>
                    <a:prstGeom prst="rect">
                      <a:avLst/>
                    </a:prstGeom>
                    <a:ln>
                      <a:noFill/>
                    </a:ln>
                    <a:extLst>
                      <a:ext uri="{53640926-AAD7-44D8-BBD7-CCE9431645EC}">
                        <a14:shadowObscured xmlns:a14="http://schemas.microsoft.com/office/drawing/2010/main"/>
                      </a:ext>
                    </a:extLst>
                  </pic:spPr>
                </pic:pic>
              </a:graphicData>
            </a:graphic>
          </wp:inline>
        </w:drawing>
      </w:r>
    </w:p>
    <w:p w:rsidR="000F3ADA" w:rsidRPr="000F3ADA" w:rsidRDefault="000F3ADA" w:rsidP="000F3ADA">
      <w:pPr>
        <w:pStyle w:val="SVEfigurecaption"/>
        <w:rPr>
          <w:lang w:val="en-GB"/>
        </w:rPr>
      </w:pPr>
      <w:r>
        <w:rPr>
          <w:lang w:val="en-GB"/>
        </w:rPr>
        <w:t>Proportion of global sustainable</w:t>
      </w:r>
      <w:r w:rsidR="00223D5E">
        <w:rPr>
          <w:lang w:val="en-GB"/>
        </w:rPr>
        <w:t xml:space="preserve"> investing assets by regions, Source: [global sustainable alliance</w:t>
      </w:r>
      <w:r w:rsidR="007D5238">
        <w:rPr>
          <w:lang w:val="en-GB"/>
        </w:rPr>
        <w:t>, 2018</w:t>
      </w:r>
      <w:r>
        <w:rPr>
          <w:lang w:val="en-GB"/>
        </w:rPr>
        <w:t>]</w:t>
      </w:r>
      <w:r w:rsidR="007D5238">
        <w:rPr>
          <w:rStyle w:val="af0"/>
          <w:lang w:val="en-GB"/>
        </w:rPr>
        <w:footnoteReference w:id="35"/>
      </w:r>
    </w:p>
    <w:p w:rsidR="00237523" w:rsidRPr="00237523" w:rsidRDefault="002C0DDA" w:rsidP="004447D2">
      <w:pPr>
        <w:rPr>
          <w:lang w:val="en-GB"/>
        </w:rPr>
      </w:pPr>
      <w:r w:rsidRPr="00EC6FE8">
        <w:rPr>
          <w:lang w:val="en-GB"/>
        </w:rPr>
        <w:t>Narrowing the scope of discussion to attitude of investors to oil and gas industry, t</w:t>
      </w:r>
      <w:r w:rsidR="001454A4" w:rsidRPr="00EC6FE8">
        <w:rPr>
          <w:lang w:val="en-GB"/>
        </w:rPr>
        <w:t>he report made by Climate Change Collaboration and UKSIF</w:t>
      </w:r>
      <w:r w:rsidR="00425339" w:rsidRPr="00EC6FE8">
        <w:rPr>
          <w:lang w:val="en-GB"/>
        </w:rPr>
        <w:t xml:space="preserve"> revealed that </w:t>
      </w:r>
      <w:r w:rsidR="001454A4" w:rsidRPr="00EC6FE8">
        <w:rPr>
          <w:lang w:val="en-GB"/>
        </w:rPr>
        <w:t xml:space="preserve">68% </w:t>
      </w:r>
      <w:r w:rsidR="00425339" w:rsidRPr="00EC6FE8">
        <w:rPr>
          <w:lang w:val="en-GB"/>
        </w:rPr>
        <w:t xml:space="preserve">of fund managers </w:t>
      </w:r>
      <w:r w:rsidR="001454A4" w:rsidRPr="00EC6FE8">
        <w:rPr>
          <w:lang w:val="en-GB"/>
        </w:rPr>
        <w:t xml:space="preserve">believed </w:t>
      </w:r>
      <w:r w:rsidR="00425339" w:rsidRPr="00EC6FE8">
        <w:rPr>
          <w:lang w:val="en-GB"/>
        </w:rPr>
        <w:t>oil companies</w:t>
      </w:r>
      <w:r w:rsidR="001454A4" w:rsidRPr="00EC6FE8">
        <w:rPr>
          <w:lang w:val="en-GB"/>
        </w:rPr>
        <w:t xml:space="preserve"> would still be attractive </w:t>
      </w:r>
      <w:r w:rsidR="00425339" w:rsidRPr="00EC6FE8">
        <w:rPr>
          <w:lang w:val="en-GB"/>
        </w:rPr>
        <w:t xml:space="preserve">for further investments </w:t>
      </w:r>
      <w:r w:rsidR="001454A4" w:rsidRPr="00EC6FE8">
        <w:rPr>
          <w:lang w:val="en-GB"/>
        </w:rPr>
        <w:t>if they adopted business models aligned with the Paris targets</w:t>
      </w:r>
      <w:r w:rsidR="00425339" w:rsidRPr="00EC6FE8">
        <w:rPr>
          <w:lang w:val="en-GB"/>
        </w:rPr>
        <w:t>.</w:t>
      </w:r>
      <w:r w:rsidR="00AE2EDC" w:rsidRPr="00EC6FE8">
        <w:rPr>
          <w:lang w:val="en-GB"/>
        </w:rPr>
        <w:t xml:space="preserve"> Usually fund managers are allocating its money among public entities traded on stock market according to such criteria like market value, revenue or dividends, etc., but now some investors start to include ESG scores as a new metric (D</w:t>
      </w:r>
      <w:r w:rsidR="00F31B52">
        <w:rPr>
          <w:lang w:val="en-GB"/>
        </w:rPr>
        <w:t>.</w:t>
      </w:r>
      <w:r w:rsidR="00AE2EDC" w:rsidRPr="00EC6FE8">
        <w:rPr>
          <w:lang w:val="en-GB"/>
        </w:rPr>
        <w:t xml:space="preserve"> Halcoussis, </w:t>
      </w:r>
      <w:r w:rsidR="00F31B52">
        <w:rPr>
          <w:lang w:val="en-GB"/>
        </w:rPr>
        <w:t>A.</w:t>
      </w:r>
      <w:r w:rsidR="00AE2EDC" w:rsidRPr="00EC6FE8">
        <w:rPr>
          <w:lang w:val="en-GB"/>
        </w:rPr>
        <w:t xml:space="preserve"> D. Lowenberg, 2019)</w:t>
      </w:r>
      <w:r w:rsidR="00AE2EDC" w:rsidRPr="00EC6FE8">
        <w:rPr>
          <w:rStyle w:val="af0"/>
          <w:lang w:val="en-GB"/>
        </w:rPr>
        <w:footnoteReference w:id="36"/>
      </w:r>
      <w:r w:rsidR="00AE2EDC" w:rsidRPr="00EC6FE8">
        <w:rPr>
          <w:lang w:val="en-GB"/>
        </w:rPr>
        <w:t>. Therefore, companies that do not implement ESG principles in their business activities might not be in a list for investments in the nearest future. Even now a</w:t>
      </w:r>
      <w:r w:rsidR="00425339" w:rsidRPr="00EC6FE8">
        <w:rPr>
          <w:lang w:val="en-GB"/>
        </w:rPr>
        <w:t xml:space="preserve"> trend on divestments from fossil fuels already</w:t>
      </w:r>
      <w:r w:rsidR="00E00110" w:rsidRPr="00EC6FE8">
        <w:rPr>
          <w:lang w:val="en-GB"/>
        </w:rPr>
        <w:t xml:space="preserve"> exists, what means the reducing interest of investors in companies working in </w:t>
      </w:r>
      <w:r w:rsidR="004447D2" w:rsidRPr="00EC6FE8">
        <w:rPr>
          <w:lang w:val="en-GB"/>
        </w:rPr>
        <w:t xml:space="preserve">O&amp;G </w:t>
      </w:r>
      <w:r w:rsidR="00E00110" w:rsidRPr="00EC6FE8">
        <w:rPr>
          <w:lang w:val="en-GB"/>
        </w:rPr>
        <w:t>industry</w:t>
      </w:r>
      <w:r w:rsidR="00F31B52">
        <w:rPr>
          <w:lang w:val="en-GB"/>
        </w:rPr>
        <w:t xml:space="preserve"> (M.</w:t>
      </w:r>
      <w:r w:rsidR="00425339" w:rsidRPr="00EC6FE8">
        <w:rPr>
          <w:lang w:val="en-GB"/>
        </w:rPr>
        <w:t xml:space="preserve"> Scott, 2019)</w:t>
      </w:r>
      <w:r w:rsidR="00425339" w:rsidRPr="00EC6FE8">
        <w:rPr>
          <w:rStyle w:val="af0"/>
          <w:lang w:val="en-GB"/>
        </w:rPr>
        <w:footnoteReference w:id="37"/>
      </w:r>
      <w:r w:rsidR="00E00110" w:rsidRPr="00EC6FE8">
        <w:rPr>
          <w:lang w:val="en-GB"/>
        </w:rPr>
        <w:t>.</w:t>
      </w:r>
      <w:r w:rsidR="00A77D5A">
        <w:rPr>
          <w:lang w:val="en-GB"/>
        </w:rPr>
        <w:t xml:space="preserve"> It</w:t>
      </w:r>
      <w:r w:rsidR="00653C44" w:rsidRPr="00EC6FE8">
        <w:rPr>
          <w:lang w:val="en-GB"/>
        </w:rPr>
        <w:t xml:space="preserve"> approximately calculated that 8.84$ trillion institution divestments from O&amp;G and 5.2$ billion divestments by individuals</w:t>
      </w:r>
      <w:r w:rsidR="00840A23" w:rsidRPr="00EC6FE8">
        <w:rPr>
          <w:lang w:val="en-GB"/>
        </w:rPr>
        <w:t>.</w:t>
      </w:r>
      <w:r w:rsidR="00E00110" w:rsidRPr="00EC6FE8">
        <w:rPr>
          <w:lang w:val="en-GB"/>
        </w:rPr>
        <w:t xml:space="preserve"> </w:t>
      </w:r>
      <w:r w:rsidR="00653C44" w:rsidRPr="00EC6FE8">
        <w:rPr>
          <w:lang w:val="en-GB"/>
        </w:rPr>
        <w:t>(T</w:t>
      </w:r>
      <w:r w:rsidR="00F31B52">
        <w:rPr>
          <w:lang w:val="en-GB"/>
        </w:rPr>
        <w:t>.</w:t>
      </w:r>
      <w:r w:rsidR="00653C44" w:rsidRPr="00EC6FE8">
        <w:rPr>
          <w:lang w:val="en-GB"/>
        </w:rPr>
        <w:t xml:space="preserve"> </w:t>
      </w:r>
      <w:proofErr w:type="spellStart"/>
      <w:r w:rsidR="00653C44" w:rsidRPr="00EC6FE8">
        <w:rPr>
          <w:lang w:val="en-GB"/>
        </w:rPr>
        <w:lastRenderedPageBreak/>
        <w:t>Cojoianu</w:t>
      </w:r>
      <w:proofErr w:type="spellEnd"/>
      <w:r w:rsidR="00653C44" w:rsidRPr="00EC6FE8">
        <w:rPr>
          <w:lang w:val="en-GB"/>
        </w:rPr>
        <w:t>, F</w:t>
      </w:r>
      <w:r w:rsidR="00F31B52">
        <w:rPr>
          <w:lang w:val="en-GB"/>
        </w:rPr>
        <w:t>.</w:t>
      </w:r>
      <w:r w:rsidR="00653C44" w:rsidRPr="00EC6FE8">
        <w:rPr>
          <w:lang w:val="en-GB"/>
        </w:rPr>
        <w:t xml:space="preserve"> </w:t>
      </w:r>
      <w:proofErr w:type="spellStart"/>
      <w:r w:rsidR="00653C44" w:rsidRPr="00EC6FE8">
        <w:rPr>
          <w:lang w:val="en-GB"/>
        </w:rPr>
        <w:t>Ascui</w:t>
      </w:r>
      <w:proofErr w:type="spellEnd"/>
      <w:r w:rsidR="00653C44" w:rsidRPr="00EC6FE8">
        <w:rPr>
          <w:lang w:val="en-GB"/>
        </w:rPr>
        <w:t>, G</w:t>
      </w:r>
      <w:r w:rsidR="00F31B52">
        <w:rPr>
          <w:lang w:val="en-GB"/>
        </w:rPr>
        <w:t>.</w:t>
      </w:r>
      <w:r w:rsidR="00653C44" w:rsidRPr="00EC6FE8">
        <w:rPr>
          <w:lang w:val="en-GB"/>
        </w:rPr>
        <w:t xml:space="preserve"> L. Clark, A</w:t>
      </w:r>
      <w:r w:rsidR="00F31B52">
        <w:rPr>
          <w:lang w:val="en-GB"/>
        </w:rPr>
        <w:t xml:space="preserve">. </w:t>
      </w:r>
      <w:proofErr w:type="spellStart"/>
      <w:r w:rsidR="00653C44" w:rsidRPr="00EC6FE8">
        <w:rPr>
          <w:lang w:val="en-GB"/>
        </w:rPr>
        <w:t>Hoepner</w:t>
      </w:r>
      <w:proofErr w:type="spellEnd"/>
      <w:r w:rsidR="00653C44" w:rsidRPr="00EC6FE8">
        <w:rPr>
          <w:lang w:val="en-GB"/>
        </w:rPr>
        <w:t>, D</w:t>
      </w:r>
      <w:r w:rsidR="00F31B52">
        <w:rPr>
          <w:lang w:val="en-GB"/>
        </w:rPr>
        <w:t>.</w:t>
      </w:r>
      <w:r w:rsidR="00653C44" w:rsidRPr="00EC6FE8">
        <w:rPr>
          <w:lang w:val="en-GB"/>
        </w:rPr>
        <w:t xml:space="preserve"> Wojcik, 2019)</w:t>
      </w:r>
      <w:r w:rsidR="00653C44" w:rsidRPr="00EC6FE8">
        <w:rPr>
          <w:rStyle w:val="af0"/>
          <w:lang w:val="en-GB"/>
        </w:rPr>
        <w:footnoteReference w:id="38"/>
      </w:r>
      <w:r w:rsidR="00653C44" w:rsidRPr="00EC6FE8">
        <w:rPr>
          <w:lang w:val="en-GB"/>
        </w:rPr>
        <w:t xml:space="preserve"> </w:t>
      </w:r>
      <w:r w:rsidR="00F36F1E" w:rsidRPr="00EC6FE8">
        <w:rPr>
          <w:lang w:val="en-GB"/>
        </w:rPr>
        <w:t xml:space="preserve">Among types of organizations that are leading the divestment process are often </w:t>
      </w:r>
      <w:r w:rsidR="002D7D4A" w:rsidRPr="00EC6FE8">
        <w:rPr>
          <w:lang w:val="en-GB"/>
        </w:rPr>
        <w:t>high educati</w:t>
      </w:r>
      <w:r w:rsidR="002361D7">
        <w:rPr>
          <w:lang w:val="en-GB"/>
        </w:rPr>
        <w:t>on organizations (universities)</w:t>
      </w:r>
      <w:r w:rsidR="002D7D4A">
        <w:rPr>
          <w:lang w:val="en-GB"/>
        </w:rPr>
        <w:t xml:space="preserve">, for example, prestigious Western Universities like, </w:t>
      </w:r>
      <w:r w:rsidR="002D7D4A" w:rsidRPr="002D7D4A">
        <w:rPr>
          <w:lang w:val="en-GB"/>
        </w:rPr>
        <w:t>University of Massachusetts, Cambridge University, University of London, Glasgow University</w:t>
      </w:r>
      <w:r w:rsidR="002D7D4A">
        <w:rPr>
          <w:lang w:val="en-GB"/>
        </w:rPr>
        <w:t>, and the University of Sydney; at the same time Stanford, Boston, Yale and Toronto Universities declared their plans to divest. A</w:t>
      </w:r>
      <w:r w:rsidR="002D7D4A" w:rsidRPr="002D7D4A">
        <w:rPr>
          <w:lang w:val="en-GB"/>
        </w:rPr>
        <w:t>round the world</w:t>
      </w:r>
      <w:r w:rsidR="002D7D4A">
        <w:rPr>
          <w:lang w:val="en-GB"/>
        </w:rPr>
        <w:t xml:space="preserve"> 641 Universities</w:t>
      </w:r>
      <w:r w:rsidR="002D7D4A" w:rsidRPr="002D7D4A">
        <w:rPr>
          <w:lang w:val="en-GB"/>
        </w:rPr>
        <w:t xml:space="preserve"> have made </w:t>
      </w:r>
      <w:r w:rsidR="002D7D4A">
        <w:rPr>
          <w:lang w:val="en-GB"/>
        </w:rPr>
        <w:t>crucial</w:t>
      </w:r>
      <w:r w:rsidR="002D7D4A" w:rsidRPr="002D7D4A">
        <w:rPr>
          <w:lang w:val="en-GB"/>
        </w:rPr>
        <w:t xml:space="preserve"> changes to their portfolios, over $3.4 trillion already divested from fossil fuel companies</w:t>
      </w:r>
      <w:r w:rsidR="002D7D4A">
        <w:rPr>
          <w:lang w:val="en-GB"/>
        </w:rPr>
        <w:t xml:space="preserve"> (W. </w:t>
      </w:r>
      <w:r w:rsidR="002D7D4A" w:rsidRPr="002D7D4A">
        <w:rPr>
          <w:lang w:val="en-GB"/>
        </w:rPr>
        <w:t>Leal Filho et al.</w:t>
      </w:r>
      <w:r w:rsidR="002D7D4A">
        <w:rPr>
          <w:lang w:val="en-GB"/>
        </w:rPr>
        <w:t>, 2018)</w:t>
      </w:r>
      <w:r w:rsidR="002D7D4A">
        <w:rPr>
          <w:rStyle w:val="af0"/>
          <w:lang w:val="en-GB"/>
        </w:rPr>
        <w:footnoteReference w:id="39"/>
      </w:r>
      <w:r w:rsidR="00200293">
        <w:rPr>
          <w:lang w:val="en-GB"/>
        </w:rPr>
        <w:t>.</w:t>
      </w:r>
      <w:r w:rsidR="002D7D4A">
        <w:rPr>
          <w:lang w:val="en-GB"/>
        </w:rPr>
        <w:t xml:space="preserve"> </w:t>
      </w:r>
      <w:r w:rsidR="00DF1F3F">
        <w:rPr>
          <w:lang w:val="en-GB"/>
        </w:rPr>
        <w:t>One of</w:t>
      </w:r>
      <w:r w:rsidR="00E00110" w:rsidRPr="0078651E">
        <w:rPr>
          <w:lang w:val="en-GB"/>
        </w:rPr>
        <w:t xml:space="preserve"> major </w:t>
      </w:r>
      <w:r w:rsidR="00DF1F3F">
        <w:rPr>
          <w:lang w:val="en-GB"/>
        </w:rPr>
        <w:t xml:space="preserve">reasons for divestments become a </w:t>
      </w:r>
      <w:r w:rsidR="00E00110" w:rsidRPr="0078651E">
        <w:rPr>
          <w:lang w:val="en-GB"/>
        </w:rPr>
        <w:t>moral position</w:t>
      </w:r>
      <w:r w:rsidR="00DF1F3F">
        <w:rPr>
          <w:lang w:val="en-GB"/>
        </w:rPr>
        <w:t xml:space="preserve"> of most actors on climate change</w:t>
      </w:r>
      <w:r w:rsidR="00E00110" w:rsidRPr="0078651E">
        <w:rPr>
          <w:lang w:val="en-GB"/>
        </w:rPr>
        <w:t>, which insists on fossil fuels business models being inconsistent with keeping climate c</w:t>
      </w:r>
      <w:r w:rsidR="00DF1F3F">
        <w:rPr>
          <w:lang w:val="en-GB"/>
        </w:rPr>
        <w:t>hange below disastrous levels. It even expected that</w:t>
      </w:r>
      <w:r w:rsidR="00200293">
        <w:rPr>
          <w:lang w:val="en-GB"/>
        </w:rPr>
        <w:t xml:space="preserve"> d</w:t>
      </w:r>
      <w:r w:rsidR="00E00110" w:rsidRPr="0078651E">
        <w:rPr>
          <w:lang w:val="en-GB"/>
        </w:rPr>
        <w:t>ivestment</w:t>
      </w:r>
      <w:r w:rsidR="00200293">
        <w:rPr>
          <w:lang w:val="en-GB"/>
        </w:rPr>
        <w:t xml:space="preserve"> actions</w:t>
      </w:r>
      <w:r w:rsidR="00E00110" w:rsidRPr="0078651E">
        <w:rPr>
          <w:lang w:val="en-GB"/>
        </w:rPr>
        <w:t xml:space="preserve"> addresses an emerging legal responsibility of investors to cope with</w:t>
      </w:r>
      <w:r w:rsidR="00200293">
        <w:rPr>
          <w:lang w:val="en-GB"/>
        </w:rPr>
        <w:t xml:space="preserve"> climate change challenge</w:t>
      </w:r>
      <w:r w:rsidR="000B670F">
        <w:rPr>
          <w:lang w:val="en-GB"/>
        </w:rPr>
        <w:t xml:space="preserve">. </w:t>
      </w:r>
      <w:r w:rsidR="0041705E">
        <w:rPr>
          <w:lang w:val="en-GB"/>
        </w:rPr>
        <w:t>(</w:t>
      </w:r>
      <w:r w:rsidR="00F31B52">
        <w:rPr>
          <w:lang w:val="en-GB"/>
        </w:rPr>
        <w:t>S.</w:t>
      </w:r>
      <w:r w:rsidR="0041705E">
        <w:rPr>
          <w:lang w:val="en-GB"/>
        </w:rPr>
        <w:t xml:space="preserve"> </w:t>
      </w:r>
      <w:r w:rsidR="0041705E" w:rsidRPr="00AA69C5">
        <w:rPr>
          <w:lang w:val="en-GB"/>
        </w:rPr>
        <w:t>Braungard</w:t>
      </w:r>
      <w:r w:rsidR="0041705E">
        <w:rPr>
          <w:lang w:val="en-GB"/>
        </w:rPr>
        <w:t>, J</w:t>
      </w:r>
      <w:r w:rsidR="00F31B52">
        <w:rPr>
          <w:lang w:val="en-GB"/>
        </w:rPr>
        <w:t>.</w:t>
      </w:r>
      <w:r w:rsidR="0041705E">
        <w:rPr>
          <w:lang w:val="en-GB"/>
        </w:rPr>
        <w:t xml:space="preserve"> </w:t>
      </w:r>
      <w:r w:rsidR="0041705E" w:rsidRPr="00AA69C5">
        <w:rPr>
          <w:lang w:val="en-GB"/>
        </w:rPr>
        <w:t>van</w:t>
      </w:r>
      <w:r w:rsidR="0041705E">
        <w:rPr>
          <w:lang w:val="en-GB"/>
        </w:rPr>
        <w:t xml:space="preserve"> </w:t>
      </w:r>
      <w:r w:rsidR="0041705E" w:rsidRPr="00AA69C5">
        <w:rPr>
          <w:lang w:val="en-GB"/>
        </w:rPr>
        <w:t>den</w:t>
      </w:r>
      <w:r w:rsidR="0041705E">
        <w:rPr>
          <w:lang w:val="en-GB"/>
        </w:rPr>
        <w:t xml:space="preserve"> </w:t>
      </w:r>
      <w:r w:rsidR="0041705E" w:rsidRPr="00AA69C5">
        <w:rPr>
          <w:lang w:val="en-GB"/>
        </w:rPr>
        <w:t>Bergh</w:t>
      </w:r>
      <w:r w:rsidR="0041705E">
        <w:rPr>
          <w:lang w:val="en-GB"/>
        </w:rPr>
        <w:t>, T</w:t>
      </w:r>
      <w:r w:rsidR="00F31B52">
        <w:rPr>
          <w:lang w:val="en-GB"/>
        </w:rPr>
        <w:t>.</w:t>
      </w:r>
      <w:r w:rsidR="0041705E">
        <w:rPr>
          <w:lang w:val="en-GB"/>
        </w:rPr>
        <w:t xml:space="preserve"> </w:t>
      </w:r>
      <w:r w:rsidR="0041705E" w:rsidRPr="00AA69C5">
        <w:rPr>
          <w:lang w:val="en-GB"/>
        </w:rPr>
        <w:t>Dunlop</w:t>
      </w:r>
      <w:r w:rsidR="0041705E">
        <w:rPr>
          <w:lang w:val="en-GB"/>
        </w:rPr>
        <w:t xml:space="preserve">, </w:t>
      </w:r>
      <w:r w:rsidR="0041705E" w:rsidRPr="00771A3C">
        <w:rPr>
          <w:lang w:val="en-GB"/>
        </w:rPr>
        <w:t>2019)</w:t>
      </w:r>
      <w:r w:rsidR="0041705E" w:rsidRPr="00771A3C">
        <w:rPr>
          <w:rStyle w:val="af0"/>
          <w:lang w:val="en-GB"/>
        </w:rPr>
        <w:footnoteReference w:id="40"/>
      </w:r>
      <w:r w:rsidR="0041705E" w:rsidRPr="00771A3C">
        <w:rPr>
          <w:lang w:val="en-GB"/>
        </w:rPr>
        <w:t>.</w:t>
      </w:r>
      <w:r w:rsidR="00AD11F8" w:rsidRPr="00771A3C">
        <w:rPr>
          <w:lang w:val="en-GB"/>
        </w:rPr>
        <w:t xml:space="preserve"> Considering the returns of those who stopped investing in fossil fuel industry and reallocated its funds to low carbon industry positive returns are </w:t>
      </w:r>
      <w:r w:rsidR="00F31B52" w:rsidRPr="00EC6FE8">
        <w:rPr>
          <w:lang w:val="en-GB"/>
        </w:rPr>
        <w:t>(D</w:t>
      </w:r>
      <w:r w:rsidR="00F31B52">
        <w:rPr>
          <w:lang w:val="en-GB"/>
        </w:rPr>
        <w:t>.</w:t>
      </w:r>
      <w:r w:rsidR="00F31B52" w:rsidRPr="00EC6FE8">
        <w:rPr>
          <w:lang w:val="en-GB"/>
        </w:rPr>
        <w:t xml:space="preserve"> Halcoussis, </w:t>
      </w:r>
      <w:r w:rsidR="00F31B52">
        <w:rPr>
          <w:lang w:val="en-GB"/>
        </w:rPr>
        <w:t>A.</w:t>
      </w:r>
      <w:r w:rsidR="00F31B52" w:rsidRPr="00EC6FE8">
        <w:rPr>
          <w:lang w:val="en-GB"/>
        </w:rPr>
        <w:t xml:space="preserve"> D. Lowenberg, 2019)</w:t>
      </w:r>
      <w:r w:rsidR="00AD11F8">
        <w:rPr>
          <w:lang w:val="en-GB"/>
        </w:rPr>
        <w:t>, (</w:t>
      </w:r>
      <w:r w:rsidR="00F31B52">
        <w:rPr>
          <w:lang w:val="en-GB"/>
        </w:rPr>
        <w:t>I. Henriques, P.</w:t>
      </w:r>
      <w:r w:rsidR="00AD11F8" w:rsidRPr="00AD11F8">
        <w:rPr>
          <w:lang w:val="en-GB"/>
        </w:rPr>
        <w:t xml:space="preserve"> Sadorsky</w:t>
      </w:r>
      <w:r w:rsidR="00AD11F8">
        <w:rPr>
          <w:lang w:val="en-GB"/>
        </w:rPr>
        <w:t>, 2018)</w:t>
      </w:r>
      <w:r w:rsidR="00AD11F8" w:rsidRPr="00EC6FE8">
        <w:rPr>
          <w:rStyle w:val="af0"/>
          <w:lang w:val="en-GB"/>
        </w:rPr>
        <w:footnoteReference w:id="41"/>
      </w:r>
      <w:r w:rsidR="00AD11F8" w:rsidRPr="00327FAA">
        <w:rPr>
          <w:rStyle w:val="af0"/>
          <w:lang w:val="en-GB"/>
        </w:rPr>
        <w:t>.</w:t>
      </w:r>
      <w:r w:rsidR="00237523">
        <w:rPr>
          <w:lang w:val="en-GB"/>
        </w:rPr>
        <w:t xml:space="preserve"> Both studies conducted its analysis on data from S&amp;P 500. </w:t>
      </w:r>
      <w:r w:rsidR="00237523" w:rsidRPr="00771A3C">
        <w:rPr>
          <w:lang w:val="en-GB"/>
        </w:rPr>
        <w:t>The first study showed that fossil fuel-free portfolio earns a slightly higher rate of return than the overall market return</w:t>
      </w:r>
      <w:r w:rsidR="004A2CCC" w:rsidRPr="00771A3C">
        <w:rPr>
          <w:lang w:val="en-GB"/>
        </w:rPr>
        <w:t>,</w:t>
      </w:r>
      <w:r w:rsidR="004A2CCC">
        <w:rPr>
          <w:lang w:val="en-GB"/>
        </w:rPr>
        <w:t xml:space="preserve"> mostly because of poor performance of fossil related companies, and these investments are not costly. According to the second study it is possible to </w:t>
      </w:r>
      <w:r w:rsidR="004A2CCC" w:rsidRPr="00771A3C">
        <w:rPr>
          <w:lang w:val="en-GB"/>
        </w:rPr>
        <w:t>divest from O&amp;G industry and reinvest to clean energy companies and reach higher risk adjusted return, however these results are common for traders with the US trading accounts.</w:t>
      </w:r>
    </w:p>
    <w:p w:rsidR="006A1A6D" w:rsidRDefault="00BC47BE" w:rsidP="004447D2">
      <w:pPr>
        <w:rPr>
          <w:lang w:val="en-GB"/>
        </w:rPr>
      </w:pPr>
      <w:r>
        <w:rPr>
          <w:lang w:val="en-GB"/>
        </w:rPr>
        <w:t xml:space="preserve">Nevertheless, some authors are raising the </w:t>
      </w:r>
      <w:r w:rsidRPr="00771A3C">
        <w:rPr>
          <w:lang w:val="en-GB"/>
        </w:rPr>
        <w:t>discussion</w:t>
      </w:r>
      <w:r w:rsidR="005F00EA" w:rsidRPr="00771A3C">
        <w:rPr>
          <w:lang w:val="en-GB"/>
        </w:rPr>
        <w:t xml:space="preserve"> </w:t>
      </w:r>
      <w:r w:rsidRPr="00771A3C">
        <w:rPr>
          <w:lang w:val="en-GB"/>
        </w:rPr>
        <w:t xml:space="preserve">about possible </w:t>
      </w:r>
      <w:r w:rsidR="005F00EA" w:rsidRPr="00771A3C">
        <w:rPr>
          <w:lang w:val="en-GB"/>
        </w:rPr>
        <w:t>negative impact of  transition for investors</w:t>
      </w:r>
      <w:r w:rsidR="0041705E" w:rsidRPr="00771A3C">
        <w:rPr>
          <w:lang w:val="en-GB"/>
        </w:rPr>
        <w:t xml:space="preserve"> </w:t>
      </w:r>
      <w:r w:rsidR="0041705E">
        <w:rPr>
          <w:lang w:val="en-GB"/>
        </w:rPr>
        <w:t>(</w:t>
      </w:r>
      <w:r w:rsidR="00F31B52">
        <w:rPr>
          <w:lang w:val="en-GB"/>
        </w:rPr>
        <w:t>U. Volz</w:t>
      </w:r>
      <w:r w:rsidR="0041705E">
        <w:rPr>
          <w:lang w:val="en-GB"/>
        </w:rPr>
        <w:t xml:space="preserve">, </w:t>
      </w:r>
      <w:r w:rsidR="00F31B52">
        <w:rPr>
          <w:lang w:val="en-GB"/>
        </w:rPr>
        <w:t>G. Semieniuk, E.</w:t>
      </w:r>
      <w:r w:rsidR="0041705E">
        <w:rPr>
          <w:lang w:val="en-GB"/>
        </w:rPr>
        <w:t xml:space="preserve"> </w:t>
      </w:r>
      <w:r w:rsidR="00F31B52">
        <w:rPr>
          <w:lang w:val="en-GB"/>
        </w:rPr>
        <w:t>Campiglio</w:t>
      </w:r>
      <w:r w:rsidR="0041705E">
        <w:rPr>
          <w:lang w:val="en-GB"/>
        </w:rPr>
        <w:t xml:space="preserve">, </w:t>
      </w:r>
      <w:r w:rsidR="0041705E" w:rsidRPr="0041705E">
        <w:rPr>
          <w:lang w:val="en-GB"/>
        </w:rPr>
        <w:t>Jean-Francois</w:t>
      </w:r>
      <w:r w:rsidR="0041705E">
        <w:rPr>
          <w:lang w:val="en-GB"/>
        </w:rPr>
        <w:t xml:space="preserve"> M</w:t>
      </w:r>
      <w:r w:rsidR="00F31B52">
        <w:rPr>
          <w:lang w:val="en-GB"/>
        </w:rPr>
        <w:t>ercure</w:t>
      </w:r>
      <w:r w:rsidR="0041705E">
        <w:rPr>
          <w:lang w:val="en-GB"/>
        </w:rPr>
        <w:t xml:space="preserve">., </w:t>
      </w:r>
      <w:r w:rsidR="0041705E" w:rsidRPr="0041705E">
        <w:rPr>
          <w:lang w:val="en-GB"/>
        </w:rPr>
        <w:t>Ulrich</w:t>
      </w:r>
      <w:r w:rsidR="0041705E">
        <w:rPr>
          <w:lang w:val="en-GB"/>
        </w:rPr>
        <w:t xml:space="preserve"> V., </w:t>
      </w:r>
      <w:r w:rsidR="00F31B52">
        <w:rPr>
          <w:lang w:val="en-GB"/>
        </w:rPr>
        <w:t>N.</w:t>
      </w:r>
      <w:r w:rsidR="0041705E">
        <w:rPr>
          <w:lang w:val="en-GB"/>
        </w:rPr>
        <w:t xml:space="preserve"> </w:t>
      </w:r>
      <w:r w:rsidR="00F31B52">
        <w:rPr>
          <w:lang w:val="en-GB"/>
        </w:rPr>
        <w:t>Edwards</w:t>
      </w:r>
      <w:r w:rsidR="0041705E">
        <w:rPr>
          <w:lang w:val="en-GB"/>
        </w:rPr>
        <w:t>, 2019)</w:t>
      </w:r>
      <w:r w:rsidR="0041705E" w:rsidRPr="00F31B52">
        <w:rPr>
          <w:rStyle w:val="af0"/>
          <w:lang w:val="en-GB"/>
        </w:rPr>
        <w:footnoteReference w:id="42"/>
      </w:r>
      <w:r w:rsidR="0041705E" w:rsidRPr="00F31B52">
        <w:rPr>
          <w:rStyle w:val="af0"/>
          <w:lang w:val="en-GB"/>
        </w:rPr>
        <w:t xml:space="preserve"> </w:t>
      </w:r>
      <w:r w:rsidR="0041705E" w:rsidRPr="0041705E">
        <w:rPr>
          <w:lang w:val="en-GB"/>
        </w:rPr>
        <w:t>discusses more specifically the impact of the transfer of capital from high carbon industry to low carbon industry</w:t>
      </w:r>
      <w:r w:rsidR="00E00110" w:rsidRPr="00771A3C">
        <w:rPr>
          <w:lang w:val="en-GB"/>
        </w:rPr>
        <w:t xml:space="preserve">. </w:t>
      </w:r>
      <w:r w:rsidR="00AE2EDC" w:rsidRPr="00771A3C">
        <w:rPr>
          <w:lang w:val="en-GB"/>
        </w:rPr>
        <w:t>F</w:t>
      </w:r>
      <w:r w:rsidR="00897C7E" w:rsidRPr="00771A3C">
        <w:rPr>
          <w:lang w:val="en-GB"/>
        </w:rPr>
        <w:t xml:space="preserve">inancial losses in high carbon industry will lead to their diminished ability to repay its debt, what could end up bankruptcy of banks; for institutional investors </w:t>
      </w:r>
      <w:r w:rsidR="00AE2EDC" w:rsidRPr="00771A3C">
        <w:rPr>
          <w:lang w:val="en-GB"/>
        </w:rPr>
        <w:t xml:space="preserve">who are holding its money in oil and gas companies </w:t>
      </w:r>
      <w:r w:rsidR="00897C7E" w:rsidRPr="00771A3C">
        <w:rPr>
          <w:lang w:val="en-GB"/>
        </w:rPr>
        <w:t xml:space="preserve">will also </w:t>
      </w:r>
      <w:r w:rsidR="00AE2EDC" w:rsidRPr="00771A3C">
        <w:rPr>
          <w:lang w:val="en-GB"/>
        </w:rPr>
        <w:t xml:space="preserve">have </w:t>
      </w:r>
      <w:r w:rsidR="00897C7E" w:rsidRPr="00771A3C">
        <w:rPr>
          <w:lang w:val="en-GB"/>
        </w:rPr>
        <w:t>negative p</w:t>
      </w:r>
      <w:r w:rsidR="00AE2EDC" w:rsidRPr="00771A3C">
        <w:rPr>
          <w:lang w:val="en-GB"/>
        </w:rPr>
        <w:t>ortfolio effects.</w:t>
      </w:r>
    </w:p>
    <w:p w:rsidR="009D2F31" w:rsidRPr="0006672B" w:rsidRDefault="009D2F31" w:rsidP="00480725">
      <w:pPr>
        <w:rPr>
          <w:b/>
          <w:i/>
          <w:lang w:val="en-GB"/>
        </w:rPr>
      </w:pPr>
      <w:r w:rsidRPr="0006672B">
        <w:rPr>
          <w:b/>
          <w:i/>
          <w:lang w:val="en-GB"/>
        </w:rPr>
        <w:t>Transition strategies</w:t>
      </w:r>
    </w:p>
    <w:p w:rsidR="00480725" w:rsidRPr="00480725" w:rsidRDefault="001454A4" w:rsidP="00A17AC9">
      <w:pPr>
        <w:rPr>
          <w:lang w:val="en-GB"/>
        </w:rPr>
      </w:pPr>
      <w:r>
        <w:rPr>
          <w:lang w:val="en-GB"/>
        </w:rPr>
        <w:lastRenderedPageBreak/>
        <w:t>Considering such trends</w:t>
      </w:r>
      <w:r w:rsidR="005B47B2">
        <w:rPr>
          <w:lang w:val="en-GB"/>
        </w:rPr>
        <w:t>,</w:t>
      </w:r>
      <w:r>
        <w:rPr>
          <w:lang w:val="en-GB"/>
        </w:rPr>
        <w:t xml:space="preserve"> oil and gas companies start thinking about their future actions on how to address new challenge. There are quite many reports that raise the problem and discuss what steps were and going to be taken by oil and gas industry. </w:t>
      </w:r>
      <w:r w:rsidR="00255218">
        <w:rPr>
          <w:lang w:val="en-GB"/>
        </w:rPr>
        <w:t xml:space="preserve">Most of studies discuss the only major integrated oil and gas companies like BP, Chevron, Shell, Total and other, because these companies are more transparent and </w:t>
      </w:r>
      <w:r w:rsidR="00255218" w:rsidRPr="00255218">
        <w:rPr>
          <w:lang w:val="en-GB"/>
        </w:rPr>
        <w:t>they are more interesting because they are market leaders, and therefore set the direction for smaller players.</w:t>
      </w:r>
      <w:r w:rsidR="00E13425">
        <w:rPr>
          <w:lang w:val="en-GB"/>
        </w:rPr>
        <w:t xml:space="preserve"> </w:t>
      </w:r>
      <w:r w:rsidR="006C3F37">
        <w:rPr>
          <w:lang w:val="en-GB"/>
        </w:rPr>
        <w:t xml:space="preserve">Most of studies verify quite similar approaches companies are using in order to respond to energy transition. </w:t>
      </w:r>
      <w:r w:rsidR="00E13425">
        <w:rPr>
          <w:lang w:val="en-GB"/>
        </w:rPr>
        <w:t xml:space="preserve">The recent Deloitte report stress out short term and long term transition strategies of oil and gas companies, if on short term perspective companies </w:t>
      </w:r>
      <w:r w:rsidR="00E13425" w:rsidRPr="00617DA8">
        <w:rPr>
          <w:lang w:val="en-GB"/>
        </w:rPr>
        <w:t>rather tend to reduce emissions, on long term perspective</w:t>
      </w:r>
      <w:r w:rsidR="002025FF" w:rsidRPr="00617DA8">
        <w:rPr>
          <w:lang w:val="en-GB"/>
        </w:rPr>
        <w:t xml:space="preserve"> companies tend to invest in biofuels and renewable electricity production. The last might include electricity demand management, energy storage and batteries</w:t>
      </w:r>
      <w:r w:rsidR="002025FF">
        <w:rPr>
          <w:lang w:val="en-GB"/>
        </w:rPr>
        <w:t xml:space="preserve">. Among other top strategies there are </w:t>
      </w:r>
      <w:r w:rsidR="002025FF" w:rsidRPr="00617DA8">
        <w:rPr>
          <w:lang w:val="en-GB"/>
        </w:rPr>
        <w:t>merges and acquisitions</w:t>
      </w:r>
      <w:r w:rsidR="002025FF">
        <w:rPr>
          <w:lang w:val="en-GB"/>
        </w:rPr>
        <w:t xml:space="preserve"> outside core business areas and </w:t>
      </w:r>
      <w:r w:rsidR="002025FF" w:rsidRPr="00617DA8">
        <w:rPr>
          <w:lang w:val="en-GB"/>
        </w:rPr>
        <w:t>partnerships/joint ventures</w:t>
      </w:r>
      <w:r w:rsidR="002025FF">
        <w:rPr>
          <w:lang w:val="en-GB"/>
        </w:rPr>
        <w:t xml:space="preserve">. The first option is especially popular within companies with a capitalisation </w:t>
      </w:r>
      <w:r w:rsidR="002025FF" w:rsidRPr="00617DA8">
        <w:rPr>
          <w:lang w:val="en-GB"/>
        </w:rPr>
        <w:t>less than 5 bill$ and more than 10 bill$;</w:t>
      </w:r>
      <w:r w:rsidR="002025FF">
        <w:rPr>
          <w:lang w:val="en-GB"/>
        </w:rPr>
        <w:t xml:space="preserve"> the second option is mostly popular within less than </w:t>
      </w:r>
      <w:r w:rsidR="002025FF" w:rsidRPr="00617DA8">
        <w:rPr>
          <w:lang w:val="en-GB"/>
        </w:rPr>
        <w:t>5 bill$ group</w:t>
      </w:r>
      <w:r w:rsidR="00255218" w:rsidRPr="00617DA8">
        <w:rPr>
          <w:lang w:val="en-GB"/>
        </w:rPr>
        <w:t xml:space="preserve"> </w:t>
      </w:r>
      <w:r w:rsidR="002025FF" w:rsidRPr="00617DA8">
        <w:rPr>
          <w:lang w:val="en-GB"/>
        </w:rPr>
        <w:t>and 5-10 bill$.</w:t>
      </w:r>
      <w:r w:rsidR="002025FF">
        <w:rPr>
          <w:lang w:val="en-GB"/>
        </w:rPr>
        <w:t xml:space="preserve"> </w:t>
      </w:r>
      <w:r w:rsidR="00E13425" w:rsidRPr="00E13425">
        <w:rPr>
          <w:lang w:val="en-GB"/>
        </w:rPr>
        <w:t>(</w:t>
      </w:r>
      <w:r w:rsidR="00E13425">
        <w:rPr>
          <w:lang w:val="en-GB"/>
        </w:rPr>
        <w:t>S</w:t>
      </w:r>
      <w:r w:rsidR="00F31B52">
        <w:rPr>
          <w:lang w:val="en-GB"/>
        </w:rPr>
        <w:t>.</w:t>
      </w:r>
      <w:r w:rsidR="00E13425">
        <w:rPr>
          <w:lang w:val="en-GB"/>
        </w:rPr>
        <w:t xml:space="preserve"> Porter, D</w:t>
      </w:r>
      <w:r w:rsidR="00F31B52">
        <w:rPr>
          <w:lang w:val="en-GB"/>
        </w:rPr>
        <w:t>.</w:t>
      </w:r>
      <w:r w:rsidR="00E13425">
        <w:rPr>
          <w:lang w:val="en-GB"/>
        </w:rPr>
        <w:t xml:space="preserve"> Dickson, K</w:t>
      </w:r>
      <w:r w:rsidR="00F31B52">
        <w:rPr>
          <w:lang w:val="en-GB"/>
        </w:rPr>
        <w:t>.</w:t>
      </w:r>
      <w:r w:rsidR="00E13425">
        <w:rPr>
          <w:lang w:val="en-GB"/>
        </w:rPr>
        <w:t xml:space="preserve"> Hardin, T</w:t>
      </w:r>
      <w:r w:rsidR="00F31B52">
        <w:rPr>
          <w:lang w:val="en-GB"/>
        </w:rPr>
        <w:t>.</w:t>
      </w:r>
      <w:r w:rsidR="00E13425">
        <w:rPr>
          <w:lang w:val="en-GB"/>
        </w:rPr>
        <w:t xml:space="preserve"> Shattuck, 2020</w:t>
      </w:r>
      <w:r w:rsidR="00E13425" w:rsidRPr="00E13425">
        <w:rPr>
          <w:lang w:val="en-GB"/>
        </w:rPr>
        <w:t>)</w:t>
      </w:r>
      <w:r w:rsidR="00E13425">
        <w:rPr>
          <w:rStyle w:val="af0"/>
          <w:lang w:val="en-GB"/>
        </w:rPr>
        <w:footnoteReference w:id="43"/>
      </w:r>
      <w:r w:rsidR="00E13425">
        <w:rPr>
          <w:lang w:val="en-GB"/>
        </w:rPr>
        <w:t xml:space="preserve">. </w:t>
      </w:r>
      <w:r w:rsidR="005B47B2">
        <w:rPr>
          <w:lang w:val="en-GB"/>
        </w:rPr>
        <w:t xml:space="preserve">Discussing </w:t>
      </w:r>
      <w:r w:rsidR="00A17AC9">
        <w:rPr>
          <w:lang w:val="en-GB"/>
        </w:rPr>
        <w:t>basic</w:t>
      </w:r>
      <w:r w:rsidR="005B47B2">
        <w:rPr>
          <w:lang w:val="en-GB"/>
        </w:rPr>
        <w:t xml:space="preserve"> </w:t>
      </w:r>
      <w:r w:rsidR="00A17AC9">
        <w:rPr>
          <w:lang w:val="en-GB"/>
        </w:rPr>
        <w:t>approaches</w:t>
      </w:r>
      <w:r w:rsidR="005B47B2">
        <w:rPr>
          <w:lang w:val="en-GB"/>
        </w:rPr>
        <w:t xml:space="preserve"> undertaking by particular companies, </w:t>
      </w:r>
      <w:r w:rsidR="005B47B2" w:rsidRPr="004A3F73">
        <w:rPr>
          <w:lang w:val="en-GB"/>
        </w:rPr>
        <w:t xml:space="preserve">nine </w:t>
      </w:r>
      <w:r w:rsidR="005B47B2">
        <w:rPr>
          <w:lang w:val="en-GB"/>
        </w:rPr>
        <w:t>major</w:t>
      </w:r>
      <w:r w:rsidR="005B47B2" w:rsidRPr="004A3F73">
        <w:rPr>
          <w:lang w:val="en-GB"/>
        </w:rPr>
        <w:t xml:space="preserve"> oil and </w:t>
      </w:r>
      <w:r w:rsidR="005B47B2">
        <w:rPr>
          <w:lang w:val="en-GB"/>
        </w:rPr>
        <w:t xml:space="preserve">gas players, like BP, Petro China, Royal Dutch </w:t>
      </w:r>
      <w:r w:rsidR="005B47B2" w:rsidRPr="004A3F73">
        <w:rPr>
          <w:lang w:val="en-GB"/>
        </w:rPr>
        <w:t>Shell, Ørsted, Equinor, Total S.A., Chevron, Ex</w:t>
      </w:r>
      <w:r w:rsidR="005B47B2">
        <w:rPr>
          <w:lang w:val="en-GB"/>
        </w:rPr>
        <w:t>xonMobil,</w:t>
      </w:r>
      <w:r w:rsidR="005B47B2" w:rsidRPr="00844E79">
        <w:rPr>
          <w:lang w:val="en-GB"/>
        </w:rPr>
        <w:t xml:space="preserve"> </w:t>
      </w:r>
      <w:r w:rsidR="005B47B2">
        <w:rPr>
          <w:lang w:val="en-GB"/>
        </w:rPr>
        <w:t xml:space="preserve">and Saudi Aramco use three </w:t>
      </w:r>
      <w:r w:rsidR="00A17AC9">
        <w:rPr>
          <w:lang w:val="en-GB"/>
        </w:rPr>
        <w:t>types of strategies</w:t>
      </w:r>
      <w:r w:rsidR="005B47B2" w:rsidRPr="00617DA8">
        <w:rPr>
          <w:lang w:val="en-GB"/>
        </w:rPr>
        <w:t>: (1) the petroleum business turns to the natural gas business; (2) reduces carbon emissions in production and operation; (3) develop and utilize renewable energy.</w:t>
      </w:r>
      <w:r w:rsidR="005B47B2">
        <w:rPr>
          <w:lang w:val="en-GB"/>
        </w:rPr>
        <w:t xml:space="preserve"> </w:t>
      </w:r>
      <w:r w:rsidR="00A17AC9" w:rsidRPr="004A3F73">
        <w:rPr>
          <w:lang w:val="en-GB"/>
        </w:rPr>
        <w:t xml:space="preserve">For the goals of my research the </w:t>
      </w:r>
      <w:r w:rsidR="00A17AC9">
        <w:rPr>
          <w:lang w:val="en-GB"/>
        </w:rPr>
        <w:t>third</w:t>
      </w:r>
      <w:r w:rsidR="00A17AC9" w:rsidRPr="004A3F73">
        <w:rPr>
          <w:lang w:val="en-GB"/>
        </w:rPr>
        <w:t xml:space="preserve"> point</w:t>
      </w:r>
      <w:r w:rsidR="00A17AC9">
        <w:rPr>
          <w:lang w:val="en-GB"/>
        </w:rPr>
        <w:t>, renewable energy utilization</w:t>
      </w:r>
      <w:r w:rsidR="00A17AC9" w:rsidRPr="004A3F73">
        <w:rPr>
          <w:lang w:val="en-GB"/>
        </w:rPr>
        <w:t>, plays the most crucial role</w:t>
      </w:r>
      <w:r w:rsidR="00A17AC9" w:rsidRPr="00617DA8">
        <w:rPr>
          <w:lang w:val="en-GB"/>
        </w:rPr>
        <w:t>. Investment in renewable energy mainly concentrates on solar energy, geo-thermal energy, wind energy, and bioenergy</w:t>
      </w:r>
      <w:r w:rsidR="00A17AC9" w:rsidRPr="004A3F73">
        <w:rPr>
          <w:lang w:val="en-GB"/>
        </w:rPr>
        <w:t xml:space="preserve">. Also, it was shown that major oil and gas companies have invested funds in new energy fields and </w:t>
      </w:r>
      <w:r w:rsidR="00A17AC9" w:rsidRPr="00617DA8">
        <w:rPr>
          <w:lang w:val="en-GB"/>
        </w:rPr>
        <w:t>carbon capture</w:t>
      </w:r>
      <w:r w:rsidR="00A17AC9" w:rsidRPr="004A3F73">
        <w:rPr>
          <w:lang w:val="en-GB"/>
        </w:rPr>
        <w:t xml:space="preserve">, </w:t>
      </w:r>
      <w:r w:rsidR="00A17AC9" w:rsidRPr="00617DA8">
        <w:rPr>
          <w:lang w:val="en-GB"/>
        </w:rPr>
        <w:t>storage technologies battery and charging technologies for sake of improving its own efficiency in transportation</w:t>
      </w:r>
      <w:r w:rsidR="00A17AC9" w:rsidRPr="004A3F73">
        <w:rPr>
          <w:lang w:val="en-GB"/>
        </w:rPr>
        <w:t>.</w:t>
      </w:r>
      <w:r w:rsidR="00A17AC9">
        <w:rPr>
          <w:lang w:val="en-GB"/>
        </w:rPr>
        <w:t xml:space="preserve"> </w:t>
      </w:r>
      <w:r w:rsidR="00A17AC9" w:rsidRPr="00617DA8">
        <w:rPr>
          <w:lang w:val="en-GB"/>
        </w:rPr>
        <w:t>American</w:t>
      </w:r>
      <w:r w:rsidR="00A17AC9">
        <w:rPr>
          <w:lang w:val="en-GB"/>
        </w:rPr>
        <w:t xml:space="preserve"> big companies like Chevron and Exxon, focus mostly </w:t>
      </w:r>
      <w:r w:rsidR="00A17AC9" w:rsidRPr="00617DA8">
        <w:rPr>
          <w:lang w:val="en-GB"/>
        </w:rPr>
        <w:t>on energy efficiency rather than development of renewable energy projects</w:t>
      </w:r>
      <w:r w:rsidR="00A17AC9">
        <w:rPr>
          <w:lang w:val="en-GB"/>
        </w:rPr>
        <w:t xml:space="preserve">, because of </w:t>
      </w:r>
      <w:r w:rsidR="00A17AC9" w:rsidRPr="00A17AC9">
        <w:rPr>
          <w:lang w:val="en-GB"/>
        </w:rPr>
        <w:t>“An America First Energy Plan”</w:t>
      </w:r>
      <w:r w:rsidR="00A17AC9">
        <w:rPr>
          <w:lang w:val="en-GB"/>
        </w:rPr>
        <w:t xml:space="preserve"> (2017)</w:t>
      </w:r>
      <w:r w:rsidR="00F31B52">
        <w:rPr>
          <w:rStyle w:val="af0"/>
          <w:lang w:val="en-GB"/>
        </w:rPr>
        <w:footnoteReference w:id="44"/>
      </w:r>
      <w:r w:rsidR="00A17AC9">
        <w:rPr>
          <w:lang w:val="en-GB"/>
        </w:rPr>
        <w:t xml:space="preserve">, which supports the traditional oil and gas energy. Below I provide the scheme that generalise the transition strategies of oil&amp;gas majors. </w:t>
      </w:r>
      <w:r w:rsidR="004A3F73">
        <w:rPr>
          <w:lang w:val="en-GB"/>
        </w:rPr>
        <w:t>(</w:t>
      </w:r>
      <w:r w:rsidR="00F31B52">
        <w:rPr>
          <w:lang w:val="en-GB"/>
        </w:rPr>
        <w:t>H.</w:t>
      </w:r>
      <w:r w:rsidR="004A3F73" w:rsidRPr="00834CB5">
        <w:rPr>
          <w:lang w:val="en-GB"/>
        </w:rPr>
        <w:t xml:space="preserve"> Lu</w:t>
      </w:r>
      <w:r w:rsidR="004A3F73">
        <w:rPr>
          <w:lang w:val="en-GB"/>
        </w:rPr>
        <w:t xml:space="preserve">, </w:t>
      </w:r>
      <w:r w:rsidR="00F31B52">
        <w:rPr>
          <w:lang w:val="en-GB"/>
        </w:rPr>
        <w:t>L.</w:t>
      </w:r>
      <w:r w:rsidR="004A3F73" w:rsidRPr="00834CB5">
        <w:rPr>
          <w:lang w:val="en-GB"/>
        </w:rPr>
        <w:t xml:space="preserve"> Guo</w:t>
      </w:r>
      <w:r w:rsidR="004A3F73">
        <w:rPr>
          <w:lang w:val="en-GB"/>
        </w:rPr>
        <w:t xml:space="preserve">, </w:t>
      </w:r>
      <w:r w:rsidR="00F31B52">
        <w:rPr>
          <w:lang w:val="en-GB"/>
        </w:rPr>
        <w:t xml:space="preserve">Y. </w:t>
      </w:r>
      <w:r w:rsidR="004A3F73" w:rsidRPr="00834CB5">
        <w:rPr>
          <w:lang w:val="en-GB"/>
        </w:rPr>
        <w:t>Zhan</w:t>
      </w:r>
      <w:r w:rsidR="004A3F73">
        <w:rPr>
          <w:lang w:val="en-GB"/>
        </w:rPr>
        <w:t>, 2019)</w:t>
      </w:r>
      <w:r w:rsidR="004A3F73">
        <w:rPr>
          <w:rStyle w:val="af0"/>
          <w:lang w:val="en-GB"/>
        </w:rPr>
        <w:footnoteReference w:id="45"/>
      </w:r>
      <w:r w:rsidR="00480725">
        <w:rPr>
          <w:lang w:val="en-GB"/>
        </w:rPr>
        <w:t xml:space="preserve"> </w:t>
      </w:r>
    </w:p>
    <w:p w:rsidR="00480725" w:rsidRDefault="00480725" w:rsidP="00480725">
      <w:pPr>
        <w:pStyle w:val="SVEfigure"/>
      </w:pPr>
      <w:r>
        <w:rPr>
          <w:noProof/>
          <w:lang w:val="ru-RU" w:eastAsia="ru-RU"/>
        </w:rPr>
        <w:lastRenderedPageBreak/>
        <w:drawing>
          <wp:inline distT="0" distB="0" distL="0" distR="0" wp14:anchorId="30E1FA73" wp14:editId="6851CDB0">
            <wp:extent cx="3929566" cy="2462558"/>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6994" t="35860" r="21156" b="17513"/>
                    <a:stretch/>
                  </pic:blipFill>
                  <pic:spPr bwMode="auto">
                    <a:xfrm>
                      <a:off x="0" y="0"/>
                      <a:ext cx="3970801" cy="2488399"/>
                    </a:xfrm>
                    <a:prstGeom prst="rect">
                      <a:avLst/>
                    </a:prstGeom>
                    <a:ln>
                      <a:noFill/>
                    </a:ln>
                    <a:extLst>
                      <a:ext uri="{53640926-AAD7-44D8-BBD7-CCE9431645EC}">
                        <a14:shadowObscured xmlns:a14="http://schemas.microsoft.com/office/drawing/2010/main"/>
                      </a:ext>
                    </a:extLst>
                  </pic:spPr>
                </pic:pic>
              </a:graphicData>
            </a:graphic>
          </wp:inline>
        </w:drawing>
      </w:r>
    </w:p>
    <w:p w:rsidR="00480725" w:rsidRPr="00480725" w:rsidRDefault="00480725" w:rsidP="00480725">
      <w:pPr>
        <w:pStyle w:val="SVEfigurecaption"/>
        <w:rPr>
          <w:lang w:val="en-GB"/>
        </w:rPr>
      </w:pPr>
      <w:r>
        <w:t>The transition of traditional oil and companies to integrated energy companies</w:t>
      </w:r>
      <w:r w:rsidR="001C6A92">
        <w:t>, Source:</w:t>
      </w:r>
      <w:r>
        <w:t xml:space="preserve"> </w:t>
      </w:r>
      <w:r w:rsidR="000B1D7C">
        <w:t xml:space="preserve">[et. Al. </w:t>
      </w:r>
      <w:r w:rsidR="000B1D7C">
        <w:rPr>
          <w:lang w:val="en-GB"/>
        </w:rPr>
        <w:t xml:space="preserve">Y. </w:t>
      </w:r>
      <w:r w:rsidR="000B1D7C" w:rsidRPr="00834CB5">
        <w:rPr>
          <w:lang w:val="en-GB"/>
        </w:rPr>
        <w:t>Zhan</w:t>
      </w:r>
      <w:r w:rsidR="000B1D7C">
        <w:rPr>
          <w:lang w:val="en-GB"/>
        </w:rPr>
        <w:t>, 2019</w:t>
      </w:r>
      <w:r w:rsidR="000B1D7C">
        <w:t>]</w:t>
      </w:r>
    </w:p>
    <w:p w:rsidR="003B0857" w:rsidRDefault="004A3F73" w:rsidP="00F10673">
      <w:pPr>
        <w:rPr>
          <w:lang w:val="en-GB"/>
        </w:rPr>
      </w:pPr>
      <w:r w:rsidRPr="00480725">
        <w:rPr>
          <w:lang w:val="en-GB"/>
        </w:rPr>
        <w:t xml:space="preserve"> </w:t>
      </w:r>
      <w:r w:rsidR="00D72097" w:rsidRPr="00480725">
        <w:rPr>
          <w:lang w:val="en-GB"/>
        </w:rPr>
        <w:t xml:space="preserve"> </w:t>
      </w:r>
      <w:r w:rsidR="00A56B6F">
        <w:rPr>
          <w:lang w:val="en-GB"/>
        </w:rPr>
        <w:t xml:space="preserve">Going </w:t>
      </w:r>
      <w:r w:rsidR="001B3193">
        <w:rPr>
          <w:lang w:val="en-GB"/>
        </w:rPr>
        <w:t xml:space="preserve">a bit </w:t>
      </w:r>
      <w:r w:rsidR="00A56B6F">
        <w:rPr>
          <w:lang w:val="en-GB"/>
        </w:rPr>
        <w:t xml:space="preserve">deeper what types of investing strategies oil and gas companies are undertaking these are </w:t>
      </w:r>
      <w:r w:rsidR="001B3193">
        <w:rPr>
          <w:lang w:val="en-GB"/>
        </w:rPr>
        <w:t xml:space="preserve">two main approaches: </w:t>
      </w:r>
      <w:r w:rsidR="001B3193" w:rsidRPr="001B3193">
        <w:rPr>
          <w:lang w:val="en-GB"/>
        </w:rPr>
        <w:t>acquisitions of other companies working in green energy sector or buying a partial stake in such entities, for example, the Royal Dutch Shell has bought First Utility, a UK-based electricity and gas supplier and invested in the US-based solar developer Silicon Ranch, by taking a 44% stake in a deal valued at more than US$200 million.</w:t>
      </w:r>
      <w:r w:rsidR="001B3193">
        <w:rPr>
          <w:lang w:val="en-GB"/>
        </w:rPr>
        <w:t xml:space="preserve"> What is more significant, is the </w:t>
      </w:r>
      <w:r w:rsidR="001B3193" w:rsidRPr="00617DA8">
        <w:rPr>
          <w:lang w:val="en-GB"/>
        </w:rPr>
        <w:t>relation between the proved oil reserves of a company and its activity in renewables, smaller reserves more activities are observed</w:t>
      </w:r>
      <w:r w:rsidR="00617DA8">
        <w:rPr>
          <w:lang w:val="en-GB"/>
        </w:rPr>
        <w:t>, (some exceptions exist). M</w:t>
      </w:r>
      <w:r w:rsidR="001B3193">
        <w:rPr>
          <w:lang w:val="en-GB"/>
        </w:rPr>
        <w:t xml:space="preserve">ajor oil companies from Europe are more willing to participate in transition rather than US companies, like Chevron and Exxon. </w:t>
      </w:r>
      <w:r w:rsidR="001E702F">
        <w:rPr>
          <w:lang w:val="en-GB"/>
        </w:rPr>
        <w:t>(</w:t>
      </w:r>
      <w:r w:rsidR="000B1D7C">
        <w:rPr>
          <w:lang w:val="en-GB"/>
        </w:rPr>
        <w:t>M.</w:t>
      </w:r>
      <w:r w:rsidR="001E702F" w:rsidRPr="00DF3916">
        <w:rPr>
          <w:lang w:val="en-GB"/>
        </w:rPr>
        <w:t xml:space="preserve"> J.</w:t>
      </w:r>
      <w:r w:rsidR="001E702F">
        <w:rPr>
          <w:lang w:val="en-GB"/>
        </w:rPr>
        <w:t xml:space="preserve"> </w:t>
      </w:r>
      <w:r w:rsidR="001E702F" w:rsidRPr="00DF3916">
        <w:rPr>
          <w:lang w:val="en-GB"/>
        </w:rPr>
        <w:t>Pickl</w:t>
      </w:r>
      <w:r w:rsidR="001E702F">
        <w:rPr>
          <w:lang w:val="en-GB"/>
        </w:rPr>
        <w:t>, 2019)</w:t>
      </w:r>
      <w:r w:rsidR="001E702F">
        <w:rPr>
          <w:rStyle w:val="af0"/>
          <w:lang w:val="en-GB"/>
        </w:rPr>
        <w:footnoteReference w:id="46"/>
      </w:r>
      <w:r w:rsidR="00A17AC9">
        <w:rPr>
          <w:lang w:val="en-GB"/>
        </w:rPr>
        <w:t xml:space="preserve">. </w:t>
      </w:r>
      <w:r w:rsidR="00B36B6A">
        <w:rPr>
          <w:lang w:val="en-GB"/>
        </w:rPr>
        <w:t xml:space="preserve">The </w:t>
      </w:r>
      <w:r w:rsidR="00B36B6A" w:rsidRPr="00617DA8">
        <w:rPr>
          <w:lang w:val="en-GB"/>
        </w:rPr>
        <w:t>same results for EU companies more willing to invest in renewables than US companies</w:t>
      </w:r>
      <w:r w:rsidR="00B36B6A">
        <w:rPr>
          <w:lang w:val="en-GB"/>
        </w:rPr>
        <w:t xml:space="preserve"> has also been verified by another study (Asmelash, E. and R. Gorini, 2021)</w:t>
      </w:r>
      <w:r w:rsidR="00B36B6A" w:rsidRPr="0052032B">
        <w:rPr>
          <w:rStyle w:val="af0"/>
          <w:lang w:val="en-GB"/>
        </w:rPr>
        <w:footnoteReference w:id="47"/>
      </w:r>
      <w:r w:rsidR="00B36B6A">
        <w:rPr>
          <w:lang w:val="en-GB"/>
        </w:rPr>
        <w:t xml:space="preserve">. </w:t>
      </w:r>
      <w:r w:rsidR="00480725">
        <w:rPr>
          <w:lang w:val="en-GB"/>
        </w:rPr>
        <w:t>Howe</w:t>
      </w:r>
      <w:r w:rsidR="00B36B6A">
        <w:rPr>
          <w:lang w:val="en-GB"/>
        </w:rPr>
        <w:t>ver, we could also wait that US</w:t>
      </w:r>
      <w:r w:rsidR="00480725">
        <w:rPr>
          <w:lang w:val="en-GB"/>
        </w:rPr>
        <w:t xml:space="preserve"> oil companies will change its course, because US has returned to Paris agreement recently.</w:t>
      </w:r>
      <w:r w:rsidR="009479F1">
        <w:rPr>
          <w:lang w:val="en-GB"/>
        </w:rPr>
        <w:t xml:space="preserve"> McKinsey report access major solutions for transitioning from two perspectives, first is attractiveness and ability of O&amp;G competitively fit a solution. Such strategies </w:t>
      </w:r>
      <w:r w:rsidR="009479F1" w:rsidRPr="00617DA8">
        <w:rPr>
          <w:lang w:val="en-GB"/>
        </w:rPr>
        <w:t>as entering renewable energy market (solar and wind in particular), usage of hydrogen and EV charging as most</w:t>
      </w:r>
      <w:r w:rsidR="009479F1">
        <w:rPr>
          <w:lang w:val="en-GB"/>
        </w:rPr>
        <w:t>.</w:t>
      </w:r>
      <w:r w:rsidR="00E84275">
        <w:rPr>
          <w:lang w:val="en-GB"/>
        </w:rPr>
        <w:t xml:space="preserve"> All in all, the strategy of becoming an integrated energy company is one of most perspective one</w:t>
      </w:r>
      <w:r w:rsidR="00F2498F">
        <w:rPr>
          <w:lang w:val="en-GB"/>
        </w:rPr>
        <w:t xml:space="preserve">, because it allows to </w:t>
      </w:r>
      <w:r w:rsidR="00F2498F" w:rsidRPr="00F2498F">
        <w:rPr>
          <w:lang w:val="en-GB"/>
        </w:rPr>
        <w:t>defend current dividend streams and market valuations built upon hydrocarbon</w:t>
      </w:r>
      <w:r w:rsidR="00F2498F">
        <w:rPr>
          <w:lang w:val="en-GB"/>
        </w:rPr>
        <w:t xml:space="preserve"> activities</w:t>
      </w:r>
      <w:r w:rsidR="00E84275">
        <w:rPr>
          <w:lang w:val="en-GB"/>
        </w:rPr>
        <w:t>. The good example is a Danish company Ørsted that has divested from all its carbon activities and decided to become the largest offshore wind plants, so far the market reaction to this decision was positive</w:t>
      </w:r>
      <w:r w:rsidR="00F2498F">
        <w:rPr>
          <w:lang w:val="en-GB"/>
        </w:rPr>
        <w:t xml:space="preserve">. </w:t>
      </w:r>
      <w:r w:rsidR="009479F1">
        <w:rPr>
          <w:lang w:val="en-GB"/>
        </w:rPr>
        <w:t xml:space="preserve">Only drawback here is whether </w:t>
      </w:r>
      <w:r w:rsidR="00F2498F" w:rsidRPr="00F2498F">
        <w:rPr>
          <w:lang w:val="en-GB"/>
        </w:rPr>
        <w:lastRenderedPageBreak/>
        <w:t>oil and gas companies can emerge here as winners, versus the leading</w:t>
      </w:r>
      <w:r w:rsidR="009479F1">
        <w:rPr>
          <w:lang w:val="en-GB"/>
        </w:rPr>
        <w:t xml:space="preserve"> utility players</w:t>
      </w:r>
      <w:r w:rsidR="00F2498F">
        <w:rPr>
          <w:lang w:val="en-GB"/>
        </w:rPr>
        <w:t xml:space="preserve"> (</w:t>
      </w:r>
      <w:r w:rsidR="009479F1" w:rsidRPr="009479F1">
        <w:rPr>
          <w:lang w:val="en-GB"/>
        </w:rPr>
        <w:t>Chantal Beck</w:t>
      </w:r>
      <w:r w:rsidR="009479F1">
        <w:rPr>
          <w:lang w:val="en-GB"/>
        </w:rPr>
        <w:t xml:space="preserve">, </w:t>
      </w:r>
      <w:r w:rsidR="009479F1" w:rsidRPr="009479F1">
        <w:rPr>
          <w:lang w:val="en-GB"/>
        </w:rPr>
        <w:t>Jayanti Kar</w:t>
      </w:r>
      <w:r w:rsidR="009479F1">
        <w:rPr>
          <w:lang w:val="en-GB"/>
        </w:rPr>
        <w:t>, 2021</w:t>
      </w:r>
      <w:r w:rsidR="00F2498F">
        <w:rPr>
          <w:lang w:val="en-GB"/>
        </w:rPr>
        <w:t>)</w:t>
      </w:r>
      <w:r w:rsidR="009479F1">
        <w:rPr>
          <w:rStyle w:val="af0"/>
          <w:lang w:val="en-GB"/>
        </w:rPr>
        <w:footnoteReference w:id="48"/>
      </w:r>
    </w:p>
    <w:p w:rsidR="0027063D" w:rsidRDefault="0027063D" w:rsidP="0027063D">
      <w:pPr>
        <w:ind w:firstLine="0"/>
        <w:rPr>
          <w:lang w:val="en-GB"/>
        </w:rPr>
      </w:pPr>
    </w:p>
    <w:p w:rsidR="00CD39BB" w:rsidRDefault="0006672B" w:rsidP="00C853D9">
      <w:pPr>
        <w:pStyle w:val="2"/>
        <w:rPr>
          <w:lang w:val="en-GB"/>
        </w:rPr>
      </w:pPr>
      <w:bookmarkStart w:id="5" w:name="_Toc73640562"/>
      <w:r>
        <w:rPr>
          <w:lang w:val="en-GB"/>
        </w:rPr>
        <w:t>1.3</w:t>
      </w:r>
      <w:r w:rsidR="00C853D9" w:rsidRPr="0027063D">
        <w:rPr>
          <w:lang w:val="en-GB"/>
        </w:rPr>
        <w:t xml:space="preserve"> Research gap</w:t>
      </w:r>
      <w:bookmarkEnd w:id="5"/>
    </w:p>
    <w:p w:rsidR="00F10673" w:rsidRDefault="000C22D7" w:rsidP="00ED0C62">
      <w:pPr>
        <w:rPr>
          <w:lang w:val="en-GB"/>
        </w:rPr>
      </w:pPr>
      <w:r>
        <w:rPr>
          <w:lang w:val="en-GB"/>
        </w:rPr>
        <w:t xml:space="preserve">Overall, the literature review part raise the issues that oil and gas companies are facing </w:t>
      </w:r>
      <w:r w:rsidR="00D627F7">
        <w:rPr>
          <w:lang w:val="en-GB"/>
        </w:rPr>
        <w:t xml:space="preserve">plenty of industry specific and macro challenges </w:t>
      </w:r>
      <w:r>
        <w:rPr>
          <w:lang w:val="en-GB"/>
        </w:rPr>
        <w:t>in the conditions of sustainable development. Basically, the case of low oil and gas industry is an individual case of bigger context on sustainable transition. Oil and gas companies here are strongly affected by transition to low-carbon energy sources. However, the importance of this industry is too high to ignore the possible disruptions that might happen to it</w:t>
      </w:r>
      <w:r w:rsidR="00D627F7">
        <w:rPr>
          <w:lang w:val="en-GB"/>
        </w:rPr>
        <w:t>, otherwise negative scenarios can be applied to whole economy and especially to investors</w:t>
      </w:r>
      <w:r>
        <w:rPr>
          <w:lang w:val="en-GB"/>
        </w:rPr>
        <w:t>.</w:t>
      </w:r>
      <w:r w:rsidR="00D627F7">
        <w:rPr>
          <w:lang w:val="en-GB"/>
        </w:rPr>
        <w:t xml:space="preserve"> Therefore, the oil and gas companies are searching ways on adopting to new reality, and incorporating the renewable energy assets is one of such solutions. However, there are only one quite similar study </w:t>
      </w:r>
      <w:r w:rsidR="004D2563">
        <w:rPr>
          <w:lang w:val="en-GB"/>
        </w:rPr>
        <w:t>(K. Yoo, 2013</w:t>
      </w:r>
      <w:r w:rsidR="00D627F7">
        <w:rPr>
          <w:lang w:val="en-GB"/>
        </w:rPr>
        <w:t>)</w:t>
      </w:r>
      <w:r w:rsidR="00D627F7">
        <w:rPr>
          <w:rStyle w:val="af0"/>
          <w:lang w:val="en-GB"/>
        </w:rPr>
        <w:footnoteReference w:id="49"/>
      </w:r>
      <w:r w:rsidR="00D627F7">
        <w:rPr>
          <w:lang w:val="en-GB"/>
        </w:rPr>
        <w:t xml:space="preserve"> that investigates the market reaction on M&amp;A deals renewable energy industry. However, </w:t>
      </w:r>
      <w:r w:rsidR="004D2563">
        <w:rPr>
          <w:lang w:val="en-GB"/>
        </w:rPr>
        <w:t>this study has been conducted 8</w:t>
      </w:r>
      <w:r w:rsidR="002931DE">
        <w:rPr>
          <w:lang w:val="en-GB"/>
        </w:rPr>
        <w:t xml:space="preserve"> years ago and since then the sustainability issues have become more severe. Moreover, it was not aimed to be used by oil&amp;gas companies managerial decisions. </w:t>
      </w:r>
    </w:p>
    <w:p w:rsidR="00ED0C62" w:rsidRDefault="00BB1F80" w:rsidP="00ED0C62">
      <w:pPr>
        <w:rPr>
          <w:lang w:val="en-GB"/>
        </w:rPr>
      </w:pPr>
      <w:r>
        <w:rPr>
          <w:lang w:val="en-GB"/>
        </w:rPr>
        <w:t>Therefore, it will be interesting from both, academic and business perspective, to find out whether the market reacts positively on such deals or the topic of energy transition is just overhyped and fund managers do not consider O&amp;G companies buying renewable energy companies as something special and promising for their stock returns.</w:t>
      </w:r>
    </w:p>
    <w:p w:rsidR="00ED0C62" w:rsidRDefault="00ED0C62" w:rsidP="0027063D">
      <w:pPr>
        <w:rPr>
          <w:lang w:val="en-GB"/>
        </w:rPr>
      </w:pPr>
      <w:r w:rsidRPr="00ED0C62">
        <w:rPr>
          <w:lang w:val="en-GB"/>
        </w:rPr>
        <w:t>The results of the study will be useful both for oil and gas companies and for their shareholders (individual and institutional investors). From a corporate perspective, this will respond to question if it is a wise decision to invest and buy renewable energy if they want to attract new capital and retain their investors for the future. For shareholders, it also plays a crucial role, because it will tell them whether it will bring them additional revenue.</w:t>
      </w:r>
    </w:p>
    <w:p w:rsidR="00597929" w:rsidRDefault="00C853D9" w:rsidP="00505E0C">
      <w:pPr>
        <w:pStyle w:val="1"/>
        <w:rPr>
          <w:lang w:val="en-GB"/>
        </w:rPr>
      </w:pPr>
      <w:bookmarkStart w:id="6" w:name="_Toc73640563"/>
      <w:r>
        <w:rPr>
          <w:lang w:val="en-GB"/>
        </w:rPr>
        <w:lastRenderedPageBreak/>
        <w:t>Chapter</w:t>
      </w:r>
      <w:r w:rsidRPr="00327FAA">
        <w:rPr>
          <w:lang w:val="en-GB"/>
        </w:rPr>
        <w:t xml:space="preserve"> 2. </w:t>
      </w:r>
      <w:r w:rsidR="003C7AED">
        <w:rPr>
          <w:lang w:val="en-GB"/>
        </w:rPr>
        <w:t>Hypotheses</w:t>
      </w:r>
      <w:r w:rsidRPr="00C853D9">
        <w:rPr>
          <w:lang w:val="en-GB"/>
        </w:rPr>
        <w:t xml:space="preserve"> </w:t>
      </w:r>
      <w:r>
        <w:rPr>
          <w:lang w:val="en-GB"/>
        </w:rPr>
        <w:t>and research model</w:t>
      </w:r>
      <w:bookmarkEnd w:id="6"/>
    </w:p>
    <w:p w:rsidR="00597362" w:rsidRPr="000D31DE" w:rsidRDefault="00597362" w:rsidP="000D31DE">
      <w:pPr>
        <w:pStyle w:val="2"/>
        <w:rPr>
          <w:lang w:val="en-GB"/>
        </w:rPr>
      </w:pPr>
      <w:bookmarkStart w:id="7" w:name="_Toc73640564"/>
      <w:r w:rsidRPr="000D31DE">
        <w:rPr>
          <w:lang w:val="en-GB"/>
        </w:rPr>
        <w:t>2.1 Hypotheses formulation</w:t>
      </w:r>
      <w:bookmarkEnd w:id="7"/>
    </w:p>
    <w:p w:rsidR="003F2FE5" w:rsidRDefault="003F2FE5" w:rsidP="003F2FE5">
      <w:pPr>
        <w:rPr>
          <w:lang w:val="en-GB"/>
        </w:rPr>
      </w:pPr>
      <w:r>
        <w:rPr>
          <w:lang w:val="en-GB"/>
        </w:rPr>
        <w:t>This chapter I start with a formulation of hypotheses that flow from the previous chapter, based on the literature review. Thereon I propose the research model that will explain the structure of analysis itself, as well as sample for this research.</w:t>
      </w:r>
    </w:p>
    <w:p w:rsidR="00B35564" w:rsidRDefault="00B35564" w:rsidP="003F2FE5">
      <w:pPr>
        <w:rPr>
          <w:lang w:val="en-GB"/>
        </w:rPr>
      </w:pPr>
    </w:p>
    <w:p w:rsidR="00B35564" w:rsidRDefault="001D6663" w:rsidP="001D6663">
      <w:pPr>
        <w:rPr>
          <w:i/>
          <w:lang w:val="en-GB"/>
        </w:rPr>
      </w:pPr>
      <w:r w:rsidRPr="009F1583">
        <w:rPr>
          <w:b/>
          <w:i/>
          <w:lang w:val="en-GB"/>
        </w:rPr>
        <w:t>H1</w:t>
      </w:r>
      <w:r w:rsidRPr="00E90B08">
        <w:rPr>
          <w:i/>
          <w:lang w:val="en-GB"/>
        </w:rPr>
        <w:t xml:space="preserve">: </w:t>
      </w:r>
      <w:r w:rsidR="00030DA8" w:rsidRPr="00E90B08">
        <w:rPr>
          <w:i/>
          <w:lang w:val="en-GB"/>
        </w:rPr>
        <w:t>Abnormal positive stock returns for bidder firm</w:t>
      </w:r>
      <w:r w:rsidR="00E72DA7" w:rsidRPr="00E90B08">
        <w:rPr>
          <w:i/>
          <w:lang w:val="en-GB"/>
        </w:rPr>
        <w:t>s</w:t>
      </w:r>
      <w:r w:rsidR="00E90B08" w:rsidRPr="00E90B08">
        <w:rPr>
          <w:i/>
          <w:lang w:val="en-GB"/>
        </w:rPr>
        <w:t xml:space="preserve"> (O&amp;G companies)</w:t>
      </w:r>
      <w:r w:rsidR="00030DA8" w:rsidRPr="00E90B08">
        <w:rPr>
          <w:i/>
          <w:lang w:val="en-GB"/>
        </w:rPr>
        <w:t xml:space="preserve"> are observed after M&amp;A deal between oil and gas companies and </w:t>
      </w:r>
      <w:r w:rsidR="002F7A3D">
        <w:rPr>
          <w:i/>
          <w:lang w:val="en-GB"/>
        </w:rPr>
        <w:t>alternative</w:t>
      </w:r>
      <w:r w:rsidR="00030DA8" w:rsidRPr="00E90B08">
        <w:rPr>
          <w:i/>
          <w:lang w:val="en-GB"/>
        </w:rPr>
        <w:t xml:space="preserve"> energy </w:t>
      </w:r>
      <w:r w:rsidR="002F7A3D">
        <w:rPr>
          <w:i/>
          <w:lang w:val="en-GB"/>
        </w:rPr>
        <w:t xml:space="preserve">solution </w:t>
      </w:r>
      <w:r w:rsidR="00030DA8" w:rsidRPr="00E90B08">
        <w:rPr>
          <w:i/>
          <w:lang w:val="en-GB"/>
        </w:rPr>
        <w:t>companies.</w:t>
      </w:r>
    </w:p>
    <w:p w:rsidR="00BB1F80" w:rsidRDefault="00A056B3" w:rsidP="001D6663">
      <w:pPr>
        <w:rPr>
          <w:i/>
          <w:lang w:val="en-GB"/>
        </w:rPr>
      </w:pPr>
      <w:r>
        <w:rPr>
          <w:i/>
          <w:lang w:val="en-GB"/>
        </w:rPr>
        <w:t xml:space="preserve"> </w:t>
      </w:r>
    </w:p>
    <w:p w:rsidR="000C4729" w:rsidRDefault="00E90B08" w:rsidP="001D6663">
      <w:pPr>
        <w:rPr>
          <w:lang w:val="en-GB"/>
        </w:rPr>
      </w:pPr>
      <w:r>
        <w:rPr>
          <w:lang w:val="en-GB"/>
        </w:rPr>
        <w:t xml:space="preserve">This is my main hypothesis that I am going to research in my study. </w:t>
      </w:r>
      <w:r w:rsidR="00B35564">
        <w:rPr>
          <w:lang w:val="en-GB"/>
        </w:rPr>
        <w:t>All in all, in the literature dedicated to the market reaction analysis of such event like IPOs, M&amp;As, new market entering and etc., does not clearly state either there always positive reaction or negative one, as all cases are quite individual. Thus, it always possible to assume that both variants equally possible. Even though</w:t>
      </w:r>
      <w:r w:rsidR="000C4729">
        <w:rPr>
          <w:lang w:val="en-GB"/>
        </w:rPr>
        <w:t>,</w:t>
      </w:r>
      <w:r w:rsidR="004D2563">
        <w:rPr>
          <w:lang w:val="en-GB"/>
        </w:rPr>
        <w:t xml:space="preserve"> one recent study (K. Yoo, 2013</w:t>
      </w:r>
      <w:r w:rsidR="00B35564">
        <w:rPr>
          <w:lang w:val="en-GB"/>
        </w:rPr>
        <w:t>)</w:t>
      </w:r>
      <w:r w:rsidR="000C4729">
        <w:rPr>
          <w:lang w:val="en-GB"/>
        </w:rPr>
        <w:t xml:space="preserve"> has shown a negative market reaction to heterogeneous-energy (</w:t>
      </w:r>
      <w:r w:rsidR="000C4729" w:rsidRPr="000C4729">
        <w:rPr>
          <w:lang w:val="en-GB"/>
        </w:rPr>
        <w:t>between a traditional energy company and a renewable energy company</w:t>
      </w:r>
      <w:r w:rsidR="000C4729">
        <w:rPr>
          <w:lang w:val="en-GB"/>
        </w:rPr>
        <w:t xml:space="preserve">) merges and acquisitions deals, I can still assume that the green transformation of oil&amp;gas companies will create an environmentally friendly image of them and positively </w:t>
      </w:r>
      <w:r w:rsidR="002F7A3D">
        <w:rPr>
          <w:lang w:val="en-GB"/>
        </w:rPr>
        <w:t>influence fi</w:t>
      </w:r>
      <w:r w:rsidR="000C4729">
        <w:rPr>
          <w:lang w:val="en-GB"/>
        </w:rPr>
        <w:t>rm</w:t>
      </w:r>
      <w:r w:rsidR="002F7A3D">
        <w:rPr>
          <w:lang w:val="en-GB"/>
        </w:rPr>
        <w:t>s</w:t>
      </w:r>
      <w:r w:rsidR="00E94CC5">
        <w:rPr>
          <w:lang w:val="en-GB"/>
        </w:rPr>
        <w:t>’</w:t>
      </w:r>
      <w:r w:rsidR="002F7A3D">
        <w:rPr>
          <w:lang w:val="en-GB"/>
        </w:rPr>
        <w:t xml:space="preserve"> value.</w:t>
      </w:r>
    </w:p>
    <w:p w:rsidR="00EC6FE8" w:rsidRDefault="002F5BF3" w:rsidP="001D6663">
      <w:pPr>
        <w:rPr>
          <w:lang w:val="en-GB"/>
        </w:rPr>
      </w:pPr>
      <w:r>
        <w:rPr>
          <w:lang w:val="en-GB"/>
        </w:rPr>
        <w:t xml:space="preserve">The studies from the literature review provide some basis for such hypothesis. First of all, shareholders saw stagnating stock returns from oil and </w:t>
      </w:r>
      <w:r w:rsidR="00655C03">
        <w:rPr>
          <w:lang w:val="en-GB"/>
        </w:rPr>
        <w:t>gas companies in previous years</w:t>
      </w:r>
      <w:r w:rsidR="000C4729">
        <w:rPr>
          <w:lang w:val="en-GB"/>
        </w:rPr>
        <w:t xml:space="preserve"> (R. Weijermars, O. Clint, L.</w:t>
      </w:r>
      <w:r w:rsidR="00EC6FE8">
        <w:rPr>
          <w:lang w:val="en-GB"/>
        </w:rPr>
        <w:t xml:space="preserve"> Pyke, 2014)[8]</w:t>
      </w:r>
      <w:r w:rsidR="00655C03">
        <w:rPr>
          <w:lang w:val="en-GB"/>
        </w:rPr>
        <w:t>. A</w:t>
      </w:r>
      <w:r>
        <w:rPr>
          <w:lang w:val="en-GB"/>
        </w:rPr>
        <w:t>t the same time</w:t>
      </w:r>
      <w:r w:rsidR="00655C03">
        <w:rPr>
          <w:lang w:val="en-GB"/>
        </w:rPr>
        <w:t xml:space="preserve"> fund managers that have hold carbon free portfolios have higher returns than those who have fossil companies in their portfolios</w:t>
      </w:r>
      <w:r w:rsidR="00EC6FE8">
        <w:rPr>
          <w:lang w:val="en-GB"/>
        </w:rPr>
        <w:t xml:space="preserve"> (D</w:t>
      </w:r>
      <w:r w:rsidR="00546D69">
        <w:rPr>
          <w:lang w:val="en-GB"/>
        </w:rPr>
        <w:t>.</w:t>
      </w:r>
      <w:r w:rsidR="00EC6FE8">
        <w:rPr>
          <w:lang w:val="en-GB"/>
        </w:rPr>
        <w:t xml:space="preserve"> Halcoussis</w:t>
      </w:r>
      <w:r w:rsidR="00EC6FE8" w:rsidRPr="00AE2EDC">
        <w:rPr>
          <w:lang w:val="en-GB"/>
        </w:rPr>
        <w:t>, A</w:t>
      </w:r>
      <w:r w:rsidR="00546D69">
        <w:rPr>
          <w:lang w:val="en-GB"/>
        </w:rPr>
        <w:t>.</w:t>
      </w:r>
      <w:r w:rsidR="00EC6FE8" w:rsidRPr="00AE2EDC">
        <w:rPr>
          <w:lang w:val="en-GB"/>
        </w:rPr>
        <w:t xml:space="preserve"> D. Lowenberg</w:t>
      </w:r>
      <w:r w:rsidR="00EC6FE8">
        <w:rPr>
          <w:lang w:val="en-GB"/>
        </w:rPr>
        <w:t>, 2019)[15], (</w:t>
      </w:r>
      <w:r w:rsidR="00546D69">
        <w:rPr>
          <w:lang w:val="en-GB"/>
        </w:rPr>
        <w:t>I. Henriques, P.</w:t>
      </w:r>
      <w:r w:rsidR="00EC6FE8" w:rsidRPr="00AD11F8">
        <w:rPr>
          <w:lang w:val="en-GB"/>
        </w:rPr>
        <w:t xml:space="preserve"> Sadorsky</w:t>
      </w:r>
      <w:r w:rsidR="00EC6FE8">
        <w:rPr>
          <w:lang w:val="en-GB"/>
        </w:rPr>
        <w:t>, 2018)[20]</w:t>
      </w:r>
      <w:r w:rsidR="009E3EEF">
        <w:rPr>
          <w:lang w:val="en-GB"/>
        </w:rPr>
        <w:t>. T</w:t>
      </w:r>
      <w:r w:rsidR="00655C03">
        <w:rPr>
          <w:lang w:val="en-GB"/>
        </w:rPr>
        <w:t>he example of Ørsted, even though the case of this company differs a bit from the case of companies that I am going to investigate, has shown a positive market reaction</w:t>
      </w:r>
      <w:r w:rsidR="00EC6FE8">
        <w:rPr>
          <w:lang w:val="en-GB"/>
        </w:rPr>
        <w:t xml:space="preserve"> (</w:t>
      </w:r>
      <w:r w:rsidR="00EC6FE8" w:rsidRPr="009479F1">
        <w:rPr>
          <w:lang w:val="en-GB"/>
        </w:rPr>
        <w:t>C</w:t>
      </w:r>
      <w:r w:rsidR="00546D69">
        <w:rPr>
          <w:lang w:val="en-GB"/>
        </w:rPr>
        <w:t xml:space="preserve">. </w:t>
      </w:r>
      <w:r w:rsidR="00EC6FE8" w:rsidRPr="009479F1">
        <w:rPr>
          <w:lang w:val="en-GB"/>
        </w:rPr>
        <w:t>Beck</w:t>
      </w:r>
      <w:r w:rsidR="00EC6FE8">
        <w:rPr>
          <w:lang w:val="en-GB"/>
        </w:rPr>
        <w:t xml:space="preserve">, </w:t>
      </w:r>
      <w:r w:rsidR="00546D69">
        <w:rPr>
          <w:lang w:val="en-GB"/>
        </w:rPr>
        <w:t>J.</w:t>
      </w:r>
      <w:r w:rsidR="00EC6FE8" w:rsidRPr="009479F1">
        <w:rPr>
          <w:lang w:val="en-GB"/>
        </w:rPr>
        <w:t xml:space="preserve"> Kar</w:t>
      </w:r>
      <w:r w:rsidR="00EC6FE8">
        <w:rPr>
          <w:lang w:val="en-GB"/>
        </w:rPr>
        <w:t>, 2021)[26]</w:t>
      </w:r>
      <w:r w:rsidR="00655C03">
        <w:rPr>
          <w:lang w:val="en-GB"/>
        </w:rPr>
        <w:t xml:space="preserve">. Therefore, it can be expected that market will positively react on </w:t>
      </w:r>
      <w:r w:rsidR="00EC6FE8">
        <w:rPr>
          <w:lang w:val="en-GB"/>
        </w:rPr>
        <w:t>events of an oil&amp;gas company buying a renewable energy company or acquiring a stake in it.</w:t>
      </w:r>
    </w:p>
    <w:p w:rsidR="00307ED7" w:rsidRDefault="00307ED7" w:rsidP="001D6663">
      <w:pPr>
        <w:rPr>
          <w:lang w:val="en-GB"/>
        </w:rPr>
      </w:pPr>
      <w:r>
        <w:rPr>
          <w:lang w:val="en-GB"/>
        </w:rPr>
        <w:t xml:space="preserve">Following hypothesis are supplementary for the first one. </w:t>
      </w:r>
      <w:r w:rsidRPr="00307ED7">
        <w:rPr>
          <w:lang w:val="en-GB"/>
        </w:rPr>
        <w:t xml:space="preserve">In general, by adding a number of such clarifying </w:t>
      </w:r>
      <w:r>
        <w:rPr>
          <w:lang w:val="en-GB"/>
        </w:rPr>
        <w:t>sub</w:t>
      </w:r>
      <w:r w:rsidRPr="00307ED7">
        <w:rPr>
          <w:lang w:val="en-GB"/>
        </w:rPr>
        <w:t xml:space="preserve"> hypotheses, </w:t>
      </w:r>
      <w:r>
        <w:rPr>
          <w:lang w:val="en-GB"/>
        </w:rPr>
        <w:t>it</w:t>
      </w:r>
      <w:r w:rsidRPr="00307ED7">
        <w:rPr>
          <w:lang w:val="en-GB"/>
        </w:rPr>
        <w:t xml:space="preserve"> will help to form a portrait of the company that will be attractive to </w:t>
      </w:r>
      <w:r w:rsidR="002F7A3D">
        <w:rPr>
          <w:lang w:val="en-GB"/>
        </w:rPr>
        <w:t xml:space="preserve">an </w:t>
      </w:r>
      <w:r w:rsidR="00546D69">
        <w:rPr>
          <w:lang w:val="en-GB"/>
        </w:rPr>
        <w:t>investor.</w:t>
      </w:r>
    </w:p>
    <w:p w:rsidR="00546D69" w:rsidRDefault="00546D69" w:rsidP="001D6663">
      <w:pPr>
        <w:rPr>
          <w:lang w:val="en-GB"/>
        </w:rPr>
      </w:pPr>
      <w:r>
        <w:rPr>
          <w:lang w:val="en-GB"/>
        </w:rPr>
        <w:t xml:space="preserve">I am going to study the market effect from short-term and long-term horizon. The short-term results will tell shareholders what they can expect from such events immediately. </w:t>
      </w:r>
      <w:r w:rsidR="008A391D">
        <w:rPr>
          <w:lang w:val="en-GB"/>
        </w:rPr>
        <w:t xml:space="preserve">The first reaction of market to events like M&amp;A shows expectations of investors and what they really think </w:t>
      </w:r>
      <w:r w:rsidR="008A391D">
        <w:rPr>
          <w:lang w:val="en-GB"/>
        </w:rPr>
        <w:lastRenderedPageBreak/>
        <w:t xml:space="preserve">about it. If, in my study, a positive abnormal return for an event will be revealed this will mean that market participants consider the strategy of transition of oil&amp;gas companies transformation into energy companies as something positive. Otherwise, if the reaction will be negative, it would mean that from the point of view of investors, energy transition is not worthy and will undermine positions of oil and gas companies participating in such M&amp;As. </w:t>
      </w:r>
    </w:p>
    <w:p w:rsidR="00411885" w:rsidRDefault="00905AF2" w:rsidP="00BA4EA3">
      <w:pPr>
        <w:rPr>
          <w:lang w:val="en-GB"/>
        </w:rPr>
      </w:pPr>
      <w:r>
        <w:rPr>
          <w:lang w:val="en-GB"/>
        </w:rPr>
        <w:t>Nevertheless, M&amp;</w:t>
      </w:r>
      <w:proofErr w:type="gramStart"/>
      <w:r>
        <w:rPr>
          <w:lang w:val="en-GB"/>
        </w:rPr>
        <w:t>As</w:t>
      </w:r>
      <w:proofErr w:type="gramEnd"/>
      <w:r>
        <w:rPr>
          <w:lang w:val="en-GB"/>
        </w:rPr>
        <w:t xml:space="preserve"> have strong structural effects on firms, hence the results for business </w:t>
      </w:r>
      <w:r w:rsidR="003A6BC7">
        <w:rPr>
          <w:lang w:val="en-GB"/>
        </w:rPr>
        <w:t>are unpredictable and not always hold with the investors’ expectations at the day of</w:t>
      </w:r>
      <w:r w:rsidR="00411885">
        <w:rPr>
          <w:lang w:val="en-GB"/>
        </w:rPr>
        <w:t xml:space="preserve"> an</w:t>
      </w:r>
      <w:r w:rsidR="003A6BC7">
        <w:rPr>
          <w:lang w:val="en-GB"/>
        </w:rPr>
        <w:t xml:space="preserve"> event. By incorporating assets of another business or a whole firm might strongly change the operations of </w:t>
      </w:r>
      <w:r w:rsidR="00FD610E">
        <w:rPr>
          <w:lang w:val="en-GB"/>
        </w:rPr>
        <w:t>a</w:t>
      </w:r>
      <w:r w:rsidR="003A6BC7">
        <w:rPr>
          <w:lang w:val="en-GB"/>
        </w:rPr>
        <w:t xml:space="preserve"> bidder company, therefore affecting its shares (investors’ expectations also depend upon annual reports of firms and how well they are doing, if these reports show that an entity is healthy and profitable, then its market value increases, as investors believe that this firm will bring them excess returns). </w:t>
      </w:r>
      <w:r w:rsidR="00411885">
        <w:rPr>
          <w:lang w:val="en-GB"/>
        </w:rPr>
        <w:t xml:space="preserve">In the energy sector, which is very capital intensive, changes </w:t>
      </w:r>
      <w:r w:rsidR="00FD610E">
        <w:rPr>
          <w:lang w:val="en-GB"/>
        </w:rPr>
        <w:t xml:space="preserve">in value chain might take some time. Even though, M&amp;As with alternative energy companies can be considered as cross-sectional (take place in the energy industry) deals, this is still new operations and markets for oil&amp;gas companies, so it will take some time for them to adopt renewable energy assets for their business models. </w:t>
      </w:r>
      <w:r w:rsidR="00411885">
        <w:rPr>
          <w:lang w:val="en-GB"/>
        </w:rPr>
        <w:t>Therefore, for a long-run we can suggest that an oil&amp;gas companies’ operations have been improved due to incorporation of alternative energy solutions into its value chain, thus improving financial position, improved investor opinion about a company and as a result excessive stock returns.</w:t>
      </w:r>
    </w:p>
    <w:p w:rsidR="00BA4EA3" w:rsidRDefault="00BA4EA3" w:rsidP="00BA4EA3">
      <w:pPr>
        <w:rPr>
          <w:lang w:val="en-GB"/>
        </w:rPr>
      </w:pPr>
      <w:r>
        <w:rPr>
          <w:lang w:val="en-GB"/>
        </w:rPr>
        <w:t xml:space="preserve">To sum up, short-term study will assess the first </w:t>
      </w:r>
      <w:r w:rsidR="00767A52">
        <w:rPr>
          <w:lang w:val="en-GB"/>
        </w:rPr>
        <w:t>market reaction of investors, while the long-term study will evaluate how well bidder companies have adopted alternative energy solutions into its business model.</w:t>
      </w:r>
    </w:p>
    <w:p w:rsidR="002F7A3D" w:rsidRPr="00EC6FE8" w:rsidRDefault="007E7296" w:rsidP="007E7296">
      <w:pPr>
        <w:tabs>
          <w:tab w:val="left" w:pos="3900"/>
        </w:tabs>
        <w:rPr>
          <w:lang w:val="en-GB"/>
        </w:rPr>
      </w:pPr>
      <w:r>
        <w:rPr>
          <w:lang w:val="en-GB"/>
        </w:rPr>
        <w:tab/>
      </w:r>
    </w:p>
    <w:p w:rsidR="00685261" w:rsidRDefault="00AE36A4" w:rsidP="00685261">
      <w:pPr>
        <w:rPr>
          <w:i/>
          <w:lang w:val="en-GB"/>
        </w:rPr>
      </w:pPr>
      <w:r>
        <w:rPr>
          <w:b/>
          <w:i/>
          <w:lang w:val="en-GB"/>
        </w:rPr>
        <w:t>H 1.2</w:t>
      </w:r>
      <w:r w:rsidR="00307ED7">
        <w:rPr>
          <w:i/>
          <w:lang w:val="en-GB"/>
        </w:rPr>
        <w:t>:</w:t>
      </w:r>
      <w:r w:rsidR="00685261">
        <w:rPr>
          <w:i/>
          <w:lang w:val="en-GB"/>
        </w:rPr>
        <w:t xml:space="preserve"> M&amp;</w:t>
      </w:r>
      <w:proofErr w:type="gramStart"/>
      <w:r w:rsidR="00685261">
        <w:rPr>
          <w:i/>
          <w:lang w:val="en-GB"/>
        </w:rPr>
        <w:t>As</w:t>
      </w:r>
      <w:proofErr w:type="gramEnd"/>
      <w:r w:rsidR="00685261">
        <w:rPr>
          <w:i/>
          <w:lang w:val="en-GB"/>
        </w:rPr>
        <w:t xml:space="preserve"> with solar and wind companies brings higher returns</w:t>
      </w:r>
    </w:p>
    <w:p w:rsidR="002F7A3D" w:rsidRDefault="002F7A3D" w:rsidP="00685261">
      <w:pPr>
        <w:rPr>
          <w:i/>
          <w:lang w:val="en-GB"/>
        </w:rPr>
      </w:pPr>
    </w:p>
    <w:p w:rsidR="00364727" w:rsidRDefault="00685261" w:rsidP="00364727">
      <w:pPr>
        <w:rPr>
          <w:lang w:val="en-GB"/>
        </w:rPr>
      </w:pPr>
      <w:r w:rsidRPr="00685261">
        <w:rPr>
          <w:lang w:val="en-GB"/>
        </w:rPr>
        <w:t xml:space="preserve">As it was discussed in literature review on energy transition strategies, </w:t>
      </w:r>
      <w:r>
        <w:rPr>
          <w:lang w:val="en-GB"/>
        </w:rPr>
        <w:t>oil and gas companies more often invest or acquire green companies working in the production of wind and solar energy</w:t>
      </w:r>
      <w:r w:rsidR="0052032B">
        <w:rPr>
          <w:lang w:val="en-GB"/>
        </w:rPr>
        <w:t xml:space="preserve"> (</w:t>
      </w:r>
      <w:r w:rsidR="002F7A3D">
        <w:rPr>
          <w:lang w:val="en-GB"/>
        </w:rPr>
        <w:t>H.</w:t>
      </w:r>
      <w:r w:rsidR="0052032B" w:rsidRPr="00834CB5">
        <w:rPr>
          <w:lang w:val="en-GB"/>
        </w:rPr>
        <w:t xml:space="preserve"> Lu</w:t>
      </w:r>
      <w:r w:rsidR="0052032B">
        <w:rPr>
          <w:lang w:val="en-GB"/>
        </w:rPr>
        <w:t xml:space="preserve">, </w:t>
      </w:r>
      <w:r w:rsidR="002F7A3D">
        <w:rPr>
          <w:lang w:val="en-GB"/>
        </w:rPr>
        <w:t>L.</w:t>
      </w:r>
      <w:r w:rsidR="0052032B" w:rsidRPr="00834CB5">
        <w:rPr>
          <w:lang w:val="en-GB"/>
        </w:rPr>
        <w:t xml:space="preserve"> Guo</w:t>
      </w:r>
      <w:r w:rsidR="0052032B">
        <w:rPr>
          <w:lang w:val="en-GB"/>
        </w:rPr>
        <w:t xml:space="preserve">, </w:t>
      </w:r>
      <w:r w:rsidR="002F7A3D">
        <w:rPr>
          <w:lang w:val="en-GB"/>
        </w:rPr>
        <w:t xml:space="preserve">Y. </w:t>
      </w:r>
      <w:r w:rsidR="0052032B" w:rsidRPr="00834CB5">
        <w:rPr>
          <w:lang w:val="en-GB"/>
        </w:rPr>
        <w:t>Zhan</w:t>
      </w:r>
      <w:r w:rsidR="000B1D7C">
        <w:rPr>
          <w:lang w:val="en-GB"/>
        </w:rPr>
        <w:t>, 2019)</w:t>
      </w:r>
      <w:r w:rsidR="000B1D7C">
        <w:rPr>
          <w:rStyle w:val="af0"/>
          <w:lang w:val="en-GB"/>
        </w:rPr>
        <w:footnoteReference w:id="50"/>
      </w:r>
      <w:r>
        <w:rPr>
          <w:lang w:val="en-GB"/>
        </w:rPr>
        <w:t>. Moreover, wind and solar energy are holding second and third places in the list of most popular sources of renewable energy</w:t>
      </w:r>
      <w:r w:rsidR="0052032B">
        <w:rPr>
          <w:lang w:val="en-GB"/>
        </w:rPr>
        <w:t xml:space="preserve"> (Power Technology report, 2020)</w:t>
      </w:r>
      <w:r w:rsidR="0052032B">
        <w:rPr>
          <w:rStyle w:val="af0"/>
          <w:lang w:val="en-GB"/>
        </w:rPr>
        <w:footnoteReference w:id="51"/>
      </w:r>
      <w:r>
        <w:rPr>
          <w:lang w:val="en-GB"/>
        </w:rPr>
        <w:t>.</w:t>
      </w:r>
      <w:r w:rsidR="0052032B">
        <w:rPr>
          <w:lang w:val="en-GB"/>
        </w:rPr>
        <w:t xml:space="preserve"> Hence</w:t>
      </w:r>
      <w:r>
        <w:rPr>
          <w:lang w:val="en-GB"/>
        </w:rPr>
        <w:t xml:space="preserve">, it can be assumed that </w:t>
      </w:r>
      <w:r w:rsidR="0052032B">
        <w:rPr>
          <w:lang w:val="en-GB"/>
        </w:rPr>
        <w:t>while solar and wind energy has high value for global economy, so it will be for the value of oil and gas companies acquiring them. Therefore, I come to hypothesis that M&amp;A with solar&amp;wind is most va</w:t>
      </w:r>
      <w:r w:rsidR="002F7A3D">
        <w:rPr>
          <w:lang w:val="en-GB"/>
        </w:rPr>
        <w:t>luable in terms of market reaction</w:t>
      </w:r>
      <w:r w:rsidR="0052032B">
        <w:rPr>
          <w:lang w:val="en-GB"/>
        </w:rPr>
        <w:t>.</w:t>
      </w:r>
    </w:p>
    <w:p w:rsidR="00261F72" w:rsidRDefault="00AE1433" w:rsidP="00364727">
      <w:pPr>
        <w:rPr>
          <w:lang w:val="en-GB"/>
        </w:rPr>
      </w:pPr>
      <w:r>
        <w:rPr>
          <w:lang w:val="en-GB"/>
        </w:rPr>
        <w:lastRenderedPageBreak/>
        <w:t xml:space="preserve"> </w:t>
      </w:r>
    </w:p>
    <w:p w:rsidR="0030656B" w:rsidRPr="000D31DE" w:rsidRDefault="0030656B" w:rsidP="0030656B">
      <w:pPr>
        <w:pStyle w:val="2"/>
        <w:rPr>
          <w:lang w:val="en-GB"/>
        </w:rPr>
      </w:pPr>
      <w:bookmarkStart w:id="8" w:name="_Toc73640565"/>
      <w:r w:rsidRPr="000D31DE">
        <w:rPr>
          <w:lang w:val="en-GB"/>
        </w:rPr>
        <w:t>2.2. Research methodology</w:t>
      </w:r>
      <w:bookmarkEnd w:id="8"/>
    </w:p>
    <w:p w:rsidR="0030656B" w:rsidRDefault="0030656B" w:rsidP="0030656B">
      <w:pPr>
        <w:pStyle w:val="3"/>
        <w:rPr>
          <w:lang w:val="en-GB"/>
        </w:rPr>
      </w:pPr>
      <w:bookmarkStart w:id="9" w:name="_Toc73640566"/>
      <w:r>
        <w:rPr>
          <w:lang w:val="en-GB"/>
        </w:rPr>
        <w:t>2.2.1. Event study</w:t>
      </w:r>
      <w:bookmarkEnd w:id="9"/>
      <w:r>
        <w:rPr>
          <w:lang w:val="en-GB"/>
        </w:rPr>
        <w:t xml:space="preserve"> </w:t>
      </w:r>
    </w:p>
    <w:p w:rsidR="000E0310" w:rsidRDefault="0030656B" w:rsidP="00542B52">
      <w:pPr>
        <w:rPr>
          <w:lang w:val="en-GB"/>
        </w:rPr>
      </w:pPr>
      <w:r>
        <w:rPr>
          <w:lang w:val="en-GB"/>
        </w:rPr>
        <w:t xml:space="preserve">For the first hypothesis, the approach of event studies is going to be used. The </w:t>
      </w:r>
      <w:r w:rsidR="006F6BAE" w:rsidRPr="006F6BAE">
        <w:rPr>
          <w:lang w:val="en-GB"/>
        </w:rPr>
        <w:t xml:space="preserve">simple </w:t>
      </w:r>
      <w:r>
        <w:rPr>
          <w:lang w:val="en-GB"/>
        </w:rPr>
        <w:t xml:space="preserve">idea behind the event study is that it </w:t>
      </w:r>
      <w:r w:rsidRPr="009F1583">
        <w:rPr>
          <w:lang w:val="en-GB"/>
        </w:rPr>
        <w:t>can reveal important information about how a security is likely to react to a given event</w:t>
      </w:r>
      <w:r>
        <w:rPr>
          <w:lang w:val="en-GB"/>
        </w:rPr>
        <w:t xml:space="preserve">, in our case the M&amp;A deal. </w:t>
      </w:r>
      <w:r w:rsidR="006F6BAE">
        <w:rPr>
          <w:lang w:val="en-GB"/>
        </w:rPr>
        <w:t xml:space="preserve">The objective of event studies is to assess how stock markets reacts to certain event that took place and to which extent investors can expect to </w:t>
      </w:r>
      <w:r w:rsidR="006F6BAE" w:rsidRPr="006F6BAE">
        <w:rPr>
          <w:lang w:val="en-GB"/>
        </w:rPr>
        <w:t xml:space="preserve">earn excess or returns from </w:t>
      </w:r>
      <w:r w:rsidR="006F6BAE">
        <w:rPr>
          <w:lang w:val="en-GB"/>
        </w:rPr>
        <w:t xml:space="preserve">shares because of </w:t>
      </w:r>
      <w:r w:rsidR="006F6BAE" w:rsidRPr="006F6BAE">
        <w:rPr>
          <w:lang w:val="en-GB"/>
        </w:rPr>
        <w:t>an event that carries new informational con</w:t>
      </w:r>
      <w:r w:rsidR="006F6BAE">
        <w:rPr>
          <w:lang w:val="en-GB"/>
        </w:rPr>
        <w:t xml:space="preserve">tent. </w:t>
      </w:r>
      <w:r w:rsidR="00BE68B3">
        <w:rPr>
          <w:lang w:val="en-GB"/>
        </w:rPr>
        <w:t xml:space="preserve">(A. </w:t>
      </w:r>
      <w:r w:rsidR="00BE68B3" w:rsidRPr="00BE68B3">
        <w:rPr>
          <w:lang w:val="en-GB"/>
        </w:rPr>
        <w:t>Sorescu, L. Warren</w:t>
      </w:r>
      <w:r w:rsidR="00BE68B3">
        <w:rPr>
          <w:lang w:val="en-GB"/>
        </w:rPr>
        <w:t xml:space="preserve">, L. </w:t>
      </w:r>
      <w:r w:rsidR="00BE68B3" w:rsidRPr="00BE68B3">
        <w:rPr>
          <w:lang w:val="en-GB"/>
        </w:rPr>
        <w:t>Ertekin,</w:t>
      </w:r>
      <w:r w:rsidR="00BE68B3">
        <w:rPr>
          <w:lang w:val="en-GB"/>
        </w:rPr>
        <w:t xml:space="preserve"> 2016). The first study that researched the effect of an event on stock price was formulated by </w:t>
      </w:r>
      <w:r w:rsidR="00BE68B3" w:rsidRPr="00BE68B3">
        <w:rPr>
          <w:lang w:val="en-GB"/>
        </w:rPr>
        <w:t>James Dolley</w:t>
      </w:r>
      <w:r w:rsidR="00BE68B3">
        <w:rPr>
          <w:lang w:val="en-GB"/>
        </w:rPr>
        <w:t xml:space="preserve"> in 1930 (Dolley, 1930)</w:t>
      </w:r>
      <w:r w:rsidR="00BE68B3">
        <w:rPr>
          <w:rStyle w:val="af0"/>
          <w:lang w:val="en-GB"/>
        </w:rPr>
        <w:footnoteReference w:id="52"/>
      </w:r>
      <w:r w:rsidR="00F97F21">
        <w:rPr>
          <w:lang w:val="en-GB"/>
        </w:rPr>
        <w:t xml:space="preserve">. Other authors, who lately have significantly enriched the event study approaches were </w:t>
      </w:r>
      <w:r w:rsidR="00F97F21" w:rsidRPr="00F97F21">
        <w:rPr>
          <w:lang w:val="en-GB"/>
        </w:rPr>
        <w:t>Ball and Brown</w:t>
      </w:r>
      <w:r w:rsidR="00F97F21">
        <w:rPr>
          <w:lang w:val="en-GB"/>
        </w:rPr>
        <w:t xml:space="preserve"> in 1968</w:t>
      </w:r>
      <w:r w:rsidR="00C374EC">
        <w:rPr>
          <w:lang w:val="en-GB"/>
        </w:rPr>
        <w:t xml:space="preserve"> (Ball, R. 1968)</w:t>
      </w:r>
      <w:r w:rsidR="00F97F21">
        <w:rPr>
          <w:rStyle w:val="af0"/>
          <w:lang w:val="en-GB"/>
        </w:rPr>
        <w:footnoteReference w:id="53"/>
      </w:r>
      <w:r w:rsidR="00F97F21">
        <w:rPr>
          <w:lang w:val="en-GB"/>
        </w:rPr>
        <w:t xml:space="preserve"> and Fama in 1969</w:t>
      </w:r>
      <w:r w:rsidR="00C374EC">
        <w:rPr>
          <w:lang w:val="en-GB"/>
        </w:rPr>
        <w:t xml:space="preserve"> (E. Fama, F. Fisher, et.al, 1969)</w:t>
      </w:r>
      <w:r w:rsidR="00F97F21">
        <w:rPr>
          <w:rStyle w:val="af0"/>
          <w:lang w:val="en-GB"/>
        </w:rPr>
        <w:footnoteReference w:id="54"/>
      </w:r>
      <w:r w:rsidR="00ED59DC">
        <w:rPr>
          <w:lang w:val="en-GB"/>
        </w:rPr>
        <w:t xml:space="preserve">. Very crucial theory that is used in event studies is the </w:t>
      </w:r>
      <w:r w:rsidR="00542B52">
        <w:rPr>
          <w:lang w:val="en-GB"/>
        </w:rPr>
        <w:t>efficient</w:t>
      </w:r>
      <w:r w:rsidR="00ED59DC">
        <w:rPr>
          <w:lang w:val="en-GB"/>
        </w:rPr>
        <w:t xml:space="preserve"> </w:t>
      </w:r>
      <w:r w:rsidR="00ED59DC" w:rsidRPr="00ED59DC">
        <w:rPr>
          <w:lang w:val="en-GB"/>
        </w:rPr>
        <w:t>market hypothesis</w:t>
      </w:r>
      <w:r w:rsidR="00FB5AB9">
        <w:rPr>
          <w:lang w:val="en-GB"/>
        </w:rPr>
        <w:t xml:space="preserve"> (EMH)</w:t>
      </w:r>
      <w:r w:rsidR="00ED59DC">
        <w:rPr>
          <w:lang w:val="en-GB"/>
        </w:rPr>
        <w:t xml:space="preserve"> that was brought to its final form by Fama in 1970</w:t>
      </w:r>
      <w:r w:rsidR="00ED59DC">
        <w:rPr>
          <w:rStyle w:val="af0"/>
          <w:lang w:val="en-GB"/>
        </w:rPr>
        <w:footnoteReference w:id="55"/>
      </w:r>
      <w:r w:rsidR="00C374EC">
        <w:rPr>
          <w:lang w:val="en-GB"/>
        </w:rPr>
        <w:t xml:space="preserve"> (Fama, 1970)</w:t>
      </w:r>
      <w:r w:rsidR="00542B52">
        <w:rPr>
          <w:lang w:val="en-GB"/>
        </w:rPr>
        <w:t>, according to this hypothesis stock markets incorporate</w:t>
      </w:r>
      <w:r w:rsidR="00542B52" w:rsidRPr="00542B52">
        <w:rPr>
          <w:lang w:val="en-GB"/>
        </w:rPr>
        <w:t xml:space="preserve"> instan</w:t>
      </w:r>
      <w:r w:rsidR="00542B52">
        <w:rPr>
          <w:lang w:val="en-GB"/>
        </w:rPr>
        <w:t>tly</w:t>
      </w:r>
      <w:r w:rsidR="00542B52" w:rsidRPr="00542B52">
        <w:rPr>
          <w:lang w:val="en-GB"/>
        </w:rPr>
        <w:t xml:space="preserve"> eff</w:t>
      </w:r>
      <w:r w:rsidR="00542B52">
        <w:rPr>
          <w:lang w:val="en-GB"/>
        </w:rPr>
        <w:t>ects caused by events. So, for short-term studies usually very short periods are used around the event day in order to assess its influence.</w:t>
      </w:r>
      <w:r w:rsidR="00C374EC">
        <w:rPr>
          <w:lang w:val="en-GB"/>
        </w:rPr>
        <w:t xml:space="preserve"> </w:t>
      </w:r>
      <w:r w:rsidR="00C91361">
        <w:rPr>
          <w:lang w:val="en-GB"/>
        </w:rPr>
        <w:t xml:space="preserve">Nevertheless, this theory is not that strict, and Fama in his same research differentiated strong, semi-strong and weak market efficiency, meaning that markets need some time to react on an event. </w:t>
      </w:r>
    </w:p>
    <w:p w:rsidR="00542B52" w:rsidRDefault="00C91361" w:rsidP="00542B52">
      <w:pPr>
        <w:rPr>
          <w:lang w:val="en-GB"/>
        </w:rPr>
      </w:pPr>
      <w:r>
        <w:rPr>
          <w:lang w:val="en-GB"/>
        </w:rPr>
        <w:t xml:space="preserve">The usefulness of these studies is that statistics on stock returns in accordance with a particular event </w:t>
      </w:r>
      <w:r w:rsidRPr="00C91361">
        <w:rPr>
          <w:lang w:val="en-GB"/>
        </w:rPr>
        <w:t>provides a measure</w:t>
      </w:r>
      <w:r>
        <w:rPr>
          <w:lang w:val="en-GB"/>
        </w:rPr>
        <w:t xml:space="preserve"> of</w:t>
      </w:r>
      <w:r w:rsidRPr="00C91361">
        <w:rPr>
          <w:lang w:val="en-GB"/>
        </w:rPr>
        <w:t xml:space="preserve"> impact of this type of event on the wealth of </w:t>
      </w:r>
      <w:r>
        <w:rPr>
          <w:lang w:val="en-GB"/>
        </w:rPr>
        <w:t>companies’ shareholders, who were affected by that (</w:t>
      </w:r>
      <w:r w:rsidRPr="00C91361">
        <w:rPr>
          <w:lang w:val="en-GB"/>
        </w:rPr>
        <w:t>P. Kothari</w:t>
      </w:r>
      <w:r>
        <w:rPr>
          <w:lang w:val="en-GB"/>
        </w:rPr>
        <w:t xml:space="preserve">, </w:t>
      </w:r>
      <w:r w:rsidRPr="00C91361">
        <w:rPr>
          <w:lang w:val="en-GB"/>
        </w:rPr>
        <w:t>B. Warner</w:t>
      </w:r>
      <w:r>
        <w:rPr>
          <w:lang w:val="en-GB"/>
        </w:rPr>
        <w:t>, 2006)</w:t>
      </w:r>
      <w:r>
        <w:rPr>
          <w:rStyle w:val="af0"/>
          <w:lang w:val="en-GB"/>
        </w:rPr>
        <w:footnoteReference w:id="56"/>
      </w:r>
      <w:r w:rsidR="000E0310">
        <w:rPr>
          <w:lang w:val="en-GB"/>
        </w:rPr>
        <w:t xml:space="preserve">. </w:t>
      </w:r>
    </w:p>
    <w:p w:rsidR="000E0310" w:rsidRDefault="000E0310" w:rsidP="00364727">
      <w:pPr>
        <w:rPr>
          <w:lang w:val="en-GB"/>
        </w:rPr>
      </w:pPr>
      <w:r>
        <w:rPr>
          <w:lang w:val="en-GB"/>
        </w:rPr>
        <w:t>Considering the event study approach there exist many models that research of corporate and macro events, but they all can be categorised in two big groups, which main criteria is time period. Hence, one major type of event of study is short-term study that assess abnormal returns around the event day and a long-term study that uses longer time periods, from 1 to 5 years</w:t>
      </w:r>
      <w:r w:rsidR="00D05623">
        <w:rPr>
          <w:lang w:val="en-GB"/>
        </w:rPr>
        <w:t xml:space="preserve"> </w:t>
      </w:r>
      <w:r>
        <w:rPr>
          <w:lang w:val="en-GB"/>
        </w:rPr>
        <w:t xml:space="preserve">Mid-term studies also take place (up to 1 year), but they are not that often. </w:t>
      </w:r>
      <w:r w:rsidR="00C9732A">
        <w:rPr>
          <w:lang w:val="en-GB"/>
        </w:rPr>
        <w:t xml:space="preserve">Inside these two main categories </w:t>
      </w:r>
      <w:r w:rsidR="00364727">
        <w:rPr>
          <w:lang w:val="en-GB"/>
        </w:rPr>
        <w:t xml:space="preserve">different calculation approaches exist, all aimed on calculation of abnormal returns. </w:t>
      </w:r>
      <w:r w:rsidR="00364727">
        <w:rPr>
          <w:lang w:val="en-GB"/>
        </w:rPr>
        <w:lastRenderedPageBreak/>
        <w:t>Right now, there are no consensus among researchers what model is a most accurate one, more or less they are all equal. In addition, since event study is a part of statistics science, results should be checked with a help of significance test. In following parts I am going to discuss in detail, what exactly models will be used in study and how I am going to assess it.</w:t>
      </w:r>
      <w:r w:rsidR="0044058E">
        <w:rPr>
          <w:lang w:val="en-GB"/>
        </w:rPr>
        <w:t xml:space="preserve"> </w:t>
      </w:r>
    </w:p>
    <w:p w:rsidR="0037012B" w:rsidRDefault="0037012B" w:rsidP="00364727">
      <w:pPr>
        <w:rPr>
          <w:lang w:val="en-GB"/>
        </w:rPr>
      </w:pPr>
      <w:r>
        <w:rPr>
          <w:lang w:val="en-GB"/>
        </w:rPr>
        <w:t xml:space="preserve">As it was proposed by </w:t>
      </w:r>
      <w:r w:rsidRPr="0037012B">
        <w:rPr>
          <w:lang w:val="en-GB"/>
        </w:rPr>
        <w:t>MacKinlay (MacKinlay, 1997)</w:t>
      </w:r>
      <w:r>
        <w:rPr>
          <w:rStyle w:val="af0"/>
          <w:lang w:val="en-GB"/>
        </w:rPr>
        <w:footnoteReference w:id="57"/>
      </w:r>
      <w:r w:rsidR="003B5B7F">
        <w:rPr>
          <w:lang w:val="en-GB"/>
        </w:rPr>
        <w:t xml:space="preserve"> multistep</w:t>
      </w:r>
      <w:r>
        <w:rPr>
          <w:lang w:val="en-GB"/>
        </w:rPr>
        <w:t xml:space="preserve"> steps methodology is used for event studies, the same approach has been used in the similar study on M&amp;A in renewable energy sector (K. </w:t>
      </w:r>
      <w:r w:rsidRPr="0037012B">
        <w:rPr>
          <w:lang w:val="en-GB"/>
        </w:rPr>
        <w:t>Yoo</w:t>
      </w:r>
      <w:r>
        <w:rPr>
          <w:lang w:val="en-GB"/>
        </w:rPr>
        <w:t>, 2013)</w:t>
      </w:r>
      <w:r w:rsidR="008C6F77">
        <w:rPr>
          <w:lang w:val="en-GB"/>
        </w:rPr>
        <w:t xml:space="preserve">. However, since I am going to use two time frames, short-term and long-term I will </w:t>
      </w:r>
      <w:r w:rsidR="0028526F">
        <w:rPr>
          <w:lang w:val="en-GB"/>
        </w:rPr>
        <w:t>use modified scheme</w:t>
      </w:r>
      <w:r w:rsidR="005D7BE3">
        <w:rPr>
          <w:lang w:val="en-GB"/>
        </w:rPr>
        <w:t xml:space="preserve"> and divide it into two parts.</w:t>
      </w:r>
    </w:p>
    <w:p w:rsidR="00F61724" w:rsidRDefault="00F61724" w:rsidP="00832DFC">
      <w:pPr>
        <w:ind w:firstLine="0"/>
        <w:rPr>
          <w:lang w:val="en-GB"/>
        </w:rPr>
      </w:pPr>
    </w:p>
    <w:p w:rsidR="008C6F77" w:rsidRDefault="00CA086E" w:rsidP="00CA086E">
      <w:pPr>
        <w:pStyle w:val="3"/>
        <w:rPr>
          <w:lang w:val="en-GB"/>
        </w:rPr>
      </w:pPr>
      <w:bookmarkStart w:id="10" w:name="_Toc73640567"/>
      <w:r>
        <w:rPr>
          <w:lang w:val="en-GB"/>
        </w:rPr>
        <w:t>2.2.1</w:t>
      </w:r>
      <w:r w:rsidR="00CD4B7D">
        <w:rPr>
          <w:lang w:val="en-GB"/>
        </w:rPr>
        <w:t>. (</w:t>
      </w:r>
      <w:proofErr w:type="gramStart"/>
      <w:r>
        <w:rPr>
          <w:lang w:val="en-GB"/>
        </w:rPr>
        <w:t>a</w:t>
      </w:r>
      <w:proofErr w:type="gramEnd"/>
      <w:r>
        <w:rPr>
          <w:lang w:val="en-GB"/>
        </w:rPr>
        <w:t>) Short-term study</w:t>
      </w:r>
      <w:bookmarkEnd w:id="10"/>
    </w:p>
    <w:p w:rsidR="0037012B" w:rsidRPr="002A0CD8" w:rsidRDefault="0037012B" w:rsidP="00A36559">
      <w:pPr>
        <w:pStyle w:val="aa"/>
        <w:numPr>
          <w:ilvl w:val="0"/>
          <w:numId w:val="8"/>
        </w:numPr>
        <w:rPr>
          <w:b/>
          <w:lang w:val="en-GB"/>
        </w:rPr>
      </w:pPr>
      <w:r w:rsidRPr="002A0CD8">
        <w:rPr>
          <w:b/>
          <w:lang w:val="en-GB"/>
        </w:rPr>
        <w:t>Event definition</w:t>
      </w:r>
      <w:r w:rsidR="008C6F77" w:rsidRPr="002A0CD8">
        <w:rPr>
          <w:b/>
          <w:lang w:val="en-GB"/>
        </w:rPr>
        <w:t>:</w:t>
      </w:r>
    </w:p>
    <w:p w:rsidR="0028526F" w:rsidRDefault="00551893" w:rsidP="008C6F77">
      <w:pPr>
        <w:ind w:firstLine="0"/>
        <w:rPr>
          <w:lang w:val="en-GB"/>
        </w:rPr>
      </w:pPr>
      <w:r>
        <w:rPr>
          <w:lang w:val="en-GB"/>
        </w:rPr>
        <w:t xml:space="preserve">Here I identify the event itself and an event windows. In my research the event is the M&amp;A deal between oil&amp;gas company from the acquirer side and alternative/renewable energy company from the target side. </w:t>
      </w:r>
    </w:p>
    <w:p w:rsidR="00122114" w:rsidRDefault="0028526F" w:rsidP="00A36559">
      <w:pPr>
        <w:pStyle w:val="aa"/>
        <w:numPr>
          <w:ilvl w:val="0"/>
          <w:numId w:val="8"/>
        </w:numPr>
        <w:rPr>
          <w:b/>
          <w:lang w:val="en-GB"/>
        </w:rPr>
      </w:pPr>
      <w:r w:rsidRPr="0028526F">
        <w:rPr>
          <w:b/>
          <w:lang w:val="en-GB"/>
        </w:rPr>
        <w:t>Time sampling</w:t>
      </w:r>
    </w:p>
    <w:p w:rsidR="00122114" w:rsidRPr="00122114" w:rsidRDefault="00122114" w:rsidP="00A36559">
      <w:pPr>
        <w:pStyle w:val="aa"/>
        <w:numPr>
          <w:ilvl w:val="1"/>
          <w:numId w:val="8"/>
        </w:numPr>
        <w:rPr>
          <w:b/>
          <w:lang w:val="en-GB"/>
        </w:rPr>
      </w:pPr>
      <w:r>
        <w:rPr>
          <w:b/>
          <w:lang w:val="en-GB"/>
        </w:rPr>
        <w:t>Short-term</w:t>
      </w:r>
    </w:p>
    <w:p w:rsidR="000E0A5B" w:rsidRPr="000E0A5B" w:rsidRDefault="006E4201" w:rsidP="000E0A5B">
      <w:pPr>
        <w:rPr>
          <w:lang w:val="en-GB"/>
        </w:rPr>
      </w:pPr>
      <w:r>
        <w:rPr>
          <w:lang w:val="en-GB"/>
        </w:rPr>
        <w:t xml:space="preserve">Speaking of event windows, this means what days I will be using for calculating the effect of an event. </w:t>
      </w:r>
      <w:r w:rsidR="00AA6047">
        <w:rPr>
          <w:lang w:val="en-GB"/>
        </w:rPr>
        <w:t>Short-term, is going to be used in order to access the simultaneous reaction of investors on the event, it will show what is first thought of investors on such type of energy transition strategy undertaken by oil&amp;gas companies from their portfolios.</w:t>
      </w:r>
      <w:r w:rsidR="0076556C">
        <w:rPr>
          <w:lang w:val="en-GB"/>
        </w:rPr>
        <w:t xml:space="preserve"> </w:t>
      </w:r>
      <w:r w:rsidR="00C939EA">
        <w:rPr>
          <w:lang w:val="en-GB"/>
        </w:rPr>
        <w:t xml:space="preserve">Among researchers there are no particular approach on determine of number of days to be taken into event window. </w:t>
      </w:r>
      <w:r w:rsidR="00EC3726">
        <w:rPr>
          <w:lang w:val="en-GB"/>
        </w:rPr>
        <w:t>A</w:t>
      </w:r>
      <w:r w:rsidR="00C939EA">
        <w:rPr>
          <w:lang w:val="en-GB"/>
        </w:rPr>
        <w:t>lso, the short-term studies</w:t>
      </w:r>
      <w:r w:rsidR="00EC3726">
        <w:rPr>
          <w:lang w:val="en-GB"/>
        </w:rPr>
        <w:t xml:space="preserve"> specify </w:t>
      </w:r>
      <w:r w:rsidR="00C939EA">
        <w:rPr>
          <w:lang w:val="en-GB"/>
        </w:rPr>
        <w:t>an additional estimation window</w:t>
      </w:r>
      <w:r w:rsidR="00122114">
        <w:rPr>
          <w:lang w:val="en-GB"/>
        </w:rPr>
        <w:t xml:space="preserve"> that</w:t>
      </w:r>
      <w:r w:rsidR="00C939EA">
        <w:rPr>
          <w:lang w:val="en-GB"/>
        </w:rPr>
        <w:t xml:space="preserve"> is defined later used in calculation for calculating normal returns. </w:t>
      </w:r>
      <w:r w:rsidR="00303CA3">
        <w:rPr>
          <w:lang w:val="en-GB"/>
        </w:rPr>
        <w:t>The shortest periods include the 0 day of announcement and 1 day after the event</w:t>
      </w:r>
      <w:r w:rsidR="00FE1EB1">
        <w:rPr>
          <w:lang w:val="en-GB"/>
        </w:rPr>
        <w:t xml:space="preserve"> (Tipton et.al, 2008)</w:t>
      </w:r>
      <w:r w:rsidR="00FE1EB1">
        <w:rPr>
          <w:rStyle w:val="af0"/>
          <w:lang w:val="en-GB"/>
        </w:rPr>
        <w:footnoteReference w:id="58"/>
      </w:r>
      <w:r w:rsidR="00FE1EB1">
        <w:rPr>
          <w:lang w:val="en-GB"/>
        </w:rPr>
        <w:t xml:space="preserve"> </w:t>
      </w:r>
      <w:r w:rsidR="00303CA3">
        <w:rPr>
          <w:lang w:val="en-GB"/>
        </w:rPr>
        <w:t xml:space="preserve">, such short periods are used in </w:t>
      </w:r>
      <w:r w:rsidR="00FB5AB9">
        <w:rPr>
          <w:lang w:val="en-GB"/>
        </w:rPr>
        <w:t>relation</w:t>
      </w:r>
      <w:r w:rsidR="00303CA3">
        <w:rPr>
          <w:lang w:val="en-GB"/>
        </w:rPr>
        <w:t xml:space="preserve"> with EMH</w:t>
      </w:r>
      <w:r w:rsidR="00FB5AB9">
        <w:rPr>
          <w:lang w:val="en-GB"/>
        </w:rPr>
        <w:t>, however this period is only enough to assess abnormal returns and to aggregate them, moreover the EMH not always hold as it was stated already. In case of longer time horizons, like 10 days before and 10 days after, a researcher would have more possibilities to observe price dynamics, nevertheless</w:t>
      </w:r>
      <w:r w:rsidR="00FE1EB1">
        <w:rPr>
          <w:lang w:val="en-GB"/>
        </w:rPr>
        <w:t xml:space="preserve"> so long events windows undermine the explanatory power of results and increase volatility</w:t>
      </w:r>
      <w:r w:rsidR="00FB5AB9">
        <w:rPr>
          <w:lang w:val="en-GB"/>
        </w:rPr>
        <w:t>.</w:t>
      </w:r>
      <w:r w:rsidR="00303CA3">
        <w:rPr>
          <w:lang w:val="en-GB"/>
        </w:rPr>
        <w:t xml:space="preserve"> </w:t>
      </w:r>
      <w:r w:rsidR="00FB5AB9">
        <w:rPr>
          <w:lang w:val="en-GB"/>
        </w:rPr>
        <w:t xml:space="preserve">Therefore, I am going to put </w:t>
      </w:r>
      <w:r w:rsidR="00FE1EB1">
        <w:rPr>
          <w:lang w:val="en-GB"/>
        </w:rPr>
        <w:t>rather short</w:t>
      </w:r>
      <w:r w:rsidR="00303CA3">
        <w:rPr>
          <w:lang w:val="en-GB"/>
        </w:rPr>
        <w:t xml:space="preserve"> event</w:t>
      </w:r>
      <w:r w:rsidR="00FB5AB9">
        <w:rPr>
          <w:lang w:val="en-GB"/>
        </w:rPr>
        <w:t xml:space="preserve"> window</w:t>
      </w:r>
      <w:r w:rsidR="00FE1EB1">
        <w:rPr>
          <w:lang w:val="en-GB"/>
        </w:rPr>
        <w:t xml:space="preserve">, but not just 1 day, so daily price </w:t>
      </w:r>
      <w:r w:rsidR="0028526F">
        <w:rPr>
          <w:lang w:val="en-GB"/>
        </w:rPr>
        <w:t>dynamics</w:t>
      </w:r>
      <w:r w:rsidR="00FE1EB1">
        <w:rPr>
          <w:lang w:val="en-GB"/>
        </w:rPr>
        <w:t xml:space="preserve"> could evaluated and all market players could have a chance to react on the event.</w:t>
      </w:r>
      <w:r w:rsidR="00FB5AB9">
        <w:rPr>
          <w:lang w:val="en-GB"/>
        </w:rPr>
        <w:t xml:space="preserve"> I apply 7 days window, </w:t>
      </w:r>
      <w:r w:rsidR="00303CA3">
        <w:rPr>
          <w:lang w:val="en-GB"/>
        </w:rPr>
        <w:t>3 days before and 3 days after a deal announcement date, including the event day itself</w:t>
      </w:r>
      <w:r w:rsidR="000B740F">
        <w:rPr>
          <w:lang w:val="en-GB"/>
        </w:rPr>
        <w:t xml:space="preserve">. This also significant for event windows not to overlap among shares, otherwise breaks the </w:t>
      </w:r>
      <w:r w:rsidR="000B740F">
        <w:rPr>
          <w:lang w:val="en-GB"/>
        </w:rPr>
        <w:lastRenderedPageBreak/>
        <w:t xml:space="preserve">assumption of abnormal returns among shares being independent from each other. Thus, I denote the date of announcement of a deal as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0</m:t>
            </m:r>
          </m:sub>
        </m:sSub>
      </m:oMath>
      <w:r w:rsidR="004E3E3D">
        <w:rPr>
          <w:rFonts w:eastAsiaTheme="minorEastAsia"/>
          <w:lang w:val="en-GB"/>
        </w:rPr>
        <w:t xml:space="preserve"> = 0 trading day, </w:t>
      </w:r>
      <m:oMath>
        <m:sSub>
          <m:sSubPr>
            <m:ctrlPr>
              <w:rPr>
                <w:rFonts w:ascii="Cambria Math" w:eastAsiaTheme="minorEastAsia" w:hAnsi="Cambria Math"/>
                <w:i/>
                <w:lang w:val="en-GB"/>
              </w:rPr>
            </m:ctrlPr>
          </m:sSubPr>
          <m:e>
            <m:r>
              <w:rPr>
                <w:rFonts w:ascii="Cambria Math" w:eastAsiaTheme="minorEastAsia" w:hAnsi="Cambria Math"/>
                <w:lang w:val="en-GB"/>
              </w:rPr>
              <m:t>t</m:t>
            </m:r>
          </m:e>
          <m:sub>
            <m:r>
              <w:rPr>
                <w:rFonts w:ascii="Cambria Math" w:eastAsiaTheme="minorEastAsia" w:hAnsi="Cambria Math"/>
                <w:lang w:val="en-GB"/>
              </w:rPr>
              <m:t>-3</m:t>
            </m:r>
          </m:sub>
        </m:sSub>
      </m:oMath>
      <w:r w:rsidR="004E3E3D">
        <w:rPr>
          <w:rFonts w:eastAsiaTheme="minorEastAsia"/>
          <w:lang w:val="en-GB"/>
        </w:rPr>
        <w:t xml:space="preserve">= -3 </w:t>
      </w:r>
      <w:r w:rsidR="00540AC1">
        <w:rPr>
          <w:rFonts w:eastAsiaTheme="minorEastAsia"/>
          <w:lang w:val="en-GB"/>
        </w:rPr>
        <w:t xml:space="preserve">trading </w:t>
      </w:r>
      <w:r w:rsidR="004E3E3D">
        <w:rPr>
          <w:rFonts w:eastAsiaTheme="minorEastAsia"/>
          <w:lang w:val="en-GB"/>
        </w:rPr>
        <w:t xml:space="preserve">days before the event and </w:t>
      </w:r>
      <m:oMath>
        <m:sSub>
          <m:sSubPr>
            <m:ctrlPr>
              <w:rPr>
                <w:rFonts w:ascii="Cambria Math" w:eastAsiaTheme="minorEastAsia" w:hAnsi="Cambria Math"/>
                <w:i/>
                <w:lang w:val="en-GB"/>
              </w:rPr>
            </m:ctrlPr>
          </m:sSubPr>
          <m:e>
            <m:r>
              <w:rPr>
                <w:rFonts w:ascii="Cambria Math" w:eastAsiaTheme="minorEastAsia" w:hAnsi="Cambria Math"/>
                <w:lang w:val="en-GB"/>
              </w:rPr>
              <m:t>t</m:t>
            </m:r>
          </m:e>
          <m:sub>
            <m:r>
              <w:rPr>
                <w:rFonts w:ascii="Cambria Math" w:eastAsiaTheme="minorEastAsia" w:hAnsi="Cambria Math"/>
                <w:lang w:val="en-GB"/>
              </w:rPr>
              <m:t>3</m:t>
            </m:r>
          </m:sub>
        </m:sSub>
      </m:oMath>
      <w:r w:rsidR="004E3E3D">
        <w:rPr>
          <w:rFonts w:eastAsiaTheme="minorEastAsia"/>
          <w:lang w:val="en-GB"/>
        </w:rPr>
        <w:t xml:space="preserve">= 3 </w:t>
      </w:r>
      <w:r w:rsidR="00540AC1">
        <w:rPr>
          <w:rFonts w:eastAsiaTheme="minorEastAsia"/>
          <w:lang w:val="en-GB"/>
        </w:rPr>
        <w:t xml:space="preserve">trading </w:t>
      </w:r>
      <w:r w:rsidR="004E3E3D">
        <w:rPr>
          <w:rFonts w:eastAsiaTheme="minorEastAsia"/>
          <w:lang w:val="en-GB"/>
        </w:rPr>
        <w:t>days after the event, hence t</w:t>
      </w:r>
      <w:r w:rsidR="004E3E3D" w:rsidRPr="004E3E3D">
        <w:rPr>
          <w:rFonts w:eastAsiaTheme="minorEastAsia"/>
          <w:lang w:val="en-GB"/>
        </w:rPr>
        <w:t xml:space="preserve"> </w:t>
      </w:r>
      <w:r w:rsidR="004E3E3D" w:rsidRPr="004E3E3D">
        <w:rPr>
          <w:rFonts w:ascii="Cambria Math" w:hAnsi="Cambria Math" w:cs="Cambria Math"/>
          <w:color w:val="202122"/>
          <w:szCs w:val="24"/>
          <w:shd w:val="clear" w:color="auto" w:fill="FFFFFF"/>
          <w:lang w:val="en-GB"/>
        </w:rPr>
        <w:t xml:space="preserve">∈ </w:t>
      </w:r>
      <m:oMath>
        <m:sSub>
          <m:sSubPr>
            <m:ctrlPr>
              <w:rPr>
                <w:rFonts w:ascii="Cambria Math" w:hAnsi="Cambria Math" w:cs="Cambria Math"/>
                <w:i/>
                <w:color w:val="202122"/>
                <w:szCs w:val="24"/>
                <w:shd w:val="clear" w:color="auto" w:fill="FFFFFF"/>
                <w:lang w:val="en-GB"/>
              </w:rPr>
            </m:ctrlPr>
          </m:sSubPr>
          <m:e>
            <m:r>
              <w:rPr>
                <w:rFonts w:ascii="Cambria Math" w:hAnsi="Cambria Math" w:cs="Cambria Math"/>
                <w:color w:val="202122"/>
                <w:szCs w:val="24"/>
                <w:shd w:val="clear" w:color="auto" w:fill="FFFFFF"/>
                <w:lang w:val="en-GB"/>
              </w:rPr>
              <m:t>T</m:t>
            </m:r>
          </m:e>
          <m:sub>
            <m:r>
              <w:rPr>
                <w:rFonts w:ascii="Cambria Math" w:hAnsi="Cambria Math" w:cs="Cambria Math"/>
                <w:color w:val="202122"/>
                <w:szCs w:val="24"/>
                <w:shd w:val="clear" w:color="auto" w:fill="FFFFFF"/>
                <w:lang w:val="en-GB"/>
              </w:rPr>
              <m:t>1</m:t>
            </m:r>
          </m:sub>
        </m:sSub>
      </m:oMath>
      <w:r w:rsidR="004E3E3D" w:rsidRPr="004E3E3D">
        <w:rPr>
          <w:lang w:val="en-GB"/>
        </w:rPr>
        <w:t xml:space="preserve"> [-3; +3].</w:t>
      </w:r>
      <w:r w:rsidR="004E3E3D">
        <w:rPr>
          <w:rFonts w:ascii="Cambria Math" w:hAnsi="Cambria Math" w:cs="Cambria Math"/>
          <w:color w:val="202122"/>
          <w:szCs w:val="24"/>
          <w:shd w:val="clear" w:color="auto" w:fill="FFFFFF"/>
          <w:lang w:val="en-GB"/>
        </w:rPr>
        <w:t xml:space="preserve"> </w:t>
      </w:r>
      <w:r w:rsidR="004E3E3D" w:rsidRPr="004E3E3D">
        <w:rPr>
          <w:lang w:val="en-GB"/>
        </w:rPr>
        <w:t>In addition to event window</w:t>
      </w:r>
      <w:r w:rsidR="004E3E3D">
        <w:rPr>
          <w:lang w:val="en-GB"/>
        </w:rPr>
        <w:t xml:space="preserve">, the estimation window is needed for further estimation of expected returns. </w:t>
      </w:r>
      <w:r w:rsidR="00540AC1">
        <w:rPr>
          <w:lang w:val="en-GB"/>
        </w:rPr>
        <w:t xml:space="preserve">Firstly, estimation window should </w:t>
      </w:r>
      <w:r w:rsidR="00A91556">
        <w:rPr>
          <w:lang w:val="en-GB"/>
        </w:rPr>
        <w:t xml:space="preserve">not </w:t>
      </w:r>
      <w:r w:rsidR="00540AC1">
        <w:rPr>
          <w:lang w:val="en-GB"/>
        </w:rPr>
        <w:t>overlap with an event window, secondly it should be at least 100 trading days before the denoted window, so at least 103 b</w:t>
      </w:r>
      <w:r w:rsidR="00A91556">
        <w:rPr>
          <w:lang w:val="en-GB"/>
        </w:rPr>
        <w:t>efore the M&amp;A deal announcement. In genera the estimation length is from 120 to 255 days</w:t>
      </w:r>
      <w:r w:rsidR="00952398">
        <w:rPr>
          <w:lang w:val="en-GB"/>
        </w:rPr>
        <w:t xml:space="preserve"> (</w:t>
      </w:r>
      <w:r w:rsidR="00952398" w:rsidRPr="001E42A6">
        <w:rPr>
          <w:lang w:val="en-GB"/>
        </w:rPr>
        <w:t>Li Ding</w:t>
      </w:r>
      <w:r w:rsidR="00952398">
        <w:rPr>
          <w:lang w:val="en-GB"/>
        </w:rPr>
        <w:t xml:space="preserve">, </w:t>
      </w:r>
      <w:r w:rsidR="00952398" w:rsidRPr="001E42A6">
        <w:rPr>
          <w:lang w:val="en-GB"/>
        </w:rPr>
        <w:t>H</w:t>
      </w:r>
      <w:r w:rsidR="00952398">
        <w:rPr>
          <w:lang w:val="en-GB"/>
        </w:rPr>
        <w:t xml:space="preserve">. </w:t>
      </w:r>
      <w:r w:rsidR="00952398" w:rsidRPr="001E42A6">
        <w:rPr>
          <w:lang w:val="en-GB"/>
        </w:rPr>
        <w:t>Lam</w:t>
      </w:r>
      <w:r w:rsidR="00952398">
        <w:rPr>
          <w:lang w:val="en-GB"/>
        </w:rPr>
        <w:t xml:space="preserve">, </w:t>
      </w:r>
      <w:r w:rsidR="00952398" w:rsidRPr="001E42A6">
        <w:rPr>
          <w:lang w:val="en-GB"/>
        </w:rPr>
        <w:t>.C.E. Cheng</w:t>
      </w:r>
      <w:r w:rsidR="00952398">
        <w:rPr>
          <w:lang w:val="en-GB"/>
        </w:rPr>
        <w:t xml:space="preserve">, H. </w:t>
      </w:r>
      <w:r w:rsidR="00952398" w:rsidRPr="001E42A6">
        <w:rPr>
          <w:lang w:val="en-GB"/>
        </w:rPr>
        <w:t>Zhou</w:t>
      </w:r>
      <w:r w:rsidR="00952398">
        <w:rPr>
          <w:lang w:val="en-GB"/>
        </w:rPr>
        <w:t>)</w:t>
      </w:r>
      <w:r w:rsidR="00C8638C">
        <w:rPr>
          <w:rStyle w:val="af0"/>
          <w:lang w:val="en-GB"/>
        </w:rPr>
        <w:footnoteReference w:id="59"/>
      </w:r>
      <w:r w:rsidR="00952398">
        <w:rPr>
          <w:lang w:val="en-GB"/>
        </w:rPr>
        <w:t>,</w:t>
      </w:r>
      <w:r w:rsidR="00540AC1">
        <w:rPr>
          <w:lang w:val="en-GB"/>
        </w:rPr>
        <w:t xml:space="preserve"> and for example </w:t>
      </w:r>
      <w:r w:rsidR="00540AC1" w:rsidRPr="00540AC1">
        <w:rPr>
          <w:lang w:val="en-GB"/>
        </w:rPr>
        <w:t>Sevindik </w:t>
      </w:r>
      <w:r w:rsidR="00540AC1">
        <w:rPr>
          <w:lang w:val="en-GB"/>
        </w:rPr>
        <w:t xml:space="preserve">and </w:t>
      </w:r>
      <w:r w:rsidR="00540AC1" w:rsidRPr="00540AC1">
        <w:rPr>
          <w:lang w:val="en-GB"/>
        </w:rPr>
        <w:t>Gökgöz</w:t>
      </w:r>
      <w:r w:rsidR="00540AC1">
        <w:rPr>
          <w:lang w:val="en-GB"/>
        </w:rPr>
        <w:t xml:space="preserve"> used -128 days (I. </w:t>
      </w:r>
      <w:r w:rsidR="00540AC1" w:rsidRPr="00540AC1">
        <w:rPr>
          <w:lang w:val="en-GB"/>
        </w:rPr>
        <w:t>Sevindik</w:t>
      </w:r>
      <w:r w:rsidR="00540AC1">
        <w:rPr>
          <w:lang w:val="en-GB"/>
        </w:rPr>
        <w:t xml:space="preserve">, F. </w:t>
      </w:r>
      <w:r w:rsidR="00540AC1" w:rsidRPr="00540AC1">
        <w:rPr>
          <w:lang w:val="en-GB"/>
        </w:rPr>
        <w:t>Gökgöz</w:t>
      </w:r>
      <w:r w:rsidR="00540AC1">
        <w:rPr>
          <w:lang w:val="en-GB"/>
        </w:rPr>
        <w:t>)</w:t>
      </w:r>
      <w:r w:rsidR="00540AC1">
        <w:rPr>
          <w:rStyle w:val="af0"/>
          <w:lang w:val="en-GB"/>
        </w:rPr>
        <w:footnoteReference w:id="60"/>
      </w:r>
      <w:r w:rsidR="00734D20">
        <w:rPr>
          <w:lang w:val="en-GB"/>
        </w:rPr>
        <w:t xml:space="preserve">. However, these windows should not be too long. I am going to use -140 days before the event window and 143 before the M&amp;A, hence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2</m:t>
            </m:r>
          </m:sub>
        </m:sSub>
      </m:oMath>
      <w:r w:rsidR="00734D20">
        <w:rPr>
          <w:rFonts w:eastAsiaTheme="minorEastAsia"/>
          <w:lang w:val="en-GB"/>
        </w:rPr>
        <w:t xml:space="preserve"> </w:t>
      </w:r>
      <w:r w:rsidR="00734D20" w:rsidRPr="004E3E3D">
        <w:rPr>
          <w:rFonts w:ascii="Cambria Math" w:hAnsi="Cambria Math" w:cs="Cambria Math"/>
          <w:color w:val="202122"/>
          <w:szCs w:val="24"/>
          <w:shd w:val="clear" w:color="auto" w:fill="FFFFFF"/>
          <w:lang w:val="en-GB"/>
        </w:rPr>
        <w:t>∈</w:t>
      </w:r>
      <w:r w:rsidR="00734D20">
        <w:rPr>
          <w:rFonts w:ascii="Cambria Math" w:hAnsi="Cambria Math" w:cs="Cambria Math"/>
          <w:color w:val="202122"/>
          <w:szCs w:val="24"/>
          <w:shd w:val="clear" w:color="auto" w:fill="FFFFFF"/>
          <w:lang w:val="en-GB"/>
        </w:rPr>
        <w:t xml:space="preserve"> [-143,-3] trading days. I am using trading days instead of common days, because stocks are not traded very day on the markets.</w:t>
      </w:r>
      <w:r w:rsidR="00B067AB">
        <w:rPr>
          <w:rFonts w:ascii="Cambria Math" w:hAnsi="Cambria Math" w:cs="Cambria Math"/>
          <w:color w:val="202122"/>
          <w:szCs w:val="24"/>
          <w:shd w:val="clear" w:color="auto" w:fill="FFFFFF"/>
          <w:lang w:val="en-GB"/>
        </w:rPr>
        <w:t xml:space="preserve">  </w:t>
      </w:r>
      <m:oMath>
        <m:r>
          <w:rPr>
            <w:rFonts w:ascii="Cambria Math" w:hAnsi="Cambria Math" w:cs="Cambria Math"/>
            <w:color w:val="202122"/>
            <w:szCs w:val="24"/>
            <w:shd w:val="clear" w:color="auto" w:fill="FFFFFF"/>
            <w:lang w:val="en-GB"/>
          </w:rPr>
          <m:t>[</m:t>
        </m:r>
        <m:sSub>
          <m:sSubPr>
            <m:ctrlPr>
              <w:rPr>
                <w:rFonts w:ascii="Cambria Math" w:hAnsi="Cambria Math" w:cs="Cambria Math"/>
                <w:i/>
                <w:color w:val="202122"/>
                <w:szCs w:val="24"/>
                <w:shd w:val="clear" w:color="auto" w:fill="FFFFFF"/>
                <w:lang w:val="en-GB"/>
              </w:rPr>
            </m:ctrlPr>
          </m:sSubPr>
          <m:e>
            <m:r>
              <w:rPr>
                <w:rFonts w:ascii="Cambria Math" w:hAnsi="Cambria Math" w:cs="Cambria Math"/>
                <w:color w:val="202122"/>
                <w:szCs w:val="24"/>
                <w:shd w:val="clear" w:color="auto" w:fill="FFFFFF"/>
                <w:lang w:val="en-GB"/>
              </w:rPr>
              <m:t>T</m:t>
            </m:r>
          </m:e>
          <m:sub>
            <m:r>
              <w:rPr>
                <w:rFonts w:ascii="Cambria Math" w:hAnsi="Cambria Math" w:cs="Cambria Math"/>
                <w:color w:val="202122"/>
                <w:szCs w:val="24"/>
                <w:shd w:val="clear" w:color="auto" w:fill="FFFFFF"/>
                <w:lang w:val="en-GB"/>
              </w:rPr>
              <m:t>1</m:t>
            </m:r>
          </m:sub>
        </m:sSub>
      </m:oMath>
      <w:r w:rsidR="00B067AB">
        <w:rPr>
          <w:rFonts w:ascii="Cambria Math" w:eastAsiaTheme="minorEastAsia" w:hAnsi="Cambria Math" w:cs="Cambria Math"/>
          <w:color w:val="202122"/>
          <w:szCs w:val="24"/>
          <w:shd w:val="clear" w:color="auto" w:fill="FFFFFF"/>
          <w:lang w:val="en-GB"/>
        </w:rPr>
        <w:t xml:space="preserve">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2</m:t>
            </m:r>
          </m:sub>
        </m:sSub>
      </m:oMath>
      <w:r w:rsidR="00B067AB">
        <w:rPr>
          <w:rFonts w:ascii="Cambria Math" w:eastAsiaTheme="minorEastAsia" w:hAnsi="Cambria Math" w:cs="Cambria Math"/>
          <w:lang w:val="en-GB"/>
        </w:rPr>
        <w:t xml:space="preserve">] </w:t>
      </w:r>
      <w:r w:rsidR="00B067AB" w:rsidRPr="004E3E3D">
        <w:rPr>
          <w:rFonts w:ascii="Cambria Math" w:hAnsi="Cambria Math" w:cs="Cambria Math"/>
          <w:color w:val="202122"/>
          <w:szCs w:val="24"/>
          <w:shd w:val="clear" w:color="auto" w:fill="FFFFFF"/>
          <w:lang w:val="en-GB"/>
        </w:rPr>
        <w:t>∈</w:t>
      </w:r>
      <w:r w:rsidR="00B067AB">
        <w:rPr>
          <w:rFonts w:ascii="Cambria Math" w:hAnsi="Cambria Math" w:cs="Cambria Math"/>
          <w:color w:val="202122"/>
          <w:szCs w:val="24"/>
          <w:shd w:val="clear" w:color="auto" w:fill="FFFFFF"/>
          <w:lang w:val="en-GB"/>
        </w:rPr>
        <w:t xml:space="preserve"> </w:t>
      </w:r>
      <w:r w:rsidR="00CD4B7D">
        <w:rPr>
          <w:rFonts w:ascii="Cambria Math" w:hAnsi="Cambria Math" w:cs="Cambria Math"/>
          <w:i/>
          <w:color w:val="202122"/>
          <w:szCs w:val="24"/>
          <w:shd w:val="clear" w:color="auto" w:fill="FFFFFF"/>
          <w:lang w:val="en-GB"/>
        </w:rPr>
        <w:t>T (</w:t>
      </w:r>
      <w:r w:rsidR="00B067AB" w:rsidRPr="00CA086E">
        <w:rPr>
          <w:lang w:val="en-GB"/>
        </w:rPr>
        <w:t>whole period)</w:t>
      </w:r>
      <w:r w:rsidR="00B067AB">
        <w:rPr>
          <w:lang w:val="en-GB"/>
        </w:rPr>
        <w:t>.</w:t>
      </w:r>
    </w:p>
    <w:p w:rsidR="000E0A5B" w:rsidRDefault="000E0A5B" w:rsidP="000E0A5B">
      <w:pPr>
        <w:pStyle w:val="SVEfigure"/>
        <w:rPr>
          <w:noProof/>
          <w:lang w:eastAsia="ru-RU"/>
        </w:rPr>
      </w:pPr>
    </w:p>
    <w:p w:rsidR="000E0A5B" w:rsidRDefault="000E0A5B" w:rsidP="000E0A5B">
      <w:pPr>
        <w:pStyle w:val="SVEfigure"/>
        <w:rPr>
          <w:noProof/>
          <w:lang w:eastAsia="ru-RU"/>
        </w:rPr>
      </w:pPr>
      <w:r>
        <w:rPr>
          <w:noProof/>
          <w:lang w:val="ru-RU" w:eastAsia="ru-RU"/>
        </w:rPr>
        <w:drawing>
          <wp:inline distT="0" distB="0" distL="0" distR="0" wp14:anchorId="28EBE1CF" wp14:editId="7E3C9256">
            <wp:extent cx="4564718" cy="1348239"/>
            <wp:effectExtent l="0" t="0" r="7620" b="444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7980" t="29164" r="5170" b="30481"/>
                    <a:stretch/>
                  </pic:blipFill>
                  <pic:spPr bwMode="auto">
                    <a:xfrm>
                      <a:off x="0" y="0"/>
                      <a:ext cx="4565210" cy="1348384"/>
                    </a:xfrm>
                    <a:prstGeom prst="rect">
                      <a:avLst/>
                    </a:prstGeom>
                    <a:ln>
                      <a:noFill/>
                    </a:ln>
                    <a:extLst>
                      <a:ext uri="{53640926-AAD7-44D8-BBD7-CCE9431645EC}">
                        <a14:shadowObscured xmlns:a14="http://schemas.microsoft.com/office/drawing/2010/main"/>
                      </a:ext>
                    </a:extLst>
                  </pic:spPr>
                </pic:pic>
              </a:graphicData>
            </a:graphic>
          </wp:inline>
        </w:drawing>
      </w:r>
    </w:p>
    <w:p w:rsidR="00AF68E7" w:rsidRPr="00485B65" w:rsidRDefault="000E0A5B" w:rsidP="000E0A5B">
      <w:pPr>
        <w:pStyle w:val="SVEfigurecaption"/>
        <w:rPr>
          <w:lang w:eastAsia="ru-RU"/>
        </w:rPr>
      </w:pPr>
      <w:r>
        <w:rPr>
          <w:lang w:eastAsia="ru-RU"/>
        </w:rPr>
        <w:t>Time line for the event study</w:t>
      </w:r>
    </w:p>
    <w:p w:rsidR="00A84B32" w:rsidRPr="00A84B32" w:rsidRDefault="0037012B" w:rsidP="00A36559">
      <w:pPr>
        <w:pStyle w:val="aa"/>
        <w:numPr>
          <w:ilvl w:val="0"/>
          <w:numId w:val="8"/>
        </w:numPr>
        <w:rPr>
          <w:b/>
          <w:lang w:val="en-GB"/>
        </w:rPr>
      </w:pPr>
      <w:r w:rsidRPr="002A0CD8">
        <w:rPr>
          <w:b/>
          <w:lang w:val="en-GB"/>
        </w:rPr>
        <w:t>Sample selection criteria</w:t>
      </w:r>
      <w:r w:rsidR="008C6F77" w:rsidRPr="002A0CD8">
        <w:rPr>
          <w:b/>
          <w:lang w:val="en-GB"/>
        </w:rPr>
        <w:t>:</w:t>
      </w:r>
    </w:p>
    <w:p w:rsidR="008C6F77" w:rsidRPr="008C6F77" w:rsidRDefault="00FE1EB1" w:rsidP="00A84B32">
      <w:pPr>
        <w:rPr>
          <w:lang w:val="en-GB"/>
        </w:rPr>
      </w:pPr>
      <w:r>
        <w:rPr>
          <w:lang w:val="en-GB"/>
        </w:rPr>
        <w:t>In short-term stud</w:t>
      </w:r>
      <w:r w:rsidR="0052086C">
        <w:rPr>
          <w:lang w:val="en-GB"/>
        </w:rPr>
        <w:t xml:space="preserve">y the daily return data is used with the corresponding </w:t>
      </w:r>
      <w:r w:rsidR="00A84B32">
        <w:rPr>
          <w:lang w:val="en-GB"/>
        </w:rPr>
        <w:t>benchmark return, for long-term study monthly returns will be used</w:t>
      </w:r>
      <w:r w:rsidR="0052086C">
        <w:rPr>
          <w:lang w:val="en-GB"/>
        </w:rPr>
        <w:t xml:space="preserve">. </w:t>
      </w:r>
      <w:r w:rsidR="0052086C" w:rsidRPr="0052086C">
        <w:rPr>
          <w:lang w:val="en-GB"/>
        </w:rPr>
        <w:t>MacKinlay</w:t>
      </w:r>
      <w:r w:rsidR="0052086C">
        <w:rPr>
          <w:lang w:val="en-GB"/>
        </w:rPr>
        <w:t xml:space="preserve"> propose several restriction criteria like belonging to a particular stock market, firms being from one industry or having particular corporate features. In my case, I am not going to reduce a sample to one stock market and use the corresponding market to each stock. This will afford evaluate abnormal returns more accurately and my study will be useful for investors from different countries, because not everyone are trading at S&amp;P 500, NYSE or FTSE. </w:t>
      </w:r>
      <w:r w:rsidR="00A84B32">
        <w:rPr>
          <w:lang w:val="en-GB"/>
        </w:rPr>
        <w:t xml:space="preserve">For example, study mentioned before uses different stock markets (I. </w:t>
      </w:r>
      <w:r w:rsidR="00A84B32" w:rsidRPr="00540AC1">
        <w:rPr>
          <w:lang w:val="en-GB"/>
        </w:rPr>
        <w:t>Sevindik</w:t>
      </w:r>
      <w:r w:rsidR="00A84B32">
        <w:rPr>
          <w:lang w:val="en-GB"/>
        </w:rPr>
        <w:t xml:space="preserve">, F. </w:t>
      </w:r>
      <w:r w:rsidR="00A84B32" w:rsidRPr="00540AC1">
        <w:rPr>
          <w:lang w:val="en-GB"/>
        </w:rPr>
        <w:t>Gökgöz</w:t>
      </w:r>
      <w:r w:rsidR="00265712">
        <w:rPr>
          <w:lang w:val="en-GB"/>
        </w:rPr>
        <w:t xml:space="preserve">). </w:t>
      </w:r>
      <w:r w:rsidR="0052086C">
        <w:rPr>
          <w:lang w:val="en-GB"/>
        </w:rPr>
        <w:t xml:space="preserve">As for industry, it oil&amp;gas with </w:t>
      </w:r>
      <w:r w:rsidR="00A84B32">
        <w:rPr>
          <w:lang w:val="en-GB"/>
        </w:rPr>
        <w:t xml:space="preserve">the </w:t>
      </w:r>
      <w:r w:rsidR="0052086C">
        <w:rPr>
          <w:lang w:val="en-GB"/>
        </w:rPr>
        <w:t xml:space="preserve">alternative energy sector. </w:t>
      </w:r>
      <w:r w:rsidR="00A84B32">
        <w:rPr>
          <w:lang w:val="en-GB"/>
        </w:rPr>
        <w:t>All other peculiarities for data sample will be discussed later in the chapter.</w:t>
      </w:r>
    </w:p>
    <w:p w:rsidR="0037012B" w:rsidRDefault="0037012B" w:rsidP="00A36559">
      <w:pPr>
        <w:pStyle w:val="aa"/>
        <w:numPr>
          <w:ilvl w:val="0"/>
          <w:numId w:val="8"/>
        </w:numPr>
        <w:rPr>
          <w:b/>
          <w:lang w:val="en-GB"/>
        </w:rPr>
      </w:pPr>
      <w:r w:rsidRPr="002A0CD8">
        <w:rPr>
          <w:b/>
          <w:lang w:val="en-GB"/>
        </w:rPr>
        <w:lastRenderedPageBreak/>
        <w:t>Measurement of expected returns</w:t>
      </w:r>
      <w:r w:rsidR="008C6F77" w:rsidRPr="002A0CD8">
        <w:rPr>
          <w:b/>
          <w:lang w:val="en-GB"/>
        </w:rPr>
        <w:t>:</w:t>
      </w:r>
    </w:p>
    <w:p w:rsidR="00F64679" w:rsidRDefault="00E31A8F" w:rsidP="00E31A8F">
      <w:pPr>
        <w:rPr>
          <w:lang w:val="en-GB"/>
        </w:rPr>
      </w:pPr>
      <w:r>
        <w:rPr>
          <w:lang w:val="en-GB"/>
        </w:rPr>
        <w:t>Before the expected returns can be calculated, n</w:t>
      </w:r>
      <w:r w:rsidR="00F64679">
        <w:rPr>
          <w:lang w:val="en-GB"/>
        </w:rPr>
        <w:t xml:space="preserve">ormal returns </w:t>
      </w:r>
      <w:r>
        <w:rPr>
          <w:lang w:val="en-GB"/>
        </w:rPr>
        <w:t xml:space="preserve">should be estimated first. Normal returns </w:t>
      </w:r>
      <w:r w:rsidR="00F64679">
        <w:rPr>
          <w:lang w:val="en-GB"/>
        </w:rPr>
        <w:t xml:space="preserve">are those returns that company should had in normal circumstances, in other words, if an event did not take a place. Expected returns are calculated by different methods. One of the most common is the market </w:t>
      </w:r>
      <w:r w:rsidR="00454126">
        <w:rPr>
          <w:lang w:val="en-GB"/>
        </w:rPr>
        <w:t xml:space="preserve">adjusted </w:t>
      </w:r>
      <w:r w:rsidR="00F64679">
        <w:rPr>
          <w:lang w:val="en-GB"/>
        </w:rPr>
        <w:t>model (</w:t>
      </w:r>
      <w:r w:rsidR="00F64679" w:rsidRPr="00F64679">
        <w:rPr>
          <w:lang w:val="en-GB"/>
        </w:rPr>
        <w:t>Scholes and Williams, 1977</w:t>
      </w:r>
      <w:r w:rsidR="00F64679">
        <w:rPr>
          <w:lang w:val="en-GB"/>
        </w:rPr>
        <w:t>)</w:t>
      </w:r>
      <w:r w:rsidR="00F64679">
        <w:rPr>
          <w:rStyle w:val="af0"/>
          <w:lang w:val="en-GB"/>
        </w:rPr>
        <w:footnoteReference w:id="61"/>
      </w:r>
      <w:r w:rsidR="00F64679">
        <w:rPr>
          <w:lang w:val="en-GB"/>
        </w:rPr>
        <w:t xml:space="preserve"> that will be used in my research. According to this model, a linear relationship exists</w:t>
      </w:r>
      <w:r w:rsidR="00FE3E4D">
        <w:rPr>
          <w:lang w:val="en-GB"/>
        </w:rPr>
        <w:t xml:space="preserve"> between an individual secuirity and the </w:t>
      </w:r>
      <w:r w:rsidR="00FF2AB5">
        <w:rPr>
          <w:lang w:val="en-GB"/>
        </w:rPr>
        <w:t>market portfolio</w:t>
      </w:r>
      <w:r w:rsidR="00FE3E4D">
        <w:rPr>
          <w:lang w:val="en-GB"/>
        </w:rPr>
        <w:t>.</w:t>
      </w:r>
      <w:r w:rsidR="00454126">
        <w:rPr>
          <w:lang w:val="en-GB"/>
        </w:rPr>
        <w:t xml:space="preserve"> According to </w:t>
      </w:r>
      <w:r w:rsidR="00454126" w:rsidRPr="00454126">
        <w:rPr>
          <w:lang w:val="en-GB"/>
        </w:rPr>
        <w:t>Brown and Warner (1985)</w:t>
      </w:r>
      <w:r w:rsidR="00454126">
        <w:rPr>
          <w:rStyle w:val="af0"/>
          <w:lang w:val="en-GB"/>
        </w:rPr>
        <w:footnoteReference w:id="62"/>
      </w:r>
      <w:r w:rsidR="00454126">
        <w:rPr>
          <w:lang w:val="en-GB"/>
        </w:rPr>
        <w:t xml:space="preserve"> study </w:t>
      </w:r>
      <w:r w:rsidR="00832DFC">
        <w:rPr>
          <w:lang w:val="en-GB"/>
        </w:rPr>
        <w:t xml:space="preserve">on </w:t>
      </w:r>
      <w:r w:rsidR="00454126">
        <w:rPr>
          <w:lang w:val="en-GB"/>
        </w:rPr>
        <w:t xml:space="preserve">this model is nor worse nor better than market model, and shows quite similar results on short event windows, like mine (L. </w:t>
      </w:r>
      <w:r w:rsidR="00454126" w:rsidRPr="00454126">
        <w:rPr>
          <w:lang w:val="en-GB"/>
        </w:rPr>
        <w:t>Sorescu</w:t>
      </w:r>
      <w:r w:rsidR="00454126">
        <w:rPr>
          <w:lang w:val="en-GB"/>
        </w:rPr>
        <w:t>, et al.</w:t>
      </w:r>
      <w:r w:rsidR="00454126" w:rsidRPr="00454126">
        <w:rPr>
          <w:lang w:val="en-GB"/>
        </w:rPr>
        <w:t xml:space="preserve">, </w:t>
      </w:r>
      <w:r w:rsidR="00454126">
        <w:rPr>
          <w:lang w:val="en-GB"/>
        </w:rPr>
        <w:t xml:space="preserve">2016). </w:t>
      </w:r>
      <w:r w:rsidR="00FF2AB5">
        <w:rPr>
          <w:lang w:val="en-GB"/>
        </w:rPr>
        <w:t>In general</w:t>
      </w:r>
      <w:r w:rsidR="00B677FC">
        <w:rPr>
          <w:lang w:val="en-GB"/>
        </w:rPr>
        <w:t>, the</w:t>
      </w:r>
      <w:r w:rsidR="00FF2AB5">
        <w:rPr>
          <w:lang w:val="en-GB"/>
        </w:rPr>
        <w:t xml:space="preserve"> formula</w:t>
      </w:r>
      <w:r w:rsidR="00B677FC">
        <w:rPr>
          <w:lang w:val="en-GB"/>
        </w:rPr>
        <w:t xml:space="preserve"> for calculating a normal return</w:t>
      </w:r>
      <w:r w:rsidR="00FF2AB5">
        <w:rPr>
          <w:lang w:val="en-GB"/>
        </w:rPr>
        <w:t xml:space="preserve"> looks following way:</w:t>
      </w:r>
    </w:p>
    <w:p w:rsidR="00FF2AB5" w:rsidRPr="00B677FC" w:rsidRDefault="008E3922" w:rsidP="00F64679">
      <w:pPr>
        <w:ind w:firstLine="0"/>
        <w:rPr>
          <w:rFonts w:eastAsiaTheme="minorEastAsia"/>
          <w:lang w:val="en-GB"/>
        </w:rPr>
      </w:pPr>
      <m:oMathPara>
        <m:oMathParaPr>
          <m:jc m:val="center"/>
        </m:oMathParaP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it</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α</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mt</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ε</m:t>
              </m:r>
            </m:e>
            <m:sub>
              <m:r>
                <w:rPr>
                  <w:rFonts w:ascii="Cambria Math" w:hAnsi="Cambria Math"/>
                  <w:lang w:val="en-GB"/>
                </w:rPr>
                <m:t>it</m:t>
              </m:r>
            </m:sub>
          </m:sSub>
        </m:oMath>
      </m:oMathPara>
    </w:p>
    <w:p w:rsidR="00265712" w:rsidRDefault="00B677FC" w:rsidP="00F64679">
      <w:pPr>
        <w:ind w:firstLine="0"/>
        <w:rPr>
          <w:rFonts w:eastAsiaTheme="minorEastAsia"/>
          <w:lang w:val="en-GB"/>
        </w:rPr>
      </w:pPr>
      <w:r>
        <w:rPr>
          <w:rFonts w:eastAsiaTheme="minorEastAsia"/>
          <w:lang w:val="en-GB"/>
        </w:rPr>
        <w:t>Where,</w:t>
      </w:r>
      <w:r w:rsidR="00E00376">
        <w:rPr>
          <w:rFonts w:eastAsiaTheme="minorEastAsia"/>
          <w:lang w:val="en-GB"/>
        </w:rPr>
        <w:t xml:space="preserve"> </w:t>
      </w:r>
    </w:p>
    <w:p w:rsidR="00E00376" w:rsidRDefault="008E3922" w:rsidP="00F64679">
      <w:pPr>
        <w:ind w:firstLine="0"/>
        <w:rPr>
          <w:rFonts w:eastAsiaTheme="minorEastAsia"/>
          <w:lang w:val="en-GB"/>
        </w:rPr>
      </w:pPr>
      <m:oMath>
        <m:sSub>
          <m:sSubPr>
            <m:ctrlPr>
              <w:rPr>
                <w:rFonts w:ascii="Cambria Math" w:eastAsiaTheme="minorEastAsia" w:hAnsi="Cambria Math"/>
                <w:i/>
                <w:lang w:val="en-GB"/>
              </w:rPr>
            </m:ctrlPr>
          </m:sSubPr>
          <m:e>
            <m:r>
              <w:rPr>
                <w:rFonts w:ascii="Cambria Math" w:eastAsiaTheme="minorEastAsia" w:hAnsi="Cambria Math"/>
                <w:lang w:val="en-GB"/>
              </w:rPr>
              <m:t>R</m:t>
            </m:r>
          </m:e>
          <m:sub>
            <m:r>
              <w:rPr>
                <w:rFonts w:ascii="Cambria Math" w:eastAsiaTheme="minorEastAsia" w:hAnsi="Cambria Math"/>
                <w:lang w:val="en-GB"/>
              </w:rPr>
              <m:t>it</m:t>
            </m:r>
          </m:sub>
        </m:sSub>
      </m:oMath>
      <w:r w:rsidR="00E00376">
        <w:rPr>
          <w:rFonts w:eastAsiaTheme="minorEastAsia"/>
          <w:lang w:val="en-GB"/>
        </w:rPr>
        <w:t xml:space="preserve"> - is the stock return of a company i at day t.</w:t>
      </w:r>
    </w:p>
    <w:p w:rsidR="00E00376" w:rsidRDefault="00E00376" w:rsidP="00F64679">
      <w:pPr>
        <w:ind w:firstLine="0"/>
        <w:rPr>
          <w:rFonts w:eastAsiaTheme="minorEastAsia"/>
          <w:i/>
          <w:lang w:val="en-GB"/>
        </w:rPr>
      </w:pPr>
      <w:r>
        <w:rPr>
          <w:rFonts w:eastAsiaTheme="minorEastAsia"/>
          <w:i/>
          <w:lang w:val="en-GB"/>
        </w:rPr>
        <w:t>R</w:t>
      </w:r>
      <w:r>
        <w:rPr>
          <w:rFonts w:eastAsiaTheme="minorEastAsia"/>
          <w:i/>
          <w:vertAlign w:val="subscript"/>
          <w:lang w:val="en-GB"/>
        </w:rPr>
        <w:t xml:space="preserve">mt </w:t>
      </w:r>
      <w:r>
        <w:rPr>
          <w:rFonts w:eastAsiaTheme="minorEastAsia"/>
          <w:lang w:val="en-GB"/>
        </w:rPr>
        <w:t xml:space="preserve">– is the return of the corresponding market of stock </w:t>
      </w:r>
      <w:r>
        <w:rPr>
          <w:rFonts w:eastAsiaTheme="minorEastAsia"/>
          <w:i/>
          <w:lang w:val="en-GB"/>
        </w:rPr>
        <w:t xml:space="preserve">i. </w:t>
      </w:r>
    </w:p>
    <w:p w:rsidR="00265712" w:rsidRPr="002A65DD" w:rsidRDefault="00265712" w:rsidP="00F64679">
      <w:pPr>
        <w:ind w:firstLine="0"/>
        <w:rPr>
          <w:rFonts w:eastAsiaTheme="minorEastAsia"/>
          <w:lang w:val="en-GB"/>
        </w:rPr>
      </w:pPr>
      <w:r>
        <w:rPr>
          <w:rFonts w:eastAsiaTheme="minorEastAsia"/>
          <w:i/>
          <w:lang w:val="en-GB"/>
        </w:rPr>
        <w:t xml:space="preserve">* </w:t>
      </w:r>
      <w:r w:rsidR="002A65DD">
        <w:rPr>
          <w:rFonts w:eastAsiaTheme="minorEastAsia"/>
          <w:lang w:val="en-GB"/>
        </w:rPr>
        <w:t xml:space="preserve">Returns are based on the relation of closed prices of a stock </w:t>
      </w:r>
    </w:p>
    <w:p w:rsidR="00B067AB" w:rsidRDefault="008E3922" w:rsidP="00F64679">
      <w:pPr>
        <w:ind w:firstLine="0"/>
        <w:rPr>
          <w:rFonts w:eastAsiaTheme="minorEastAsia"/>
          <w:lang w:val="en-GB"/>
        </w:rPr>
      </w:pPr>
      <m:oMath>
        <m:sSub>
          <m:sSubPr>
            <m:ctrlPr>
              <w:rPr>
                <w:rFonts w:ascii="Cambria Math" w:eastAsiaTheme="minorEastAsia" w:hAnsi="Cambria Math"/>
                <w:i/>
                <w:lang w:val="en-GB"/>
              </w:rPr>
            </m:ctrlPr>
          </m:sSubPr>
          <m:e>
            <m:r>
              <w:rPr>
                <w:rFonts w:ascii="Cambria Math" w:eastAsiaTheme="minorEastAsia" w:hAnsi="Cambria Math"/>
                <w:lang w:val="en-GB"/>
              </w:rPr>
              <m:t>α</m:t>
            </m:r>
          </m:e>
          <m:sub>
            <m:r>
              <w:rPr>
                <w:rFonts w:ascii="Cambria Math" w:eastAsiaTheme="minorEastAsia" w:hAnsi="Cambria Math"/>
                <w:lang w:val="en-GB"/>
              </w:rPr>
              <m:t>i</m:t>
            </m:r>
          </m:sub>
        </m:sSub>
        <m:r>
          <w:rPr>
            <w:rFonts w:ascii="Cambria Math" w:eastAsiaTheme="minorEastAsia" w:hAnsi="Cambria Math"/>
            <w:lang w:val="en-GB"/>
          </w:rPr>
          <m:t xml:space="preserve"> and </m:t>
        </m:r>
        <m:sSub>
          <m:sSubPr>
            <m:ctrlPr>
              <w:rPr>
                <w:rFonts w:ascii="Cambria Math" w:eastAsiaTheme="minorEastAsia" w:hAnsi="Cambria Math"/>
                <w:i/>
                <w:lang w:val="en-GB"/>
              </w:rPr>
            </m:ctrlPr>
          </m:sSubPr>
          <m:e>
            <m:r>
              <w:rPr>
                <w:rFonts w:ascii="Cambria Math" w:eastAsiaTheme="minorEastAsia" w:hAnsi="Cambria Math"/>
                <w:lang w:val="en-GB"/>
              </w:rPr>
              <m:t>β</m:t>
            </m:r>
          </m:e>
          <m:sub>
            <m:r>
              <w:rPr>
                <w:rFonts w:ascii="Cambria Math" w:eastAsiaTheme="minorEastAsia" w:hAnsi="Cambria Math"/>
                <w:lang w:val="en-GB"/>
              </w:rPr>
              <m:t>i</m:t>
            </m:r>
          </m:sub>
        </m:sSub>
      </m:oMath>
      <w:r w:rsidR="00212D57">
        <w:rPr>
          <w:rFonts w:eastAsiaTheme="minorEastAsia"/>
          <w:i/>
          <w:lang w:val="en-GB"/>
        </w:rPr>
        <w:t xml:space="preserve">- </w:t>
      </w:r>
      <w:r w:rsidR="00212D57">
        <w:rPr>
          <w:rFonts w:eastAsiaTheme="minorEastAsia"/>
          <w:lang w:val="en-GB"/>
        </w:rPr>
        <w:t xml:space="preserve">estimated for each share </w:t>
      </w:r>
      <w:r w:rsidR="00212D57">
        <w:rPr>
          <w:rFonts w:eastAsiaTheme="minorEastAsia"/>
          <w:i/>
          <w:lang w:val="en-GB"/>
        </w:rPr>
        <w:t xml:space="preserve">i </w:t>
      </w:r>
      <w:r w:rsidR="00212D57">
        <w:rPr>
          <w:rFonts w:eastAsiaTheme="minorEastAsia"/>
          <w:lang w:val="en-GB"/>
        </w:rPr>
        <w:t xml:space="preserve">for each over the whole period. The </w:t>
      </w:r>
      <m:oMath>
        <m:sSub>
          <m:sSubPr>
            <m:ctrlPr>
              <w:rPr>
                <w:rFonts w:ascii="Cambria Math" w:eastAsiaTheme="minorEastAsia" w:hAnsi="Cambria Math"/>
                <w:i/>
                <w:lang w:val="en-GB"/>
              </w:rPr>
            </m:ctrlPr>
          </m:sSubPr>
          <m:e>
            <m:r>
              <w:rPr>
                <w:rFonts w:ascii="Cambria Math" w:eastAsiaTheme="minorEastAsia" w:hAnsi="Cambria Math"/>
                <w:lang w:val="en-GB"/>
              </w:rPr>
              <m:t>α</m:t>
            </m:r>
          </m:e>
          <m:sub>
            <m:r>
              <w:rPr>
                <w:rFonts w:ascii="Cambria Math" w:eastAsiaTheme="minorEastAsia" w:hAnsi="Cambria Math"/>
                <w:lang w:val="en-GB"/>
              </w:rPr>
              <m:t>i</m:t>
            </m:r>
          </m:sub>
        </m:sSub>
      </m:oMath>
      <w:r w:rsidR="00212D57">
        <w:rPr>
          <w:rFonts w:eastAsiaTheme="minorEastAsia"/>
          <w:lang w:val="en-GB"/>
        </w:rPr>
        <w:t xml:space="preserve"> </w:t>
      </w:r>
      <w:r w:rsidR="00B067AB">
        <w:rPr>
          <w:rFonts w:eastAsiaTheme="minorEastAsia"/>
          <w:lang w:val="en-GB"/>
        </w:rPr>
        <w:t xml:space="preserve">is the intercept term and more professionally it </w:t>
      </w:r>
      <w:r w:rsidR="00212D57">
        <w:rPr>
          <w:rFonts w:eastAsiaTheme="minorEastAsia"/>
          <w:lang w:val="en-GB"/>
        </w:rPr>
        <w:t xml:space="preserve">stands for </w:t>
      </w:r>
      <w:r w:rsidR="00F57ECE">
        <w:rPr>
          <w:rFonts w:eastAsiaTheme="minorEastAsia"/>
          <w:lang w:val="en-GB"/>
        </w:rPr>
        <w:t xml:space="preserve">percentage above or below a market index. </w:t>
      </w:r>
      <w:r w:rsidR="00212D57">
        <w:rPr>
          <w:rFonts w:eastAsiaTheme="minorEastAsia"/>
          <w:lang w:val="en-GB"/>
        </w:rPr>
        <w:t xml:space="preserve">The </w:t>
      </w:r>
      <m:oMath>
        <m:sSub>
          <m:sSubPr>
            <m:ctrlPr>
              <w:rPr>
                <w:rFonts w:ascii="Cambria Math" w:eastAsiaTheme="minorEastAsia" w:hAnsi="Cambria Math"/>
                <w:i/>
                <w:lang w:val="en-GB"/>
              </w:rPr>
            </m:ctrlPr>
          </m:sSubPr>
          <m:e>
            <m:r>
              <w:rPr>
                <w:rFonts w:ascii="Cambria Math" w:eastAsiaTheme="minorEastAsia" w:hAnsi="Cambria Math"/>
                <w:lang w:val="en-GB"/>
              </w:rPr>
              <m:t>β</m:t>
            </m:r>
          </m:e>
          <m:sub>
            <m:r>
              <w:rPr>
                <w:rFonts w:ascii="Cambria Math" w:eastAsiaTheme="minorEastAsia" w:hAnsi="Cambria Math"/>
                <w:lang w:val="en-GB"/>
              </w:rPr>
              <m:t>i</m:t>
            </m:r>
          </m:sub>
        </m:sSub>
      </m:oMath>
      <w:r w:rsidR="00F57ECE">
        <w:rPr>
          <w:rFonts w:eastAsiaTheme="minorEastAsia"/>
          <w:i/>
          <w:lang w:val="en-GB"/>
        </w:rPr>
        <w:t xml:space="preserve"> </w:t>
      </w:r>
      <w:r w:rsidR="00B067AB">
        <w:rPr>
          <w:rFonts w:eastAsiaTheme="minorEastAsia"/>
          <w:lang w:val="en-GB"/>
        </w:rPr>
        <w:t>is the systematic risk, in finance it also means correlation between market moves and individual firm moves</w:t>
      </w:r>
    </w:p>
    <w:p w:rsidR="00E00376" w:rsidRPr="00E00376" w:rsidRDefault="00E00376" w:rsidP="00F64679">
      <w:pPr>
        <w:ind w:firstLine="0"/>
        <w:rPr>
          <w:rFonts w:eastAsiaTheme="minorEastAsia"/>
          <w:lang w:val="en-GB"/>
        </w:rPr>
      </w:pPr>
      <w:r>
        <w:rPr>
          <w:rFonts w:ascii="Cambria Math" w:hAnsi="Cambria Math" w:cs="Cambria Math"/>
        </w:rPr>
        <w:t>𝜀</w:t>
      </w:r>
      <w:r>
        <w:rPr>
          <w:rFonts w:ascii="Cambria Math" w:hAnsi="Cambria Math" w:cs="Cambria Math"/>
          <w:vertAlign w:val="subscript"/>
          <w:lang w:val="en-GB"/>
        </w:rPr>
        <w:t>it</w:t>
      </w:r>
      <w:r>
        <w:rPr>
          <w:rFonts w:ascii="Cambria Math" w:hAnsi="Cambria Math" w:cs="Cambria Math"/>
          <w:lang w:val="en-GB"/>
        </w:rPr>
        <w:t xml:space="preserve"> </w:t>
      </w:r>
      <w:r w:rsidRPr="00E00376">
        <w:rPr>
          <w:lang w:val="en-GB"/>
        </w:rPr>
        <w:t xml:space="preserve">is the </w:t>
      </w:r>
      <w:r>
        <w:rPr>
          <w:lang w:val="en-GB"/>
        </w:rPr>
        <w:t>error term, or unexpected situation individual to a firm</w:t>
      </w:r>
      <w:r w:rsidR="00B067AB">
        <w:rPr>
          <w:lang w:val="en-GB"/>
        </w:rPr>
        <w:t xml:space="preserve"> affecting its stock price</w:t>
      </w:r>
      <w:r>
        <w:rPr>
          <w:lang w:val="en-GB"/>
        </w:rPr>
        <w:t xml:space="preserve">, that has a </w:t>
      </w:r>
      <w:r w:rsidRPr="00E00376">
        <w:rPr>
          <w:lang w:val="en-GB"/>
        </w:rPr>
        <w:t>zero mean disturbance term</w:t>
      </w:r>
      <w:r w:rsidR="00F57ECE">
        <w:rPr>
          <w:lang w:val="en-GB"/>
        </w:rPr>
        <w:t>:</w:t>
      </w:r>
    </w:p>
    <w:p w:rsidR="00E00376" w:rsidRPr="009F77FF" w:rsidRDefault="00B677FC" w:rsidP="00E00376">
      <w:pPr>
        <w:ind w:firstLine="0"/>
        <w:jc w:val="center"/>
        <w:rPr>
          <w:rFonts w:eastAsiaTheme="minorEastAsia"/>
          <w:lang w:val="en-GB"/>
        </w:rPr>
      </w:pPr>
      <m:oMathPara>
        <m:oMath>
          <m:r>
            <w:rPr>
              <w:rFonts w:ascii="Cambria Math" w:eastAsiaTheme="minorEastAsia" w:hAnsi="Cambria Math"/>
              <w:lang w:val="en-GB"/>
            </w:rPr>
            <m:t>E</m:t>
          </m:r>
          <m:d>
            <m:dPr>
              <m:ctrlPr>
                <w:rPr>
                  <w:rFonts w:ascii="Cambria Math" w:eastAsiaTheme="minorEastAsia" w:hAnsi="Cambria Math"/>
                  <w:i/>
                  <w:lang w:val="en-GB"/>
                </w:rPr>
              </m:ctrlPr>
            </m:dPr>
            <m:e>
              <m:sSub>
                <m:sSubPr>
                  <m:ctrlPr>
                    <w:rPr>
                      <w:rFonts w:ascii="Cambria Math" w:eastAsiaTheme="minorEastAsia" w:hAnsi="Cambria Math"/>
                      <w:i/>
                      <w:lang w:val="en-GB"/>
                    </w:rPr>
                  </m:ctrlPr>
                </m:sSubPr>
                <m:e>
                  <m:r>
                    <w:rPr>
                      <w:rFonts w:ascii="Cambria Math" w:hAnsi="Cambria Math"/>
                      <w:lang w:val="en-GB"/>
                    </w:rPr>
                    <m:t>ε</m:t>
                  </m:r>
                </m:e>
                <m:sub>
                  <m:r>
                    <w:rPr>
                      <w:rFonts w:ascii="Cambria Math" w:eastAsiaTheme="minorEastAsia" w:hAnsi="Cambria Math"/>
                      <w:lang w:val="en-GB"/>
                    </w:rPr>
                    <m:t>it</m:t>
                  </m:r>
                </m:sub>
              </m:sSub>
            </m:e>
          </m:d>
          <m:r>
            <w:rPr>
              <w:rFonts w:ascii="Cambria Math" w:eastAsiaTheme="minorEastAsia" w:hAnsi="Cambria Math"/>
              <w:lang w:val="en-GB"/>
            </w:rPr>
            <m:t xml:space="preserve">=0 and var </m:t>
          </m:r>
          <m:d>
            <m:dPr>
              <m:ctrlPr>
                <w:rPr>
                  <w:rFonts w:ascii="Cambria Math" w:eastAsiaTheme="minorEastAsia" w:hAnsi="Cambria Math"/>
                  <w:i/>
                  <w:lang w:val="en-GB"/>
                </w:rPr>
              </m:ctrlPr>
            </m:dPr>
            <m:e>
              <m:sSub>
                <m:sSubPr>
                  <m:ctrlPr>
                    <w:rPr>
                      <w:rFonts w:ascii="Cambria Math" w:eastAsiaTheme="minorEastAsia" w:hAnsi="Cambria Math"/>
                      <w:i/>
                      <w:lang w:val="en-GB"/>
                    </w:rPr>
                  </m:ctrlPr>
                </m:sSubPr>
                <m:e>
                  <m:r>
                    <w:rPr>
                      <w:rFonts w:ascii="Cambria Math" w:hAnsi="Cambria Math"/>
                      <w:lang w:val="en-GB"/>
                    </w:rPr>
                    <m:t>ε</m:t>
                  </m:r>
                </m:e>
                <m:sub>
                  <m:r>
                    <w:rPr>
                      <w:rFonts w:ascii="Cambria Math" w:eastAsiaTheme="minorEastAsia" w:hAnsi="Cambria Math"/>
                      <w:lang w:val="en-GB"/>
                    </w:rPr>
                    <m:t>it</m:t>
                  </m:r>
                </m:sub>
              </m:sSub>
            </m:e>
          </m:d>
          <m:r>
            <w:rPr>
              <w:rFonts w:ascii="Cambria Math" w:eastAsiaTheme="minorEastAsia" w:hAnsi="Cambria Math"/>
              <w:lang w:val="en-GB"/>
            </w:rPr>
            <m:t xml:space="preserve">= </m:t>
          </m:r>
          <m:sSubSup>
            <m:sSubSupPr>
              <m:ctrlPr>
                <w:rPr>
                  <w:rFonts w:ascii="Cambria Math" w:eastAsiaTheme="minorEastAsia" w:hAnsi="Cambria Math"/>
                  <w:i/>
                  <w:lang w:val="en-GB"/>
                </w:rPr>
              </m:ctrlPr>
            </m:sSubSupPr>
            <m:e>
              <m:r>
                <w:rPr>
                  <w:rFonts w:ascii="Cambria Math" w:eastAsiaTheme="minorEastAsia" w:hAnsi="Cambria Math"/>
                  <w:lang w:val="en-GB"/>
                </w:rPr>
                <m:t>σ</m:t>
              </m:r>
            </m:e>
            <m:sub>
              <m:sSub>
                <m:sSubPr>
                  <m:ctrlPr>
                    <w:rPr>
                      <w:rFonts w:ascii="Cambria Math" w:eastAsiaTheme="minorEastAsia" w:hAnsi="Cambria Math"/>
                      <w:i/>
                      <w:lang w:val="en-GB"/>
                    </w:rPr>
                  </m:ctrlPr>
                </m:sSubPr>
                <m:e>
                  <m:r>
                    <w:rPr>
                      <w:rFonts w:ascii="Cambria Math" w:eastAsiaTheme="minorEastAsia" w:hAnsi="Cambria Math"/>
                      <w:lang w:val="en-GB"/>
                    </w:rPr>
                    <m:t>ε</m:t>
                  </m:r>
                </m:e>
                <m:sub>
                  <m:r>
                    <w:rPr>
                      <w:rFonts w:ascii="Cambria Math" w:eastAsiaTheme="minorEastAsia" w:hAnsi="Cambria Math"/>
                      <w:lang w:val="en-GB"/>
                    </w:rPr>
                    <m:t>it</m:t>
                  </m:r>
                </m:sub>
              </m:sSub>
            </m:sub>
            <m:sup>
              <m:r>
                <w:rPr>
                  <w:rFonts w:ascii="Cambria Math" w:eastAsiaTheme="minorEastAsia" w:hAnsi="Cambria Math"/>
                  <w:lang w:val="en-GB"/>
                </w:rPr>
                <m:t>2</m:t>
              </m:r>
            </m:sup>
          </m:sSubSup>
        </m:oMath>
      </m:oMathPara>
    </w:p>
    <w:p w:rsidR="009A415E" w:rsidRDefault="00E00376" w:rsidP="00F64679">
      <w:pPr>
        <w:ind w:firstLine="0"/>
        <w:rPr>
          <w:lang w:val="en-GB"/>
        </w:rPr>
      </w:pPr>
      <w:r>
        <w:rPr>
          <w:lang w:val="en-GB"/>
        </w:rPr>
        <w:t xml:space="preserve">Therefore the error term is excluded from the abnormal return formula, since its mean is equal </w:t>
      </w:r>
      <w:r w:rsidR="009A415E">
        <w:rPr>
          <w:lang w:val="en-GB"/>
        </w:rPr>
        <w:t>to 0.</w:t>
      </w:r>
      <w:r w:rsidR="00E31A8F">
        <w:rPr>
          <w:lang w:val="en-GB"/>
        </w:rPr>
        <w:t xml:space="preserve"> Then the expected return will have the following form:</w:t>
      </w:r>
    </w:p>
    <w:p w:rsidR="00E31A8F" w:rsidRPr="00F64679" w:rsidRDefault="00E31A8F" w:rsidP="00F64679">
      <w:pPr>
        <w:ind w:firstLine="0"/>
        <w:rPr>
          <w:lang w:val="en-GB"/>
        </w:rPr>
      </w:pPr>
      <m:oMathPara>
        <m:oMath>
          <m:r>
            <w:rPr>
              <w:rFonts w:ascii="Cambria Math" w:hAnsi="Cambria Math"/>
              <w:lang w:val="en-GB"/>
            </w:rPr>
            <m:t>E</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it</m:t>
                  </m:r>
                </m:sub>
              </m:sSub>
            </m:e>
          </m:d>
          <m:r>
            <w:rPr>
              <w:rFonts w:ascii="Cambria Math" w:hAnsi="Cambria Math"/>
              <w:lang w:val="en-GB"/>
            </w:rPr>
            <m:t>=</m:t>
          </m:r>
          <m:sSub>
            <m:sSubPr>
              <m:ctrlPr>
                <w:rPr>
                  <w:rFonts w:ascii="Cambria Math" w:hAnsi="Cambria Math"/>
                  <w:i/>
                  <w:lang w:val="en-GB"/>
                </w:rPr>
              </m:ctrlPr>
            </m:sSubPr>
            <m:e>
              <m:r>
                <w:rPr>
                  <w:rFonts w:ascii="Cambria Math" w:hAnsi="Cambria Math"/>
                  <w:lang w:val="en-GB"/>
                </w:rPr>
                <m:t>α</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mt</m:t>
              </m:r>
            </m:sub>
          </m:sSub>
        </m:oMath>
      </m:oMathPara>
    </w:p>
    <w:p w:rsidR="009A415E" w:rsidRPr="009A415E" w:rsidRDefault="009A415E" w:rsidP="009A415E">
      <w:pPr>
        <w:rPr>
          <w:lang w:val="en-GB"/>
        </w:rPr>
      </w:pPr>
      <w:r>
        <w:rPr>
          <w:lang w:val="en-GB"/>
        </w:rPr>
        <w:t>Before I can explain how the normal return calculated for long-term study, I need to specify and justify the model itself, as the benchmark is related to the model used in the long-term study.</w:t>
      </w:r>
      <w:r w:rsidR="00E31A8F">
        <w:rPr>
          <w:lang w:val="en-GB"/>
        </w:rPr>
        <w:t xml:space="preserve"> Therefore, it will be discussed in the next point.</w:t>
      </w:r>
    </w:p>
    <w:p w:rsidR="008C6F77" w:rsidRDefault="008C6F77" w:rsidP="00A36559">
      <w:pPr>
        <w:pStyle w:val="aa"/>
        <w:numPr>
          <w:ilvl w:val="0"/>
          <w:numId w:val="8"/>
        </w:numPr>
        <w:rPr>
          <w:b/>
          <w:lang w:val="en-GB"/>
        </w:rPr>
      </w:pPr>
      <w:r w:rsidRPr="002A0CD8">
        <w:rPr>
          <w:b/>
          <w:lang w:val="en-GB"/>
        </w:rPr>
        <w:t>Evaluation of abnormal returns:</w:t>
      </w:r>
    </w:p>
    <w:p w:rsidR="008C6F77" w:rsidRDefault="006C1471" w:rsidP="00B067AB">
      <w:pPr>
        <w:rPr>
          <w:lang w:val="en-GB"/>
        </w:rPr>
      </w:pPr>
      <w:r>
        <w:rPr>
          <w:lang w:val="en-GB"/>
        </w:rPr>
        <w:t xml:space="preserve">The abnormal return is calculated as firm </w:t>
      </w:r>
      <w:r>
        <w:rPr>
          <w:i/>
          <w:lang w:val="en-GB"/>
        </w:rPr>
        <w:t>i</w:t>
      </w:r>
      <w:r>
        <w:rPr>
          <w:lang w:val="en-GB"/>
        </w:rPr>
        <w:t xml:space="preserve"> real return that took place in real situation, minus expected returns at day </w:t>
      </w:r>
      <w:r>
        <w:rPr>
          <w:i/>
          <w:lang w:val="en-GB"/>
        </w:rPr>
        <w:t>t.</w:t>
      </w:r>
    </w:p>
    <w:p w:rsidR="00B067AB" w:rsidRPr="00B067AB" w:rsidRDefault="008E3922" w:rsidP="008C6F77">
      <w:pPr>
        <w:ind w:firstLine="0"/>
        <w:rPr>
          <w:rFonts w:eastAsiaTheme="minorEastAsia"/>
          <w:lang w:val="en-GB"/>
        </w:rPr>
      </w:pPr>
      <m:oMathPara>
        <m:oMath>
          <m:sSub>
            <m:sSubPr>
              <m:ctrlPr>
                <w:rPr>
                  <w:rFonts w:ascii="Cambria Math" w:hAnsi="Cambria Math"/>
                  <w:i/>
                  <w:lang w:val="en-GB"/>
                </w:rPr>
              </m:ctrlPr>
            </m:sSubPr>
            <m:e>
              <m:r>
                <w:rPr>
                  <w:rFonts w:ascii="Cambria Math" w:hAnsi="Cambria Math"/>
                  <w:lang w:val="en-GB"/>
                </w:rPr>
                <m:t>AR</m:t>
              </m:r>
            </m:e>
            <m:sub>
              <m:r>
                <w:rPr>
                  <w:rFonts w:ascii="Cambria Math" w:hAnsi="Cambria Math"/>
                  <w:lang w:val="en-GB"/>
                </w:rPr>
                <m:t>it</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it</m:t>
              </m:r>
            </m:sub>
          </m:sSub>
          <m:r>
            <w:rPr>
              <w:rFonts w:ascii="Cambria Math" w:hAnsi="Cambria Math"/>
              <w:lang w:val="en-GB"/>
            </w:rPr>
            <m:t>-E</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it</m:t>
                  </m:r>
                </m:sub>
              </m:sSub>
            </m:e>
          </m:d>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it</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α</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i</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mt</m:t>
              </m:r>
            </m:sub>
          </m:sSub>
        </m:oMath>
      </m:oMathPara>
    </w:p>
    <w:p w:rsidR="00D23975" w:rsidRDefault="00B067AB" w:rsidP="00D23975">
      <w:pPr>
        <w:ind w:firstLine="0"/>
        <w:rPr>
          <w:rFonts w:eastAsiaTheme="minorEastAsia"/>
          <w:lang w:val="en-GB"/>
        </w:rPr>
      </w:pPr>
      <w:proofErr w:type="spellStart"/>
      <w:r>
        <w:rPr>
          <w:rFonts w:eastAsiaTheme="minorEastAsia"/>
          <w:lang w:val="en-GB"/>
        </w:rPr>
        <w:t>AR</w:t>
      </w:r>
      <w:r>
        <w:rPr>
          <w:rFonts w:eastAsiaTheme="minorEastAsia"/>
          <w:vertAlign w:val="subscript"/>
          <w:lang w:val="en-GB"/>
        </w:rPr>
        <w:t>it</w:t>
      </w:r>
      <w:proofErr w:type="spellEnd"/>
      <w:r>
        <w:rPr>
          <w:rFonts w:eastAsiaTheme="minorEastAsia"/>
          <w:lang w:val="en-GB"/>
        </w:rPr>
        <w:t xml:space="preserve"> – abnormal return of </w:t>
      </w:r>
      <w:r w:rsidR="00CD4B7D">
        <w:rPr>
          <w:rFonts w:eastAsiaTheme="minorEastAsia"/>
          <w:lang w:val="en-GB"/>
        </w:rPr>
        <w:t>a</w:t>
      </w:r>
      <w:r w:rsidR="00D645CC">
        <w:rPr>
          <w:rFonts w:eastAsiaTheme="minorEastAsia"/>
          <w:lang w:val="en-GB"/>
        </w:rPr>
        <w:t xml:space="preserve"> </w:t>
      </w:r>
      <w:r w:rsidR="00EB2055">
        <w:rPr>
          <w:rFonts w:eastAsiaTheme="minorEastAsia"/>
          <w:lang w:val="en-GB"/>
        </w:rPr>
        <w:t>firm</w:t>
      </w:r>
      <w:r w:rsidR="00D645CC">
        <w:rPr>
          <w:rFonts w:eastAsiaTheme="minorEastAsia"/>
          <w:lang w:val="en-GB"/>
        </w:rPr>
        <w:t xml:space="preserve"> </w:t>
      </w:r>
      <w:r w:rsidR="00EB2055">
        <w:rPr>
          <w:rFonts w:eastAsiaTheme="minorEastAsia"/>
          <w:i/>
          <w:lang w:val="en-GB"/>
        </w:rPr>
        <w:t xml:space="preserve">i </w:t>
      </w:r>
      <w:r w:rsidR="00D645CC">
        <w:rPr>
          <w:rFonts w:eastAsiaTheme="minorEastAsia"/>
          <w:lang w:val="en-GB"/>
        </w:rPr>
        <w:t xml:space="preserve">in the </w:t>
      </w:r>
      <w:r>
        <w:rPr>
          <w:rFonts w:eastAsiaTheme="minorEastAsia"/>
          <w:lang w:val="en-GB"/>
        </w:rPr>
        <w:t xml:space="preserve">day </w:t>
      </w:r>
      <w:r>
        <w:rPr>
          <w:rFonts w:eastAsiaTheme="minorEastAsia"/>
          <w:i/>
          <w:lang w:val="en-GB"/>
        </w:rPr>
        <w:t>t</w:t>
      </w:r>
      <w:r w:rsidR="00D23975">
        <w:rPr>
          <w:rFonts w:eastAsiaTheme="minorEastAsia"/>
          <w:i/>
          <w:lang w:val="en-GB"/>
        </w:rPr>
        <w:t>.</w:t>
      </w:r>
    </w:p>
    <w:p w:rsidR="008C6F77" w:rsidRDefault="008C6F77" w:rsidP="00A36559">
      <w:pPr>
        <w:pStyle w:val="aa"/>
        <w:numPr>
          <w:ilvl w:val="0"/>
          <w:numId w:val="8"/>
        </w:numPr>
        <w:rPr>
          <w:b/>
          <w:lang w:val="en-GB"/>
        </w:rPr>
      </w:pPr>
      <w:r w:rsidRPr="002A0CD8">
        <w:rPr>
          <w:b/>
          <w:lang w:val="en-GB"/>
        </w:rPr>
        <w:t>Aggregation of abnormal returns:</w:t>
      </w:r>
    </w:p>
    <w:p w:rsidR="00446963" w:rsidRDefault="00446963" w:rsidP="00446963">
      <w:pPr>
        <w:rPr>
          <w:lang w:val="en-GB"/>
        </w:rPr>
      </w:pPr>
      <w:r>
        <w:rPr>
          <w:lang w:val="en-GB"/>
        </w:rPr>
        <w:t>For each individual firm then required to calculate cumulative abnormal returns (CAR). This shows how many an investor could accumulate for several days included in event window. The formula is looking following way:</w:t>
      </w:r>
    </w:p>
    <w:p w:rsidR="00446963" w:rsidRDefault="008E3922" w:rsidP="00446963">
      <w:pPr>
        <w:rPr>
          <w:lang w:val="en-GB"/>
        </w:rPr>
      </w:pPr>
      <m:oMathPara>
        <m:oMath>
          <m:sSub>
            <m:sSubPr>
              <m:ctrlPr>
                <w:rPr>
                  <w:rFonts w:ascii="Cambria Math" w:hAnsi="Cambria Math"/>
                  <w:i/>
                  <w:lang w:val="en-GB"/>
                </w:rPr>
              </m:ctrlPr>
            </m:sSubPr>
            <m:e>
              <m:r>
                <w:rPr>
                  <w:rFonts w:ascii="Cambria Math" w:hAnsi="Cambria Math"/>
                  <w:lang w:val="en-GB"/>
                </w:rPr>
                <m:t>CAR</m:t>
              </m:r>
            </m:e>
            <m:sub>
              <m:r>
                <w:rPr>
                  <w:rFonts w:ascii="Cambria Math" w:hAnsi="Cambria Math"/>
                  <w:lang w:val="en-GB"/>
                </w:rPr>
                <m:t>i</m:t>
              </m:r>
            </m:sub>
          </m:sSub>
          <m:r>
            <w:rPr>
              <w:rFonts w:ascii="Cambria Math" w:hAnsi="Cambria Math"/>
              <w:lang w:val="en-GB"/>
            </w:rPr>
            <m:t xml:space="preserve">= </m:t>
          </m:r>
          <m:nary>
            <m:naryPr>
              <m:chr m:val="∑"/>
              <m:limLoc m:val="undOvr"/>
              <m:ctrlPr>
                <w:rPr>
                  <w:rFonts w:ascii="Cambria Math" w:hAnsi="Cambria Math"/>
                  <w:i/>
                  <w:lang w:val="en-GB"/>
                </w:rPr>
              </m:ctrlPr>
            </m:naryPr>
            <m:sub>
              <m:r>
                <w:rPr>
                  <w:rFonts w:ascii="Cambria Math" w:hAnsi="Cambria Math"/>
                  <w:lang w:val="en-GB"/>
                </w:rPr>
                <m:t>t</m:t>
              </m:r>
            </m:sub>
            <m:sup>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1</m:t>
                  </m:r>
                </m:sub>
              </m:sSub>
            </m:sup>
            <m:e>
              <m:sSub>
                <m:sSubPr>
                  <m:ctrlPr>
                    <w:rPr>
                      <w:rFonts w:ascii="Cambria Math" w:hAnsi="Cambria Math"/>
                      <w:i/>
                      <w:lang w:val="en-GB"/>
                    </w:rPr>
                  </m:ctrlPr>
                </m:sSubPr>
                <m:e>
                  <m:r>
                    <w:rPr>
                      <w:rFonts w:ascii="Cambria Math" w:hAnsi="Cambria Math"/>
                      <w:lang w:val="en-GB"/>
                    </w:rPr>
                    <m:t>AR</m:t>
                  </m:r>
                </m:e>
                <m:sub>
                  <m:r>
                    <w:rPr>
                      <w:rFonts w:ascii="Cambria Math" w:hAnsi="Cambria Math"/>
                      <w:lang w:val="en-GB"/>
                    </w:rPr>
                    <m:t>it</m:t>
                  </m:r>
                </m:sub>
              </m:sSub>
            </m:e>
          </m:nary>
        </m:oMath>
      </m:oMathPara>
    </w:p>
    <w:p w:rsidR="00B067AB" w:rsidRDefault="00D645CC" w:rsidP="00446963">
      <w:pPr>
        <w:rPr>
          <w:lang w:val="en-GB"/>
        </w:rPr>
      </w:pPr>
      <w:r>
        <w:rPr>
          <w:lang w:val="en-GB"/>
        </w:rPr>
        <w:t>However this approach mostly required for assessing one firm only, in case of portfolio of observations covering several firms, CAR is calculated for all observations from the sample. To do that the average abnormal return should be accumulated .</w:t>
      </w:r>
      <w:r w:rsidR="00B067AB">
        <w:rPr>
          <w:lang w:val="en-GB"/>
        </w:rPr>
        <w:t>After the AR</w:t>
      </w:r>
      <w:r w:rsidR="00694D72">
        <w:rPr>
          <w:lang w:val="en-GB"/>
        </w:rPr>
        <w:t xml:space="preserve"> has been calculated for a particular company for estimation and event window, then the mean (or averaged) of abnormal returns being calculated for all </w:t>
      </w:r>
      <w:r w:rsidR="00446963">
        <w:rPr>
          <w:lang w:val="en-GB"/>
        </w:rPr>
        <w:t>events N</w:t>
      </w:r>
      <w:r w:rsidR="00694D72">
        <w:rPr>
          <w:lang w:val="en-GB"/>
        </w:rPr>
        <w:t xml:space="preserve"> in the corresponding days from </w:t>
      </w:r>
      <w:r w:rsidR="00446963">
        <w:rPr>
          <w:lang w:val="en-GB"/>
        </w:rPr>
        <w:t xml:space="preserve">the </w:t>
      </w:r>
      <w:r w:rsidR="00694D72">
        <w:rPr>
          <w:lang w:val="en-GB"/>
        </w:rPr>
        <w:t>set T. The formula has a following form:</w:t>
      </w:r>
    </w:p>
    <w:p w:rsidR="00694D72" w:rsidRPr="00446963" w:rsidRDefault="008E3922" w:rsidP="00B067AB">
      <w:pPr>
        <w:ind w:firstLine="0"/>
        <w:rPr>
          <w:rFonts w:eastAsiaTheme="minorEastAsia"/>
          <w:lang w:val="en-GB"/>
        </w:rPr>
      </w:pPr>
      <m:oMathPara>
        <m:oMath>
          <m:sSub>
            <m:sSubPr>
              <m:ctrlPr>
                <w:rPr>
                  <w:rFonts w:ascii="Cambria Math" w:hAnsi="Cambria Math"/>
                  <w:i/>
                  <w:lang w:val="en-GB"/>
                </w:rPr>
              </m:ctrlPr>
            </m:sSubPr>
            <m:e>
              <m:r>
                <w:rPr>
                  <w:rFonts w:ascii="Cambria Math" w:hAnsi="Cambria Math"/>
                  <w:lang w:val="en-GB"/>
                </w:rPr>
                <m:t>AAR</m:t>
              </m:r>
            </m:e>
            <m:sub>
              <m:r>
                <w:rPr>
                  <w:rFonts w:ascii="Cambria Math" w:hAnsi="Cambria Math"/>
                  <w:lang w:val="en-GB"/>
                </w:rPr>
                <m:t>t</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r>
                <w:rPr>
                  <w:rFonts w:ascii="Cambria Math" w:hAnsi="Cambria Math"/>
                  <w:lang w:val="en-GB"/>
                </w:rPr>
                <m:t>N</m:t>
              </m:r>
            </m:den>
          </m:f>
          <m:nary>
            <m:naryPr>
              <m:chr m:val="∑"/>
              <m:limLoc m:val="undOvr"/>
              <m:ctrlPr>
                <w:rPr>
                  <w:rFonts w:ascii="Cambria Math" w:hAnsi="Cambria Math"/>
                  <w:i/>
                  <w:lang w:val="en-GB"/>
                </w:rPr>
              </m:ctrlPr>
            </m:naryPr>
            <m:sub>
              <m:r>
                <w:rPr>
                  <w:rFonts w:ascii="Cambria Math" w:hAnsi="Cambria Math"/>
                  <w:lang w:val="en-GB"/>
                </w:rPr>
                <m:t>i-1</m:t>
              </m:r>
            </m:sub>
            <m:sup>
              <m:r>
                <w:rPr>
                  <w:rFonts w:ascii="Cambria Math" w:hAnsi="Cambria Math"/>
                  <w:lang w:val="en-GB"/>
                </w:rPr>
                <m:t>N</m:t>
              </m:r>
            </m:sup>
            <m:e>
              <m:sSub>
                <m:sSubPr>
                  <m:ctrlPr>
                    <w:rPr>
                      <w:rFonts w:ascii="Cambria Math" w:hAnsi="Cambria Math"/>
                      <w:i/>
                      <w:lang w:val="en-GB"/>
                    </w:rPr>
                  </m:ctrlPr>
                </m:sSubPr>
                <m:e>
                  <m:r>
                    <w:rPr>
                      <w:rFonts w:ascii="Cambria Math" w:hAnsi="Cambria Math"/>
                      <w:lang w:val="en-GB"/>
                    </w:rPr>
                    <m:t>AR</m:t>
                  </m:r>
                </m:e>
                <m:sub>
                  <m:r>
                    <w:rPr>
                      <w:rFonts w:ascii="Cambria Math" w:hAnsi="Cambria Math"/>
                      <w:lang w:val="en-GB"/>
                    </w:rPr>
                    <m:t>it</m:t>
                  </m:r>
                </m:sub>
              </m:sSub>
            </m:e>
          </m:nary>
        </m:oMath>
      </m:oMathPara>
    </w:p>
    <w:p w:rsidR="00446963" w:rsidRDefault="00446963" w:rsidP="00B067AB">
      <w:pPr>
        <w:ind w:firstLine="0"/>
        <w:rPr>
          <w:rFonts w:eastAsiaTheme="minorEastAsia"/>
          <w:lang w:val="en-GB"/>
        </w:rPr>
      </w:pPr>
      <w:r>
        <w:rPr>
          <w:rFonts w:eastAsiaTheme="minorEastAsia"/>
          <w:lang w:val="en-GB"/>
        </w:rPr>
        <w:t xml:space="preserve">AAR is aggregated average abnormal returns for N number of observations in the sample. </w:t>
      </w:r>
    </w:p>
    <w:p w:rsidR="00446963" w:rsidRDefault="00446963" w:rsidP="00446963">
      <w:pPr>
        <w:rPr>
          <w:lang w:val="en-GB"/>
        </w:rPr>
      </w:pPr>
      <w:r>
        <w:rPr>
          <w:lang w:val="en-GB"/>
        </w:rPr>
        <w:t xml:space="preserve">At this point </w:t>
      </w:r>
      <w:r w:rsidR="00D645CC">
        <w:rPr>
          <w:lang w:val="en-GB"/>
        </w:rPr>
        <w:t xml:space="preserve">it </w:t>
      </w:r>
      <w:r>
        <w:rPr>
          <w:lang w:val="en-GB"/>
        </w:rPr>
        <w:t xml:space="preserve">is possible to get </w:t>
      </w:r>
      <w:r w:rsidR="00D645CC">
        <w:rPr>
          <w:lang w:val="en-GB"/>
        </w:rPr>
        <w:t>the cumulative average abnormal return for whole sample:</w:t>
      </w:r>
    </w:p>
    <w:p w:rsidR="00D645CC" w:rsidRDefault="008E3922" w:rsidP="00446963">
      <w:pPr>
        <w:rPr>
          <w:lang w:val="en-GB"/>
        </w:rPr>
      </w:pPr>
      <m:oMathPara>
        <m:oMath>
          <m:sSub>
            <m:sSubPr>
              <m:ctrlPr>
                <w:rPr>
                  <w:rFonts w:ascii="Cambria Math" w:hAnsi="Cambria Math"/>
                  <w:i/>
                  <w:lang w:val="en-GB"/>
                </w:rPr>
              </m:ctrlPr>
            </m:sSubPr>
            <m:e>
              <m:r>
                <w:rPr>
                  <w:rFonts w:ascii="Cambria Math" w:hAnsi="Cambria Math"/>
                  <w:lang w:val="en-GB"/>
                </w:rPr>
                <m:t>CAAR</m:t>
              </m:r>
            </m:e>
            <m:sub>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1</m:t>
                  </m:r>
                </m:sub>
              </m:sSub>
            </m:sub>
          </m:sSub>
          <m:r>
            <w:rPr>
              <w:rFonts w:ascii="Cambria Math" w:hAnsi="Cambria Math"/>
              <w:lang w:val="en-GB"/>
            </w:rPr>
            <m:t>=</m:t>
          </m:r>
          <m:nary>
            <m:naryPr>
              <m:chr m:val="∑"/>
              <m:limLoc m:val="undOvr"/>
              <m:ctrlPr>
                <w:rPr>
                  <w:rFonts w:ascii="Cambria Math" w:hAnsi="Cambria Math"/>
                  <w:i/>
                  <w:lang w:val="en-GB"/>
                </w:rPr>
              </m:ctrlPr>
            </m:naryPr>
            <m:sub>
              <m:r>
                <w:rPr>
                  <w:rFonts w:ascii="Cambria Math" w:hAnsi="Cambria Math"/>
                  <w:lang w:val="en-GB"/>
                </w:rPr>
                <m:t>t</m:t>
              </m:r>
            </m:sub>
            <m:sup>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1</m:t>
                  </m:r>
                </m:sub>
              </m:sSub>
            </m:sup>
            <m:e>
              <m:sSub>
                <m:sSubPr>
                  <m:ctrlPr>
                    <w:rPr>
                      <w:rFonts w:ascii="Cambria Math" w:hAnsi="Cambria Math"/>
                      <w:i/>
                      <w:lang w:val="en-GB"/>
                    </w:rPr>
                  </m:ctrlPr>
                </m:sSubPr>
                <m:e>
                  <m:r>
                    <w:rPr>
                      <w:rFonts w:ascii="Cambria Math" w:hAnsi="Cambria Math"/>
                      <w:lang w:val="en-GB"/>
                    </w:rPr>
                    <m:t>AAR</m:t>
                  </m:r>
                </m:e>
                <m:sub>
                  <m:r>
                    <w:rPr>
                      <w:rFonts w:ascii="Cambria Math" w:hAnsi="Cambria Math"/>
                      <w:lang w:val="en-GB"/>
                    </w:rPr>
                    <m:t>t</m:t>
                  </m:r>
                </m:sub>
              </m:sSub>
            </m:e>
          </m:nary>
          <m:r>
            <w:rPr>
              <w:rFonts w:ascii="Cambria Math" w:hAnsi="Cambria Math"/>
              <w:lang w:val="en-GB"/>
            </w:rPr>
            <m:t xml:space="preserve"> </m:t>
          </m:r>
        </m:oMath>
      </m:oMathPara>
    </w:p>
    <w:p w:rsidR="008C6F77" w:rsidRPr="008C6F77" w:rsidRDefault="00965F22" w:rsidP="00CA086E">
      <w:pPr>
        <w:rPr>
          <w:lang w:val="en-GB"/>
        </w:rPr>
      </w:pPr>
      <w:r>
        <w:rPr>
          <w:lang w:val="en-GB"/>
        </w:rPr>
        <w:t>In combination with the AAR measure, the CAAR will provide a final result on market reaction to the event of M&amp;A.</w:t>
      </w:r>
    </w:p>
    <w:p w:rsidR="008C6F77" w:rsidRPr="002A0CD8" w:rsidRDefault="008C6F77" w:rsidP="00A36559">
      <w:pPr>
        <w:pStyle w:val="aa"/>
        <w:numPr>
          <w:ilvl w:val="0"/>
          <w:numId w:val="8"/>
        </w:numPr>
        <w:rPr>
          <w:b/>
          <w:lang w:val="en-GB"/>
        </w:rPr>
      </w:pPr>
      <w:r w:rsidRPr="002A0CD8">
        <w:rPr>
          <w:b/>
          <w:lang w:val="en-GB"/>
        </w:rPr>
        <w:t>Null hypothesis test:</w:t>
      </w:r>
    </w:p>
    <w:p w:rsidR="008C6F77" w:rsidRDefault="00965F22" w:rsidP="00CD4B7D">
      <w:pPr>
        <w:rPr>
          <w:lang w:val="en-GB"/>
        </w:rPr>
      </w:pPr>
      <w:r>
        <w:rPr>
          <w:lang w:val="en-GB"/>
        </w:rPr>
        <w:t xml:space="preserve">Nevertheless, before the final conclusion can be made, a null hypothesis test is required. This hypothesis states that in spite of event the mean of abnormal returns should be zero. </w:t>
      </w:r>
    </w:p>
    <w:p w:rsidR="00965F22" w:rsidRPr="00965F22" w:rsidRDefault="008E3922" w:rsidP="008C6F77">
      <w:pPr>
        <w:ind w:firstLine="0"/>
        <w:rPr>
          <w:rFonts w:eastAsiaTheme="minorEastAsia"/>
          <w:lang w:val="en-GB"/>
        </w:rPr>
      </w:pPr>
      <m:oMathPara>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0</m:t>
              </m:r>
            </m:sub>
          </m:sSub>
          <m:r>
            <w:rPr>
              <w:rFonts w:ascii="Cambria Math" w:hAnsi="Cambria Math"/>
              <w:lang w:val="en-GB"/>
            </w:rPr>
            <m:t>μ=0</m:t>
          </m:r>
        </m:oMath>
      </m:oMathPara>
    </w:p>
    <w:p w:rsidR="00965F22" w:rsidRDefault="00965F22" w:rsidP="008C6F77">
      <w:pPr>
        <w:ind w:firstLine="0"/>
        <w:rPr>
          <w:rFonts w:eastAsiaTheme="minorEastAsia"/>
          <w:lang w:val="en-GB"/>
        </w:rPr>
      </w:pPr>
      <w:r>
        <w:rPr>
          <w:rFonts w:eastAsiaTheme="minorEastAsia"/>
          <w:lang w:val="en-GB"/>
        </w:rPr>
        <w:t>While, the opposite is:</w:t>
      </w:r>
    </w:p>
    <w:p w:rsidR="00965F22" w:rsidRPr="00965F22" w:rsidRDefault="008E3922" w:rsidP="00965F22">
      <w:pPr>
        <w:ind w:firstLine="0"/>
        <w:rPr>
          <w:rFonts w:eastAsiaTheme="minorEastAsia"/>
          <w:lang w:val="en-GB"/>
        </w:rPr>
      </w:pPr>
      <m:oMathPara>
        <m:oMath>
          <m:sSub>
            <m:sSubPr>
              <m:ctrlPr>
                <w:rPr>
                  <w:rFonts w:ascii="Cambria Math" w:hAnsi="Cambria Math"/>
                  <w:i/>
                  <w:lang w:val="en-GB"/>
                </w:rPr>
              </m:ctrlPr>
            </m:sSubPr>
            <m:e>
              <m:r>
                <w:rPr>
                  <w:rFonts w:ascii="Cambria Math" w:hAnsi="Cambria Math"/>
                  <w:lang w:val="en-GB"/>
                </w:rPr>
                <m:t>H</m:t>
              </m:r>
            </m:e>
            <m:sub>
              <m:r>
                <w:rPr>
                  <w:rFonts w:ascii="Cambria Math" w:hAnsi="Cambria Math"/>
                  <w:lang w:val="en-GB"/>
                </w:rPr>
                <m:t>1</m:t>
              </m:r>
            </m:sub>
          </m:sSub>
          <m:r>
            <w:rPr>
              <w:rFonts w:ascii="Cambria Math" w:hAnsi="Cambria Math"/>
              <w:lang w:val="en-GB"/>
            </w:rPr>
            <m:t>μ≠0</m:t>
          </m:r>
        </m:oMath>
      </m:oMathPara>
    </w:p>
    <w:p w:rsidR="00965F22" w:rsidRDefault="00965F22" w:rsidP="00CD4B7D">
      <w:pPr>
        <w:rPr>
          <w:lang w:val="en-GB"/>
        </w:rPr>
      </w:pPr>
      <w:r>
        <w:rPr>
          <w:lang w:val="en-GB"/>
        </w:rPr>
        <w:t xml:space="preserve">If the null hypothesis does not hold, it would mean that stock </w:t>
      </w:r>
      <w:r w:rsidR="00F1463A">
        <w:rPr>
          <w:lang w:val="en-GB"/>
        </w:rPr>
        <w:t xml:space="preserve">price change could be explained by the event. In order to test the null hypothesis, the significance test should be used. </w:t>
      </w:r>
      <w:r w:rsidR="0009102E">
        <w:rPr>
          <w:lang w:val="en-GB"/>
        </w:rPr>
        <w:t>In most studies the standardised t-test is used for that (</w:t>
      </w:r>
      <w:r w:rsidR="0009102E" w:rsidRPr="0009102E">
        <w:rPr>
          <w:lang w:val="en-GB"/>
        </w:rPr>
        <w:t>MacKinlay</w:t>
      </w:r>
      <w:r w:rsidR="000A60B8">
        <w:rPr>
          <w:lang w:val="en-GB"/>
        </w:rPr>
        <w:t>, 1997)</w:t>
      </w:r>
      <w:r w:rsidR="004D2563">
        <w:rPr>
          <w:lang w:val="en-GB"/>
        </w:rPr>
        <w:t>, (K. Yoo, 2013</w:t>
      </w:r>
      <w:r w:rsidR="0009102E">
        <w:rPr>
          <w:lang w:val="en-GB"/>
        </w:rPr>
        <w:t>), (S</w:t>
      </w:r>
      <w:r w:rsidR="0009102E" w:rsidRPr="0009102E">
        <w:rPr>
          <w:lang w:val="en-GB"/>
        </w:rPr>
        <w:t>. Kothari</w:t>
      </w:r>
      <w:r w:rsidR="0009102E">
        <w:rPr>
          <w:lang w:val="en-GB"/>
        </w:rPr>
        <w:t xml:space="preserve">, </w:t>
      </w:r>
      <w:r w:rsidR="0009102E" w:rsidRPr="0009102E">
        <w:rPr>
          <w:lang w:val="en-GB"/>
        </w:rPr>
        <w:t>J</w:t>
      </w:r>
      <w:r w:rsidR="0009102E">
        <w:rPr>
          <w:lang w:val="en-GB"/>
        </w:rPr>
        <w:t>.</w:t>
      </w:r>
      <w:r w:rsidR="0009102E" w:rsidRPr="0009102E">
        <w:rPr>
          <w:lang w:val="en-GB"/>
        </w:rPr>
        <w:t xml:space="preserve"> Warner</w:t>
      </w:r>
      <w:r w:rsidR="0009102E">
        <w:rPr>
          <w:lang w:val="en-GB"/>
        </w:rPr>
        <w:t>, 2006)</w:t>
      </w:r>
      <w:r w:rsidR="001E42A6">
        <w:rPr>
          <w:lang w:val="en-GB"/>
        </w:rPr>
        <w:t xml:space="preserve"> (J. </w:t>
      </w:r>
      <w:r w:rsidR="001E42A6" w:rsidRPr="001E42A6">
        <w:rPr>
          <w:lang w:val="en-GB"/>
        </w:rPr>
        <w:t>Warner</w:t>
      </w:r>
      <w:r w:rsidR="001E42A6">
        <w:rPr>
          <w:lang w:val="en-GB"/>
        </w:rPr>
        <w:t>, S. Brown, 1984), (</w:t>
      </w:r>
      <w:r w:rsidR="001E42A6" w:rsidRPr="001E42A6">
        <w:rPr>
          <w:lang w:val="en-GB"/>
        </w:rPr>
        <w:t>Li Ding</w:t>
      </w:r>
      <w:r w:rsidR="001E42A6">
        <w:rPr>
          <w:lang w:val="en-GB"/>
        </w:rPr>
        <w:t xml:space="preserve">, </w:t>
      </w:r>
      <w:r w:rsidR="001E42A6" w:rsidRPr="001E42A6">
        <w:rPr>
          <w:lang w:val="en-GB"/>
        </w:rPr>
        <w:t>H</w:t>
      </w:r>
      <w:r w:rsidR="001E42A6">
        <w:rPr>
          <w:lang w:val="en-GB"/>
        </w:rPr>
        <w:t xml:space="preserve">. </w:t>
      </w:r>
      <w:r w:rsidR="001E42A6" w:rsidRPr="001E42A6">
        <w:rPr>
          <w:lang w:val="en-GB"/>
        </w:rPr>
        <w:t>Lam</w:t>
      </w:r>
      <w:r w:rsidR="001E42A6">
        <w:rPr>
          <w:lang w:val="en-GB"/>
        </w:rPr>
        <w:t xml:space="preserve">, </w:t>
      </w:r>
      <w:r w:rsidR="001E42A6" w:rsidRPr="001E42A6">
        <w:rPr>
          <w:lang w:val="en-GB"/>
        </w:rPr>
        <w:t>.C.E. Cheng</w:t>
      </w:r>
      <w:r w:rsidR="001E42A6">
        <w:rPr>
          <w:lang w:val="en-GB"/>
        </w:rPr>
        <w:t xml:space="preserve">, H. </w:t>
      </w:r>
      <w:r w:rsidR="001E42A6" w:rsidRPr="001E42A6">
        <w:rPr>
          <w:lang w:val="en-GB"/>
        </w:rPr>
        <w:t>Zhou</w:t>
      </w:r>
      <w:r w:rsidR="001E42A6">
        <w:rPr>
          <w:lang w:val="en-GB"/>
        </w:rPr>
        <w:t xml:space="preserve">) under the assumption that abnormal returns are normally distributed and have </w:t>
      </w:r>
      <w:r w:rsidR="001E42A6" w:rsidRPr="001E42A6">
        <w:rPr>
          <w:lang w:val="en-GB"/>
        </w:rPr>
        <w:t>time-series independence</w:t>
      </w:r>
      <w:r w:rsidR="001E42A6">
        <w:rPr>
          <w:lang w:val="en-GB"/>
        </w:rPr>
        <w:t>. Therefore, the t-test is measured for AAR by following way:</w:t>
      </w:r>
    </w:p>
    <w:p w:rsidR="001E42A6" w:rsidRPr="008F733C" w:rsidRDefault="008E3922" w:rsidP="008C6F77">
      <w:pPr>
        <w:ind w:firstLine="0"/>
        <w:rPr>
          <w:rFonts w:eastAsiaTheme="minorEastAsia"/>
          <w:lang w:val="en-GB"/>
        </w:rPr>
      </w:pPr>
      <m:oMathPara>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AAR</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AAR</m:t>
                  </m:r>
                </m:e>
                <m:sub>
                  <m:r>
                    <w:rPr>
                      <w:rFonts w:ascii="Cambria Math" w:hAnsi="Cambria Math"/>
                      <w:lang w:val="en-GB"/>
                    </w:rPr>
                    <m:t>t</m:t>
                  </m:r>
                </m:sub>
              </m:sSub>
            </m:num>
            <m:den>
              <m:r>
                <w:rPr>
                  <w:rFonts w:ascii="Cambria Math" w:hAnsi="Cambria Math"/>
                  <w:lang w:val="en-GB"/>
                </w:rPr>
                <m:t>σ</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AAR</m:t>
                      </m:r>
                    </m:e>
                    <m:sub>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2</m:t>
                          </m:r>
                        </m:sub>
                      </m:sSub>
                    </m:sub>
                  </m:sSub>
                </m:e>
              </m:d>
            </m:den>
          </m:f>
        </m:oMath>
      </m:oMathPara>
    </w:p>
    <w:p w:rsidR="008F733C" w:rsidRDefault="008F733C" w:rsidP="008C6F77">
      <w:pPr>
        <w:ind w:firstLine="0"/>
        <w:rPr>
          <w:rFonts w:eastAsiaTheme="minorEastAsia"/>
          <w:lang w:val="en-GB"/>
        </w:rPr>
      </w:pPr>
      <w:r>
        <w:rPr>
          <w:rFonts w:eastAsiaTheme="minorEastAsia"/>
          <w:lang w:val="en-GB"/>
        </w:rPr>
        <w:t>And for CAAR:</w:t>
      </w:r>
    </w:p>
    <w:p w:rsidR="008F733C" w:rsidRPr="008F733C" w:rsidRDefault="008E3922" w:rsidP="008C6F77">
      <w:pPr>
        <w:ind w:firstLine="0"/>
        <w:rPr>
          <w:rFonts w:eastAsiaTheme="minorEastAsia"/>
          <w:lang w:val="en-GB"/>
        </w:rPr>
      </w:pPr>
      <m:oMathPara>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CAAR</m:t>
              </m:r>
            </m:sub>
          </m:sSub>
          <m:r>
            <w:rPr>
              <w:rFonts w:ascii="Cambria Math" w:hAnsi="Cambria Math"/>
              <w:lang w:val="en-GB"/>
            </w:rPr>
            <m:t xml:space="preserve">= </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CAAR</m:t>
                  </m:r>
                </m:e>
                <m:sub>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1</m:t>
                      </m:r>
                    </m:sub>
                  </m:sSub>
                </m:sub>
              </m:sSub>
            </m:num>
            <m:den>
              <m:r>
                <w:rPr>
                  <w:rFonts w:ascii="Cambria Math" w:hAnsi="Cambria Math"/>
                  <w:lang w:val="en-GB"/>
                </w:rPr>
                <m:t>σ</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CAAR</m:t>
                      </m:r>
                    </m:e>
                    <m:sub>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1</m:t>
                          </m:r>
                        </m:sub>
                      </m:sSub>
                    </m:sub>
                  </m:sSub>
                </m:e>
              </m:d>
            </m:den>
          </m:f>
        </m:oMath>
      </m:oMathPara>
    </w:p>
    <w:p w:rsidR="008F733C" w:rsidRDefault="008F733C" w:rsidP="008C6F77">
      <w:pPr>
        <w:ind w:firstLine="0"/>
        <w:rPr>
          <w:rFonts w:eastAsiaTheme="minorEastAsia"/>
          <w:lang w:val="en-GB"/>
        </w:rPr>
      </w:pPr>
      <w:r>
        <w:rPr>
          <w:rFonts w:eastAsiaTheme="minorEastAsia"/>
          <w:lang w:val="en-GB"/>
        </w:rPr>
        <w:t xml:space="preserve">Where </w:t>
      </w:r>
      <m:oMath>
        <m:r>
          <w:rPr>
            <w:rFonts w:ascii="Cambria Math" w:hAnsi="Cambria Math"/>
            <w:lang w:val="en-GB"/>
          </w:rPr>
          <m:t>σ</m:t>
        </m:r>
      </m:oMath>
      <w:r>
        <w:rPr>
          <w:rFonts w:eastAsiaTheme="minorEastAsia"/>
          <w:lang w:val="en-GB"/>
        </w:rPr>
        <w:t xml:space="preserve"> stands for standard deviation of AAR and CAAR correspondingly. </w:t>
      </w:r>
    </w:p>
    <w:p w:rsidR="00F61724" w:rsidRPr="001E42A6" w:rsidRDefault="00F61724" w:rsidP="008C6F77">
      <w:pPr>
        <w:ind w:firstLine="0"/>
        <w:rPr>
          <w:lang w:val="en-GB"/>
        </w:rPr>
      </w:pPr>
    </w:p>
    <w:p w:rsidR="0009102E" w:rsidRPr="00F61724" w:rsidRDefault="00F61724" w:rsidP="00F61724">
      <w:pPr>
        <w:pStyle w:val="3"/>
        <w:rPr>
          <w:lang w:val="en-GB"/>
        </w:rPr>
      </w:pPr>
      <w:bookmarkStart w:id="12" w:name="_Toc73640568"/>
      <w:r>
        <w:rPr>
          <w:lang w:val="en-GB"/>
        </w:rPr>
        <w:t>2.2.1.</w:t>
      </w:r>
      <w:r w:rsidR="003B5B7F">
        <w:rPr>
          <w:lang w:val="en-GB"/>
        </w:rPr>
        <w:t xml:space="preserve"> </w:t>
      </w:r>
      <w:r>
        <w:rPr>
          <w:lang w:val="en-GB"/>
        </w:rPr>
        <w:t>(</w:t>
      </w:r>
      <w:proofErr w:type="gramStart"/>
      <w:r>
        <w:rPr>
          <w:lang w:val="en-GB"/>
        </w:rPr>
        <w:t>b</w:t>
      </w:r>
      <w:proofErr w:type="gramEnd"/>
      <w:r>
        <w:rPr>
          <w:lang w:val="en-GB"/>
        </w:rPr>
        <w:t>) Long-term study</w:t>
      </w:r>
      <w:bookmarkEnd w:id="12"/>
    </w:p>
    <w:p w:rsidR="0030656B" w:rsidRDefault="00CA086E" w:rsidP="00BD7860">
      <w:pPr>
        <w:rPr>
          <w:lang w:val="en-GB"/>
        </w:rPr>
      </w:pPr>
      <w:r>
        <w:rPr>
          <w:lang w:val="en-GB"/>
        </w:rPr>
        <w:t>The long-term approach will be needed to evaluate continuous effect of such deals on oil&amp;gas companies. Usually, M&amp;A deals have a strong structural effect on a company business operations. Especially, this is the case, when oil&amp;gas companies change its business models</w:t>
      </w:r>
      <w:r w:rsidR="00BD7860">
        <w:rPr>
          <w:lang w:val="en-GB"/>
        </w:rPr>
        <w:t xml:space="preserve"> through acquiring renewable energy assets</w:t>
      </w:r>
      <w:r>
        <w:rPr>
          <w:lang w:val="en-GB"/>
        </w:rPr>
        <w:t>, so this might have an impact over the months and years. Moreover, the energy sector is capital intensive by itself and a long period could be needed in order to incorporate alternative energy assets into its value chain.</w:t>
      </w:r>
      <w:r w:rsidR="004828EE">
        <w:rPr>
          <w:lang w:val="en-GB"/>
        </w:rPr>
        <w:t xml:space="preserve"> This information will be also important for passive investor, who prefer to hold shares and not act in aggressive trading process.</w:t>
      </w:r>
    </w:p>
    <w:p w:rsidR="0030656B" w:rsidRDefault="0030656B" w:rsidP="0030656B">
      <w:pPr>
        <w:rPr>
          <w:lang w:val="en-GB"/>
        </w:rPr>
      </w:pPr>
      <w:r>
        <w:rPr>
          <w:lang w:val="en-GB"/>
        </w:rPr>
        <w:t xml:space="preserve">All long-term event studies are aimed on period from 1 to 5 years post announcement date. Similar to short-term studies there are a lot of scientific literature discussing long-term event studies for many years. However, the models itself are different for these types of studies. </w:t>
      </w:r>
      <w:r w:rsidR="00BD7860" w:rsidRPr="00BD7860">
        <w:rPr>
          <w:lang w:val="en-GB"/>
        </w:rPr>
        <w:t xml:space="preserve">At the </w:t>
      </w:r>
      <w:r w:rsidR="00BD7860">
        <w:rPr>
          <w:lang w:val="en-GB"/>
        </w:rPr>
        <w:t>corner</w:t>
      </w:r>
      <w:r w:rsidR="00BD7860" w:rsidRPr="00BD7860">
        <w:rPr>
          <w:lang w:val="en-GB"/>
        </w:rPr>
        <w:t xml:space="preserve"> o</w:t>
      </w:r>
      <w:r w:rsidR="00BD7860">
        <w:rPr>
          <w:lang w:val="en-GB"/>
        </w:rPr>
        <w:t>f a long-h</w:t>
      </w:r>
      <w:r w:rsidR="005D7BE3">
        <w:rPr>
          <w:lang w:val="en-GB"/>
        </w:rPr>
        <w:t>orizon event methodology lie two</w:t>
      </w:r>
      <w:r w:rsidR="00BD7860">
        <w:rPr>
          <w:lang w:val="en-GB"/>
        </w:rPr>
        <w:t xml:space="preserve"> main goals, one is to measure the </w:t>
      </w:r>
      <w:r w:rsidR="005D7BE3">
        <w:rPr>
          <w:lang w:val="en-GB"/>
        </w:rPr>
        <w:t xml:space="preserve">long run abnormal returns after the event and the second to test the null </w:t>
      </w:r>
      <w:r w:rsidR="005D7BE3" w:rsidRPr="00BD7860">
        <w:rPr>
          <w:lang w:val="en-GB"/>
        </w:rPr>
        <w:t>hypothesis</w:t>
      </w:r>
      <w:r w:rsidR="005D7BE3">
        <w:rPr>
          <w:lang w:val="en-GB"/>
        </w:rPr>
        <w:t xml:space="preserve"> that mean if abnormal returns equal to zero (J. Ang, S. Zhang, 2014)</w:t>
      </w:r>
      <w:r w:rsidR="005D7BE3">
        <w:rPr>
          <w:rStyle w:val="af0"/>
          <w:lang w:val="en-GB"/>
        </w:rPr>
        <w:footnoteReference w:id="63"/>
      </w:r>
      <w:r w:rsidR="005D7BE3">
        <w:rPr>
          <w:lang w:val="en-GB"/>
        </w:rPr>
        <w:t xml:space="preserve">. </w:t>
      </w:r>
      <w:r w:rsidR="00F41330">
        <w:rPr>
          <w:lang w:val="en-GB"/>
        </w:rPr>
        <w:t xml:space="preserve">The extensive literature on long-run event studies was proposed by </w:t>
      </w:r>
      <w:r w:rsidR="00F41330" w:rsidRPr="00F41330">
        <w:rPr>
          <w:lang w:val="en-GB"/>
        </w:rPr>
        <w:t>Barber and Lyon (1997)</w:t>
      </w:r>
      <w:r w:rsidR="00F41330">
        <w:rPr>
          <w:rStyle w:val="af0"/>
          <w:lang w:val="en-GB"/>
        </w:rPr>
        <w:footnoteReference w:id="64"/>
      </w:r>
      <w:r w:rsidR="00F41330" w:rsidRPr="00F41330">
        <w:rPr>
          <w:lang w:val="en-GB"/>
        </w:rPr>
        <w:t>, Kothari and Warner (1997)</w:t>
      </w:r>
      <w:r w:rsidR="00F41330">
        <w:rPr>
          <w:rStyle w:val="af0"/>
          <w:lang w:val="en-GB"/>
        </w:rPr>
        <w:footnoteReference w:id="65"/>
      </w:r>
      <w:r w:rsidR="00F41330" w:rsidRPr="00F41330">
        <w:rPr>
          <w:lang w:val="en-GB"/>
        </w:rPr>
        <w:t>, Fama (1998)</w:t>
      </w:r>
      <w:r w:rsidR="00F41330">
        <w:rPr>
          <w:rStyle w:val="af0"/>
          <w:lang w:val="en-GB"/>
        </w:rPr>
        <w:footnoteReference w:id="66"/>
      </w:r>
      <w:r w:rsidR="00F41330" w:rsidRPr="00F41330">
        <w:rPr>
          <w:lang w:val="en-GB"/>
        </w:rPr>
        <w:t>, Lyon, Barber, and</w:t>
      </w:r>
      <w:r w:rsidR="00F41330">
        <w:rPr>
          <w:lang w:val="en-GB"/>
        </w:rPr>
        <w:t xml:space="preserve"> </w:t>
      </w:r>
      <w:r w:rsidR="00F41330" w:rsidRPr="00F41330">
        <w:rPr>
          <w:lang w:val="en-GB"/>
        </w:rPr>
        <w:t>Tsai (1999), Mitchell and Stafford (2000)</w:t>
      </w:r>
      <w:r w:rsidR="00F41330">
        <w:rPr>
          <w:lang w:val="en-GB"/>
        </w:rPr>
        <w:t xml:space="preserve"> (</w:t>
      </w:r>
      <w:r w:rsidR="00F41330" w:rsidRPr="00F41330">
        <w:rPr>
          <w:lang w:val="en-GB"/>
        </w:rPr>
        <w:t>A. Dutta</w:t>
      </w:r>
      <w:r w:rsidR="00F41330">
        <w:rPr>
          <w:lang w:val="en-GB"/>
        </w:rPr>
        <w:t>, 2015)</w:t>
      </w:r>
      <w:r w:rsidR="00E0703D">
        <w:rPr>
          <w:lang w:val="en-GB"/>
        </w:rPr>
        <w:t xml:space="preserve">. The major drawback of long-term event studies is difficult to </w:t>
      </w:r>
      <w:r w:rsidR="00454DD5" w:rsidRPr="00454DD5">
        <w:rPr>
          <w:lang w:val="en-GB"/>
        </w:rPr>
        <w:t>interpret,</w:t>
      </w:r>
      <w:r w:rsidR="00454DD5">
        <w:rPr>
          <w:lang w:val="en-GB"/>
        </w:rPr>
        <w:t xml:space="preserve"> (Fama, </w:t>
      </w:r>
      <w:r w:rsidR="00E0703D" w:rsidRPr="00E0703D">
        <w:rPr>
          <w:lang w:val="en-GB"/>
        </w:rPr>
        <w:t>1991)</w:t>
      </w:r>
      <w:r w:rsidR="00E0703D">
        <w:rPr>
          <w:rStyle w:val="af0"/>
          <w:lang w:val="en-GB"/>
        </w:rPr>
        <w:footnoteReference w:id="67"/>
      </w:r>
      <w:r w:rsidR="000E4A17">
        <w:rPr>
          <w:lang w:val="en-GB"/>
        </w:rPr>
        <w:t>. In defining the long-horizon methodology I am going to use the multi-step approach that I have used for short-term study.</w:t>
      </w:r>
    </w:p>
    <w:p w:rsidR="000E4A17" w:rsidRPr="00E0703D" w:rsidRDefault="000E4A17" w:rsidP="0030656B">
      <w:pPr>
        <w:rPr>
          <w:lang w:val="en-GB"/>
        </w:rPr>
      </w:pPr>
    </w:p>
    <w:p w:rsidR="00BD7860" w:rsidRPr="006E4201" w:rsidRDefault="006E4201" w:rsidP="00A36559">
      <w:pPr>
        <w:pStyle w:val="aa"/>
        <w:numPr>
          <w:ilvl w:val="0"/>
          <w:numId w:val="9"/>
        </w:numPr>
        <w:rPr>
          <w:lang w:val="en-GB"/>
        </w:rPr>
      </w:pPr>
      <w:r>
        <w:rPr>
          <w:b/>
          <w:lang w:val="en-GB"/>
        </w:rPr>
        <w:t>Event definition:</w:t>
      </w:r>
    </w:p>
    <w:p w:rsidR="006E4201" w:rsidRDefault="006E4201" w:rsidP="006E4201">
      <w:pPr>
        <w:ind w:firstLine="0"/>
        <w:rPr>
          <w:lang w:val="en-GB"/>
        </w:rPr>
      </w:pPr>
      <w:r>
        <w:rPr>
          <w:lang w:val="en-GB"/>
        </w:rPr>
        <w:t>Remains the same as for short-term study.</w:t>
      </w:r>
    </w:p>
    <w:p w:rsidR="006E4201" w:rsidRDefault="00F41330" w:rsidP="00A36559">
      <w:pPr>
        <w:pStyle w:val="aa"/>
        <w:numPr>
          <w:ilvl w:val="0"/>
          <w:numId w:val="9"/>
        </w:numPr>
        <w:rPr>
          <w:b/>
          <w:lang w:val="en-GB"/>
        </w:rPr>
      </w:pPr>
      <w:r w:rsidRPr="00F41330">
        <w:rPr>
          <w:b/>
          <w:lang w:val="en-GB"/>
        </w:rPr>
        <w:lastRenderedPageBreak/>
        <w:t>Time sampling</w:t>
      </w:r>
      <w:r>
        <w:rPr>
          <w:b/>
          <w:lang w:val="en-GB"/>
        </w:rPr>
        <w:t>:</w:t>
      </w:r>
    </w:p>
    <w:p w:rsidR="00F41330" w:rsidRDefault="004D545B" w:rsidP="00F41330">
      <w:pPr>
        <w:ind w:firstLine="0"/>
        <w:rPr>
          <w:rFonts w:eastAsiaTheme="minorEastAsia"/>
          <w:lang w:val="en-GB"/>
        </w:rPr>
      </w:pPr>
      <w:r>
        <w:rPr>
          <w:lang w:val="en-GB"/>
        </w:rPr>
        <w:t>In average, the timespans for several years are used in order to assess the abnormal returns in long event studies. Like for short-term study, there no singular rule how long it should be, us</w:t>
      </w:r>
      <w:r w:rsidR="00910432">
        <w:rPr>
          <w:lang w:val="en-GB"/>
        </w:rPr>
        <w:t xml:space="preserve">ually it takes from 1 to 5 years. In the appendix the summary table for different approaches is presented. For my study, I am going to use the two year line from the event day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0</m:t>
            </m:r>
          </m:sub>
        </m:sSub>
      </m:oMath>
      <w:r w:rsidR="00910432">
        <w:rPr>
          <w:rFonts w:eastAsiaTheme="minorEastAsia"/>
          <w:lang w:val="en-GB"/>
        </w:rPr>
        <w:t xml:space="preserve"> = 0. I will use monthly returns for each stock in the sample, including the month when the event took </w:t>
      </w:r>
      <w:proofErr w:type="gramStart"/>
      <w:r w:rsidR="00910432">
        <w:rPr>
          <w:rFonts w:eastAsiaTheme="minorEastAsia"/>
          <w:lang w:val="en-GB"/>
        </w:rPr>
        <w:t xml:space="preserve">place </w:t>
      </w:r>
      <w:proofErr w:type="gramEnd"/>
      <m:oMath>
        <m:sSub>
          <m:sSubPr>
            <m:ctrlPr>
              <w:rPr>
                <w:rFonts w:ascii="Cambria Math" w:eastAsiaTheme="minorEastAsia" w:hAnsi="Cambria Math"/>
                <w:i/>
                <w:lang w:val="en-GB"/>
              </w:rPr>
            </m:ctrlPr>
          </m:sSubPr>
          <m:e>
            <m:r>
              <w:rPr>
                <w:rFonts w:ascii="Cambria Math" w:eastAsiaTheme="minorEastAsia" w:hAnsi="Cambria Math"/>
                <w:lang w:val="en-GB"/>
              </w:rPr>
              <m:t>τ</m:t>
            </m:r>
          </m:e>
          <m:sub>
            <m:r>
              <w:rPr>
                <w:rFonts w:ascii="Cambria Math" w:eastAsiaTheme="minorEastAsia" w:hAnsi="Cambria Math"/>
                <w:lang w:val="en-GB"/>
              </w:rPr>
              <m:t>0</m:t>
            </m:r>
          </m:sub>
        </m:sSub>
        <m:r>
          <w:rPr>
            <w:rFonts w:ascii="Cambria Math" w:eastAsiaTheme="minorEastAsia" w:hAnsi="Cambria Math"/>
            <w:lang w:val="en-GB"/>
          </w:rPr>
          <m:t>=0</m:t>
        </m:r>
      </m:oMath>
      <w:r w:rsidR="00910432">
        <w:rPr>
          <w:rFonts w:eastAsiaTheme="minorEastAsia"/>
          <w:lang w:val="en-GB"/>
        </w:rPr>
        <w:t xml:space="preserve">, and up to 2 years after the month of the event, so 25 month in total. </w:t>
      </w:r>
      <m:oMath>
        <m:sSub>
          <m:sSubPr>
            <m:ctrlPr>
              <w:rPr>
                <w:rFonts w:ascii="Cambria Math" w:eastAsiaTheme="minorEastAsia" w:hAnsi="Cambria Math"/>
                <w:i/>
                <w:lang w:val="en-GB"/>
              </w:rPr>
            </m:ctrlPr>
          </m:sSubPr>
          <m:e>
            <m:r>
              <w:rPr>
                <w:rFonts w:ascii="Cambria Math" w:eastAsiaTheme="minorEastAsia" w:hAnsi="Cambria Math"/>
                <w:lang w:val="en-GB"/>
              </w:rPr>
              <m:t>τ</m:t>
            </m:r>
          </m:e>
          <m:sub>
            <m:r>
              <w:rPr>
                <w:rFonts w:ascii="Cambria Math" w:eastAsiaTheme="minorEastAsia" w:hAnsi="Cambria Math"/>
                <w:lang w:val="en-GB"/>
              </w:rPr>
              <m:t>m</m:t>
            </m:r>
          </m:sub>
        </m:sSub>
        <m:r>
          <w:rPr>
            <w:rFonts w:ascii="Cambria Math" w:eastAsiaTheme="minorEastAsia" w:hAnsi="Cambria Math"/>
            <w:lang w:val="en-GB"/>
          </w:rPr>
          <m:t xml:space="preserve"> ∈T </m:t>
        </m:r>
        <m:d>
          <m:dPr>
            <m:begChr m:val="["/>
            <m:endChr m:val="]"/>
            <m:ctrlPr>
              <w:rPr>
                <w:rFonts w:ascii="Cambria Math" w:eastAsiaTheme="minorEastAsia" w:hAnsi="Cambria Math"/>
                <w:i/>
                <w:lang w:val="en-GB"/>
              </w:rPr>
            </m:ctrlPr>
          </m:dPr>
          <m:e>
            <m:r>
              <w:rPr>
                <w:rFonts w:ascii="Cambria Math" w:eastAsiaTheme="minorEastAsia" w:hAnsi="Cambria Math"/>
                <w:lang w:val="en-GB"/>
              </w:rPr>
              <m:t>0;25</m:t>
            </m:r>
          </m:e>
        </m:d>
      </m:oMath>
      <w:r w:rsidR="00EB73EB">
        <w:rPr>
          <w:rFonts w:eastAsiaTheme="minorEastAsia"/>
          <w:lang w:val="en-GB"/>
        </w:rPr>
        <w:t xml:space="preserve">, where </w:t>
      </w:r>
      <w:r w:rsidR="008A605F">
        <w:rPr>
          <w:rFonts w:eastAsiaTheme="minorEastAsia"/>
          <w:i/>
          <w:lang w:val="en-GB"/>
        </w:rPr>
        <w:t>m</w:t>
      </w:r>
      <w:r w:rsidR="00EB73EB">
        <w:rPr>
          <w:rFonts w:eastAsiaTheme="minorEastAsia"/>
          <w:lang w:val="en-GB"/>
        </w:rPr>
        <w:t xml:space="preserve"> is the moth from the sample.</w:t>
      </w:r>
    </w:p>
    <w:p w:rsidR="008A605F" w:rsidRPr="00EE0976" w:rsidRDefault="008A605F" w:rsidP="00F41330">
      <w:pPr>
        <w:ind w:firstLine="0"/>
        <w:rPr>
          <w:noProof/>
          <w:lang w:val="en-GB" w:eastAsia="ru-RU"/>
        </w:rPr>
      </w:pPr>
    </w:p>
    <w:p w:rsidR="008A605F" w:rsidRDefault="008A605F" w:rsidP="008A605F">
      <w:pPr>
        <w:pStyle w:val="SVEfigure"/>
        <w:rPr>
          <w:lang w:val="en-GB"/>
        </w:rPr>
      </w:pPr>
      <w:r>
        <w:rPr>
          <w:noProof/>
          <w:lang w:val="ru-RU" w:eastAsia="ru-RU"/>
        </w:rPr>
        <w:drawing>
          <wp:inline distT="0" distB="0" distL="0" distR="0" wp14:anchorId="7438D879" wp14:editId="0388662B">
            <wp:extent cx="3729962" cy="1274632"/>
            <wp:effectExtent l="0" t="0" r="4445" b="190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7080" t="28967" r="30108" b="32873"/>
                    <a:stretch/>
                  </pic:blipFill>
                  <pic:spPr bwMode="auto">
                    <a:xfrm>
                      <a:off x="0" y="0"/>
                      <a:ext cx="3731282" cy="1275083"/>
                    </a:xfrm>
                    <a:prstGeom prst="rect">
                      <a:avLst/>
                    </a:prstGeom>
                    <a:ln>
                      <a:noFill/>
                    </a:ln>
                    <a:extLst>
                      <a:ext uri="{53640926-AAD7-44D8-BBD7-CCE9431645EC}">
                        <a14:shadowObscured xmlns:a14="http://schemas.microsoft.com/office/drawing/2010/main"/>
                      </a:ext>
                    </a:extLst>
                  </pic:spPr>
                </pic:pic>
              </a:graphicData>
            </a:graphic>
          </wp:inline>
        </w:drawing>
      </w:r>
    </w:p>
    <w:p w:rsidR="008A605F" w:rsidRPr="008A605F" w:rsidRDefault="008A605F" w:rsidP="008A605F">
      <w:pPr>
        <w:pStyle w:val="SVEfigurecaption"/>
        <w:rPr>
          <w:lang w:val="en-GB"/>
        </w:rPr>
      </w:pPr>
      <w:r>
        <w:rPr>
          <w:lang w:val="en-GB"/>
        </w:rPr>
        <w:t>Time line for long-term study</w:t>
      </w:r>
    </w:p>
    <w:p w:rsidR="00BD7860" w:rsidRDefault="00BD7860" w:rsidP="0030656B">
      <w:pPr>
        <w:rPr>
          <w:lang w:val="en-GB"/>
        </w:rPr>
      </w:pPr>
    </w:p>
    <w:p w:rsidR="00EE0976" w:rsidRDefault="00EE0976" w:rsidP="00A36559">
      <w:pPr>
        <w:pStyle w:val="aa"/>
        <w:numPr>
          <w:ilvl w:val="0"/>
          <w:numId w:val="9"/>
        </w:numPr>
        <w:rPr>
          <w:b/>
          <w:lang w:val="en-GB"/>
        </w:rPr>
      </w:pPr>
      <w:r w:rsidRPr="00EE0976">
        <w:rPr>
          <w:b/>
          <w:lang w:val="en-GB"/>
        </w:rPr>
        <w:t>Sample criteria</w:t>
      </w:r>
    </w:p>
    <w:p w:rsidR="00EE0976" w:rsidRDefault="00EE0976" w:rsidP="00EE0976">
      <w:pPr>
        <w:rPr>
          <w:lang w:val="en-GB"/>
        </w:rPr>
      </w:pPr>
      <w:r>
        <w:rPr>
          <w:lang w:val="en-GB"/>
        </w:rPr>
        <w:t>It remains the same as for short-term study, all peculiarities on filtering the data will be discussed in more details in the next part, data sampling.</w:t>
      </w:r>
      <w:r w:rsidR="00285443">
        <w:rPr>
          <w:lang w:val="en-GB"/>
        </w:rPr>
        <w:t xml:space="preserve"> </w:t>
      </w:r>
    </w:p>
    <w:p w:rsidR="00AE1CB1" w:rsidRPr="00AE1CB1" w:rsidRDefault="00AE1CB1" w:rsidP="00A36559">
      <w:pPr>
        <w:pStyle w:val="aa"/>
        <w:numPr>
          <w:ilvl w:val="0"/>
          <w:numId w:val="9"/>
        </w:numPr>
        <w:rPr>
          <w:lang w:val="en-GB"/>
        </w:rPr>
      </w:pPr>
      <w:r>
        <w:rPr>
          <w:b/>
          <w:lang w:val="en-GB"/>
        </w:rPr>
        <w:t>Estimation Model:</w:t>
      </w:r>
      <w:r w:rsidR="004828EE">
        <w:rPr>
          <w:b/>
          <w:lang w:val="en-GB"/>
        </w:rPr>
        <w:t xml:space="preserve"> (</w:t>
      </w:r>
      <w:r w:rsidR="004828EE">
        <w:rPr>
          <w:rFonts w:cs="Times New Roman"/>
          <w:lang w:val="en-GB"/>
        </w:rPr>
        <w:t>τ</w:t>
      </w:r>
      <w:r w:rsidR="004828EE">
        <w:rPr>
          <w:b/>
          <w:lang w:val="en-GB"/>
        </w:rPr>
        <w:t>)</w:t>
      </w:r>
    </w:p>
    <w:p w:rsidR="00A41457" w:rsidRDefault="00A41457" w:rsidP="00A41457">
      <w:pPr>
        <w:rPr>
          <w:lang w:val="en-GB"/>
        </w:rPr>
      </w:pPr>
      <w:r w:rsidRPr="00A41457">
        <w:rPr>
          <w:lang w:val="en-GB"/>
        </w:rPr>
        <w:t>In the literature on long-term event studies two models are used. The first is buy-an</w:t>
      </w:r>
      <w:r>
        <w:rPr>
          <w:lang w:val="en-GB"/>
        </w:rPr>
        <w:t xml:space="preserve">d-hold abnormal returns (BHAR) and measures the abnormal return trough the usage of a benchmark, to which the stock return is compared to. The second is </w:t>
      </w:r>
      <w:r w:rsidR="00443335">
        <w:rPr>
          <w:lang w:val="en-GB"/>
        </w:rPr>
        <w:t xml:space="preserve">Jensen alpha approach developed by </w:t>
      </w:r>
      <w:r w:rsidR="00443335" w:rsidRPr="00443335">
        <w:rPr>
          <w:lang w:val="en-GB"/>
        </w:rPr>
        <w:t>Jaffe (1974)</w:t>
      </w:r>
      <w:r w:rsidR="00443335">
        <w:rPr>
          <w:rStyle w:val="af0"/>
          <w:lang w:val="en-GB"/>
        </w:rPr>
        <w:footnoteReference w:id="68"/>
      </w:r>
      <w:r w:rsidR="00443335" w:rsidRPr="00443335">
        <w:rPr>
          <w:lang w:val="en-GB"/>
        </w:rPr>
        <w:t xml:space="preserve"> and </w:t>
      </w:r>
      <w:proofErr w:type="spellStart"/>
      <w:r w:rsidR="00443335" w:rsidRPr="00443335">
        <w:rPr>
          <w:lang w:val="en-GB"/>
        </w:rPr>
        <w:t>Mandelker</w:t>
      </w:r>
      <w:proofErr w:type="spellEnd"/>
      <w:r w:rsidR="00443335" w:rsidRPr="00443335">
        <w:rPr>
          <w:lang w:val="en-GB"/>
        </w:rPr>
        <w:t xml:space="preserve"> (1974)</w:t>
      </w:r>
      <w:r w:rsidR="00443335">
        <w:rPr>
          <w:rStyle w:val="af0"/>
          <w:lang w:val="en-GB"/>
        </w:rPr>
        <w:footnoteReference w:id="69"/>
      </w:r>
      <w:r w:rsidR="00443335" w:rsidRPr="00443335">
        <w:rPr>
          <w:lang w:val="en-GB"/>
        </w:rPr>
        <w:t xml:space="preserve"> </w:t>
      </w:r>
      <w:r w:rsidRPr="00A41457">
        <w:rPr>
          <w:lang w:val="en-GB"/>
        </w:rPr>
        <w:t>monthly calendar-time portfolio</w:t>
      </w:r>
      <w:r w:rsidR="00285443">
        <w:rPr>
          <w:lang w:val="en-GB"/>
        </w:rPr>
        <w:t xml:space="preserve">, which </w:t>
      </w:r>
      <w:r w:rsidR="00285443" w:rsidRPr="00285443">
        <w:rPr>
          <w:lang w:val="en-GB"/>
        </w:rPr>
        <w:t xml:space="preserve">forms a portfolio in each calendar month </w:t>
      </w:r>
      <w:r w:rsidR="00285443">
        <w:rPr>
          <w:lang w:val="en-GB"/>
        </w:rPr>
        <w:t>made</w:t>
      </w:r>
      <w:r w:rsidR="00285443" w:rsidRPr="00285443">
        <w:rPr>
          <w:lang w:val="en-GB"/>
        </w:rPr>
        <w:t xml:space="preserve"> of firms that </w:t>
      </w:r>
      <w:r w:rsidR="00285443">
        <w:rPr>
          <w:lang w:val="en-GB"/>
        </w:rPr>
        <w:t>participated in</w:t>
      </w:r>
      <w:r w:rsidR="00285443" w:rsidRPr="00285443">
        <w:rPr>
          <w:lang w:val="en-GB"/>
        </w:rPr>
        <w:t xml:space="preserve"> an event within a certain time period prior to the month and tests the null hypothesis</w:t>
      </w:r>
      <w:r w:rsidR="00285443">
        <w:rPr>
          <w:lang w:val="en-GB"/>
        </w:rPr>
        <w:t xml:space="preserve"> (J. Ang, S. Zhang, 2014). Starting</w:t>
      </w:r>
      <w:r w:rsidR="00285443" w:rsidRPr="00285443">
        <w:rPr>
          <w:lang w:val="en-GB"/>
        </w:rPr>
        <w:t xml:space="preserve"> with Ritter (1991)</w:t>
      </w:r>
      <w:r w:rsidR="00285443">
        <w:rPr>
          <w:rStyle w:val="af0"/>
          <w:lang w:val="en-GB"/>
        </w:rPr>
        <w:footnoteReference w:id="70"/>
      </w:r>
      <w:r w:rsidR="00285443" w:rsidRPr="00285443">
        <w:rPr>
          <w:lang w:val="en-GB"/>
        </w:rPr>
        <w:t>,</w:t>
      </w:r>
      <w:r w:rsidR="00285443">
        <w:rPr>
          <w:lang w:val="en-GB"/>
        </w:rPr>
        <w:t xml:space="preserve"> BHAR is defined as </w:t>
      </w:r>
      <w:r w:rsidR="00285443" w:rsidRPr="00285443">
        <w:rPr>
          <w:lang w:val="en-GB"/>
        </w:rPr>
        <w:t>the popular estimator of long-run abnormal</w:t>
      </w:r>
      <w:r w:rsidR="00285443">
        <w:rPr>
          <w:lang w:val="en-GB"/>
        </w:rPr>
        <w:t xml:space="preserve"> performance. Another research conducted by the </w:t>
      </w:r>
      <w:r w:rsidR="00285443" w:rsidRPr="00285443">
        <w:rPr>
          <w:lang w:val="en-GB"/>
        </w:rPr>
        <w:t>Mitchell and Stafford (2000)</w:t>
      </w:r>
      <w:r w:rsidR="00285443">
        <w:rPr>
          <w:rStyle w:val="af0"/>
          <w:lang w:val="en-GB"/>
        </w:rPr>
        <w:footnoteReference w:id="71"/>
      </w:r>
      <w:r w:rsidR="00285443" w:rsidRPr="00285443">
        <w:rPr>
          <w:lang w:val="en-GB"/>
        </w:rPr>
        <w:t xml:space="preserve"> defi</w:t>
      </w:r>
      <w:r w:rsidR="00781A01">
        <w:rPr>
          <w:lang w:val="en-GB"/>
        </w:rPr>
        <w:t>ne BHAR</w:t>
      </w:r>
      <w:r w:rsidR="00285443" w:rsidRPr="00285443">
        <w:rPr>
          <w:lang w:val="en-GB"/>
        </w:rPr>
        <w:t xml:space="preserve"> as the average return from a strategy of investing </w:t>
      </w:r>
      <w:r w:rsidR="00781A01">
        <w:rPr>
          <w:lang w:val="en-GB"/>
        </w:rPr>
        <w:t>in stocks</w:t>
      </w:r>
      <w:r w:rsidR="00285443" w:rsidRPr="00285443">
        <w:rPr>
          <w:lang w:val="en-GB"/>
        </w:rPr>
        <w:t xml:space="preserve"> </w:t>
      </w:r>
      <w:r w:rsidR="00781A01">
        <w:rPr>
          <w:lang w:val="en-GB"/>
        </w:rPr>
        <w:t>participate in</w:t>
      </w:r>
      <w:r w:rsidR="00285443" w:rsidRPr="00285443">
        <w:rPr>
          <w:lang w:val="en-GB"/>
        </w:rPr>
        <w:t xml:space="preserve"> an event and </w:t>
      </w:r>
      <w:r w:rsidR="00781A01">
        <w:rPr>
          <w:lang w:val="en-GB"/>
        </w:rPr>
        <w:t xml:space="preserve">then </w:t>
      </w:r>
      <w:r w:rsidR="00285443" w:rsidRPr="00285443">
        <w:rPr>
          <w:lang w:val="en-GB"/>
        </w:rPr>
        <w:t xml:space="preserve">selling at the end of a holding period </w:t>
      </w:r>
      <w:r w:rsidR="00781A01">
        <w:rPr>
          <w:lang w:val="en-GB"/>
        </w:rPr>
        <w:t xml:space="preserve">under </w:t>
      </w:r>
      <w:r w:rsidR="00781A01">
        <w:rPr>
          <w:lang w:val="en-GB"/>
        </w:rPr>
        <w:lastRenderedPageBreak/>
        <w:t>which the study model was used. “</w:t>
      </w:r>
      <w:r w:rsidR="00285443" w:rsidRPr="00285443">
        <w:rPr>
          <w:lang w:val="en-GB"/>
        </w:rPr>
        <w:t>An appealing feature of using BHAR is that buy-and-hold returns better resemble investors actual investment experi</w:t>
      </w:r>
      <w:r w:rsidR="00285443">
        <w:rPr>
          <w:lang w:val="en-GB"/>
        </w:rPr>
        <w:t>ence than periodic (monthly) re</w:t>
      </w:r>
      <w:r w:rsidR="00285443" w:rsidRPr="00285443">
        <w:rPr>
          <w:lang w:val="en-GB"/>
        </w:rPr>
        <w:t>balancing entailed in other approaches to measuring risk-adjusted performance</w:t>
      </w:r>
      <w:r w:rsidR="00781A01">
        <w:rPr>
          <w:lang w:val="en-GB"/>
        </w:rPr>
        <w:t>” (A.</w:t>
      </w:r>
      <w:r w:rsidR="00781A01" w:rsidRPr="00781A01">
        <w:rPr>
          <w:lang w:val="en-GB"/>
        </w:rPr>
        <w:t xml:space="preserve"> Dutta</w:t>
      </w:r>
      <w:r w:rsidR="00781A01">
        <w:rPr>
          <w:lang w:val="en-GB"/>
        </w:rPr>
        <w:t>, 2015)</w:t>
      </w:r>
      <w:r w:rsidR="00485DAA">
        <w:rPr>
          <w:lang w:val="en-GB"/>
        </w:rPr>
        <w:t xml:space="preserve">.  However, the BHAR model has some drawbacks, for example </w:t>
      </w:r>
      <w:r w:rsidR="00485DAA" w:rsidRPr="00485DAA">
        <w:rPr>
          <w:lang w:val="en-GB"/>
        </w:rPr>
        <w:t>Fama (1998)</w:t>
      </w:r>
      <w:r w:rsidR="00485DAA">
        <w:rPr>
          <w:lang w:val="en-GB"/>
        </w:rPr>
        <w:t xml:space="preserve"> stand against this method because of some</w:t>
      </w:r>
      <w:r w:rsidR="00DB7D28">
        <w:rPr>
          <w:lang w:val="en-GB"/>
        </w:rPr>
        <w:t xml:space="preserve"> statistical and test significance issues of this model. One of biases</w:t>
      </w:r>
      <w:r w:rsidR="00764BE6">
        <w:rPr>
          <w:rStyle w:val="af0"/>
          <w:lang w:val="en-GB"/>
        </w:rPr>
        <w:footnoteReference w:id="72"/>
      </w:r>
      <w:r w:rsidR="00DB7D28">
        <w:rPr>
          <w:lang w:val="en-GB"/>
        </w:rPr>
        <w:t xml:space="preserve"> that this model rev</w:t>
      </w:r>
      <w:r w:rsidR="00443335">
        <w:rPr>
          <w:lang w:val="en-GB"/>
        </w:rPr>
        <w:t xml:space="preserve">eal is its right wing skewness and standardised t-statistics is not powerful enough to measure the level of significance, so modified tests sometimes are needed. </w:t>
      </w:r>
      <w:r w:rsidR="00EB23AB">
        <w:rPr>
          <w:lang w:val="en-GB"/>
        </w:rPr>
        <w:t>However, this mo</w:t>
      </w:r>
      <w:r w:rsidR="000E6416">
        <w:rPr>
          <w:lang w:val="en-GB"/>
        </w:rPr>
        <w:t>d</w:t>
      </w:r>
      <w:r w:rsidR="00EB23AB">
        <w:rPr>
          <w:lang w:val="en-GB"/>
        </w:rPr>
        <w:t>el suits well for cross-</w:t>
      </w:r>
      <w:r w:rsidR="000442CE">
        <w:rPr>
          <w:lang w:val="en-GB"/>
        </w:rPr>
        <w:t>sectional (for stocks belonging to one particular feature, for example to a same industry) studies Markovitch</w:t>
      </w:r>
      <w:r w:rsidR="000442CE" w:rsidRPr="000442CE">
        <w:rPr>
          <w:lang w:val="en-GB"/>
        </w:rPr>
        <w:t xml:space="preserve"> and Golder </w:t>
      </w:r>
      <w:r w:rsidR="000442CE">
        <w:rPr>
          <w:lang w:val="en-GB"/>
        </w:rPr>
        <w:t>(</w:t>
      </w:r>
      <w:r w:rsidR="000442CE" w:rsidRPr="000442CE">
        <w:rPr>
          <w:lang w:val="en-GB"/>
        </w:rPr>
        <w:t>2008</w:t>
      </w:r>
      <w:r w:rsidR="000442CE">
        <w:rPr>
          <w:lang w:val="en-GB"/>
        </w:rPr>
        <w:t>)</w:t>
      </w:r>
      <w:r w:rsidR="000442CE">
        <w:rPr>
          <w:rStyle w:val="af0"/>
          <w:lang w:val="en-GB"/>
        </w:rPr>
        <w:footnoteReference w:id="73"/>
      </w:r>
      <w:r w:rsidR="000E6416">
        <w:rPr>
          <w:lang w:val="en-GB"/>
        </w:rPr>
        <w:t xml:space="preserve">. Therefore, as my portfolio consists from oil&amp;gas companies only then the usage of BHAR is justified in my study. </w:t>
      </w:r>
    </w:p>
    <w:p w:rsidR="00814518" w:rsidRDefault="00814518" w:rsidP="00A41457">
      <w:pPr>
        <w:rPr>
          <w:lang w:val="en-GB"/>
        </w:rPr>
      </w:pPr>
      <w:r>
        <w:rPr>
          <w:lang w:val="en-GB"/>
        </w:rPr>
        <w:t>In the long-term study used a different compounding principle in comparison with a short-term study. While in CAR used daily ARs composition, the BHAR model is using the multiplication principle over the month, so the difference between two approaches like the difference between the arithmetic and geometric average.</w:t>
      </w:r>
      <w:r w:rsidR="00CB37D7">
        <w:rPr>
          <w:lang w:val="en-GB"/>
        </w:rPr>
        <w:t xml:space="preserve"> The return formula for a</w:t>
      </w:r>
      <w:r w:rsidR="00952398">
        <w:rPr>
          <w:lang w:val="en-GB"/>
        </w:rPr>
        <w:t xml:space="preserve"> stock </w:t>
      </w:r>
      <w:r w:rsidR="00952398">
        <w:rPr>
          <w:i/>
          <w:lang w:val="en-GB"/>
        </w:rPr>
        <w:t>i</w:t>
      </w:r>
      <w:r w:rsidR="00952398">
        <w:rPr>
          <w:lang w:val="en-GB"/>
        </w:rPr>
        <w:t xml:space="preserve"> looks following way:</w:t>
      </w:r>
    </w:p>
    <w:p w:rsidR="00952398" w:rsidRPr="00422385" w:rsidRDefault="008E3922" w:rsidP="00422385">
      <w:pPr>
        <w:rPr>
          <w:rStyle w:val="article-content"/>
        </w:rPr>
      </w:pPr>
      <m:oMathPara>
        <m:oMath>
          <m:sSub>
            <m:sSubPr>
              <m:ctrlPr>
                <w:rPr>
                  <w:rFonts w:ascii="Cambria Math" w:hAnsi="Cambria Math"/>
                </w:rPr>
              </m:ctrlPr>
            </m:sSubPr>
            <m:e>
              <m:r>
                <w:rPr>
                  <w:rFonts w:ascii="Cambria Math" w:hAnsi="Cambria Math"/>
                </w:rPr>
                <m:t>BHR</m:t>
              </m:r>
            </m:e>
            <m:sub>
              <m:r>
                <w:rPr>
                  <w:rFonts w:ascii="Cambria Math" w:hAnsi="Cambria Math"/>
                </w:rPr>
                <m:t>i</m:t>
              </m:r>
              <m:r>
                <m:rPr>
                  <m:sty m:val="p"/>
                </m:rPr>
                <w:rPr>
                  <w:rFonts w:ascii="Cambria Math" w:hAnsi="Cambria Math"/>
                </w:rPr>
                <m:t>τ</m:t>
              </m:r>
            </m:sub>
          </m:sSub>
          <m:r>
            <m:rPr>
              <m:sty m:val="p"/>
            </m:rPr>
            <w:rPr>
              <w:rFonts w:ascii="Cambria Math" w:hAnsi="Cambria Math"/>
            </w:rPr>
            <m:t xml:space="preserve">= </m:t>
          </m:r>
          <m:nary>
            <m:naryPr>
              <m:chr m:val="∏"/>
              <m:limLoc m:val="undOvr"/>
              <m:ctrlPr>
                <w:rPr>
                  <w:rFonts w:ascii="Cambria Math" w:hAnsi="Cambria Math"/>
                </w:rPr>
              </m:ctrlPr>
            </m:naryPr>
            <m:sub>
              <m:r>
                <m:rPr>
                  <m:sty m:val="p"/>
                </m:rPr>
                <w:rPr>
                  <w:rFonts w:ascii="Cambria Math" w:hAnsi="Cambria Math"/>
                </w:rPr>
                <m:t>τ=0</m:t>
              </m:r>
            </m:sub>
            <m:sup>
              <m:r>
                <w:rPr>
                  <w:rFonts w:ascii="Cambria Math" w:hAnsi="Cambria Math"/>
                </w:rPr>
                <m:t>T</m:t>
              </m:r>
            </m:sup>
            <m:e>
              <m:r>
                <m:rPr>
                  <m:sty m:val="p"/>
                </m:rPr>
                <w:rPr>
                  <w:rFonts w:ascii="Cambria Math" w:hAnsi="Cambria Math"/>
                </w:rPr>
                <m:t>(1+</m:t>
              </m:r>
              <m:sSub>
                <m:sSubPr>
                  <m:ctrlPr>
                    <w:rPr>
                      <w:rFonts w:ascii="Cambria Math" w:hAnsi="Cambria Math"/>
                    </w:rPr>
                  </m:ctrlPr>
                </m:sSubPr>
                <m:e>
                  <m:r>
                    <w:rPr>
                      <w:rFonts w:ascii="Cambria Math" w:hAnsi="Cambria Math"/>
                    </w:rPr>
                    <m:t>r</m:t>
                  </m:r>
                </m:e>
                <m:sub>
                  <m:r>
                    <w:rPr>
                      <w:rFonts w:ascii="Cambria Math" w:hAnsi="Cambria Math"/>
                    </w:rPr>
                    <m:t>i</m:t>
                  </m:r>
                  <m:r>
                    <m:rPr>
                      <m:sty m:val="p"/>
                    </m:rPr>
                    <w:rPr>
                      <w:rFonts w:ascii="Cambria Math" w:hAnsi="Cambria Math"/>
                    </w:rPr>
                    <m:t>τ</m:t>
                  </m:r>
                </m:sub>
              </m:sSub>
              <m:r>
                <m:rPr>
                  <m:sty m:val="p"/>
                </m:rPr>
                <w:rPr>
                  <w:rFonts w:ascii="Cambria Math" w:hAnsi="Cambria Math"/>
                </w:rPr>
                <m:t>)</m:t>
              </m:r>
            </m:e>
          </m:nary>
          <m:r>
            <m:rPr>
              <m:sty m:val="p"/>
            </m:rPr>
            <w:rPr>
              <w:rFonts w:ascii="Cambria Math" w:hAnsi="Cambria Math"/>
            </w:rPr>
            <m:t>-1</m:t>
          </m:r>
        </m:oMath>
      </m:oMathPara>
    </w:p>
    <w:p w:rsidR="00422385" w:rsidRPr="00952398" w:rsidRDefault="00422385" w:rsidP="00422385">
      <w:pPr>
        <w:pStyle w:val="SVEquation"/>
        <w:rPr>
          <w:rFonts w:eastAsiaTheme="minorEastAsia"/>
          <w:lang w:val="en-GB"/>
        </w:rPr>
      </w:pPr>
    </w:p>
    <w:p w:rsidR="00952398" w:rsidRDefault="00952398" w:rsidP="00A41457">
      <w:pPr>
        <w:rPr>
          <w:rFonts w:cs="Times New Roman"/>
          <w:lang w:val="en-GB"/>
        </w:rPr>
      </w:pPr>
      <w:r>
        <w:rPr>
          <w:rFonts w:eastAsiaTheme="minorEastAsia"/>
          <w:lang w:val="en-GB"/>
        </w:rPr>
        <w:t xml:space="preserve">Where, BHR means buy-and-hold return of the particular company i for a considering period from the starting moth </w:t>
      </w:r>
      <w:r>
        <w:rPr>
          <w:rFonts w:cs="Times New Roman"/>
          <w:lang w:val="en-GB"/>
        </w:rPr>
        <w:t>τ up to the T.</w:t>
      </w:r>
      <w:r w:rsidR="002A65DD">
        <w:rPr>
          <w:rFonts w:cs="Times New Roman"/>
          <w:lang w:val="en-GB"/>
        </w:rPr>
        <w:t xml:space="preserve"> Returns are based on the end of a month.</w:t>
      </w:r>
    </w:p>
    <w:p w:rsidR="00BD7860" w:rsidRDefault="00CB37D7" w:rsidP="007B506B">
      <w:pPr>
        <w:rPr>
          <w:lang w:val="en-GB"/>
        </w:rPr>
      </w:pPr>
      <w:r>
        <w:rPr>
          <w:rFonts w:cs="Times New Roman"/>
          <w:lang w:val="en-GB"/>
        </w:rPr>
        <w:t xml:space="preserve">The process of matching the correct benchmark to evaluate the expected return and then accumulate the abnormal return is more specific than for a short-term study. Comparing returns by using a market adjusted model is considered too biased therefore, another way is applied. </w:t>
      </w:r>
      <w:r w:rsidR="00843C1B">
        <w:rPr>
          <w:rFonts w:cs="Times New Roman"/>
          <w:lang w:val="en-GB"/>
        </w:rPr>
        <w:t>For defining the expected returns the matched stock or a portfolio of stocks is used</w:t>
      </w:r>
      <w:r w:rsidR="00843C1B" w:rsidRPr="00843C1B">
        <w:rPr>
          <w:lang w:val="en-GB"/>
        </w:rPr>
        <w:t xml:space="preserve"> (Barber and Lyon 1997</w:t>
      </w:r>
      <w:r w:rsidR="00843C1B">
        <w:rPr>
          <w:rStyle w:val="af0"/>
          <w:lang w:val="en-GB"/>
        </w:rPr>
        <w:footnoteReference w:id="74"/>
      </w:r>
      <w:r w:rsidR="00843C1B" w:rsidRPr="00843C1B">
        <w:rPr>
          <w:lang w:val="en-GB"/>
        </w:rPr>
        <w:t>; Lyon et al. 1999</w:t>
      </w:r>
      <w:r w:rsidR="00843C1B">
        <w:rPr>
          <w:rStyle w:val="af0"/>
          <w:lang w:val="en-GB"/>
        </w:rPr>
        <w:footnoteReference w:id="75"/>
      </w:r>
      <w:r w:rsidR="00843C1B" w:rsidRPr="00843C1B">
        <w:rPr>
          <w:lang w:val="en-GB"/>
        </w:rPr>
        <w:t>).</w:t>
      </w:r>
      <w:r w:rsidR="00843C1B">
        <w:rPr>
          <w:lang w:val="en-GB"/>
        </w:rPr>
        <w:t xml:space="preserve"> Previous studies on event study research methodology have developed a straightforward measurement technique, which can be used in order to match the stock from the sample with a peer stock, so called control firm. According to </w:t>
      </w:r>
      <w:r w:rsidR="00843C1B" w:rsidRPr="00843C1B">
        <w:rPr>
          <w:lang w:val="en-GB"/>
        </w:rPr>
        <w:t>Barber and Lyon (1997)</w:t>
      </w:r>
      <w:r w:rsidR="00843C1B">
        <w:rPr>
          <w:lang w:val="en-GB"/>
        </w:rPr>
        <w:t xml:space="preserve"> a control </w:t>
      </w:r>
      <w:r w:rsidR="00843C1B">
        <w:rPr>
          <w:lang w:val="en-GB"/>
        </w:rPr>
        <w:lastRenderedPageBreak/>
        <w:t xml:space="preserve">stock helps to diminish the problem of listing, rebalancing biases and </w:t>
      </w:r>
      <w:r w:rsidR="00843C1B" w:rsidRPr="00843C1B">
        <w:rPr>
          <w:lang w:val="en-GB"/>
        </w:rPr>
        <w:t>skewness</w:t>
      </w:r>
      <w:r w:rsidR="00843C1B">
        <w:rPr>
          <w:lang w:val="en-GB"/>
        </w:rPr>
        <w:t xml:space="preserve">. </w:t>
      </w:r>
      <w:r w:rsidR="001F663F">
        <w:rPr>
          <w:lang w:val="en-GB"/>
        </w:rPr>
        <w:t>The most significant rule is that it should be a company that did not participate in the event at the same period, so to avoid overlapping. Then a</w:t>
      </w:r>
      <w:r w:rsidR="007B506B" w:rsidRPr="007B506B">
        <w:rPr>
          <w:lang w:val="en-GB"/>
        </w:rPr>
        <w:t xml:space="preserve"> common practice is to</w:t>
      </w:r>
      <w:r w:rsidR="007B506B">
        <w:rPr>
          <w:lang w:val="en-GB"/>
        </w:rPr>
        <w:t xml:space="preserve"> find such control firm </w:t>
      </w:r>
      <w:r w:rsidR="007B506B" w:rsidRPr="007B506B">
        <w:rPr>
          <w:lang w:val="en-GB"/>
        </w:rPr>
        <w:t>that matches the event firm on size</w:t>
      </w:r>
      <w:r w:rsidR="007B506B">
        <w:rPr>
          <w:lang w:val="en-GB"/>
        </w:rPr>
        <w:t xml:space="preserve"> (market capitalisation)</w:t>
      </w:r>
      <w:r w:rsidR="007B506B" w:rsidRPr="007B506B">
        <w:rPr>
          <w:lang w:val="en-GB"/>
        </w:rPr>
        <w:t xml:space="preserve"> and BE/ME</w:t>
      </w:r>
      <w:r w:rsidR="007B506B">
        <w:rPr>
          <w:lang w:val="en-GB"/>
        </w:rPr>
        <w:t xml:space="preserve"> (book-to-market value)</w:t>
      </w:r>
      <w:r w:rsidR="007B506B" w:rsidRPr="007B506B">
        <w:rPr>
          <w:lang w:val="en-GB"/>
        </w:rPr>
        <w:t xml:space="preserve">. </w:t>
      </w:r>
      <w:r w:rsidR="001F663F">
        <w:rPr>
          <w:lang w:val="en-GB"/>
        </w:rPr>
        <w:t xml:space="preserve">According to </w:t>
      </w:r>
      <w:r w:rsidR="007B506B" w:rsidRPr="007B506B">
        <w:rPr>
          <w:lang w:val="en-GB"/>
        </w:rPr>
        <w:t>Fama and French (1992) that size and BE/ME combine to capture the cross-sectional variation in average monthly stock returns and that market beta has no additional power in explaining cross-sectional return differences</w:t>
      </w:r>
      <w:r w:rsidR="00532698">
        <w:rPr>
          <w:lang w:val="en-GB"/>
        </w:rPr>
        <w:t xml:space="preserve"> (Ang and Zhang, </w:t>
      </w:r>
      <w:r w:rsidR="00532698" w:rsidRPr="00532698">
        <w:rPr>
          <w:lang w:val="en-GB"/>
        </w:rPr>
        <w:t>2004)</w:t>
      </w:r>
      <w:r w:rsidR="007B506B" w:rsidRPr="007B506B">
        <w:rPr>
          <w:lang w:val="en-GB"/>
        </w:rPr>
        <w:t>.</w:t>
      </w:r>
      <w:r w:rsidR="001F663F">
        <w:rPr>
          <w:lang w:val="en-GB"/>
        </w:rPr>
        <w:t xml:space="preserve"> Except for these two indicators, it would have a positive on accuracy of the test if companies suit to the same industry.</w:t>
      </w:r>
      <w:r w:rsidR="009232BD">
        <w:rPr>
          <w:lang w:val="en-GB"/>
        </w:rPr>
        <w:t xml:space="preserve"> Therefore, in my study I am going to match each firms from the sample to control firm that did not participate in the same event during the event window T, match by market capitalisation, BE/ME and industry (oil&amp;gas)</w:t>
      </w:r>
      <w:r w:rsidR="008F41A9">
        <w:rPr>
          <w:lang w:val="en-GB"/>
        </w:rPr>
        <w:t xml:space="preserve"> at the middle of period of event window T</w:t>
      </w:r>
      <w:r w:rsidR="009232BD">
        <w:rPr>
          <w:lang w:val="en-GB"/>
        </w:rPr>
        <w:t>.</w:t>
      </w:r>
      <w:r w:rsidR="00744D55">
        <w:rPr>
          <w:lang w:val="en-GB"/>
        </w:rPr>
        <w:t xml:space="preserve"> Then the expected return for control firm </w:t>
      </w:r>
      <w:r w:rsidR="00744D55">
        <w:rPr>
          <w:i/>
          <w:lang w:val="en-GB"/>
        </w:rPr>
        <w:t xml:space="preserve">c </w:t>
      </w:r>
      <w:r w:rsidR="00744D55">
        <w:rPr>
          <w:lang w:val="en-GB"/>
        </w:rPr>
        <w:t>will have the following form:</w:t>
      </w:r>
    </w:p>
    <w:p w:rsidR="00744D55" w:rsidRPr="008F41A9" w:rsidRDefault="008E3922" w:rsidP="007B506B">
      <w:pPr>
        <w:rPr>
          <w:rFonts w:eastAsiaTheme="minorEastAsia"/>
          <w:lang w:val="en-GB"/>
        </w:rPr>
      </w:pPr>
      <m:oMathPara>
        <m:oMath>
          <m:sSub>
            <m:sSubPr>
              <m:ctrlPr>
                <w:rPr>
                  <w:rFonts w:ascii="Cambria Math" w:hAnsi="Cambria Math"/>
                  <w:i/>
                  <w:lang w:val="en-GB"/>
                </w:rPr>
              </m:ctrlPr>
            </m:sSubPr>
            <m:e>
              <m:r>
                <w:rPr>
                  <w:rFonts w:ascii="Cambria Math" w:hAnsi="Cambria Math"/>
                  <w:lang w:val="en-GB"/>
                </w:rPr>
                <m:t>BHR</m:t>
              </m:r>
            </m:e>
            <m:sub>
              <m:r>
                <w:rPr>
                  <w:rFonts w:ascii="Cambria Math" w:hAnsi="Cambria Math"/>
                  <w:lang w:val="en-GB"/>
                </w:rPr>
                <m:t>c</m:t>
              </m:r>
              <m:r>
                <m:rPr>
                  <m:sty m:val="p"/>
                </m:rPr>
                <w:rPr>
                  <w:rFonts w:ascii="Cambria Math" w:hAnsi="Cambria Math" w:cs="Times New Roman"/>
                  <w:lang w:val="en-GB"/>
                </w:rPr>
                <m:t>τ</m:t>
              </m:r>
            </m:sub>
          </m:sSub>
          <m:r>
            <w:rPr>
              <w:rFonts w:ascii="Cambria Math" w:hAnsi="Cambria Math"/>
              <w:lang w:val="en-GB"/>
            </w:rPr>
            <m:t>=</m:t>
          </m:r>
          <m:nary>
            <m:naryPr>
              <m:chr m:val="∏"/>
              <m:limLoc m:val="undOvr"/>
              <m:ctrlPr>
                <w:rPr>
                  <w:rFonts w:ascii="Cambria Math" w:hAnsi="Cambria Math"/>
                  <w:i/>
                  <w:lang w:val="en-GB"/>
                </w:rPr>
              </m:ctrlPr>
            </m:naryPr>
            <m:sub>
              <m:r>
                <m:rPr>
                  <m:sty m:val="p"/>
                </m:rPr>
                <w:rPr>
                  <w:rFonts w:ascii="Cambria Math" w:hAnsi="Cambria Math" w:cs="Times New Roman"/>
                  <w:lang w:val="en-GB"/>
                </w:rPr>
                <m:t>τ</m:t>
              </m:r>
              <m:r>
                <m:rPr>
                  <m:sty m:val="p"/>
                </m:rPr>
                <w:rPr>
                  <w:rFonts w:ascii="Cambria Math" w:cs="Times New Roman"/>
                  <w:lang w:val="en-GB"/>
                </w:rPr>
                <m:t>=0</m:t>
              </m:r>
            </m:sub>
            <m:sup>
              <m:r>
                <w:rPr>
                  <w:rFonts w:ascii="Cambria Math" w:hAnsi="Cambria Math"/>
                  <w:lang w:val="en-GB"/>
                </w:rPr>
                <m:t>T</m:t>
              </m:r>
            </m:sup>
            <m:e>
              <m:d>
                <m:dPr>
                  <m:ctrlPr>
                    <w:rPr>
                      <w:rFonts w:ascii="Cambria Math" w:hAnsi="Cambria Math"/>
                      <w:i/>
                      <w:lang w:val="en-GB"/>
                    </w:rPr>
                  </m:ctrlPr>
                </m:dPr>
                <m:e>
                  <m:r>
                    <w:rPr>
                      <w:rFonts w:ascii="Cambria Math" w:hAnsi="Cambria Math"/>
                      <w:lang w:val="en-GB"/>
                    </w:rPr>
                    <m:t>1+</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c</m:t>
                      </m:r>
                      <m:r>
                        <m:rPr>
                          <m:sty m:val="p"/>
                        </m:rPr>
                        <w:rPr>
                          <w:rFonts w:ascii="Cambria Math" w:hAnsi="Cambria Math" w:cs="Times New Roman"/>
                          <w:lang w:val="en-GB"/>
                        </w:rPr>
                        <m:t>τ</m:t>
                      </m:r>
                    </m:sub>
                  </m:sSub>
                </m:e>
              </m:d>
              <m:r>
                <w:rPr>
                  <w:rFonts w:ascii="Cambria Math" w:hAnsi="Cambria Math"/>
                  <w:lang w:val="en-GB"/>
                </w:rPr>
                <m:t>-1</m:t>
              </m:r>
            </m:e>
          </m:nary>
        </m:oMath>
      </m:oMathPara>
    </w:p>
    <w:p w:rsidR="008F41A9" w:rsidRPr="00744D55" w:rsidRDefault="008F41A9" w:rsidP="007B506B">
      <w:pPr>
        <w:rPr>
          <w:rFonts w:eastAsiaTheme="minorEastAsia"/>
          <w:lang w:val="en-GB"/>
        </w:rPr>
      </w:pPr>
      <w:r>
        <w:rPr>
          <w:rFonts w:eastAsiaTheme="minorEastAsia"/>
          <w:lang w:val="en-GB"/>
        </w:rPr>
        <w:t>Where, r corresponds to control firm’s return.</w:t>
      </w:r>
    </w:p>
    <w:p w:rsidR="00744D55" w:rsidRDefault="00744D55" w:rsidP="00744D55">
      <w:pPr>
        <w:rPr>
          <w:rFonts w:eastAsiaTheme="minorEastAsia"/>
          <w:lang w:val="en-GB"/>
        </w:rPr>
      </w:pPr>
      <w:r>
        <w:rPr>
          <w:rFonts w:eastAsiaTheme="minorEastAsia"/>
          <w:lang w:val="en-GB"/>
        </w:rPr>
        <w:t>Further the buy-and-hold abnormal return can be calculated as:</w:t>
      </w:r>
    </w:p>
    <w:p w:rsidR="00744D55" w:rsidRPr="00744D55" w:rsidRDefault="008E3922" w:rsidP="00744D55">
      <w:pPr>
        <w:rPr>
          <w:rFonts w:eastAsiaTheme="minorEastAsia"/>
          <w:lang w:val="en-GB"/>
        </w:rPr>
      </w:pPr>
      <m:oMathPara>
        <m:oMath>
          <m:sSub>
            <m:sSubPr>
              <m:ctrlPr>
                <w:rPr>
                  <w:rFonts w:ascii="Cambria Math" w:eastAsiaTheme="minorEastAsia" w:hAnsi="Cambria Math"/>
                  <w:i/>
                  <w:lang w:val="en-GB"/>
                </w:rPr>
              </m:ctrlPr>
            </m:sSubPr>
            <m:e>
              <m:r>
                <w:rPr>
                  <w:rFonts w:ascii="Cambria Math" w:eastAsiaTheme="minorEastAsia" w:hAnsi="Cambria Math"/>
                  <w:lang w:val="en-GB"/>
                </w:rPr>
                <m:t>BHAR</m:t>
              </m:r>
            </m:e>
            <m:sub>
              <m:r>
                <w:rPr>
                  <w:rFonts w:ascii="Cambria Math" w:eastAsiaTheme="minorEastAsia" w:hAnsi="Cambria Math"/>
                  <w:lang w:val="en-GB"/>
                </w:rPr>
                <m:t>i</m:t>
              </m:r>
              <m:r>
                <m:rPr>
                  <m:sty m:val="p"/>
                </m:rPr>
                <w:rPr>
                  <w:rFonts w:ascii="Cambria Math" w:hAnsi="Cambria Math" w:cs="Times New Roman"/>
                  <w:lang w:val="en-GB"/>
                </w:rPr>
                <m:t>τ</m:t>
              </m:r>
            </m:sub>
          </m:sSub>
          <m:r>
            <w:rPr>
              <w:rFonts w:ascii="Cambria Math" w:eastAsiaTheme="minorEastAsia" w:hAnsi="Cambria Math"/>
              <w:lang w:val="en-GB"/>
            </w:rPr>
            <m:t>=</m:t>
          </m:r>
          <m:d>
            <m:dPr>
              <m:ctrlPr>
                <w:rPr>
                  <w:rFonts w:ascii="Cambria Math" w:eastAsiaTheme="minorEastAsia" w:hAnsi="Cambria Math"/>
                  <w:i/>
                  <w:lang w:val="en-GB"/>
                </w:rPr>
              </m:ctrlPr>
            </m:dPr>
            <m:e>
              <m:nary>
                <m:naryPr>
                  <m:chr m:val="∏"/>
                  <m:limLoc m:val="undOvr"/>
                  <m:ctrlPr>
                    <w:rPr>
                      <w:rFonts w:ascii="Cambria Math" w:hAnsi="Cambria Math"/>
                      <w:i/>
                      <w:lang w:val="en-GB"/>
                    </w:rPr>
                  </m:ctrlPr>
                </m:naryPr>
                <m:sub>
                  <m:r>
                    <m:rPr>
                      <m:sty m:val="p"/>
                    </m:rPr>
                    <w:rPr>
                      <w:rFonts w:ascii="Cambria Math" w:hAnsi="Cambria Math" w:cs="Times New Roman"/>
                      <w:lang w:val="en-GB"/>
                    </w:rPr>
                    <m:t>τ</m:t>
                  </m:r>
                  <m:r>
                    <m:rPr>
                      <m:sty m:val="p"/>
                    </m:rPr>
                    <w:rPr>
                      <w:rFonts w:ascii="Cambria Math" w:cs="Times New Roman"/>
                      <w:lang w:val="en-GB"/>
                    </w:rPr>
                    <m:t>=0</m:t>
                  </m:r>
                </m:sub>
                <m:sup>
                  <m:r>
                    <w:rPr>
                      <w:rFonts w:ascii="Cambria Math" w:hAnsi="Cambria Math"/>
                      <w:lang w:val="en-GB"/>
                    </w:rPr>
                    <m:t>T</m:t>
                  </m:r>
                </m:sup>
                <m:e>
                  <m:d>
                    <m:dPr>
                      <m:ctrlPr>
                        <w:rPr>
                          <w:rFonts w:ascii="Cambria Math" w:hAnsi="Cambria Math"/>
                          <w:i/>
                          <w:lang w:val="en-GB"/>
                        </w:rPr>
                      </m:ctrlPr>
                    </m:dPr>
                    <m:e>
                      <m:r>
                        <w:rPr>
                          <w:rFonts w:ascii="Cambria Math" w:hAnsi="Cambria Math"/>
                          <w:lang w:val="en-GB"/>
                        </w:rPr>
                        <m:t>1+</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i</m:t>
                          </m:r>
                          <m:r>
                            <m:rPr>
                              <m:sty m:val="p"/>
                            </m:rPr>
                            <w:rPr>
                              <w:rFonts w:ascii="Cambria Math" w:hAnsi="Cambria Math" w:cs="Times New Roman"/>
                              <w:lang w:val="en-GB"/>
                            </w:rPr>
                            <m:t>τ</m:t>
                          </m:r>
                        </m:sub>
                      </m:sSub>
                    </m:e>
                  </m:d>
                </m:e>
              </m:nary>
              <m:r>
                <w:rPr>
                  <w:rFonts w:ascii="Cambria Math" w:hAnsi="Cambria Math"/>
                  <w:lang w:val="en-GB"/>
                </w:rPr>
                <m:t>-1</m:t>
              </m:r>
              <m:ctrlPr>
                <w:rPr>
                  <w:rFonts w:ascii="Cambria Math" w:hAnsi="Cambria Math"/>
                  <w:i/>
                  <w:lang w:val="en-GB"/>
                </w:rPr>
              </m:ctrlPr>
            </m:e>
          </m:d>
          <m:r>
            <w:rPr>
              <w:rFonts w:ascii="Cambria Math" w:hAnsi="Cambria Math"/>
              <w:lang w:val="en-GB"/>
            </w:rPr>
            <m:t>-</m:t>
          </m:r>
          <m:d>
            <m:dPr>
              <m:ctrlPr>
                <w:rPr>
                  <w:rFonts w:ascii="Cambria Math" w:hAnsi="Cambria Math"/>
                  <w:i/>
                  <w:lang w:val="en-GB"/>
                </w:rPr>
              </m:ctrlPr>
            </m:dPr>
            <m:e>
              <m:nary>
                <m:naryPr>
                  <m:chr m:val="∏"/>
                  <m:limLoc m:val="undOvr"/>
                  <m:ctrlPr>
                    <w:rPr>
                      <w:rFonts w:ascii="Cambria Math" w:hAnsi="Cambria Math"/>
                      <w:i/>
                      <w:lang w:val="en-GB"/>
                    </w:rPr>
                  </m:ctrlPr>
                </m:naryPr>
                <m:sub>
                  <m:r>
                    <m:rPr>
                      <m:sty m:val="p"/>
                    </m:rPr>
                    <w:rPr>
                      <w:rFonts w:ascii="Cambria Math" w:hAnsi="Cambria Math" w:cs="Times New Roman"/>
                      <w:lang w:val="en-GB"/>
                    </w:rPr>
                    <m:t>τ</m:t>
                  </m:r>
                  <m:r>
                    <m:rPr>
                      <m:sty m:val="p"/>
                    </m:rPr>
                    <w:rPr>
                      <w:rFonts w:ascii="Cambria Math" w:cs="Times New Roman"/>
                      <w:lang w:val="en-GB"/>
                    </w:rPr>
                    <m:t>=0</m:t>
                  </m:r>
                </m:sub>
                <m:sup>
                  <m:r>
                    <w:rPr>
                      <w:rFonts w:ascii="Cambria Math" w:hAnsi="Cambria Math"/>
                      <w:lang w:val="en-GB"/>
                    </w:rPr>
                    <m:t>T</m:t>
                  </m:r>
                </m:sup>
                <m:e>
                  <m:d>
                    <m:dPr>
                      <m:ctrlPr>
                        <w:rPr>
                          <w:rFonts w:ascii="Cambria Math" w:hAnsi="Cambria Math"/>
                          <w:i/>
                          <w:lang w:val="en-GB"/>
                        </w:rPr>
                      </m:ctrlPr>
                    </m:dPr>
                    <m:e>
                      <m:r>
                        <w:rPr>
                          <w:rFonts w:ascii="Cambria Math" w:hAnsi="Cambria Math"/>
                          <w:lang w:val="en-GB"/>
                        </w:rPr>
                        <m:t>1+</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c</m:t>
                          </m:r>
                          <m:r>
                            <m:rPr>
                              <m:sty m:val="p"/>
                            </m:rPr>
                            <w:rPr>
                              <w:rFonts w:ascii="Cambria Math" w:hAnsi="Cambria Math" w:cs="Times New Roman"/>
                              <w:lang w:val="en-GB"/>
                            </w:rPr>
                            <m:t>τ</m:t>
                          </m:r>
                        </m:sub>
                      </m:sSub>
                    </m:e>
                  </m:d>
                  <m:r>
                    <w:rPr>
                      <w:rFonts w:ascii="Cambria Math" w:hAnsi="Cambria Math"/>
                      <w:lang w:val="en-GB"/>
                    </w:rPr>
                    <m:t>-1</m:t>
                  </m:r>
                </m:e>
              </m:nary>
            </m:e>
          </m:d>
        </m:oMath>
      </m:oMathPara>
    </w:p>
    <w:p w:rsidR="00744D55" w:rsidRDefault="00744D55" w:rsidP="00744D55">
      <w:pPr>
        <w:rPr>
          <w:rFonts w:eastAsiaTheme="minorEastAsia"/>
          <w:lang w:val="en-GB"/>
        </w:rPr>
      </w:pPr>
      <w:r>
        <w:rPr>
          <w:rFonts w:eastAsiaTheme="minorEastAsia"/>
          <w:lang w:val="en-GB"/>
        </w:rPr>
        <w:t>After the adjustment the final formula is:</w:t>
      </w:r>
    </w:p>
    <w:p w:rsidR="00744D55" w:rsidRPr="00991AE0" w:rsidRDefault="008E3922" w:rsidP="00744D55">
      <w:pPr>
        <w:rPr>
          <w:rFonts w:eastAsiaTheme="minorEastAsia"/>
          <w:lang w:val="en-GB"/>
        </w:rPr>
      </w:pPr>
      <m:oMathPara>
        <m:oMath>
          <m:sSub>
            <m:sSubPr>
              <m:ctrlPr>
                <w:rPr>
                  <w:rFonts w:ascii="Cambria Math" w:eastAsiaTheme="minorEastAsia" w:hAnsi="Cambria Math"/>
                  <w:i/>
                  <w:lang w:val="en-GB"/>
                </w:rPr>
              </m:ctrlPr>
            </m:sSubPr>
            <m:e>
              <m:r>
                <w:rPr>
                  <w:rFonts w:ascii="Cambria Math" w:eastAsiaTheme="minorEastAsia" w:hAnsi="Cambria Math"/>
                  <w:lang w:val="en-GB"/>
                </w:rPr>
                <m:t>BHAR</m:t>
              </m:r>
            </m:e>
            <m:sub>
              <m:r>
                <w:rPr>
                  <w:rFonts w:ascii="Cambria Math" w:eastAsiaTheme="minorEastAsia" w:hAnsi="Cambria Math"/>
                  <w:lang w:val="en-GB"/>
                </w:rPr>
                <m:t>i</m:t>
              </m:r>
              <m:r>
                <m:rPr>
                  <m:sty m:val="p"/>
                </m:rPr>
                <w:rPr>
                  <w:rFonts w:ascii="Cambria Math" w:hAnsi="Cambria Math" w:cs="Times New Roman"/>
                  <w:lang w:val="en-GB"/>
                </w:rPr>
                <m:t>τ</m:t>
              </m:r>
            </m:sub>
          </m:sSub>
          <m:r>
            <w:rPr>
              <w:rFonts w:ascii="Cambria Math" w:eastAsiaTheme="minorEastAsia" w:hAnsi="Cambria Math"/>
              <w:lang w:val="en-GB"/>
            </w:rPr>
            <m:t>=</m:t>
          </m:r>
          <m:r>
            <w:rPr>
              <w:rFonts w:ascii="Cambria Math" w:hAnsi="Cambria Math"/>
              <w:lang w:val="en-GB"/>
            </w:rPr>
            <m:t xml:space="preserve"> </m:t>
          </m:r>
          <m:nary>
            <m:naryPr>
              <m:chr m:val="∏"/>
              <m:limLoc m:val="undOvr"/>
              <m:ctrlPr>
                <w:rPr>
                  <w:rFonts w:ascii="Cambria Math" w:hAnsi="Cambria Math"/>
                  <w:i/>
                  <w:lang w:val="en-GB"/>
                </w:rPr>
              </m:ctrlPr>
            </m:naryPr>
            <m:sub>
              <m:r>
                <m:rPr>
                  <m:sty m:val="p"/>
                </m:rPr>
                <w:rPr>
                  <w:rFonts w:ascii="Cambria Math" w:hAnsi="Cambria Math" w:cs="Times New Roman"/>
                  <w:lang w:val="en-GB"/>
                </w:rPr>
                <m:t>τ=0</m:t>
              </m:r>
            </m:sub>
            <m:sup>
              <m:r>
                <w:rPr>
                  <w:rFonts w:ascii="Cambria Math" w:hAnsi="Cambria Math"/>
                  <w:lang w:val="en-GB"/>
                </w:rPr>
                <m:t>T</m:t>
              </m:r>
            </m:sup>
            <m:e>
              <m:d>
                <m:dPr>
                  <m:ctrlPr>
                    <w:rPr>
                      <w:rFonts w:ascii="Cambria Math" w:hAnsi="Cambria Math"/>
                      <w:i/>
                      <w:lang w:val="en-GB"/>
                    </w:rPr>
                  </m:ctrlPr>
                </m:dPr>
                <m:e>
                  <m:r>
                    <w:rPr>
                      <w:rFonts w:ascii="Cambria Math" w:hAnsi="Cambria Math"/>
                      <w:lang w:val="en-GB"/>
                    </w:rPr>
                    <m:t>1+</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i</m:t>
                      </m:r>
                      <m:r>
                        <m:rPr>
                          <m:sty m:val="p"/>
                        </m:rPr>
                        <w:rPr>
                          <w:rFonts w:ascii="Cambria Math" w:hAnsi="Cambria Math" w:cs="Times New Roman"/>
                          <w:lang w:val="en-GB"/>
                        </w:rPr>
                        <m:t>τ</m:t>
                      </m:r>
                    </m:sub>
                  </m:sSub>
                </m:e>
              </m:d>
              <m:r>
                <w:rPr>
                  <w:rFonts w:ascii="Cambria Math" w:hAnsi="Cambria Math"/>
                  <w:lang w:val="en-GB"/>
                </w:rPr>
                <m:t>-</m:t>
              </m:r>
              <m:nary>
                <m:naryPr>
                  <m:chr m:val="∏"/>
                  <m:limLoc m:val="undOvr"/>
                  <m:ctrlPr>
                    <w:rPr>
                      <w:rFonts w:ascii="Cambria Math" w:hAnsi="Cambria Math"/>
                      <w:i/>
                      <w:lang w:val="en-GB"/>
                    </w:rPr>
                  </m:ctrlPr>
                </m:naryPr>
                <m:sub>
                  <m:r>
                    <m:rPr>
                      <m:sty m:val="p"/>
                    </m:rPr>
                    <w:rPr>
                      <w:rFonts w:ascii="Cambria Math" w:hAnsi="Cambria Math" w:cs="Times New Roman"/>
                      <w:lang w:val="en-GB"/>
                    </w:rPr>
                    <m:t>τ=0</m:t>
                  </m:r>
                </m:sub>
                <m:sup>
                  <m:r>
                    <w:rPr>
                      <w:rFonts w:ascii="Cambria Math" w:hAnsi="Cambria Math"/>
                      <w:lang w:val="en-GB"/>
                    </w:rPr>
                    <m:t>T</m:t>
                  </m:r>
                </m:sup>
                <m:e>
                  <m:r>
                    <w:rPr>
                      <w:rFonts w:ascii="Cambria Math" w:hAnsi="Cambria Math"/>
                      <w:lang w:val="en-GB"/>
                    </w:rPr>
                    <m:t>(1+</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c</m:t>
                      </m:r>
                      <m:r>
                        <m:rPr>
                          <m:sty m:val="p"/>
                        </m:rPr>
                        <w:rPr>
                          <w:rFonts w:ascii="Cambria Math" w:hAnsi="Cambria Math" w:cs="Times New Roman"/>
                          <w:lang w:val="en-GB"/>
                        </w:rPr>
                        <m:t>τ</m:t>
                      </m:r>
                    </m:sub>
                  </m:sSub>
                </m:e>
              </m:nary>
            </m:e>
          </m:nary>
          <m:r>
            <w:rPr>
              <w:rFonts w:ascii="Cambria Math" w:hAnsi="Cambria Math"/>
              <w:lang w:val="en-GB"/>
            </w:rPr>
            <m:t>)</m:t>
          </m:r>
        </m:oMath>
      </m:oMathPara>
    </w:p>
    <w:p w:rsidR="00991AE0" w:rsidRPr="00744D55" w:rsidRDefault="00991AE0" w:rsidP="00744D55">
      <w:pPr>
        <w:rPr>
          <w:rFonts w:eastAsiaTheme="minorEastAsia"/>
          <w:lang w:val="en-GB"/>
        </w:rPr>
      </w:pPr>
    </w:p>
    <w:p w:rsidR="00C95F9E" w:rsidRDefault="00C95F9E" w:rsidP="00C95F9E">
      <w:pPr>
        <w:rPr>
          <w:rFonts w:eastAsiaTheme="minorEastAsia"/>
          <w:lang w:val="en-GB"/>
        </w:rPr>
      </w:pPr>
      <w:r>
        <w:rPr>
          <w:rFonts w:eastAsiaTheme="minorEastAsia"/>
          <w:lang w:val="en-GB"/>
        </w:rPr>
        <w:t>Eventually, for a portfolio of shares, the average BHAR should be estimated for all events N:</w:t>
      </w:r>
    </w:p>
    <w:p w:rsidR="00C95F9E" w:rsidRPr="00C95F9E" w:rsidRDefault="008E3922" w:rsidP="00C95F9E">
      <w:pPr>
        <w:rPr>
          <w:rFonts w:eastAsiaTheme="minorEastAsia"/>
          <w:lang w:val="en-GB"/>
        </w:rPr>
      </w:pPr>
      <m:oMathPara>
        <m:oMath>
          <m:sSub>
            <m:sSubPr>
              <m:ctrlPr>
                <w:rPr>
                  <w:rFonts w:ascii="Cambria Math" w:eastAsiaTheme="minorEastAsia" w:hAnsi="Cambria Math"/>
                  <w:i/>
                  <w:lang w:val="en-GB"/>
                </w:rPr>
              </m:ctrlPr>
            </m:sSubPr>
            <m:e>
              <m:r>
                <w:rPr>
                  <w:rFonts w:ascii="Cambria Math" w:eastAsiaTheme="minorEastAsia" w:hAnsi="Cambria Math"/>
                  <w:lang w:val="en-GB"/>
                </w:rPr>
                <m:t>ABHAR</m:t>
              </m:r>
            </m:e>
            <m:sub>
              <m:r>
                <m:rPr>
                  <m:sty m:val="p"/>
                </m:rPr>
                <w:rPr>
                  <w:rFonts w:ascii="Cambria Math" w:hAnsi="Cambria Math" w:cs="Times New Roman"/>
                  <w:lang w:val="en-GB"/>
                </w:rPr>
                <m:t>τ</m:t>
              </m:r>
            </m:sub>
          </m:sSub>
          <m:r>
            <w:rPr>
              <w:rFonts w:ascii="Cambria Math" w:eastAsiaTheme="minorEastAsia" w:hAnsi="Cambria Math"/>
              <w:lang w:val="en-GB"/>
            </w:rPr>
            <m:t xml:space="preserve">= </m:t>
          </m:r>
          <m:f>
            <m:fPr>
              <m:ctrlPr>
                <w:rPr>
                  <w:rFonts w:ascii="Cambria Math" w:eastAsiaTheme="minorEastAsia" w:hAnsi="Cambria Math"/>
                  <w:i/>
                  <w:lang w:val="en-GB"/>
                </w:rPr>
              </m:ctrlPr>
            </m:fPr>
            <m:num>
              <m:r>
                <w:rPr>
                  <w:rFonts w:ascii="Cambria Math" w:eastAsiaTheme="minorEastAsia" w:hAnsi="Cambria Math"/>
                  <w:lang w:val="en-GB"/>
                </w:rPr>
                <m:t>1</m:t>
              </m:r>
            </m:num>
            <m:den>
              <m:r>
                <w:rPr>
                  <w:rFonts w:ascii="Cambria Math" w:eastAsiaTheme="minorEastAsia" w:hAnsi="Cambria Math"/>
                  <w:lang w:val="en-GB"/>
                </w:rPr>
                <m:t>N</m:t>
              </m:r>
            </m:den>
          </m:f>
          <m:nary>
            <m:naryPr>
              <m:chr m:val="∑"/>
              <m:limLoc m:val="undOvr"/>
              <m:ctrlPr>
                <w:rPr>
                  <w:rFonts w:ascii="Cambria Math" w:eastAsiaTheme="minorEastAsia" w:hAnsi="Cambria Math"/>
                  <w:i/>
                  <w:lang w:val="en-GB"/>
                </w:rPr>
              </m:ctrlPr>
            </m:naryPr>
            <m:sub>
              <m:r>
                <m:rPr>
                  <m:sty m:val="p"/>
                </m:rPr>
                <w:rPr>
                  <w:rFonts w:ascii="Cambria Math" w:hAnsi="Cambria Math" w:cs="Times New Roman"/>
                  <w:lang w:val="en-GB"/>
                </w:rPr>
                <m:t>1</m:t>
              </m:r>
            </m:sub>
            <m:sup>
              <m:r>
                <w:rPr>
                  <w:rFonts w:ascii="Cambria Math" w:eastAsiaTheme="minorEastAsia" w:hAnsi="Cambria Math"/>
                  <w:lang w:val="en-GB"/>
                </w:rPr>
                <m:t>N</m:t>
              </m:r>
            </m:sup>
            <m:e>
              <m:sSub>
                <m:sSubPr>
                  <m:ctrlPr>
                    <w:rPr>
                      <w:rFonts w:ascii="Cambria Math" w:eastAsiaTheme="minorEastAsia" w:hAnsi="Cambria Math"/>
                      <w:i/>
                      <w:lang w:val="en-GB"/>
                    </w:rPr>
                  </m:ctrlPr>
                </m:sSubPr>
                <m:e>
                  <m:r>
                    <w:rPr>
                      <w:rFonts w:ascii="Cambria Math" w:eastAsiaTheme="minorEastAsia" w:hAnsi="Cambria Math"/>
                      <w:lang w:val="en-GB"/>
                    </w:rPr>
                    <m:t>BHAR</m:t>
                  </m:r>
                </m:e>
                <m:sub>
                  <m:r>
                    <m:rPr>
                      <m:sty m:val="p"/>
                    </m:rPr>
                    <w:rPr>
                      <w:rFonts w:ascii="Cambria Math" w:hAnsi="Cambria Math" w:cs="Times New Roman"/>
                      <w:lang w:val="en-GB"/>
                    </w:rPr>
                    <m:t>τ</m:t>
                  </m:r>
                </m:sub>
              </m:sSub>
            </m:e>
          </m:nary>
        </m:oMath>
      </m:oMathPara>
    </w:p>
    <w:p w:rsidR="00C95F9E" w:rsidRPr="00C95F9E" w:rsidRDefault="00C95F9E" w:rsidP="00A36559">
      <w:pPr>
        <w:pStyle w:val="aa"/>
        <w:numPr>
          <w:ilvl w:val="0"/>
          <w:numId w:val="9"/>
        </w:numPr>
        <w:rPr>
          <w:rFonts w:eastAsiaTheme="minorEastAsia"/>
          <w:lang w:val="en-GB"/>
        </w:rPr>
      </w:pPr>
      <w:r>
        <w:rPr>
          <w:rFonts w:eastAsiaTheme="minorEastAsia"/>
          <w:b/>
          <w:lang w:val="en-GB"/>
        </w:rPr>
        <w:t>Null hypothesis testing</w:t>
      </w:r>
    </w:p>
    <w:p w:rsidR="00C95F9E" w:rsidRDefault="008F41A9" w:rsidP="00C95F9E">
      <w:pPr>
        <w:rPr>
          <w:lang w:val="en-GB"/>
        </w:rPr>
      </w:pPr>
      <w:r>
        <w:rPr>
          <w:lang w:val="en-GB"/>
        </w:rPr>
        <w:t>Under the null hypothesis the mean of abnormal returns should be equal to zero, In order to reject the null hypothesis, the t-test should be applied to prove the significance of results.</w:t>
      </w:r>
      <w:r w:rsidR="006B6CB2">
        <w:rPr>
          <w:lang w:val="en-GB"/>
        </w:rPr>
        <w:t xml:space="preserve"> The conventional t-statistics used for ABHAR is:</w:t>
      </w:r>
    </w:p>
    <w:p w:rsidR="006B6CB2" w:rsidRPr="00C619AF" w:rsidRDefault="008E3922" w:rsidP="00C95F9E">
      <w:pPr>
        <w:rPr>
          <w:rFonts w:eastAsiaTheme="minorEastAsia"/>
          <w:lang w:val="en-GB"/>
        </w:rPr>
      </w:pPr>
      <m:oMathPara>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ABHAR</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ABHAR</m:t>
                  </m:r>
                </m:e>
                <m:sub>
                  <m:r>
                    <m:rPr>
                      <m:sty m:val="p"/>
                    </m:rPr>
                    <w:rPr>
                      <w:rFonts w:ascii="Cambria Math" w:hAnsi="Cambria Math" w:cs="Times New Roman"/>
                      <w:lang w:val="en-GB"/>
                    </w:rPr>
                    <m:t>τ</m:t>
                  </m:r>
                </m:sub>
              </m:sSub>
              <m:r>
                <w:rPr>
                  <w:rFonts w:ascii="Cambria Math" w:hAnsi="Cambria Math"/>
                  <w:lang w:val="en-GB"/>
                </w:rPr>
                <m:t>*</m:t>
              </m:r>
              <m:rad>
                <m:radPr>
                  <m:degHide m:val="1"/>
                  <m:ctrlPr>
                    <w:rPr>
                      <w:rFonts w:ascii="Cambria Math" w:hAnsi="Cambria Math"/>
                      <w:i/>
                      <w:lang w:val="en-GB"/>
                    </w:rPr>
                  </m:ctrlPr>
                </m:radPr>
                <m:deg/>
                <m:e>
                  <m:r>
                    <w:rPr>
                      <w:rFonts w:ascii="Cambria Math" w:hAnsi="Cambria Math"/>
                      <w:lang w:val="en-GB"/>
                    </w:rPr>
                    <m:t>N</m:t>
                  </m:r>
                </m:e>
              </m:rad>
            </m:num>
            <m:den>
              <m:r>
                <w:rPr>
                  <w:rFonts w:ascii="Cambria Math" w:hAnsi="Cambria Math"/>
                  <w:lang w:val="en-GB"/>
                </w:rPr>
                <m:t>σ(</m:t>
              </m:r>
              <m:sSub>
                <m:sSubPr>
                  <m:ctrlPr>
                    <w:rPr>
                      <w:rFonts w:ascii="Cambria Math" w:hAnsi="Cambria Math"/>
                      <w:i/>
                      <w:lang w:val="en-GB"/>
                    </w:rPr>
                  </m:ctrlPr>
                </m:sSubPr>
                <m:e>
                  <m:r>
                    <w:rPr>
                      <w:rFonts w:ascii="Cambria Math" w:hAnsi="Cambria Math"/>
                      <w:lang w:val="en-GB"/>
                    </w:rPr>
                    <m:t>BHAR</m:t>
                  </m:r>
                </m:e>
                <m:sub>
                  <m:r>
                    <w:rPr>
                      <w:rFonts w:ascii="Cambria Math" w:hAnsi="Cambria Math"/>
                      <w:lang w:val="en-GB"/>
                    </w:rPr>
                    <m:t>I</m:t>
                  </m:r>
                </m:sub>
              </m:sSub>
              <m:r>
                <w:rPr>
                  <w:rFonts w:ascii="Cambria Math" w:hAnsi="Cambria Math"/>
                  <w:lang w:val="en-GB"/>
                </w:rPr>
                <m:t>)</m:t>
              </m:r>
            </m:den>
          </m:f>
          <m:r>
            <w:rPr>
              <w:rFonts w:ascii="Cambria Math" w:hAnsi="Cambria Math"/>
              <w:lang w:val="en-GB"/>
            </w:rPr>
            <m:t xml:space="preserve"> </m:t>
          </m:r>
        </m:oMath>
      </m:oMathPara>
    </w:p>
    <w:p w:rsidR="00D2207F" w:rsidRDefault="00C619AF" w:rsidP="00C95F9E">
      <w:pPr>
        <w:rPr>
          <w:lang w:val="en-GB"/>
        </w:rPr>
      </w:pPr>
      <w:r>
        <w:rPr>
          <w:rFonts w:eastAsiaTheme="minorEastAsia"/>
          <w:lang w:val="en-GB"/>
        </w:rPr>
        <w:t>Where, N is the number of observations</w:t>
      </w:r>
      <w:proofErr w:type="gramStart"/>
      <w:r>
        <w:rPr>
          <w:rFonts w:eastAsiaTheme="minorEastAsia"/>
          <w:lang w:val="en-GB"/>
        </w:rPr>
        <w:t xml:space="preserve">, </w:t>
      </w:r>
      <w:proofErr w:type="gramEnd"/>
      <m:oMath>
        <m:r>
          <w:rPr>
            <w:rFonts w:ascii="Cambria Math" w:hAnsi="Cambria Math"/>
            <w:lang w:val="en-GB"/>
          </w:rPr>
          <m:t>σ(</m:t>
        </m:r>
        <m:sSub>
          <m:sSubPr>
            <m:ctrlPr>
              <w:rPr>
                <w:rFonts w:ascii="Cambria Math" w:hAnsi="Cambria Math"/>
                <w:i/>
                <w:lang w:val="en-GB"/>
              </w:rPr>
            </m:ctrlPr>
          </m:sSubPr>
          <m:e>
            <m:r>
              <w:rPr>
                <w:rFonts w:ascii="Cambria Math" w:hAnsi="Cambria Math"/>
                <w:lang w:val="en-GB"/>
              </w:rPr>
              <m:t>BHAR</m:t>
            </m:r>
          </m:e>
          <m:sub>
            <m:r>
              <w:rPr>
                <w:rFonts w:ascii="Cambria Math" w:hAnsi="Cambria Math"/>
                <w:lang w:val="en-GB"/>
              </w:rPr>
              <m:t>I</m:t>
            </m:r>
          </m:sub>
        </m:sSub>
      </m:oMath>
      <w:r>
        <w:rPr>
          <w:rFonts w:eastAsiaTheme="minorEastAsia"/>
          <w:lang w:val="en-GB"/>
        </w:rPr>
        <w:t xml:space="preserve">) is </w:t>
      </w:r>
      <w:r w:rsidRPr="00C619AF">
        <w:rPr>
          <w:lang w:val="en-GB"/>
        </w:rPr>
        <w:t>cross-sectional sample standard deviation of abnormal ret</w:t>
      </w:r>
      <w:r>
        <w:rPr>
          <w:lang w:val="en-GB"/>
        </w:rPr>
        <w:t>urns for the sample containing N</w:t>
      </w:r>
      <w:r w:rsidRPr="00C619AF">
        <w:rPr>
          <w:lang w:val="en-GB"/>
        </w:rPr>
        <w:t xml:space="preserve"> </w:t>
      </w:r>
      <w:r>
        <w:rPr>
          <w:lang w:val="en-GB"/>
        </w:rPr>
        <w:t>events</w:t>
      </w:r>
      <w:r w:rsidRPr="00C619AF">
        <w:rPr>
          <w:lang w:val="en-GB"/>
        </w:rPr>
        <w:t>.</w:t>
      </w:r>
      <w:r>
        <w:rPr>
          <w:lang w:val="en-GB"/>
        </w:rPr>
        <w:t xml:space="preserve"> </w:t>
      </w:r>
    </w:p>
    <w:p w:rsidR="00C619AF" w:rsidRDefault="008C2CB9" w:rsidP="00C95F9E">
      <w:pPr>
        <w:rPr>
          <w:lang w:val="en-GB"/>
        </w:rPr>
      </w:pPr>
      <w:r>
        <w:rPr>
          <w:lang w:val="en-GB"/>
        </w:rPr>
        <w:lastRenderedPageBreak/>
        <w:t>However,</w:t>
      </w:r>
      <w:r w:rsidR="00D2207F">
        <w:rPr>
          <w:lang w:val="en-GB"/>
        </w:rPr>
        <w:t xml:space="preserve"> conventional</w:t>
      </w:r>
      <w:r>
        <w:rPr>
          <w:lang w:val="en-GB"/>
        </w:rPr>
        <w:t xml:space="preserve"> </w:t>
      </w:r>
      <w:r w:rsidR="00D2207F">
        <w:rPr>
          <w:lang w:val="en-GB"/>
        </w:rPr>
        <w:t>t-test for mean of</w:t>
      </w:r>
      <w:r>
        <w:rPr>
          <w:lang w:val="en-GB"/>
        </w:rPr>
        <w:t xml:space="preserve"> BHAR has </w:t>
      </w:r>
      <w:r w:rsidR="00D2207F">
        <w:rPr>
          <w:lang w:val="en-GB"/>
        </w:rPr>
        <w:t xml:space="preserve">several significant problems. It was found by several studies </w:t>
      </w:r>
      <w:r w:rsidR="00D2207F" w:rsidRPr="00D2207F">
        <w:rPr>
          <w:lang w:val="en-GB"/>
        </w:rPr>
        <w:t>Mitchell and Stafford (2000)</w:t>
      </w:r>
      <w:r w:rsidR="00D2207F">
        <w:rPr>
          <w:rStyle w:val="af0"/>
          <w:lang w:val="en-GB"/>
        </w:rPr>
        <w:footnoteReference w:id="76"/>
      </w:r>
      <w:r w:rsidR="00D2207F" w:rsidRPr="00D2207F">
        <w:rPr>
          <w:lang w:val="en-GB"/>
        </w:rPr>
        <w:t>, Boehme and Sorescu (2002), Jegadeesh and Karceski (2009)</w:t>
      </w:r>
      <w:r w:rsidR="00D2207F">
        <w:rPr>
          <w:rStyle w:val="af0"/>
          <w:lang w:val="en-GB"/>
        </w:rPr>
        <w:footnoteReference w:id="77"/>
      </w:r>
      <w:r w:rsidR="00D2207F">
        <w:rPr>
          <w:lang w:val="en-GB"/>
        </w:rPr>
        <w:t xml:space="preserve"> that for cross-sectional studies, which is my situation, BHAR yields misspecified t-test. Moreover, as it was mentioned before the distribution is skewed, because the BHAR is bounded below by 100% but not above, this implies right-wing (positive) skewness of abnormal returns calculated this way</w:t>
      </w:r>
      <w:r w:rsidR="001A5D5F">
        <w:rPr>
          <w:lang w:val="en-GB"/>
        </w:rPr>
        <w:t xml:space="preserve"> (</w:t>
      </w:r>
      <w:r w:rsidR="001A5D5F" w:rsidRPr="001A5D5F">
        <w:rPr>
          <w:lang w:val="en-GB"/>
        </w:rPr>
        <w:t>S. P Khotari and J</w:t>
      </w:r>
      <w:r w:rsidR="001A5D5F">
        <w:rPr>
          <w:lang w:val="en-GB"/>
        </w:rPr>
        <w:t>.</w:t>
      </w:r>
      <w:r w:rsidR="001A5D5F" w:rsidRPr="001A5D5F">
        <w:rPr>
          <w:lang w:val="en-GB"/>
        </w:rPr>
        <w:t xml:space="preserve"> B. Warner</w:t>
      </w:r>
      <w:r w:rsidR="001A5D5F">
        <w:rPr>
          <w:lang w:val="en-GB"/>
        </w:rPr>
        <w:t xml:space="preserve">, 2006; </w:t>
      </w:r>
      <w:r w:rsidR="001A5D5F" w:rsidRPr="001A5D5F">
        <w:rPr>
          <w:lang w:val="en-GB"/>
        </w:rPr>
        <w:t>A</w:t>
      </w:r>
      <w:r w:rsidR="001A5D5F">
        <w:rPr>
          <w:lang w:val="en-GB"/>
        </w:rPr>
        <w:t>.</w:t>
      </w:r>
      <w:r w:rsidR="001A5D5F" w:rsidRPr="001A5D5F">
        <w:rPr>
          <w:lang w:val="en-GB"/>
        </w:rPr>
        <w:t xml:space="preserve"> Dutt</w:t>
      </w:r>
      <w:r w:rsidR="001A5D5F">
        <w:rPr>
          <w:lang w:val="en-GB"/>
        </w:rPr>
        <w:t>a, 2015)</w:t>
      </w:r>
      <w:r w:rsidR="00D2207F">
        <w:rPr>
          <w:lang w:val="en-GB"/>
        </w:rPr>
        <w:t xml:space="preserve">. </w:t>
      </w:r>
      <w:r w:rsidR="001A5D5F">
        <w:rPr>
          <w:lang w:val="en-GB"/>
        </w:rPr>
        <w:t xml:space="preserve">Then the </w:t>
      </w:r>
      <w:r w:rsidR="001A5D5F" w:rsidRPr="001A5D5F">
        <w:rPr>
          <w:lang w:val="en-GB"/>
        </w:rPr>
        <w:t>skewness adjusted version</w:t>
      </w:r>
      <w:r w:rsidR="001A5D5F">
        <w:rPr>
          <w:lang w:val="en-GB"/>
        </w:rPr>
        <w:t xml:space="preserve"> is used (J.</w:t>
      </w:r>
      <w:r w:rsidR="001A5D5F" w:rsidRPr="001A5D5F">
        <w:rPr>
          <w:lang w:val="en-GB"/>
        </w:rPr>
        <w:t xml:space="preserve"> D. Lyon,</w:t>
      </w:r>
      <w:r w:rsidR="001A5D5F">
        <w:rPr>
          <w:lang w:val="en-GB"/>
        </w:rPr>
        <w:t xml:space="preserve"> B</w:t>
      </w:r>
      <w:r w:rsidR="001A5D5F" w:rsidRPr="001A5D5F">
        <w:rPr>
          <w:lang w:val="en-GB"/>
        </w:rPr>
        <w:t>. Barber and C</w:t>
      </w:r>
      <w:r w:rsidR="001A5D5F">
        <w:rPr>
          <w:lang w:val="en-GB"/>
        </w:rPr>
        <w:t>.</w:t>
      </w:r>
      <w:r w:rsidR="001A5D5F" w:rsidRPr="001A5D5F">
        <w:rPr>
          <w:lang w:val="en-GB"/>
        </w:rPr>
        <w:t xml:space="preserve"> Tsai</w:t>
      </w:r>
      <w:r w:rsidR="001A5D5F">
        <w:rPr>
          <w:lang w:val="en-GB"/>
        </w:rPr>
        <w:t>, 1999)</w:t>
      </w:r>
      <w:r w:rsidR="001A5D5F">
        <w:rPr>
          <w:rStyle w:val="af0"/>
          <w:lang w:val="en-GB"/>
        </w:rPr>
        <w:footnoteReference w:id="78"/>
      </w:r>
      <w:r w:rsidR="001A5D5F">
        <w:rPr>
          <w:lang w:val="en-GB"/>
        </w:rPr>
        <w:t>. The adjusted t-test is:</w:t>
      </w:r>
    </w:p>
    <w:p w:rsidR="001A5D5F" w:rsidRPr="001A5D5F" w:rsidRDefault="008E3922" w:rsidP="00C95F9E">
      <w:pPr>
        <w:rPr>
          <w:rFonts w:eastAsiaTheme="minorEastAsia"/>
          <w:lang w:val="en-GB"/>
        </w:rPr>
      </w:pPr>
      <m:oMathPara>
        <m:oMath>
          <m:sSub>
            <m:sSubPr>
              <m:ctrlPr>
                <w:rPr>
                  <w:rFonts w:ascii="Cambria Math" w:eastAsiaTheme="minorEastAsia" w:hAnsi="Cambria Math"/>
                  <w:i/>
                  <w:lang w:val="en-GB"/>
                </w:rPr>
              </m:ctrlPr>
            </m:sSubPr>
            <m:e>
              <m:r>
                <w:rPr>
                  <w:rFonts w:ascii="Cambria Math" w:eastAsiaTheme="minorEastAsia" w:hAnsi="Cambria Math"/>
                  <w:lang w:val="en-GB"/>
                </w:rPr>
                <m:t>t</m:t>
              </m:r>
            </m:e>
            <m:sub>
              <m:r>
                <w:rPr>
                  <w:rFonts w:ascii="Cambria Math" w:eastAsiaTheme="minorEastAsia" w:hAnsi="Cambria Math"/>
                  <w:lang w:val="en-GB"/>
                </w:rPr>
                <m:t>bharsa</m:t>
              </m:r>
            </m:sub>
          </m:sSub>
          <m:r>
            <w:rPr>
              <w:rFonts w:ascii="Cambria Math" w:eastAsiaTheme="minorEastAsia" w:hAnsi="Cambria Math"/>
              <w:lang w:val="en-GB"/>
            </w:rPr>
            <m:t>=</m:t>
          </m:r>
          <m:sSub>
            <m:sSubPr>
              <m:ctrlPr>
                <w:rPr>
                  <w:rFonts w:ascii="Cambria Math" w:eastAsiaTheme="minorEastAsia" w:hAnsi="Cambria Math"/>
                  <w:i/>
                  <w:lang w:val="en-GB"/>
                </w:rPr>
              </m:ctrlPr>
            </m:sSubPr>
            <m:e>
              <m:r>
                <w:rPr>
                  <w:rFonts w:ascii="Cambria Math" w:eastAsiaTheme="minorEastAsia" w:hAnsi="Cambria Math"/>
                  <w:lang w:val="en-GB"/>
                </w:rPr>
                <m:t>t</m:t>
              </m:r>
            </m:e>
            <m:sub>
              <m:r>
                <w:rPr>
                  <w:rFonts w:ascii="Cambria Math" w:eastAsiaTheme="minorEastAsia" w:hAnsi="Cambria Math"/>
                  <w:lang w:val="en-GB"/>
                </w:rPr>
                <m:t>ABHAR</m:t>
              </m:r>
            </m:sub>
          </m:sSub>
          <m:r>
            <w:rPr>
              <w:rFonts w:ascii="Cambria Math" w:eastAsiaTheme="minorEastAsia" w:hAnsi="Cambria Math"/>
              <w:lang w:val="en-GB"/>
            </w:rPr>
            <m:t>+</m:t>
          </m:r>
          <m:f>
            <m:fPr>
              <m:ctrlPr>
                <w:rPr>
                  <w:rFonts w:ascii="Cambria Math" w:eastAsiaTheme="minorEastAsia" w:hAnsi="Cambria Math"/>
                  <w:i/>
                  <w:lang w:val="en-GB"/>
                </w:rPr>
              </m:ctrlPr>
            </m:fPr>
            <m:num>
              <m:r>
                <w:rPr>
                  <w:rFonts w:ascii="Cambria Math" w:eastAsiaTheme="minorEastAsia" w:hAnsi="Cambria Math"/>
                  <w:lang w:val="en-GB"/>
                </w:rPr>
                <m:t>γ</m:t>
              </m:r>
            </m:num>
            <m:den>
              <m:r>
                <w:rPr>
                  <w:rFonts w:ascii="Cambria Math" w:eastAsiaTheme="minorEastAsia" w:hAnsi="Cambria Math"/>
                  <w:lang w:val="en-GB"/>
                </w:rPr>
                <m:t>3</m:t>
              </m:r>
              <m:r>
                <w:rPr>
                  <w:rFonts w:ascii="Cambria Math" w:hAnsi="Cambria Math"/>
                  <w:lang w:val="en-GB"/>
                </w:rPr>
                <m:t>*</m:t>
              </m:r>
              <m:rad>
                <m:radPr>
                  <m:degHide m:val="1"/>
                  <m:ctrlPr>
                    <w:rPr>
                      <w:rFonts w:ascii="Cambria Math" w:hAnsi="Cambria Math"/>
                      <w:i/>
                      <w:lang w:val="en-GB"/>
                    </w:rPr>
                  </m:ctrlPr>
                </m:radPr>
                <m:deg/>
                <m:e>
                  <m:r>
                    <w:rPr>
                      <w:rFonts w:ascii="Cambria Math" w:hAnsi="Cambria Math"/>
                      <w:lang w:val="en-GB"/>
                    </w:rPr>
                    <m:t>N</m:t>
                  </m:r>
                </m:e>
              </m:rad>
            </m:den>
          </m:f>
          <m:r>
            <w:rPr>
              <w:rFonts w:ascii="Cambria Math" w:eastAsiaTheme="minorEastAsia" w:hAnsi="Cambria Math"/>
              <w:lang w:val="en-GB"/>
            </w:rPr>
            <m:t>*</m:t>
          </m:r>
          <m:d>
            <m:dPr>
              <m:ctrlPr>
                <w:rPr>
                  <w:rFonts w:ascii="Cambria Math" w:eastAsiaTheme="minorEastAsia" w:hAnsi="Cambria Math"/>
                  <w:i/>
                  <w:lang w:val="en-GB"/>
                </w:rPr>
              </m:ctrlPr>
            </m:dPr>
            <m:e>
              <m:sSubSup>
                <m:sSubSupPr>
                  <m:ctrlPr>
                    <w:rPr>
                      <w:rFonts w:ascii="Cambria Math" w:eastAsiaTheme="minorEastAsia" w:hAnsi="Cambria Math"/>
                      <w:i/>
                      <w:lang w:val="en-GB"/>
                    </w:rPr>
                  </m:ctrlPr>
                </m:sSubSupPr>
                <m:e>
                  <m:r>
                    <w:rPr>
                      <w:rFonts w:ascii="Cambria Math" w:eastAsiaTheme="minorEastAsia" w:hAnsi="Cambria Math"/>
                      <w:lang w:val="en-GB"/>
                    </w:rPr>
                    <m:t>t</m:t>
                  </m:r>
                </m:e>
                <m:sub>
                  <m:r>
                    <w:rPr>
                      <w:rFonts w:ascii="Cambria Math" w:eastAsiaTheme="minorEastAsia" w:hAnsi="Cambria Math"/>
                      <w:lang w:val="en-GB"/>
                    </w:rPr>
                    <m:t>ABHAR</m:t>
                  </m:r>
                </m:sub>
                <m:sup>
                  <m:r>
                    <w:rPr>
                      <w:rFonts w:ascii="Cambria Math" w:eastAsiaTheme="minorEastAsia" w:hAnsi="Cambria Math"/>
                      <w:lang w:val="en-GB"/>
                    </w:rPr>
                    <m:t>2</m:t>
                  </m:r>
                </m:sup>
              </m:sSubSup>
              <m:r>
                <w:rPr>
                  <w:rFonts w:ascii="Cambria Math" w:eastAsiaTheme="minorEastAsia" w:hAnsi="Cambria Math"/>
                  <w:lang w:val="en-GB"/>
                </w:rPr>
                <m:t>+</m:t>
              </m:r>
              <m:f>
                <m:fPr>
                  <m:ctrlPr>
                    <w:rPr>
                      <w:rFonts w:ascii="Cambria Math" w:eastAsiaTheme="minorEastAsia" w:hAnsi="Cambria Math"/>
                      <w:i/>
                      <w:lang w:val="en-GB"/>
                    </w:rPr>
                  </m:ctrlPr>
                </m:fPr>
                <m:num>
                  <m:r>
                    <w:rPr>
                      <w:rFonts w:ascii="Cambria Math" w:eastAsiaTheme="minorEastAsia" w:hAnsi="Cambria Math"/>
                      <w:lang w:val="en-GB"/>
                    </w:rPr>
                    <m:t>1</m:t>
                  </m:r>
                </m:num>
                <m:den>
                  <m:r>
                    <w:rPr>
                      <w:rFonts w:ascii="Cambria Math" w:eastAsiaTheme="minorEastAsia" w:hAnsi="Cambria Math"/>
                      <w:lang w:val="en-GB"/>
                    </w:rPr>
                    <m:t>2</m:t>
                  </m:r>
                </m:den>
              </m:f>
            </m:e>
          </m:d>
        </m:oMath>
      </m:oMathPara>
    </w:p>
    <w:p w:rsidR="001A5D5F" w:rsidRDefault="001A5D5F" w:rsidP="00C95F9E">
      <w:pPr>
        <w:rPr>
          <w:lang w:val="en-GB"/>
        </w:rPr>
      </w:pPr>
      <w:r>
        <w:rPr>
          <w:rFonts w:eastAsiaTheme="minorEastAsia"/>
          <w:lang w:val="en-GB"/>
        </w:rPr>
        <w:t xml:space="preserve">Where, </w:t>
      </w:r>
      <m:oMath>
        <m:r>
          <w:rPr>
            <w:rFonts w:ascii="Cambria Math" w:eastAsiaTheme="minorEastAsia" w:hAnsi="Cambria Math"/>
            <w:lang w:val="en-GB"/>
          </w:rPr>
          <m:t>γ</m:t>
        </m:r>
      </m:oMath>
      <w:r>
        <w:rPr>
          <w:rFonts w:eastAsiaTheme="minorEastAsia"/>
          <w:lang w:val="en-GB"/>
        </w:rPr>
        <w:t xml:space="preserve"> stands for the </w:t>
      </w:r>
      <w:r w:rsidRPr="001A5D5F">
        <w:rPr>
          <w:lang w:val="en-GB"/>
        </w:rPr>
        <w:t>estimate of the skewness coefficient of BHAR</w:t>
      </w:r>
      <w:r w:rsidR="00C34618">
        <w:rPr>
          <w:lang w:val="en-GB"/>
        </w:rPr>
        <w:t xml:space="preserve"> (</w:t>
      </w:r>
      <w:r w:rsidRPr="001A5D5F">
        <w:rPr>
          <w:lang w:val="en-GB"/>
        </w:rPr>
        <w:t>i</w:t>
      </w:r>
      <w:r w:rsidR="00C34618">
        <w:rPr>
          <w:lang w:val="en-GB"/>
        </w:rPr>
        <w:t>)</w:t>
      </w:r>
      <w:r>
        <w:rPr>
          <w:lang w:val="en-GB"/>
        </w:rPr>
        <w:t xml:space="preserve"> (t). T</w:t>
      </w:r>
      <w:r w:rsidR="00C34618">
        <w:rPr>
          <w:lang w:val="en-GB"/>
        </w:rPr>
        <w:t xml:space="preserve">herefore, if in my calculations, the asymmetry would be found then I will use the </w:t>
      </w:r>
      <w:r w:rsidR="00C34618" w:rsidRPr="001A5D5F">
        <w:rPr>
          <w:lang w:val="en-GB"/>
        </w:rPr>
        <w:t>skewness</w:t>
      </w:r>
      <w:r w:rsidR="00C34618">
        <w:rPr>
          <w:lang w:val="en-GB"/>
        </w:rPr>
        <w:t xml:space="preserve"> t-adjusted test.</w:t>
      </w:r>
    </w:p>
    <w:p w:rsidR="00C34618" w:rsidRDefault="00C34618" w:rsidP="00C95F9E">
      <w:pPr>
        <w:rPr>
          <w:lang w:val="en-GB"/>
        </w:rPr>
      </w:pPr>
    </w:p>
    <w:p w:rsidR="00C619AF" w:rsidRDefault="00C34618" w:rsidP="00C34618">
      <w:pPr>
        <w:pStyle w:val="3"/>
        <w:rPr>
          <w:lang w:val="en-GB"/>
        </w:rPr>
      </w:pPr>
      <w:bookmarkStart w:id="13" w:name="_Toc73640569"/>
      <w:r>
        <w:rPr>
          <w:lang w:val="en-GB"/>
        </w:rPr>
        <w:t>Summary</w:t>
      </w:r>
      <w:bookmarkEnd w:id="13"/>
    </w:p>
    <w:p w:rsidR="00C34618" w:rsidRDefault="00C34618" w:rsidP="00C34618">
      <w:pPr>
        <w:rPr>
          <w:lang w:val="en-GB"/>
        </w:rPr>
      </w:pPr>
      <w:r>
        <w:rPr>
          <w:lang w:val="en-GB"/>
        </w:rPr>
        <w:t xml:space="preserve">In this part of research paper, the research methodology has been discussed for short-term study and long-term one in relation to fundamental literature on the topic of event studies methodologies. Now, the summary table for both approaches will be provided. Then in next part of the second chapter we will move on to the discussion of </w:t>
      </w:r>
      <w:r w:rsidR="00DC38E0">
        <w:rPr>
          <w:lang w:val="en-GB"/>
        </w:rPr>
        <w:t>data sample to which the models proposed here will be applied in the research itself.</w:t>
      </w:r>
      <w:r w:rsidR="00EC1BDB">
        <w:rPr>
          <w:lang w:val="en-GB"/>
        </w:rPr>
        <w:t xml:space="preserve"> </w:t>
      </w:r>
    </w:p>
    <w:p w:rsidR="00EC1BDB" w:rsidRDefault="00EC1BDB" w:rsidP="00C34618">
      <w:pPr>
        <w:rPr>
          <w:lang w:val="en-GB"/>
        </w:rPr>
      </w:pPr>
      <w:r>
        <w:rPr>
          <w:lang w:val="en-GB"/>
        </w:rPr>
        <w:t xml:space="preserve">The common approach that I will </w:t>
      </w:r>
      <w:r w:rsidR="0044058E">
        <w:rPr>
          <w:lang w:val="en-GB"/>
        </w:rPr>
        <w:t>apply</w:t>
      </w:r>
      <w:r>
        <w:rPr>
          <w:lang w:val="en-GB"/>
        </w:rPr>
        <w:t xml:space="preserve"> for both event studies</w:t>
      </w:r>
      <w:r w:rsidR="0044058E">
        <w:rPr>
          <w:lang w:val="en-GB"/>
        </w:rPr>
        <w:t xml:space="preserve"> in evaluating t-tests significance for rejecting a null hypothesis</w:t>
      </w:r>
      <w:r>
        <w:rPr>
          <w:lang w:val="en-GB"/>
        </w:rPr>
        <w:t xml:space="preserve"> is that I am going to use values from t value table, which shows the value of t for a particular number of degree of freedom (N-1 sample) in correspondence with a level of significance.</w:t>
      </w:r>
    </w:p>
    <w:p w:rsidR="009E50B5" w:rsidRPr="00C34618" w:rsidRDefault="009E50B5" w:rsidP="004A16B3">
      <w:pPr>
        <w:ind w:firstLine="0"/>
        <w:rPr>
          <w:lang w:val="en-GB"/>
        </w:rPr>
      </w:pPr>
    </w:p>
    <w:p w:rsidR="0030656B" w:rsidRDefault="0030656B" w:rsidP="0030656B">
      <w:pPr>
        <w:pStyle w:val="SVEtablecaption"/>
      </w:pPr>
      <w:r>
        <w:t>Research model summary</w:t>
      </w:r>
    </w:p>
    <w:tbl>
      <w:tblPr>
        <w:tblStyle w:val="a6"/>
        <w:tblW w:w="11625" w:type="dxa"/>
        <w:tblInd w:w="-1565" w:type="dxa"/>
        <w:tblLayout w:type="fixed"/>
        <w:tblLook w:val="04A0" w:firstRow="1" w:lastRow="0" w:firstColumn="1" w:lastColumn="0" w:noHBand="0" w:noVBand="1"/>
      </w:tblPr>
      <w:tblGrid>
        <w:gridCol w:w="1134"/>
        <w:gridCol w:w="5671"/>
        <w:gridCol w:w="4820"/>
      </w:tblGrid>
      <w:tr w:rsidR="0030656B" w:rsidTr="001A61FE">
        <w:tc>
          <w:tcPr>
            <w:tcW w:w="11625" w:type="dxa"/>
            <w:gridSpan w:val="3"/>
          </w:tcPr>
          <w:p w:rsidR="0030656B" w:rsidRDefault="0030656B" w:rsidP="006F6BAE">
            <w:pPr>
              <w:pStyle w:val="SVEtableheader"/>
            </w:pPr>
            <w:r>
              <w:t>Research models</w:t>
            </w:r>
          </w:p>
        </w:tc>
      </w:tr>
      <w:tr w:rsidR="004762A1" w:rsidTr="001A61FE">
        <w:tc>
          <w:tcPr>
            <w:tcW w:w="1134" w:type="dxa"/>
          </w:tcPr>
          <w:p w:rsidR="0030656B" w:rsidRDefault="0030656B" w:rsidP="006F6BAE">
            <w:pPr>
              <w:ind w:firstLine="0"/>
              <w:rPr>
                <w:lang w:val="en-GB"/>
              </w:rPr>
            </w:pPr>
          </w:p>
        </w:tc>
        <w:tc>
          <w:tcPr>
            <w:tcW w:w="5671" w:type="dxa"/>
          </w:tcPr>
          <w:p w:rsidR="0030656B" w:rsidRDefault="0030656B" w:rsidP="006F6BAE">
            <w:pPr>
              <w:pStyle w:val="SVEtableheader"/>
            </w:pPr>
            <w:r>
              <w:t>Short-term study</w:t>
            </w:r>
          </w:p>
        </w:tc>
        <w:tc>
          <w:tcPr>
            <w:tcW w:w="4820" w:type="dxa"/>
          </w:tcPr>
          <w:p w:rsidR="0030656B" w:rsidRDefault="0030656B" w:rsidP="006F6BAE">
            <w:pPr>
              <w:pStyle w:val="SVEtableheader"/>
            </w:pPr>
            <w:r>
              <w:t>Long-term study</w:t>
            </w:r>
          </w:p>
        </w:tc>
      </w:tr>
      <w:tr w:rsidR="004762A1" w:rsidRPr="008E153D" w:rsidTr="001A61FE">
        <w:tc>
          <w:tcPr>
            <w:tcW w:w="1134" w:type="dxa"/>
          </w:tcPr>
          <w:p w:rsidR="0030656B" w:rsidRDefault="0030656B" w:rsidP="006F6BAE">
            <w:pPr>
              <w:pStyle w:val="SVEtableheader"/>
            </w:pPr>
            <w:r>
              <w:lastRenderedPageBreak/>
              <w:t>Time Period</w:t>
            </w:r>
          </w:p>
        </w:tc>
        <w:tc>
          <w:tcPr>
            <w:tcW w:w="5671" w:type="dxa"/>
          </w:tcPr>
          <w:p w:rsidR="00841993" w:rsidRDefault="007525E8" w:rsidP="006F6BAE">
            <w:pPr>
              <w:pStyle w:val="SVEtablecontent"/>
              <w:rPr>
                <w:rFonts w:eastAsiaTheme="minorEastAsia"/>
                <w:lang w:val="en-GB"/>
              </w:rPr>
            </w:pPr>
            <w:r>
              <w:rPr>
                <w:rFonts w:eastAsiaTheme="minorEastAsia"/>
                <w:lang w:val="en-GB"/>
              </w:rPr>
              <w:t>t</w:t>
            </w:r>
            <w:r w:rsidRPr="004E3E3D">
              <w:rPr>
                <w:rFonts w:eastAsiaTheme="minorEastAsia"/>
                <w:lang w:val="en-GB"/>
              </w:rPr>
              <w:t xml:space="preserve"> </w:t>
            </w:r>
            <w:r w:rsidRPr="004E3E3D">
              <w:rPr>
                <w:rFonts w:ascii="Cambria Math" w:hAnsi="Cambria Math" w:cs="Cambria Math"/>
                <w:color w:val="202122"/>
                <w:szCs w:val="24"/>
                <w:shd w:val="clear" w:color="auto" w:fill="FFFFFF"/>
                <w:lang w:val="en-GB"/>
              </w:rPr>
              <w:t xml:space="preserve">∈ </w:t>
            </w:r>
            <m:oMath>
              <m:sSub>
                <m:sSubPr>
                  <m:ctrlPr>
                    <w:rPr>
                      <w:rFonts w:ascii="Cambria Math" w:hAnsi="Cambria Math" w:cs="Cambria Math"/>
                      <w:i/>
                      <w:color w:val="202122"/>
                      <w:szCs w:val="24"/>
                      <w:shd w:val="clear" w:color="auto" w:fill="FFFFFF"/>
                      <w:lang w:val="en-GB"/>
                    </w:rPr>
                  </m:ctrlPr>
                </m:sSubPr>
                <m:e>
                  <m:r>
                    <w:rPr>
                      <w:rFonts w:ascii="Cambria Math" w:hAnsi="Cambria Math" w:cs="Cambria Math"/>
                      <w:color w:val="202122"/>
                      <w:szCs w:val="24"/>
                      <w:shd w:val="clear" w:color="auto" w:fill="FFFFFF"/>
                      <w:lang w:val="en-GB"/>
                    </w:rPr>
                    <m:t>T</m:t>
                  </m:r>
                </m:e>
                <m:sub>
                  <m:r>
                    <w:rPr>
                      <w:rFonts w:ascii="Cambria Math" w:hAnsi="Cambria Math" w:cs="Cambria Math"/>
                      <w:color w:val="202122"/>
                      <w:szCs w:val="24"/>
                      <w:shd w:val="clear" w:color="auto" w:fill="FFFFFF"/>
                      <w:lang w:val="en-GB"/>
                    </w:rPr>
                    <m:t>1</m:t>
                  </m:r>
                </m:sub>
              </m:sSub>
            </m:oMath>
            <w:r w:rsidRPr="004E3E3D">
              <w:rPr>
                <w:lang w:val="en-GB"/>
              </w:rPr>
              <w:t xml:space="preserve">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2</m:t>
                  </m:r>
                </m:sub>
              </m:sSub>
            </m:oMath>
            <w:r>
              <w:rPr>
                <w:rFonts w:eastAsiaTheme="minorEastAsia"/>
                <w:lang w:val="en-GB"/>
              </w:rPr>
              <w:t xml:space="preserve"> – any day from the short term study</w:t>
            </w:r>
          </w:p>
          <w:p w:rsidR="008E153D" w:rsidRDefault="008E3922" w:rsidP="006F6BAE">
            <w:pPr>
              <w:pStyle w:val="SVEtablecontent"/>
              <w:rPr>
                <w:lang w:val="en-GB"/>
              </w:rPr>
            </w:pPr>
            <m:oMath>
              <m:sSub>
                <m:sSubPr>
                  <m:ctrlPr>
                    <w:rPr>
                      <w:rFonts w:ascii="Cambria Math" w:hAnsi="Cambria Math" w:cs="Cambria Math"/>
                      <w:i/>
                      <w:color w:val="202122"/>
                      <w:szCs w:val="24"/>
                      <w:shd w:val="clear" w:color="auto" w:fill="FFFFFF"/>
                      <w:lang w:val="en-GB"/>
                    </w:rPr>
                  </m:ctrlPr>
                </m:sSubPr>
                <m:e>
                  <m:r>
                    <w:rPr>
                      <w:rFonts w:ascii="Cambria Math" w:hAnsi="Cambria Math" w:cs="Cambria Math"/>
                      <w:color w:val="202122"/>
                      <w:szCs w:val="24"/>
                      <w:shd w:val="clear" w:color="auto" w:fill="FFFFFF"/>
                      <w:lang w:val="en-GB"/>
                    </w:rPr>
                    <m:t>T</m:t>
                  </m:r>
                </m:e>
                <m:sub>
                  <m:r>
                    <w:rPr>
                      <w:rFonts w:ascii="Cambria Math" w:hAnsi="Cambria Math" w:cs="Cambria Math"/>
                      <w:color w:val="202122"/>
                      <w:szCs w:val="24"/>
                      <w:shd w:val="clear" w:color="auto" w:fill="FFFFFF"/>
                      <w:lang w:val="en-GB"/>
                    </w:rPr>
                    <m:t>1</m:t>
                  </m:r>
                </m:sub>
              </m:sSub>
            </m:oMath>
            <w:r w:rsidR="008E153D" w:rsidRPr="004E3E3D">
              <w:rPr>
                <w:lang w:val="en-GB"/>
              </w:rPr>
              <w:t xml:space="preserve"> </w:t>
            </w:r>
            <w:r w:rsidR="007525E8" w:rsidRPr="004E3E3D">
              <w:rPr>
                <w:rFonts w:ascii="Cambria Math" w:hAnsi="Cambria Math" w:cs="Cambria Math"/>
                <w:color w:val="202122"/>
                <w:szCs w:val="24"/>
                <w:shd w:val="clear" w:color="auto" w:fill="FFFFFF"/>
                <w:lang w:val="en-GB"/>
              </w:rPr>
              <w:t>∈</w:t>
            </w:r>
            <w:r w:rsidR="007525E8" w:rsidRPr="004E3E3D">
              <w:rPr>
                <w:lang w:val="en-GB"/>
              </w:rPr>
              <w:t xml:space="preserve"> </w:t>
            </w:r>
            <w:r w:rsidR="008E153D" w:rsidRPr="004E3E3D">
              <w:rPr>
                <w:lang w:val="en-GB"/>
              </w:rPr>
              <w:t>[-3; +3]</w:t>
            </w:r>
            <w:r w:rsidR="008E153D">
              <w:rPr>
                <w:lang w:val="en-GB"/>
              </w:rPr>
              <w:t xml:space="preserve"> – event window;</w:t>
            </w:r>
          </w:p>
          <w:p w:rsidR="0030656B" w:rsidRDefault="008E3922" w:rsidP="006F6BAE">
            <w:pPr>
              <w:pStyle w:val="SVEtablecontent"/>
              <w:rPr>
                <w:rFonts w:ascii="Cambria Math" w:hAnsi="Cambria Math" w:cs="Cambria Math"/>
                <w:color w:val="202122"/>
                <w:szCs w:val="24"/>
                <w:shd w:val="clear" w:color="auto" w:fill="FFFFFF"/>
                <w:lang w:val="en-GB"/>
              </w:rPr>
            </w:pP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2</m:t>
                  </m:r>
                </m:sub>
              </m:sSub>
            </m:oMath>
            <w:r w:rsidR="008E153D">
              <w:rPr>
                <w:rFonts w:eastAsiaTheme="minorEastAsia"/>
                <w:lang w:val="en-GB"/>
              </w:rPr>
              <w:t xml:space="preserve"> </w:t>
            </w:r>
            <w:r w:rsidR="008E153D" w:rsidRPr="004E3E3D">
              <w:rPr>
                <w:rFonts w:ascii="Cambria Math" w:hAnsi="Cambria Math" w:cs="Cambria Math"/>
                <w:color w:val="202122"/>
                <w:szCs w:val="24"/>
                <w:shd w:val="clear" w:color="auto" w:fill="FFFFFF"/>
                <w:lang w:val="en-GB"/>
              </w:rPr>
              <w:t>∈</w:t>
            </w:r>
            <w:r w:rsidR="008E153D">
              <w:rPr>
                <w:rFonts w:ascii="Cambria Math" w:hAnsi="Cambria Math" w:cs="Cambria Math"/>
                <w:color w:val="202122"/>
                <w:szCs w:val="24"/>
                <w:shd w:val="clear" w:color="auto" w:fill="FFFFFF"/>
                <w:lang w:val="en-GB"/>
              </w:rPr>
              <w:t xml:space="preserve"> [-143,-3] </w:t>
            </w:r>
            <w:r w:rsidR="008E153D">
              <w:rPr>
                <w:lang w:val="en-GB"/>
              </w:rPr>
              <w:t xml:space="preserve">– </w:t>
            </w:r>
            <w:r w:rsidR="008E153D">
              <w:rPr>
                <w:rFonts w:ascii="Cambria Math" w:hAnsi="Cambria Math" w:cs="Cambria Math"/>
                <w:color w:val="202122"/>
                <w:szCs w:val="24"/>
                <w:shd w:val="clear" w:color="auto" w:fill="FFFFFF"/>
                <w:lang w:val="en-GB"/>
              </w:rPr>
              <w:t>estimation window</w:t>
            </w:r>
          </w:p>
          <w:p w:rsidR="008E153D" w:rsidRPr="008E153D" w:rsidRDefault="004762A1" w:rsidP="008E153D">
            <w:pPr>
              <w:rPr>
                <w:lang w:val="en-GB"/>
              </w:rPr>
            </w:pPr>
            <w:r>
              <w:rPr>
                <w:noProof/>
                <w:lang w:eastAsia="ru-RU"/>
              </w:rPr>
              <w:drawing>
                <wp:anchor distT="0" distB="0" distL="114300" distR="114300" simplePos="0" relativeHeight="251658240" behindDoc="0" locked="0" layoutInCell="1" allowOverlap="1">
                  <wp:simplePos x="0" y="0"/>
                  <wp:positionH relativeFrom="column">
                    <wp:posOffset>-61595</wp:posOffset>
                  </wp:positionH>
                  <wp:positionV relativeFrom="paragraph">
                    <wp:posOffset>95885</wp:posOffset>
                  </wp:positionV>
                  <wp:extent cx="2727960" cy="805180"/>
                  <wp:effectExtent l="0" t="0" r="0" b="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print">
                            <a:extLst>
                              <a:ext uri="{28A0092B-C50C-407E-A947-70E740481C1C}">
                                <a14:useLocalDpi xmlns:a14="http://schemas.microsoft.com/office/drawing/2010/main" val="0"/>
                              </a:ext>
                            </a:extLst>
                          </a:blip>
                          <a:srcRect l="17980" t="29164" r="5170" b="30481"/>
                          <a:stretch/>
                        </pic:blipFill>
                        <pic:spPr bwMode="auto">
                          <a:xfrm>
                            <a:off x="0" y="0"/>
                            <a:ext cx="2727960" cy="805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E153D" w:rsidRPr="008E153D" w:rsidRDefault="008E153D" w:rsidP="008E153D">
            <w:pPr>
              <w:rPr>
                <w:lang w:val="en-GB"/>
              </w:rPr>
            </w:pPr>
          </w:p>
        </w:tc>
        <w:tc>
          <w:tcPr>
            <w:tcW w:w="4820" w:type="dxa"/>
          </w:tcPr>
          <w:p w:rsidR="0030656B" w:rsidRPr="009027F5" w:rsidRDefault="008E3922" w:rsidP="006F6BAE">
            <w:pPr>
              <w:pStyle w:val="SVEtablecontent"/>
              <w:rPr>
                <w:rFonts w:eastAsiaTheme="minorEastAsia"/>
                <w:lang w:val="en-GB"/>
              </w:rPr>
            </w:pPr>
            <m:oMathPara>
              <m:oMathParaPr>
                <m:jc m:val="left"/>
              </m:oMathParaPr>
              <m:oMath>
                <m:sSub>
                  <m:sSubPr>
                    <m:ctrlPr>
                      <w:rPr>
                        <w:rFonts w:ascii="Cambria Math" w:eastAsiaTheme="minorEastAsia" w:hAnsi="Cambria Math"/>
                        <w:i/>
                        <w:lang w:val="en-GB"/>
                      </w:rPr>
                    </m:ctrlPr>
                  </m:sSubPr>
                  <m:e>
                    <m:r>
                      <w:rPr>
                        <w:rFonts w:ascii="Cambria Math" w:eastAsiaTheme="minorEastAsia" w:hAnsi="Cambria Math"/>
                        <w:lang w:val="en-GB"/>
                      </w:rPr>
                      <m:t>τ</m:t>
                    </m:r>
                  </m:e>
                  <m:sub>
                    <m:r>
                      <w:rPr>
                        <w:rFonts w:ascii="Cambria Math" w:eastAsiaTheme="minorEastAsia" w:hAnsi="Cambria Math"/>
                        <w:lang w:val="en-GB"/>
                      </w:rPr>
                      <m:t>m</m:t>
                    </m:r>
                  </m:sub>
                </m:sSub>
                <m:r>
                  <w:rPr>
                    <w:rFonts w:ascii="Cambria Math" w:eastAsiaTheme="minorEastAsia" w:hAnsi="Cambria Math"/>
                    <w:lang w:val="en-GB"/>
                  </w:rPr>
                  <m:t xml:space="preserve"> ∈T </m:t>
                </m:r>
                <m:d>
                  <m:dPr>
                    <m:begChr m:val="["/>
                    <m:endChr m:val="]"/>
                    <m:ctrlPr>
                      <w:rPr>
                        <w:rFonts w:ascii="Cambria Math" w:eastAsiaTheme="minorEastAsia" w:hAnsi="Cambria Math"/>
                        <w:i/>
                        <w:lang w:val="en-GB"/>
                      </w:rPr>
                    </m:ctrlPr>
                  </m:dPr>
                  <m:e>
                    <m:r>
                      <w:rPr>
                        <w:rFonts w:ascii="Cambria Math" w:eastAsiaTheme="minorEastAsia" w:hAnsi="Cambria Math"/>
                        <w:lang w:val="en-GB"/>
                      </w:rPr>
                      <m:t>0;25</m:t>
                    </m:r>
                  </m:e>
                </m:d>
              </m:oMath>
            </m:oMathPara>
          </w:p>
          <w:p w:rsidR="009027F5" w:rsidRPr="009027F5" w:rsidRDefault="009027F5" w:rsidP="009027F5">
            <w:pPr>
              <w:rPr>
                <w:lang w:val="en-GB"/>
              </w:rPr>
            </w:pPr>
            <w:r>
              <w:rPr>
                <w:noProof/>
                <w:lang w:eastAsia="ru-RU"/>
              </w:rPr>
              <w:drawing>
                <wp:anchor distT="0" distB="0" distL="114300" distR="114300" simplePos="0" relativeHeight="251659264" behindDoc="0" locked="0" layoutInCell="1" allowOverlap="1">
                  <wp:simplePos x="0" y="0"/>
                  <wp:positionH relativeFrom="column">
                    <wp:posOffset>-34925</wp:posOffset>
                  </wp:positionH>
                  <wp:positionV relativeFrom="paragraph">
                    <wp:posOffset>237594</wp:posOffset>
                  </wp:positionV>
                  <wp:extent cx="2578100" cy="880745"/>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print">
                            <a:extLst>
                              <a:ext uri="{28A0092B-C50C-407E-A947-70E740481C1C}">
                                <a14:useLocalDpi xmlns:a14="http://schemas.microsoft.com/office/drawing/2010/main" val="0"/>
                              </a:ext>
                            </a:extLst>
                          </a:blip>
                          <a:srcRect l="7080" t="28967" r="30108" b="32873"/>
                          <a:stretch/>
                        </pic:blipFill>
                        <pic:spPr bwMode="auto">
                          <a:xfrm>
                            <a:off x="0" y="0"/>
                            <a:ext cx="2578100" cy="8807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4762A1" w:rsidTr="001A61FE">
        <w:trPr>
          <w:trHeight w:val="1088"/>
        </w:trPr>
        <w:tc>
          <w:tcPr>
            <w:tcW w:w="1134" w:type="dxa"/>
          </w:tcPr>
          <w:p w:rsidR="0030656B" w:rsidRDefault="007D2FB9" w:rsidP="006F6BAE">
            <w:pPr>
              <w:pStyle w:val="SVEtableheader"/>
            </w:pPr>
            <w:r>
              <w:t>Expected return</w:t>
            </w:r>
          </w:p>
        </w:tc>
        <w:tc>
          <w:tcPr>
            <w:tcW w:w="5671" w:type="dxa"/>
          </w:tcPr>
          <w:p w:rsidR="0030656B" w:rsidRPr="004762A1" w:rsidRDefault="004762A1" w:rsidP="009027F5">
            <w:pPr>
              <w:pStyle w:val="SVEtablecontent"/>
            </w:pPr>
            <m:oMathPara>
              <m:oMathParaPr>
                <m:jc m:val="left"/>
              </m:oMathParaPr>
              <m:oMath>
                <m:r>
                  <w:rPr>
                    <w:rFonts w:ascii="Cambria Math" w:hAnsi="Cambria Math"/>
                    <w:sz w:val="24"/>
                    <w:lang w:val="en-GB"/>
                  </w:rPr>
                  <m:t>E</m:t>
                </m:r>
                <m:d>
                  <m:dPr>
                    <m:ctrlPr>
                      <w:rPr>
                        <w:rFonts w:ascii="Cambria Math" w:hAnsi="Cambria Math"/>
                        <w:i/>
                        <w:sz w:val="24"/>
                        <w:lang w:val="en-GB"/>
                      </w:rPr>
                    </m:ctrlPr>
                  </m:dPr>
                  <m:e>
                    <m:sSub>
                      <m:sSubPr>
                        <m:ctrlPr>
                          <w:rPr>
                            <w:rFonts w:ascii="Cambria Math" w:hAnsi="Cambria Math"/>
                            <w:i/>
                            <w:sz w:val="24"/>
                            <w:lang w:val="en-GB"/>
                          </w:rPr>
                        </m:ctrlPr>
                      </m:sSubPr>
                      <m:e>
                        <m:r>
                          <w:rPr>
                            <w:rFonts w:ascii="Cambria Math" w:hAnsi="Cambria Math"/>
                            <w:sz w:val="24"/>
                            <w:lang w:val="en-GB"/>
                          </w:rPr>
                          <m:t>R</m:t>
                        </m:r>
                      </m:e>
                      <m:sub>
                        <m:r>
                          <w:rPr>
                            <w:rFonts w:ascii="Cambria Math" w:hAnsi="Cambria Math"/>
                            <w:sz w:val="24"/>
                            <w:lang w:val="en-GB"/>
                          </w:rPr>
                          <m:t>it</m:t>
                        </m:r>
                      </m:sub>
                    </m:sSub>
                  </m:e>
                </m:d>
                <m:r>
                  <w:rPr>
                    <w:rFonts w:ascii="Cambria Math" w:hAnsi="Cambria Math"/>
                    <w:sz w:val="24"/>
                    <w:lang w:val="en-GB"/>
                  </w:rPr>
                  <m:t>=</m:t>
                </m:r>
                <m:sSub>
                  <m:sSubPr>
                    <m:ctrlPr>
                      <w:rPr>
                        <w:rFonts w:ascii="Cambria Math" w:hAnsi="Cambria Math"/>
                        <w:i/>
                        <w:sz w:val="24"/>
                        <w:lang w:val="en-GB"/>
                      </w:rPr>
                    </m:ctrlPr>
                  </m:sSubPr>
                  <m:e>
                    <m:r>
                      <w:rPr>
                        <w:rFonts w:ascii="Cambria Math" w:hAnsi="Cambria Math"/>
                        <w:sz w:val="24"/>
                        <w:lang w:val="en-GB"/>
                      </w:rPr>
                      <m:t>α</m:t>
                    </m:r>
                  </m:e>
                  <m:sub>
                    <m:r>
                      <w:rPr>
                        <w:rFonts w:ascii="Cambria Math" w:hAnsi="Cambria Math"/>
                        <w:sz w:val="24"/>
                        <w:lang w:val="en-GB"/>
                      </w:rPr>
                      <m:t>i</m:t>
                    </m:r>
                  </m:sub>
                </m:sSub>
                <m:r>
                  <w:rPr>
                    <w:rFonts w:ascii="Cambria Math" w:hAnsi="Cambria Math"/>
                    <w:sz w:val="24"/>
                    <w:lang w:val="en-GB"/>
                  </w:rPr>
                  <m:t>+</m:t>
                </m:r>
                <m:sSub>
                  <m:sSubPr>
                    <m:ctrlPr>
                      <w:rPr>
                        <w:rFonts w:ascii="Cambria Math" w:hAnsi="Cambria Math"/>
                        <w:i/>
                        <w:sz w:val="24"/>
                        <w:lang w:val="en-GB"/>
                      </w:rPr>
                    </m:ctrlPr>
                  </m:sSubPr>
                  <m:e>
                    <m:r>
                      <w:rPr>
                        <w:rFonts w:ascii="Cambria Math" w:hAnsi="Cambria Math"/>
                        <w:sz w:val="24"/>
                        <w:lang w:val="en-GB"/>
                      </w:rPr>
                      <m:t>β</m:t>
                    </m:r>
                  </m:e>
                  <m:sub>
                    <m:r>
                      <w:rPr>
                        <w:rFonts w:ascii="Cambria Math" w:hAnsi="Cambria Math"/>
                        <w:sz w:val="24"/>
                        <w:lang w:val="en-GB"/>
                      </w:rPr>
                      <m:t>i</m:t>
                    </m:r>
                  </m:sub>
                </m:sSub>
                <m:r>
                  <w:rPr>
                    <w:rFonts w:ascii="Cambria Math" w:hAnsi="Cambria Math"/>
                    <w:sz w:val="24"/>
                    <w:lang w:val="en-GB"/>
                  </w:rPr>
                  <m:t>*</m:t>
                </m:r>
                <m:sSub>
                  <m:sSubPr>
                    <m:ctrlPr>
                      <w:rPr>
                        <w:rFonts w:ascii="Cambria Math" w:hAnsi="Cambria Math"/>
                        <w:i/>
                        <w:sz w:val="24"/>
                        <w:lang w:val="en-GB"/>
                      </w:rPr>
                    </m:ctrlPr>
                  </m:sSubPr>
                  <m:e>
                    <m:r>
                      <w:rPr>
                        <w:rFonts w:ascii="Cambria Math" w:hAnsi="Cambria Math"/>
                        <w:sz w:val="24"/>
                        <w:lang w:val="en-GB"/>
                      </w:rPr>
                      <m:t>R</m:t>
                    </m:r>
                  </m:e>
                  <m:sub>
                    <m:r>
                      <w:rPr>
                        <w:rFonts w:ascii="Cambria Math" w:hAnsi="Cambria Math"/>
                        <w:sz w:val="24"/>
                        <w:lang w:val="en-GB"/>
                      </w:rPr>
                      <m:t>mt</m:t>
                    </m:r>
                  </m:sub>
                </m:sSub>
              </m:oMath>
            </m:oMathPara>
          </w:p>
        </w:tc>
        <w:tc>
          <w:tcPr>
            <w:tcW w:w="4820" w:type="dxa"/>
          </w:tcPr>
          <w:p w:rsidR="009027F5" w:rsidRPr="009027F5" w:rsidRDefault="008E3922" w:rsidP="009027F5">
            <w:pPr>
              <w:jc w:val="left"/>
              <w:rPr>
                <w:rFonts w:eastAsiaTheme="minorEastAsia"/>
                <w:lang w:val="en-GB"/>
              </w:rPr>
            </w:pPr>
            <m:oMathPara>
              <m:oMathParaPr>
                <m:jc m:val="left"/>
              </m:oMathParaPr>
              <m:oMath>
                <m:sSub>
                  <m:sSubPr>
                    <m:ctrlPr>
                      <w:rPr>
                        <w:rFonts w:ascii="Cambria Math" w:hAnsi="Cambria Math"/>
                        <w:i/>
                        <w:lang w:val="en-GB"/>
                      </w:rPr>
                    </m:ctrlPr>
                  </m:sSubPr>
                  <m:e>
                    <m:r>
                      <w:rPr>
                        <w:rFonts w:ascii="Cambria Math" w:hAnsi="Cambria Math"/>
                        <w:lang w:val="en-GB"/>
                      </w:rPr>
                      <m:t>BHR</m:t>
                    </m:r>
                  </m:e>
                  <m:sub>
                    <m:r>
                      <w:rPr>
                        <w:rFonts w:ascii="Cambria Math" w:hAnsi="Cambria Math"/>
                        <w:lang w:val="en-GB"/>
                      </w:rPr>
                      <m:t>c</m:t>
                    </m:r>
                    <m:r>
                      <m:rPr>
                        <m:sty m:val="p"/>
                      </m:rPr>
                      <w:rPr>
                        <w:rFonts w:ascii="Cambria Math" w:hAnsi="Cambria Math" w:cs="Times New Roman"/>
                        <w:lang w:val="en-GB"/>
                      </w:rPr>
                      <m:t>τ</m:t>
                    </m:r>
                  </m:sub>
                </m:sSub>
                <m:r>
                  <w:rPr>
                    <w:rFonts w:ascii="Cambria Math" w:hAnsi="Cambria Math"/>
                    <w:lang w:val="en-GB"/>
                  </w:rPr>
                  <m:t>=</m:t>
                </m:r>
                <m:nary>
                  <m:naryPr>
                    <m:chr m:val="∏"/>
                    <m:limLoc m:val="undOvr"/>
                    <m:ctrlPr>
                      <w:rPr>
                        <w:rFonts w:ascii="Cambria Math" w:hAnsi="Cambria Math"/>
                        <w:i/>
                        <w:lang w:val="en-GB"/>
                      </w:rPr>
                    </m:ctrlPr>
                  </m:naryPr>
                  <m:sub>
                    <m:r>
                      <m:rPr>
                        <m:sty m:val="p"/>
                      </m:rPr>
                      <w:rPr>
                        <w:rFonts w:ascii="Cambria Math" w:hAnsi="Cambria Math" w:cs="Times New Roman"/>
                        <w:lang w:val="en-GB"/>
                      </w:rPr>
                      <m:t>τ</m:t>
                    </m:r>
                    <m:r>
                      <m:rPr>
                        <m:sty m:val="p"/>
                      </m:rPr>
                      <w:rPr>
                        <w:rFonts w:ascii="Cambria Math" w:cs="Times New Roman"/>
                        <w:lang w:val="en-GB"/>
                      </w:rPr>
                      <m:t>=0</m:t>
                    </m:r>
                  </m:sub>
                  <m:sup>
                    <m:r>
                      <w:rPr>
                        <w:rFonts w:ascii="Cambria Math" w:hAnsi="Cambria Math"/>
                        <w:lang w:val="en-GB"/>
                      </w:rPr>
                      <m:t>T</m:t>
                    </m:r>
                  </m:sup>
                  <m:e>
                    <m:d>
                      <m:dPr>
                        <m:ctrlPr>
                          <w:rPr>
                            <w:rFonts w:ascii="Cambria Math" w:hAnsi="Cambria Math"/>
                            <w:i/>
                            <w:lang w:val="en-GB"/>
                          </w:rPr>
                        </m:ctrlPr>
                      </m:dPr>
                      <m:e>
                        <m:r>
                          <w:rPr>
                            <w:rFonts w:ascii="Cambria Math" w:hAnsi="Cambria Math"/>
                            <w:lang w:val="en-GB"/>
                          </w:rPr>
                          <m:t>1+</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c</m:t>
                            </m:r>
                            <m:r>
                              <m:rPr>
                                <m:sty m:val="p"/>
                              </m:rPr>
                              <w:rPr>
                                <w:rFonts w:ascii="Cambria Math" w:hAnsi="Cambria Math" w:cs="Times New Roman"/>
                                <w:lang w:val="en-GB"/>
                              </w:rPr>
                              <m:t>τ</m:t>
                            </m:r>
                          </m:sub>
                        </m:sSub>
                      </m:e>
                    </m:d>
                    <m:r>
                      <w:rPr>
                        <w:rFonts w:ascii="Cambria Math" w:hAnsi="Cambria Math"/>
                        <w:lang w:val="en-GB"/>
                      </w:rPr>
                      <m:t>-1</m:t>
                    </m:r>
                  </m:e>
                </m:nary>
              </m:oMath>
            </m:oMathPara>
          </w:p>
          <w:p w:rsidR="0030656B" w:rsidRDefault="0030656B" w:rsidP="009027F5">
            <w:pPr>
              <w:pStyle w:val="SVEtablecontent"/>
            </w:pPr>
          </w:p>
        </w:tc>
      </w:tr>
      <w:tr w:rsidR="004762A1" w:rsidTr="001A61FE">
        <w:tc>
          <w:tcPr>
            <w:tcW w:w="1134" w:type="dxa"/>
          </w:tcPr>
          <w:p w:rsidR="0030656B" w:rsidRDefault="007D2FB9" w:rsidP="006F6BAE">
            <w:pPr>
              <w:pStyle w:val="SVEtableheader"/>
            </w:pPr>
            <w:r>
              <w:t>Abnormal returns</w:t>
            </w:r>
          </w:p>
        </w:tc>
        <w:tc>
          <w:tcPr>
            <w:tcW w:w="5671" w:type="dxa"/>
          </w:tcPr>
          <w:p w:rsidR="0030656B" w:rsidRPr="004762A1" w:rsidRDefault="008E3922" w:rsidP="009027F5">
            <w:pPr>
              <w:pStyle w:val="SVEtablecontent"/>
            </w:pPr>
            <m:oMathPara>
              <m:oMathParaPr>
                <m:jc m:val="left"/>
              </m:oMathParaPr>
              <m:oMath>
                <m:sSub>
                  <m:sSubPr>
                    <m:ctrlPr>
                      <w:rPr>
                        <w:rFonts w:ascii="Cambria Math" w:hAnsi="Cambria Math"/>
                        <w:i/>
                        <w:sz w:val="24"/>
                        <w:lang w:val="en-GB"/>
                      </w:rPr>
                    </m:ctrlPr>
                  </m:sSubPr>
                  <m:e>
                    <m:r>
                      <w:rPr>
                        <w:rFonts w:ascii="Cambria Math" w:hAnsi="Cambria Math"/>
                        <w:sz w:val="24"/>
                        <w:lang w:val="en-GB"/>
                      </w:rPr>
                      <m:t>AR</m:t>
                    </m:r>
                  </m:e>
                  <m:sub>
                    <m:r>
                      <w:rPr>
                        <w:rFonts w:ascii="Cambria Math" w:hAnsi="Cambria Math"/>
                        <w:sz w:val="24"/>
                        <w:lang w:val="en-GB"/>
                      </w:rPr>
                      <m:t>it</m:t>
                    </m:r>
                  </m:sub>
                </m:sSub>
                <m:r>
                  <w:rPr>
                    <w:rFonts w:ascii="Cambria Math" w:hAnsi="Cambria Math"/>
                    <w:sz w:val="24"/>
                    <w:lang w:val="en-GB"/>
                  </w:rPr>
                  <m:t xml:space="preserve">= </m:t>
                </m:r>
                <m:sSub>
                  <m:sSubPr>
                    <m:ctrlPr>
                      <w:rPr>
                        <w:rFonts w:ascii="Cambria Math" w:hAnsi="Cambria Math"/>
                        <w:i/>
                        <w:sz w:val="24"/>
                        <w:lang w:val="en-GB"/>
                      </w:rPr>
                    </m:ctrlPr>
                  </m:sSubPr>
                  <m:e>
                    <m:r>
                      <w:rPr>
                        <w:rFonts w:ascii="Cambria Math" w:hAnsi="Cambria Math"/>
                        <w:sz w:val="24"/>
                        <w:lang w:val="en-GB"/>
                      </w:rPr>
                      <m:t>R</m:t>
                    </m:r>
                  </m:e>
                  <m:sub>
                    <m:r>
                      <w:rPr>
                        <w:rFonts w:ascii="Cambria Math" w:hAnsi="Cambria Math"/>
                        <w:sz w:val="24"/>
                        <w:lang w:val="en-GB"/>
                      </w:rPr>
                      <m:t>it</m:t>
                    </m:r>
                  </m:sub>
                </m:sSub>
                <m:r>
                  <w:rPr>
                    <w:rFonts w:ascii="Cambria Math" w:hAnsi="Cambria Math"/>
                    <w:sz w:val="24"/>
                    <w:lang w:val="en-GB"/>
                  </w:rPr>
                  <m:t>-E</m:t>
                </m:r>
                <m:d>
                  <m:dPr>
                    <m:ctrlPr>
                      <w:rPr>
                        <w:rFonts w:ascii="Cambria Math" w:hAnsi="Cambria Math"/>
                        <w:i/>
                        <w:sz w:val="24"/>
                        <w:lang w:val="en-GB"/>
                      </w:rPr>
                    </m:ctrlPr>
                  </m:dPr>
                  <m:e>
                    <m:sSub>
                      <m:sSubPr>
                        <m:ctrlPr>
                          <w:rPr>
                            <w:rFonts w:ascii="Cambria Math" w:hAnsi="Cambria Math"/>
                            <w:i/>
                            <w:sz w:val="24"/>
                            <w:lang w:val="en-GB"/>
                          </w:rPr>
                        </m:ctrlPr>
                      </m:sSubPr>
                      <m:e>
                        <m:r>
                          <w:rPr>
                            <w:rFonts w:ascii="Cambria Math" w:hAnsi="Cambria Math"/>
                            <w:sz w:val="24"/>
                            <w:lang w:val="en-GB"/>
                          </w:rPr>
                          <m:t>R</m:t>
                        </m:r>
                      </m:e>
                      <m:sub>
                        <m:r>
                          <w:rPr>
                            <w:rFonts w:ascii="Cambria Math" w:hAnsi="Cambria Math"/>
                            <w:sz w:val="24"/>
                            <w:lang w:val="en-GB"/>
                          </w:rPr>
                          <m:t>it</m:t>
                        </m:r>
                      </m:sub>
                    </m:sSub>
                  </m:e>
                </m:d>
              </m:oMath>
            </m:oMathPara>
          </w:p>
        </w:tc>
        <w:tc>
          <w:tcPr>
            <w:tcW w:w="4820" w:type="dxa"/>
          </w:tcPr>
          <w:p w:rsidR="009027F5" w:rsidRPr="009027F5" w:rsidRDefault="008E3922" w:rsidP="009027F5">
            <w:pPr>
              <w:jc w:val="left"/>
              <w:rPr>
                <w:rFonts w:eastAsiaTheme="minorEastAsia"/>
                <w:lang w:val="en-GB"/>
              </w:rPr>
            </w:pPr>
            <m:oMathPara>
              <m:oMathParaPr>
                <m:jc m:val="left"/>
              </m:oMathParaPr>
              <m:oMath>
                <m:sSub>
                  <m:sSubPr>
                    <m:ctrlPr>
                      <w:rPr>
                        <w:rFonts w:ascii="Cambria Math" w:eastAsiaTheme="minorEastAsia" w:hAnsi="Cambria Math"/>
                        <w:i/>
                        <w:lang w:val="en-GB"/>
                      </w:rPr>
                    </m:ctrlPr>
                  </m:sSubPr>
                  <m:e>
                    <m:r>
                      <w:rPr>
                        <w:rFonts w:ascii="Cambria Math" w:eastAsiaTheme="minorEastAsia" w:hAnsi="Cambria Math"/>
                        <w:lang w:val="en-GB"/>
                      </w:rPr>
                      <m:t>BHAR</m:t>
                    </m:r>
                  </m:e>
                  <m:sub>
                    <m:r>
                      <w:rPr>
                        <w:rFonts w:ascii="Cambria Math" w:eastAsiaTheme="minorEastAsia" w:hAnsi="Cambria Math"/>
                        <w:lang w:val="en-GB"/>
                      </w:rPr>
                      <m:t>i</m:t>
                    </m:r>
                    <m:r>
                      <m:rPr>
                        <m:sty m:val="p"/>
                      </m:rPr>
                      <w:rPr>
                        <w:rFonts w:ascii="Cambria Math" w:hAnsi="Cambria Math" w:cs="Times New Roman"/>
                        <w:lang w:val="en-GB"/>
                      </w:rPr>
                      <m:t>τ</m:t>
                    </m:r>
                  </m:sub>
                </m:sSub>
                <m:r>
                  <w:rPr>
                    <w:rFonts w:ascii="Cambria Math" w:eastAsiaTheme="minorEastAsia" w:hAnsi="Cambria Math"/>
                    <w:lang w:val="en-GB"/>
                  </w:rPr>
                  <m:t>=</m:t>
                </m:r>
                <m:r>
                  <w:rPr>
                    <w:rFonts w:ascii="Cambria Math" w:hAnsi="Cambria Math"/>
                    <w:lang w:val="en-GB"/>
                  </w:rPr>
                  <m:t xml:space="preserve"> </m:t>
                </m:r>
                <m:nary>
                  <m:naryPr>
                    <m:chr m:val="∏"/>
                    <m:limLoc m:val="undOvr"/>
                    <m:ctrlPr>
                      <w:rPr>
                        <w:rFonts w:ascii="Cambria Math" w:hAnsi="Cambria Math"/>
                        <w:i/>
                        <w:lang w:val="en-GB"/>
                      </w:rPr>
                    </m:ctrlPr>
                  </m:naryPr>
                  <m:sub>
                    <m:r>
                      <m:rPr>
                        <m:sty m:val="p"/>
                      </m:rPr>
                      <w:rPr>
                        <w:rFonts w:ascii="Cambria Math" w:hAnsi="Cambria Math" w:cs="Times New Roman"/>
                        <w:lang w:val="en-GB"/>
                      </w:rPr>
                      <m:t>τ=0</m:t>
                    </m:r>
                  </m:sub>
                  <m:sup>
                    <m:r>
                      <w:rPr>
                        <w:rFonts w:ascii="Cambria Math" w:hAnsi="Cambria Math"/>
                        <w:lang w:val="en-GB"/>
                      </w:rPr>
                      <m:t>T</m:t>
                    </m:r>
                  </m:sup>
                  <m:e>
                    <m:d>
                      <m:dPr>
                        <m:ctrlPr>
                          <w:rPr>
                            <w:rFonts w:ascii="Cambria Math" w:hAnsi="Cambria Math"/>
                            <w:i/>
                            <w:lang w:val="en-GB"/>
                          </w:rPr>
                        </m:ctrlPr>
                      </m:dPr>
                      <m:e>
                        <m:r>
                          <w:rPr>
                            <w:rFonts w:ascii="Cambria Math" w:hAnsi="Cambria Math"/>
                            <w:lang w:val="en-GB"/>
                          </w:rPr>
                          <m:t>1+</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i</m:t>
                            </m:r>
                            <m:r>
                              <m:rPr>
                                <m:sty m:val="p"/>
                              </m:rPr>
                              <w:rPr>
                                <w:rFonts w:ascii="Cambria Math" w:hAnsi="Cambria Math" w:cs="Times New Roman"/>
                                <w:lang w:val="en-GB"/>
                              </w:rPr>
                              <m:t>τ</m:t>
                            </m:r>
                          </m:sub>
                        </m:sSub>
                      </m:e>
                    </m:d>
                    <m:r>
                      <w:rPr>
                        <w:rFonts w:ascii="Cambria Math" w:hAnsi="Cambria Math"/>
                        <w:lang w:val="en-GB"/>
                      </w:rPr>
                      <m:t>-</m:t>
                    </m:r>
                    <m:nary>
                      <m:naryPr>
                        <m:chr m:val="∏"/>
                        <m:limLoc m:val="undOvr"/>
                        <m:ctrlPr>
                          <w:rPr>
                            <w:rFonts w:ascii="Cambria Math" w:hAnsi="Cambria Math"/>
                            <w:i/>
                            <w:lang w:val="en-GB"/>
                          </w:rPr>
                        </m:ctrlPr>
                      </m:naryPr>
                      <m:sub>
                        <m:r>
                          <m:rPr>
                            <m:sty m:val="p"/>
                          </m:rPr>
                          <w:rPr>
                            <w:rFonts w:ascii="Cambria Math" w:hAnsi="Cambria Math" w:cs="Times New Roman"/>
                            <w:lang w:val="en-GB"/>
                          </w:rPr>
                          <m:t>τ=0</m:t>
                        </m:r>
                      </m:sub>
                      <m:sup>
                        <m:r>
                          <w:rPr>
                            <w:rFonts w:ascii="Cambria Math" w:hAnsi="Cambria Math"/>
                            <w:lang w:val="en-GB"/>
                          </w:rPr>
                          <m:t>T</m:t>
                        </m:r>
                      </m:sup>
                      <m:e>
                        <m:r>
                          <w:rPr>
                            <w:rFonts w:ascii="Cambria Math" w:hAnsi="Cambria Math"/>
                            <w:lang w:val="en-GB"/>
                          </w:rPr>
                          <m:t>(1+</m:t>
                        </m:r>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c</m:t>
                            </m:r>
                            <m:r>
                              <m:rPr>
                                <m:sty m:val="p"/>
                              </m:rPr>
                              <w:rPr>
                                <w:rFonts w:ascii="Cambria Math" w:hAnsi="Cambria Math" w:cs="Times New Roman"/>
                                <w:lang w:val="en-GB"/>
                              </w:rPr>
                              <m:t>τ</m:t>
                            </m:r>
                          </m:sub>
                        </m:sSub>
                      </m:e>
                    </m:nary>
                  </m:e>
                </m:nary>
                <m:r>
                  <w:rPr>
                    <w:rFonts w:ascii="Cambria Math" w:hAnsi="Cambria Math"/>
                    <w:lang w:val="en-GB"/>
                  </w:rPr>
                  <m:t>)</m:t>
                </m:r>
              </m:oMath>
            </m:oMathPara>
          </w:p>
          <w:p w:rsidR="0030656B" w:rsidRDefault="0030656B" w:rsidP="009027F5">
            <w:pPr>
              <w:pStyle w:val="SVEtablecontent"/>
            </w:pPr>
          </w:p>
        </w:tc>
      </w:tr>
      <w:tr w:rsidR="004762A1" w:rsidRPr="004762A1" w:rsidTr="001A61FE">
        <w:tc>
          <w:tcPr>
            <w:tcW w:w="1134" w:type="dxa"/>
          </w:tcPr>
          <w:p w:rsidR="007D2FB9" w:rsidRDefault="008E153D" w:rsidP="006F6BAE">
            <w:pPr>
              <w:pStyle w:val="SVEtableheader"/>
            </w:pPr>
            <w:r>
              <w:t>Aggregating abnormal returns</w:t>
            </w:r>
          </w:p>
        </w:tc>
        <w:tc>
          <w:tcPr>
            <w:tcW w:w="5671" w:type="dxa"/>
          </w:tcPr>
          <w:p w:rsidR="007D2FB9" w:rsidRPr="009027F5" w:rsidRDefault="008E3922" w:rsidP="009027F5">
            <w:pPr>
              <w:pStyle w:val="SVEtablecontent"/>
              <w:rPr>
                <w:rFonts w:eastAsiaTheme="minorEastAsia"/>
                <w:sz w:val="24"/>
                <w:szCs w:val="24"/>
                <w:lang w:val="en-GB"/>
              </w:rPr>
            </w:pPr>
            <m:oMath>
              <m:sSub>
                <m:sSubPr>
                  <m:ctrlPr>
                    <w:rPr>
                      <w:rFonts w:ascii="Cambria Math" w:hAnsi="Cambria Math"/>
                      <w:i/>
                      <w:sz w:val="24"/>
                      <w:szCs w:val="24"/>
                      <w:lang w:val="en-GB"/>
                    </w:rPr>
                  </m:ctrlPr>
                </m:sSubPr>
                <m:e>
                  <m:r>
                    <w:rPr>
                      <w:rFonts w:ascii="Cambria Math" w:hAnsi="Cambria Math"/>
                      <w:sz w:val="24"/>
                      <w:szCs w:val="24"/>
                      <w:lang w:val="en-GB"/>
                    </w:rPr>
                    <m:t>AAR</m:t>
                  </m:r>
                </m:e>
                <m:sub>
                  <m:r>
                    <w:rPr>
                      <w:rFonts w:ascii="Cambria Math" w:hAnsi="Cambria Math"/>
                      <w:sz w:val="24"/>
                      <w:szCs w:val="24"/>
                      <w:lang w:val="en-GB"/>
                    </w:rPr>
                    <m:t>t</m:t>
                  </m:r>
                </m:sub>
              </m:sSub>
              <m:r>
                <w:rPr>
                  <w:rFonts w:ascii="Cambria Math" w:hAnsi="Cambria Math"/>
                  <w:sz w:val="24"/>
                  <w:szCs w:val="24"/>
                  <w:lang w:val="en-GB"/>
                </w:rPr>
                <m:t>=</m:t>
              </m:r>
              <m:f>
                <m:fPr>
                  <m:ctrlPr>
                    <w:rPr>
                      <w:rFonts w:ascii="Cambria Math" w:hAnsi="Cambria Math"/>
                      <w:i/>
                      <w:sz w:val="24"/>
                      <w:szCs w:val="24"/>
                      <w:lang w:val="en-GB"/>
                    </w:rPr>
                  </m:ctrlPr>
                </m:fPr>
                <m:num>
                  <m:r>
                    <w:rPr>
                      <w:rFonts w:ascii="Cambria Math" w:hAnsi="Cambria Math"/>
                      <w:sz w:val="24"/>
                      <w:szCs w:val="24"/>
                      <w:lang w:val="en-GB"/>
                    </w:rPr>
                    <m:t>1</m:t>
                  </m:r>
                </m:num>
                <m:den>
                  <m:r>
                    <w:rPr>
                      <w:rFonts w:ascii="Cambria Math" w:hAnsi="Cambria Math"/>
                      <w:sz w:val="24"/>
                      <w:szCs w:val="24"/>
                      <w:lang w:val="en-GB"/>
                    </w:rPr>
                    <m:t>N</m:t>
                  </m:r>
                </m:den>
              </m:f>
              <m:nary>
                <m:naryPr>
                  <m:chr m:val="∑"/>
                  <m:limLoc m:val="undOvr"/>
                  <m:ctrlPr>
                    <w:rPr>
                      <w:rFonts w:ascii="Cambria Math" w:hAnsi="Cambria Math"/>
                      <w:i/>
                      <w:sz w:val="24"/>
                      <w:szCs w:val="24"/>
                      <w:lang w:val="en-GB"/>
                    </w:rPr>
                  </m:ctrlPr>
                </m:naryPr>
                <m:sub>
                  <m:r>
                    <w:rPr>
                      <w:rFonts w:ascii="Cambria Math" w:hAnsi="Cambria Math"/>
                      <w:sz w:val="24"/>
                      <w:szCs w:val="24"/>
                      <w:lang w:val="en-GB"/>
                    </w:rPr>
                    <m:t>i-1</m:t>
                  </m:r>
                </m:sub>
                <m:sup>
                  <m:r>
                    <w:rPr>
                      <w:rFonts w:ascii="Cambria Math" w:hAnsi="Cambria Math"/>
                      <w:sz w:val="24"/>
                      <w:szCs w:val="24"/>
                      <w:lang w:val="en-GB"/>
                    </w:rPr>
                    <m:t>N</m:t>
                  </m:r>
                </m:sup>
                <m:e>
                  <m:sSub>
                    <m:sSubPr>
                      <m:ctrlPr>
                        <w:rPr>
                          <w:rFonts w:ascii="Cambria Math" w:hAnsi="Cambria Math"/>
                          <w:i/>
                          <w:sz w:val="24"/>
                          <w:szCs w:val="24"/>
                          <w:lang w:val="en-GB"/>
                        </w:rPr>
                      </m:ctrlPr>
                    </m:sSubPr>
                    <m:e>
                      <m:r>
                        <w:rPr>
                          <w:rFonts w:ascii="Cambria Math" w:hAnsi="Cambria Math"/>
                          <w:sz w:val="24"/>
                          <w:szCs w:val="24"/>
                          <w:lang w:val="en-GB"/>
                        </w:rPr>
                        <m:t>AR</m:t>
                      </m:r>
                    </m:e>
                    <m:sub>
                      <m:r>
                        <w:rPr>
                          <w:rFonts w:ascii="Cambria Math" w:hAnsi="Cambria Math"/>
                          <w:sz w:val="24"/>
                          <w:szCs w:val="24"/>
                          <w:lang w:val="en-GB"/>
                        </w:rPr>
                        <m:t>it</m:t>
                      </m:r>
                    </m:sub>
                  </m:sSub>
                </m:e>
              </m:nary>
            </m:oMath>
            <w:r w:rsidR="004762A1" w:rsidRPr="009027F5">
              <w:rPr>
                <w:rFonts w:eastAsiaTheme="minorEastAsia"/>
                <w:sz w:val="24"/>
                <w:szCs w:val="24"/>
                <w:lang w:val="en-GB"/>
              </w:rPr>
              <w:t>;</w:t>
            </w:r>
          </w:p>
          <w:p w:rsidR="004762A1" w:rsidRPr="004762A1" w:rsidRDefault="008E3922" w:rsidP="009027F5">
            <w:pPr>
              <w:jc w:val="left"/>
              <w:rPr>
                <w:lang w:val="en-GB"/>
              </w:rPr>
            </w:pPr>
            <m:oMathPara>
              <m:oMathParaPr>
                <m:jc m:val="left"/>
              </m:oMathParaPr>
              <m:oMath>
                <m:sSub>
                  <m:sSubPr>
                    <m:ctrlPr>
                      <w:rPr>
                        <w:rFonts w:ascii="Cambria Math" w:hAnsi="Cambria Math"/>
                        <w:i/>
                        <w:szCs w:val="24"/>
                        <w:lang w:val="en-GB"/>
                      </w:rPr>
                    </m:ctrlPr>
                  </m:sSubPr>
                  <m:e>
                    <m:r>
                      <w:rPr>
                        <w:rFonts w:ascii="Cambria Math" w:hAnsi="Cambria Math"/>
                        <w:szCs w:val="24"/>
                        <w:lang w:val="en-GB"/>
                      </w:rPr>
                      <m:t>CAAR</m:t>
                    </m:r>
                  </m:e>
                  <m:sub>
                    <m:sSub>
                      <m:sSubPr>
                        <m:ctrlPr>
                          <w:rPr>
                            <w:rFonts w:ascii="Cambria Math" w:hAnsi="Cambria Math"/>
                            <w:i/>
                            <w:szCs w:val="24"/>
                            <w:lang w:val="en-GB"/>
                          </w:rPr>
                        </m:ctrlPr>
                      </m:sSubPr>
                      <m:e>
                        <m:r>
                          <w:rPr>
                            <w:rFonts w:ascii="Cambria Math" w:hAnsi="Cambria Math"/>
                            <w:szCs w:val="24"/>
                            <w:lang w:val="en-GB"/>
                          </w:rPr>
                          <m:t>T</m:t>
                        </m:r>
                      </m:e>
                      <m:sub>
                        <m:r>
                          <w:rPr>
                            <w:rFonts w:ascii="Cambria Math" w:hAnsi="Cambria Math"/>
                            <w:szCs w:val="24"/>
                            <w:lang w:val="en-GB"/>
                          </w:rPr>
                          <m:t>1</m:t>
                        </m:r>
                      </m:sub>
                    </m:sSub>
                  </m:sub>
                </m:sSub>
                <m:r>
                  <w:rPr>
                    <w:rFonts w:ascii="Cambria Math" w:hAnsi="Cambria Math"/>
                    <w:szCs w:val="24"/>
                    <w:lang w:val="en-GB"/>
                  </w:rPr>
                  <m:t>=</m:t>
                </m:r>
                <m:nary>
                  <m:naryPr>
                    <m:chr m:val="∑"/>
                    <m:limLoc m:val="undOvr"/>
                    <m:ctrlPr>
                      <w:rPr>
                        <w:rFonts w:ascii="Cambria Math" w:hAnsi="Cambria Math"/>
                        <w:i/>
                        <w:szCs w:val="24"/>
                        <w:lang w:val="en-GB"/>
                      </w:rPr>
                    </m:ctrlPr>
                  </m:naryPr>
                  <m:sub>
                    <m:r>
                      <w:rPr>
                        <w:rFonts w:ascii="Cambria Math" w:hAnsi="Cambria Math"/>
                        <w:szCs w:val="24"/>
                        <w:lang w:val="en-GB"/>
                      </w:rPr>
                      <m:t>t</m:t>
                    </m:r>
                  </m:sub>
                  <m:sup>
                    <m:sSub>
                      <m:sSubPr>
                        <m:ctrlPr>
                          <w:rPr>
                            <w:rFonts w:ascii="Cambria Math" w:hAnsi="Cambria Math"/>
                            <w:i/>
                            <w:szCs w:val="24"/>
                            <w:lang w:val="en-GB"/>
                          </w:rPr>
                        </m:ctrlPr>
                      </m:sSubPr>
                      <m:e>
                        <m:r>
                          <w:rPr>
                            <w:rFonts w:ascii="Cambria Math" w:hAnsi="Cambria Math"/>
                            <w:szCs w:val="24"/>
                            <w:lang w:val="en-GB"/>
                          </w:rPr>
                          <m:t>T</m:t>
                        </m:r>
                      </m:e>
                      <m:sub>
                        <m:r>
                          <w:rPr>
                            <w:rFonts w:ascii="Cambria Math" w:hAnsi="Cambria Math"/>
                            <w:szCs w:val="24"/>
                            <w:lang w:val="en-GB"/>
                          </w:rPr>
                          <m:t>1</m:t>
                        </m:r>
                      </m:sub>
                    </m:sSub>
                  </m:sup>
                  <m:e>
                    <m:sSub>
                      <m:sSubPr>
                        <m:ctrlPr>
                          <w:rPr>
                            <w:rFonts w:ascii="Cambria Math" w:hAnsi="Cambria Math"/>
                            <w:i/>
                            <w:szCs w:val="24"/>
                            <w:lang w:val="en-GB"/>
                          </w:rPr>
                        </m:ctrlPr>
                      </m:sSubPr>
                      <m:e>
                        <m:r>
                          <w:rPr>
                            <w:rFonts w:ascii="Cambria Math" w:hAnsi="Cambria Math"/>
                            <w:szCs w:val="24"/>
                            <w:lang w:val="en-GB"/>
                          </w:rPr>
                          <m:t>AAR</m:t>
                        </m:r>
                      </m:e>
                      <m:sub>
                        <m:r>
                          <w:rPr>
                            <w:rFonts w:ascii="Cambria Math" w:hAnsi="Cambria Math"/>
                            <w:szCs w:val="24"/>
                            <w:lang w:val="en-GB"/>
                          </w:rPr>
                          <m:t>t</m:t>
                        </m:r>
                      </m:sub>
                    </m:sSub>
                  </m:e>
                </m:nary>
              </m:oMath>
            </m:oMathPara>
          </w:p>
        </w:tc>
        <w:tc>
          <w:tcPr>
            <w:tcW w:w="4820" w:type="dxa"/>
          </w:tcPr>
          <w:p w:rsidR="009027F5" w:rsidRPr="009027F5" w:rsidRDefault="008E3922" w:rsidP="009027F5">
            <w:pPr>
              <w:jc w:val="left"/>
              <w:rPr>
                <w:rFonts w:eastAsiaTheme="minorEastAsia"/>
                <w:lang w:val="en-GB"/>
              </w:rPr>
            </w:pPr>
            <m:oMathPara>
              <m:oMathParaPr>
                <m:jc m:val="left"/>
              </m:oMathParaPr>
              <m:oMath>
                <m:sSub>
                  <m:sSubPr>
                    <m:ctrlPr>
                      <w:rPr>
                        <w:rFonts w:ascii="Cambria Math" w:eastAsiaTheme="minorEastAsia" w:hAnsi="Cambria Math"/>
                        <w:i/>
                        <w:lang w:val="en-GB"/>
                      </w:rPr>
                    </m:ctrlPr>
                  </m:sSubPr>
                  <m:e>
                    <m:r>
                      <w:rPr>
                        <w:rFonts w:ascii="Cambria Math" w:eastAsiaTheme="minorEastAsia" w:hAnsi="Cambria Math"/>
                        <w:lang w:val="en-GB"/>
                      </w:rPr>
                      <m:t>ABHAR</m:t>
                    </m:r>
                  </m:e>
                  <m:sub>
                    <m:r>
                      <m:rPr>
                        <m:sty m:val="p"/>
                      </m:rPr>
                      <w:rPr>
                        <w:rFonts w:ascii="Cambria Math" w:hAnsi="Cambria Math" w:cs="Times New Roman"/>
                        <w:lang w:val="en-GB"/>
                      </w:rPr>
                      <m:t>τ</m:t>
                    </m:r>
                  </m:sub>
                </m:sSub>
                <m:r>
                  <w:rPr>
                    <w:rFonts w:ascii="Cambria Math" w:eastAsiaTheme="minorEastAsia" w:hAnsi="Cambria Math"/>
                    <w:lang w:val="en-GB"/>
                  </w:rPr>
                  <m:t xml:space="preserve">= </m:t>
                </m:r>
                <m:f>
                  <m:fPr>
                    <m:ctrlPr>
                      <w:rPr>
                        <w:rFonts w:ascii="Cambria Math" w:eastAsiaTheme="minorEastAsia" w:hAnsi="Cambria Math"/>
                        <w:i/>
                        <w:lang w:val="en-GB"/>
                      </w:rPr>
                    </m:ctrlPr>
                  </m:fPr>
                  <m:num>
                    <m:r>
                      <w:rPr>
                        <w:rFonts w:ascii="Cambria Math" w:eastAsiaTheme="minorEastAsia" w:hAnsi="Cambria Math"/>
                        <w:lang w:val="en-GB"/>
                      </w:rPr>
                      <m:t>1</m:t>
                    </m:r>
                  </m:num>
                  <m:den>
                    <m:r>
                      <w:rPr>
                        <w:rFonts w:ascii="Cambria Math" w:eastAsiaTheme="minorEastAsia" w:hAnsi="Cambria Math"/>
                        <w:lang w:val="en-GB"/>
                      </w:rPr>
                      <m:t>N</m:t>
                    </m:r>
                  </m:den>
                </m:f>
                <m:nary>
                  <m:naryPr>
                    <m:chr m:val="∑"/>
                    <m:limLoc m:val="undOvr"/>
                    <m:ctrlPr>
                      <w:rPr>
                        <w:rFonts w:ascii="Cambria Math" w:eastAsiaTheme="minorEastAsia" w:hAnsi="Cambria Math"/>
                        <w:i/>
                        <w:lang w:val="en-GB"/>
                      </w:rPr>
                    </m:ctrlPr>
                  </m:naryPr>
                  <m:sub>
                    <m:r>
                      <m:rPr>
                        <m:sty m:val="p"/>
                      </m:rPr>
                      <w:rPr>
                        <w:rFonts w:ascii="Cambria Math" w:hAnsi="Cambria Math" w:cs="Times New Roman"/>
                        <w:lang w:val="en-GB"/>
                      </w:rPr>
                      <m:t>1</m:t>
                    </m:r>
                  </m:sub>
                  <m:sup>
                    <m:r>
                      <w:rPr>
                        <w:rFonts w:ascii="Cambria Math" w:eastAsiaTheme="minorEastAsia" w:hAnsi="Cambria Math"/>
                        <w:lang w:val="en-GB"/>
                      </w:rPr>
                      <m:t>N</m:t>
                    </m:r>
                  </m:sup>
                  <m:e>
                    <m:sSub>
                      <m:sSubPr>
                        <m:ctrlPr>
                          <w:rPr>
                            <w:rFonts w:ascii="Cambria Math" w:eastAsiaTheme="minorEastAsia" w:hAnsi="Cambria Math"/>
                            <w:i/>
                            <w:lang w:val="en-GB"/>
                          </w:rPr>
                        </m:ctrlPr>
                      </m:sSubPr>
                      <m:e>
                        <m:r>
                          <w:rPr>
                            <w:rFonts w:ascii="Cambria Math" w:eastAsiaTheme="minorEastAsia" w:hAnsi="Cambria Math"/>
                            <w:lang w:val="en-GB"/>
                          </w:rPr>
                          <m:t>BHAR</m:t>
                        </m:r>
                      </m:e>
                      <m:sub>
                        <m:r>
                          <m:rPr>
                            <m:sty m:val="p"/>
                          </m:rPr>
                          <w:rPr>
                            <w:rFonts w:ascii="Cambria Math" w:hAnsi="Cambria Math" w:cs="Times New Roman"/>
                            <w:lang w:val="en-GB"/>
                          </w:rPr>
                          <m:t>τ</m:t>
                        </m:r>
                      </m:sub>
                    </m:sSub>
                  </m:e>
                </m:nary>
              </m:oMath>
            </m:oMathPara>
          </w:p>
          <w:p w:rsidR="007D2FB9" w:rsidRDefault="007D2FB9" w:rsidP="009027F5">
            <w:pPr>
              <w:pStyle w:val="SVEtablecontent"/>
            </w:pPr>
          </w:p>
        </w:tc>
      </w:tr>
      <w:tr w:rsidR="004762A1" w:rsidTr="001A61FE">
        <w:tc>
          <w:tcPr>
            <w:tcW w:w="1134" w:type="dxa"/>
          </w:tcPr>
          <w:p w:rsidR="007D2FB9" w:rsidRDefault="008E153D" w:rsidP="006F6BAE">
            <w:pPr>
              <w:pStyle w:val="SVEtableheader"/>
            </w:pPr>
            <w:r>
              <w:t>Null-hypothesis testing</w:t>
            </w:r>
          </w:p>
        </w:tc>
        <w:tc>
          <w:tcPr>
            <w:tcW w:w="5671" w:type="dxa"/>
          </w:tcPr>
          <w:p w:rsidR="007D2FB9" w:rsidRPr="009027F5" w:rsidRDefault="008E3922" w:rsidP="009027F5">
            <w:pPr>
              <w:pStyle w:val="SVEtablecontent"/>
              <w:rPr>
                <w:rFonts w:eastAsiaTheme="minorEastAsia"/>
                <w:sz w:val="24"/>
                <w:lang w:val="en-GB"/>
              </w:rPr>
            </w:pPr>
            <m:oMathPara>
              <m:oMathParaPr>
                <m:jc m:val="left"/>
              </m:oMathParaPr>
              <m:oMath>
                <m:sSub>
                  <m:sSubPr>
                    <m:ctrlPr>
                      <w:rPr>
                        <w:rFonts w:ascii="Cambria Math" w:hAnsi="Cambria Math"/>
                        <w:i/>
                        <w:sz w:val="24"/>
                        <w:lang w:val="en-GB"/>
                      </w:rPr>
                    </m:ctrlPr>
                  </m:sSubPr>
                  <m:e>
                    <m:r>
                      <w:rPr>
                        <w:rFonts w:ascii="Cambria Math" w:hAnsi="Cambria Math"/>
                        <w:sz w:val="24"/>
                        <w:lang w:val="en-GB"/>
                      </w:rPr>
                      <m:t>t</m:t>
                    </m:r>
                  </m:e>
                  <m:sub>
                    <m:r>
                      <w:rPr>
                        <w:rFonts w:ascii="Cambria Math" w:hAnsi="Cambria Math"/>
                        <w:sz w:val="24"/>
                        <w:lang w:val="en-GB"/>
                      </w:rPr>
                      <m:t>AAR</m:t>
                    </m:r>
                  </m:sub>
                </m:sSub>
                <m:r>
                  <w:rPr>
                    <w:rFonts w:ascii="Cambria Math" w:hAnsi="Cambria Math"/>
                    <w:sz w:val="24"/>
                    <w:lang w:val="en-GB"/>
                  </w:rPr>
                  <m:t>=</m:t>
                </m:r>
                <m:f>
                  <m:fPr>
                    <m:ctrlPr>
                      <w:rPr>
                        <w:rFonts w:ascii="Cambria Math" w:hAnsi="Cambria Math"/>
                        <w:i/>
                        <w:sz w:val="24"/>
                        <w:lang w:val="en-GB"/>
                      </w:rPr>
                    </m:ctrlPr>
                  </m:fPr>
                  <m:num>
                    <m:sSub>
                      <m:sSubPr>
                        <m:ctrlPr>
                          <w:rPr>
                            <w:rFonts w:ascii="Cambria Math" w:hAnsi="Cambria Math"/>
                            <w:i/>
                            <w:sz w:val="24"/>
                            <w:lang w:val="en-GB"/>
                          </w:rPr>
                        </m:ctrlPr>
                      </m:sSubPr>
                      <m:e>
                        <m:r>
                          <w:rPr>
                            <w:rFonts w:ascii="Cambria Math" w:hAnsi="Cambria Math"/>
                            <w:sz w:val="24"/>
                            <w:lang w:val="en-GB"/>
                          </w:rPr>
                          <m:t>AAR</m:t>
                        </m:r>
                      </m:e>
                      <m:sub>
                        <m:r>
                          <w:rPr>
                            <w:rFonts w:ascii="Cambria Math" w:hAnsi="Cambria Math"/>
                            <w:sz w:val="24"/>
                            <w:lang w:val="en-GB"/>
                          </w:rPr>
                          <m:t>t</m:t>
                        </m:r>
                      </m:sub>
                    </m:sSub>
                  </m:num>
                  <m:den>
                    <m:r>
                      <w:rPr>
                        <w:rFonts w:ascii="Cambria Math" w:hAnsi="Cambria Math"/>
                        <w:sz w:val="24"/>
                        <w:lang w:val="en-GB"/>
                      </w:rPr>
                      <m:t>σ</m:t>
                    </m:r>
                    <m:d>
                      <m:dPr>
                        <m:ctrlPr>
                          <w:rPr>
                            <w:rFonts w:ascii="Cambria Math" w:hAnsi="Cambria Math"/>
                            <w:i/>
                            <w:sz w:val="24"/>
                            <w:lang w:val="en-GB"/>
                          </w:rPr>
                        </m:ctrlPr>
                      </m:dPr>
                      <m:e>
                        <m:sSub>
                          <m:sSubPr>
                            <m:ctrlPr>
                              <w:rPr>
                                <w:rFonts w:ascii="Cambria Math" w:hAnsi="Cambria Math"/>
                                <w:i/>
                                <w:sz w:val="24"/>
                                <w:lang w:val="en-GB"/>
                              </w:rPr>
                            </m:ctrlPr>
                          </m:sSubPr>
                          <m:e>
                            <m:r>
                              <w:rPr>
                                <w:rFonts w:ascii="Cambria Math" w:hAnsi="Cambria Math"/>
                                <w:sz w:val="24"/>
                                <w:lang w:val="en-GB"/>
                              </w:rPr>
                              <m:t>AAR</m:t>
                            </m:r>
                          </m:e>
                          <m:sub>
                            <m:sSub>
                              <m:sSubPr>
                                <m:ctrlPr>
                                  <w:rPr>
                                    <w:rFonts w:ascii="Cambria Math" w:hAnsi="Cambria Math"/>
                                    <w:i/>
                                    <w:sz w:val="24"/>
                                    <w:lang w:val="en-GB"/>
                                  </w:rPr>
                                </m:ctrlPr>
                              </m:sSubPr>
                              <m:e>
                                <m:r>
                                  <w:rPr>
                                    <w:rFonts w:ascii="Cambria Math" w:hAnsi="Cambria Math"/>
                                    <w:sz w:val="24"/>
                                    <w:lang w:val="en-GB"/>
                                  </w:rPr>
                                  <m:t>T</m:t>
                                </m:r>
                              </m:e>
                              <m:sub>
                                <m:r>
                                  <w:rPr>
                                    <w:rFonts w:ascii="Cambria Math" w:hAnsi="Cambria Math"/>
                                    <w:sz w:val="24"/>
                                    <w:lang w:val="en-GB"/>
                                  </w:rPr>
                                  <m:t>2</m:t>
                                </m:r>
                              </m:sub>
                            </m:sSub>
                          </m:sub>
                        </m:sSub>
                      </m:e>
                    </m:d>
                  </m:den>
                </m:f>
              </m:oMath>
            </m:oMathPara>
          </w:p>
          <w:p w:rsidR="004762A1" w:rsidRPr="004762A1" w:rsidRDefault="008E3922" w:rsidP="009027F5">
            <w:pPr>
              <w:jc w:val="left"/>
              <w:rPr>
                <w:lang w:val="en-GB"/>
              </w:rPr>
            </w:pPr>
            <m:oMathPara>
              <m:oMathParaPr>
                <m:jc m:val="left"/>
              </m:oMathParaP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CAAR</m:t>
                    </m:r>
                  </m:sub>
                </m:sSub>
                <m:r>
                  <w:rPr>
                    <w:rFonts w:ascii="Cambria Math" w:hAnsi="Cambria Math"/>
                    <w:lang w:val="en-GB"/>
                  </w:rPr>
                  <m:t xml:space="preserve">= </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CAAR</m:t>
                        </m:r>
                      </m:e>
                      <m:sub>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1</m:t>
                            </m:r>
                          </m:sub>
                        </m:sSub>
                      </m:sub>
                    </m:sSub>
                  </m:num>
                  <m:den>
                    <m:r>
                      <w:rPr>
                        <w:rFonts w:ascii="Cambria Math" w:hAnsi="Cambria Math"/>
                        <w:lang w:val="en-GB"/>
                      </w:rPr>
                      <m:t>σ</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CAAR</m:t>
                            </m:r>
                          </m:e>
                          <m:sub>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1</m:t>
                                </m:r>
                              </m:sub>
                            </m:sSub>
                          </m:sub>
                        </m:sSub>
                      </m:e>
                    </m:d>
                  </m:den>
                </m:f>
              </m:oMath>
            </m:oMathPara>
          </w:p>
        </w:tc>
        <w:tc>
          <w:tcPr>
            <w:tcW w:w="4820" w:type="dxa"/>
          </w:tcPr>
          <w:p w:rsidR="009027F5" w:rsidRPr="009A7EBD" w:rsidRDefault="008E3922" w:rsidP="009027F5">
            <w:pPr>
              <w:jc w:val="left"/>
              <w:rPr>
                <w:rFonts w:eastAsiaTheme="minorEastAsia"/>
                <w:lang w:val="en-GB"/>
              </w:rPr>
            </w:pPr>
            <m:oMathPara>
              <m:oMathParaPr>
                <m:jc m:val="left"/>
              </m:oMathParaP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ABHAR</m:t>
                    </m:r>
                  </m:sub>
                </m:sSub>
                <m:r>
                  <w:rPr>
                    <w:rFonts w:ascii="Cambria Math" w:hAnsi="Cambria Math"/>
                    <w:lang w:val="en-GB"/>
                  </w:rPr>
                  <m:t>=</m:t>
                </m:r>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ABHAR</m:t>
                        </m:r>
                      </m:e>
                      <m:sub>
                        <m:r>
                          <m:rPr>
                            <m:sty m:val="p"/>
                          </m:rPr>
                          <w:rPr>
                            <w:rFonts w:ascii="Cambria Math" w:hAnsi="Cambria Math" w:cs="Times New Roman"/>
                            <w:lang w:val="en-GB"/>
                          </w:rPr>
                          <m:t>τ</m:t>
                        </m:r>
                      </m:sub>
                    </m:sSub>
                    <m:r>
                      <w:rPr>
                        <w:rFonts w:ascii="Cambria Math" w:hAnsi="Cambria Math"/>
                        <w:lang w:val="en-GB"/>
                      </w:rPr>
                      <m:t>*</m:t>
                    </m:r>
                    <m:rad>
                      <m:radPr>
                        <m:degHide m:val="1"/>
                        <m:ctrlPr>
                          <w:rPr>
                            <w:rFonts w:ascii="Cambria Math" w:hAnsi="Cambria Math"/>
                            <w:i/>
                            <w:lang w:val="en-GB"/>
                          </w:rPr>
                        </m:ctrlPr>
                      </m:radPr>
                      <m:deg/>
                      <m:e>
                        <m:r>
                          <w:rPr>
                            <w:rFonts w:ascii="Cambria Math" w:hAnsi="Cambria Math"/>
                            <w:lang w:val="en-GB"/>
                          </w:rPr>
                          <m:t>N</m:t>
                        </m:r>
                      </m:e>
                    </m:rad>
                  </m:num>
                  <m:den>
                    <m:r>
                      <w:rPr>
                        <w:rFonts w:ascii="Cambria Math" w:hAnsi="Cambria Math"/>
                        <w:lang w:val="en-GB"/>
                      </w:rPr>
                      <m:t>σ(</m:t>
                    </m:r>
                    <m:sSub>
                      <m:sSubPr>
                        <m:ctrlPr>
                          <w:rPr>
                            <w:rFonts w:ascii="Cambria Math" w:hAnsi="Cambria Math"/>
                            <w:i/>
                            <w:lang w:val="en-GB"/>
                          </w:rPr>
                        </m:ctrlPr>
                      </m:sSubPr>
                      <m:e>
                        <m:r>
                          <w:rPr>
                            <w:rFonts w:ascii="Cambria Math" w:hAnsi="Cambria Math"/>
                            <w:lang w:val="en-GB"/>
                          </w:rPr>
                          <m:t>BHAR</m:t>
                        </m:r>
                      </m:e>
                      <m:sub>
                        <m:r>
                          <w:rPr>
                            <w:rFonts w:ascii="Cambria Math" w:hAnsi="Cambria Math"/>
                            <w:lang w:val="en-GB"/>
                          </w:rPr>
                          <m:t>I</m:t>
                        </m:r>
                      </m:sub>
                    </m:sSub>
                    <m:r>
                      <w:rPr>
                        <w:rFonts w:ascii="Cambria Math" w:hAnsi="Cambria Math"/>
                        <w:lang w:val="en-GB"/>
                      </w:rPr>
                      <m:t>)</m:t>
                    </m:r>
                  </m:den>
                </m:f>
              </m:oMath>
            </m:oMathPara>
          </w:p>
          <w:p w:rsidR="009A7EBD" w:rsidRPr="009027F5" w:rsidRDefault="009A7EBD" w:rsidP="009A7EBD">
            <w:pPr>
              <w:rPr>
                <w:rFonts w:eastAsiaTheme="minorEastAsia"/>
                <w:lang w:val="en-GB"/>
              </w:rPr>
            </w:pPr>
            <w:r>
              <w:rPr>
                <w:rFonts w:eastAsiaTheme="minorEastAsia"/>
                <w:lang w:val="en-GB"/>
              </w:rPr>
              <w:t>If skewness appear then:</w:t>
            </w:r>
          </w:p>
          <w:p w:rsidR="009027F5" w:rsidRPr="009027F5" w:rsidRDefault="008E3922" w:rsidP="009027F5">
            <w:pPr>
              <w:jc w:val="left"/>
              <w:rPr>
                <w:rFonts w:eastAsiaTheme="minorEastAsia"/>
                <w:lang w:val="en-GB"/>
              </w:rPr>
            </w:pPr>
            <m:oMathPara>
              <m:oMathParaPr>
                <m:jc m:val="left"/>
              </m:oMathParaPr>
              <m:oMath>
                <m:sSub>
                  <m:sSubPr>
                    <m:ctrlPr>
                      <w:rPr>
                        <w:rFonts w:ascii="Cambria Math" w:eastAsiaTheme="minorEastAsia" w:hAnsi="Cambria Math"/>
                        <w:i/>
                        <w:lang w:val="en-GB"/>
                      </w:rPr>
                    </m:ctrlPr>
                  </m:sSubPr>
                  <m:e>
                    <m:r>
                      <w:rPr>
                        <w:rFonts w:ascii="Cambria Math" w:eastAsiaTheme="minorEastAsia" w:hAnsi="Cambria Math"/>
                        <w:lang w:val="en-GB"/>
                      </w:rPr>
                      <m:t>t</m:t>
                    </m:r>
                  </m:e>
                  <m:sub>
                    <m:r>
                      <w:rPr>
                        <w:rFonts w:ascii="Cambria Math" w:eastAsiaTheme="minorEastAsia" w:hAnsi="Cambria Math"/>
                        <w:lang w:val="en-GB"/>
                      </w:rPr>
                      <m:t>bharsa</m:t>
                    </m:r>
                  </m:sub>
                </m:sSub>
                <m:r>
                  <w:rPr>
                    <w:rFonts w:ascii="Cambria Math" w:eastAsiaTheme="minorEastAsia" w:hAnsi="Cambria Math"/>
                    <w:lang w:val="en-GB"/>
                  </w:rPr>
                  <m:t>=</m:t>
                </m:r>
                <m:sSub>
                  <m:sSubPr>
                    <m:ctrlPr>
                      <w:rPr>
                        <w:rFonts w:ascii="Cambria Math" w:eastAsiaTheme="minorEastAsia" w:hAnsi="Cambria Math"/>
                        <w:i/>
                        <w:lang w:val="en-GB"/>
                      </w:rPr>
                    </m:ctrlPr>
                  </m:sSubPr>
                  <m:e>
                    <m:r>
                      <w:rPr>
                        <w:rFonts w:ascii="Cambria Math" w:eastAsiaTheme="minorEastAsia" w:hAnsi="Cambria Math"/>
                        <w:lang w:val="en-GB"/>
                      </w:rPr>
                      <m:t>t</m:t>
                    </m:r>
                  </m:e>
                  <m:sub>
                    <m:r>
                      <w:rPr>
                        <w:rFonts w:ascii="Cambria Math" w:eastAsiaTheme="minorEastAsia" w:hAnsi="Cambria Math"/>
                        <w:lang w:val="en-GB"/>
                      </w:rPr>
                      <m:t>ABHAR</m:t>
                    </m:r>
                  </m:sub>
                </m:sSub>
                <m:r>
                  <w:rPr>
                    <w:rFonts w:ascii="Cambria Math" w:eastAsiaTheme="minorEastAsia" w:hAnsi="Cambria Math"/>
                    <w:lang w:val="en-GB"/>
                  </w:rPr>
                  <m:t>+</m:t>
                </m:r>
                <m:f>
                  <m:fPr>
                    <m:ctrlPr>
                      <w:rPr>
                        <w:rFonts w:ascii="Cambria Math" w:eastAsiaTheme="minorEastAsia" w:hAnsi="Cambria Math"/>
                        <w:i/>
                        <w:lang w:val="en-GB"/>
                      </w:rPr>
                    </m:ctrlPr>
                  </m:fPr>
                  <m:num>
                    <m:r>
                      <w:rPr>
                        <w:rFonts w:ascii="Cambria Math" w:eastAsiaTheme="minorEastAsia" w:hAnsi="Cambria Math"/>
                        <w:lang w:val="en-GB"/>
                      </w:rPr>
                      <m:t>γ</m:t>
                    </m:r>
                  </m:num>
                  <m:den>
                    <m:r>
                      <w:rPr>
                        <w:rFonts w:ascii="Cambria Math" w:eastAsiaTheme="minorEastAsia" w:hAnsi="Cambria Math"/>
                        <w:lang w:val="en-GB"/>
                      </w:rPr>
                      <m:t>3</m:t>
                    </m:r>
                    <m:r>
                      <w:rPr>
                        <w:rFonts w:ascii="Cambria Math" w:hAnsi="Cambria Math"/>
                        <w:lang w:val="en-GB"/>
                      </w:rPr>
                      <m:t>*</m:t>
                    </m:r>
                    <m:rad>
                      <m:radPr>
                        <m:degHide m:val="1"/>
                        <m:ctrlPr>
                          <w:rPr>
                            <w:rFonts w:ascii="Cambria Math" w:hAnsi="Cambria Math"/>
                            <w:i/>
                            <w:lang w:val="en-GB"/>
                          </w:rPr>
                        </m:ctrlPr>
                      </m:radPr>
                      <m:deg/>
                      <m:e>
                        <m:r>
                          <w:rPr>
                            <w:rFonts w:ascii="Cambria Math" w:hAnsi="Cambria Math"/>
                            <w:lang w:val="en-GB"/>
                          </w:rPr>
                          <m:t>N</m:t>
                        </m:r>
                      </m:e>
                    </m:rad>
                  </m:den>
                </m:f>
                <m:r>
                  <w:rPr>
                    <w:rFonts w:ascii="Cambria Math" w:eastAsiaTheme="minorEastAsia" w:hAnsi="Cambria Math"/>
                    <w:lang w:val="en-GB"/>
                  </w:rPr>
                  <m:t>*</m:t>
                </m:r>
                <m:d>
                  <m:dPr>
                    <m:ctrlPr>
                      <w:rPr>
                        <w:rFonts w:ascii="Cambria Math" w:eastAsiaTheme="minorEastAsia" w:hAnsi="Cambria Math"/>
                        <w:i/>
                        <w:lang w:val="en-GB"/>
                      </w:rPr>
                    </m:ctrlPr>
                  </m:dPr>
                  <m:e>
                    <m:sSubSup>
                      <m:sSubSupPr>
                        <m:ctrlPr>
                          <w:rPr>
                            <w:rFonts w:ascii="Cambria Math" w:eastAsiaTheme="minorEastAsia" w:hAnsi="Cambria Math"/>
                            <w:i/>
                            <w:lang w:val="en-GB"/>
                          </w:rPr>
                        </m:ctrlPr>
                      </m:sSubSupPr>
                      <m:e>
                        <m:r>
                          <w:rPr>
                            <w:rFonts w:ascii="Cambria Math" w:eastAsiaTheme="minorEastAsia" w:hAnsi="Cambria Math"/>
                            <w:lang w:val="en-GB"/>
                          </w:rPr>
                          <m:t>t</m:t>
                        </m:r>
                      </m:e>
                      <m:sub>
                        <m:r>
                          <w:rPr>
                            <w:rFonts w:ascii="Cambria Math" w:eastAsiaTheme="minorEastAsia" w:hAnsi="Cambria Math"/>
                            <w:lang w:val="en-GB"/>
                          </w:rPr>
                          <m:t>ABHAR</m:t>
                        </m:r>
                      </m:sub>
                      <m:sup>
                        <m:r>
                          <w:rPr>
                            <w:rFonts w:ascii="Cambria Math" w:eastAsiaTheme="minorEastAsia" w:hAnsi="Cambria Math"/>
                            <w:lang w:val="en-GB"/>
                          </w:rPr>
                          <m:t>2</m:t>
                        </m:r>
                      </m:sup>
                    </m:sSubSup>
                    <m:r>
                      <w:rPr>
                        <w:rFonts w:ascii="Cambria Math" w:eastAsiaTheme="minorEastAsia" w:hAnsi="Cambria Math"/>
                        <w:lang w:val="en-GB"/>
                      </w:rPr>
                      <m:t>+</m:t>
                    </m:r>
                    <m:f>
                      <m:fPr>
                        <m:ctrlPr>
                          <w:rPr>
                            <w:rFonts w:ascii="Cambria Math" w:eastAsiaTheme="minorEastAsia" w:hAnsi="Cambria Math"/>
                            <w:i/>
                            <w:lang w:val="en-GB"/>
                          </w:rPr>
                        </m:ctrlPr>
                      </m:fPr>
                      <m:num>
                        <m:r>
                          <w:rPr>
                            <w:rFonts w:ascii="Cambria Math" w:eastAsiaTheme="minorEastAsia" w:hAnsi="Cambria Math"/>
                            <w:lang w:val="en-GB"/>
                          </w:rPr>
                          <m:t>1</m:t>
                        </m:r>
                      </m:num>
                      <m:den>
                        <m:r>
                          <w:rPr>
                            <w:rFonts w:ascii="Cambria Math" w:eastAsiaTheme="minorEastAsia" w:hAnsi="Cambria Math"/>
                            <w:lang w:val="en-GB"/>
                          </w:rPr>
                          <m:t>2</m:t>
                        </m:r>
                      </m:den>
                    </m:f>
                  </m:e>
                </m:d>
              </m:oMath>
            </m:oMathPara>
          </w:p>
          <w:p w:rsidR="007D2FB9" w:rsidRDefault="007D2FB9" w:rsidP="009027F5">
            <w:pPr>
              <w:pStyle w:val="SVEtablecontent"/>
            </w:pPr>
          </w:p>
        </w:tc>
      </w:tr>
    </w:tbl>
    <w:p w:rsidR="0030656B" w:rsidRDefault="0030656B" w:rsidP="0030656B">
      <w:pPr>
        <w:rPr>
          <w:lang w:val="en-GB"/>
        </w:rPr>
      </w:pPr>
    </w:p>
    <w:p w:rsidR="004B1A6E" w:rsidRPr="004B1A6E" w:rsidRDefault="004B1A6E" w:rsidP="004B1A6E">
      <w:pPr>
        <w:pStyle w:val="SVEtablecaption"/>
      </w:pPr>
      <w:r w:rsidRPr="004B1A6E">
        <w:t>Variables</w:t>
      </w:r>
    </w:p>
    <w:tbl>
      <w:tblPr>
        <w:tblStyle w:val="a6"/>
        <w:tblW w:w="0" w:type="auto"/>
        <w:tblLook w:val="04A0" w:firstRow="1" w:lastRow="0" w:firstColumn="1" w:lastColumn="0" w:noHBand="0" w:noVBand="1"/>
      </w:tblPr>
      <w:tblGrid>
        <w:gridCol w:w="4672"/>
        <w:gridCol w:w="4672"/>
      </w:tblGrid>
      <w:tr w:rsidR="004B1A6E" w:rsidRPr="008E3922" w:rsidTr="004B1A6E">
        <w:tc>
          <w:tcPr>
            <w:tcW w:w="4672" w:type="dxa"/>
          </w:tcPr>
          <w:p w:rsidR="00CF55C6" w:rsidRPr="00CF55C6" w:rsidRDefault="004B1A6E" w:rsidP="004B1A6E">
            <w:pPr>
              <w:pStyle w:val="SVEtablecontent"/>
              <w:rPr>
                <w:rFonts w:eastAsiaTheme="minorEastAsia"/>
                <w:lang w:val="en-GB"/>
              </w:rPr>
            </w:pPr>
            <w:r>
              <w:rPr>
                <w:rFonts w:eastAsiaTheme="minorEastAsia"/>
                <w:lang w:val="en-GB"/>
              </w:rPr>
              <w:t xml:space="preserve">t – any day used for short-term study from the given sample </w:t>
            </w:r>
          </w:p>
          <w:p w:rsidR="004B1A6E" w:rsidRDefault="008E3922" w:rsidP="004B1A6E">
            <w:pPr>
              <w:pStyle w:val="SVEtablecontent"/>
              <w:rPr>
                <w:rFonts w:eastAsiaTheme="minorEastAsia"/>
                <w:lang w:val="en-GB"/>
              </w:rPr>
            </w:pPr>
            <m:oMath>
              <m:sSub>
                <m:sSubPr>
                  <m:ctrlPr>
                    <w:rPr>
                      <w:rFonts w:ascii="Cambria Math" w:hAnsi="Cambria Math" w:cs="Cambria Math"/>
                      <w:i/>
                      <w:color w:val="202122"/>
                      <w:szCs w:val="24"/>
                      <w:shd w:val="clear" w:color="auto" w:fill="FFFFFF"/>
                      <w:lang w:val="en-GB"/>
                    </w:rPr>
                  </m:ctrlPr>
                </m:sSubPr>
                <m:e>
                  <m:r>
                    <w:rPr>
                      <w:rFonts w:ascii="Cambria Math" w:hAnsi="Cambria Math" w:cs="Cambria Math"/>
                      <w:color w:val="202122"/>
                      <w:szCs w:val="24"/>
                      <w:shd w:val="clear" w:color="auto" w:fill="FFFFFF"/>
                      <w:lang w:val="en-GB"/>
                    </w:rPr>
                    <m:t>T</m:t>
                  </m:r>
                </m:e>
                <m:sub>
                  <m:r>
                    <w:rPr>
                      <w:rFonts w:ascii="Cambria Math" w:hAnsi="Cambria Math" w:cs="Cambria Math"/>
                      <w:color w:val="202122"/>
                      <w:szCs w:val="24"/>
                      <w:shd w:val="clear" w:color="auto" w:fill="FFFFFF"/>
                      <w:lang w:val="en-GB"/>
                    </w:rPr>
                    <m:t>1</m:t>
                  </m:r>
                </m:sub>
              </m:sSub>
              <m:r>
                <w:rPr>
                  <w:rFonts w:ascii="Cambria Math" w:hAnsi="Cambria Math" w:cs="Cambria Math"/>
                  <w:color w:val="202122"/>
                  <w:szCs w:val="24"/>
                  <w:shd w:val="clear" w:color="auto" w:fill="FFFFFF"/>
                  <w:lang w:val="en-GB"/>
                </w:rPr>
                <m:t xml:space="preserve"> </m:t>
              </m:r>
            </m:oMath>
            <w:r w:rsidR="004B1A6E">
              <w:rPr>
                <w:rFonts w:eastAsiaTheme="minorEastAsia"/>
                <w:lang w:val="en-GB"/>
              </w:rPr>
              <w:t>–</w:t>
            </w:r>
            <w:r w:rsidR="00CF55C6">
              <w:rPr>
                <w:rFonts w:eastAsiaTheme="minorEastAsia"/>
                <w:lang w:val="en-GB"/>
              </w:rPr>
              <w:t xml:space="preserve"> the event window of 7 days</w:t>
            </w:r>
          </w:p>
          <w:p w:rsidR="004B1A6E" w:rsidRPr="00A65046" w:rsidRDefault="008E3922" w:rsidP="004B1A6E">
            <w:pPr>
              <w:ind w:firstLine="0"/>
              <w:jc w:val="left"/>
              <w:rPr>
                <w:rFonts w:eastAsiaTheme="minorEastAsia"/>
                <w:lang w:val="en-GB"/>
              </w:rPr>
            </w:pP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 xml:space="preserve">2 </m:t>
                  </m:r>
                </m:sub>
              </m:sSub>
            </m:oMath>
            <w:r w:rsidR="004B1A6E">
              <w:rPr>
                <w:rFonts w:eastAsiaTheme="minorEastAsia"/>
                <w:lang w:val="en-GB"/>
              </w:rPr>
              <w:t>–</w:t>
            </w:r>
            <w:r w:rsidR="00CF55C6">
              <w:rPr>
                <w:rFonts w:eastAsiaTheme="minorEastAsia"/>
                <w:lang w:val="en-GB"/>
              </w:rPr>
              <w:t xml:space="preserve"> the estimation window</w:t>
            </w:r>
          </w:p>
          <w:p w:rsidR="004B1A6E" w:rsidRDefault="004B1A6E" w:rsidP="004B1A6E">
            <w:pPr>
              <w:ind w:firstLine="0"/>
              <w:jc w:val="left"/>
              <w:rPr>
                <w:i/>
                <w:lang w:val="en-GB"/>
              </w:rPr>
            </w:pPr>
            <w:r>
              <w:rPr>
                <w:i/>
                <w:lang w:val="en-GB"/>
              </w:rPr>
              <w:t>i –</w:t>
            </w:r>
            <w:r w:rsidR="00CF55C6">
              <w:rPr>
                <w:i/>
                <w:lang w:val="en-GB"/>
              </w:rPr>
              <w:t xml:space="preserve"> </w:t>
            </w:r>
            <w:r w:rsidR="00CF55C6" w:rsidRPr="00CF55C6">
              <w:rPr>
                <w:lang w:val="en-GB"/>
              </w:rPr>
              <w:t>stock of a firm</w:t>
            </w:r>
          </w:p>
          <w:p w:rsidR="004B1A6E" w:rsidRPr="00CF55C6" w:rsidRDefault="004B1A6E" w:rsidP="004B1A6E">
            <w:pPr>
              <w:ind w:firstLine="0"/>
              <w:jc w:val="left"/>
              <w:rPr>
                <w:lang w:val="en-GB"/>
              </w:rPr>
            </w:pPr>
            <w:r>
              <w:rPr>
                <w:i/>
                <w:lang w:val="en-GB"/>
              </w:rPr>
              <w:t>N</w:t>
            </w:r>
            <w:r w:rsidR="00CF55C6">
              <w:rPr>
                <w:i/>
                <w:lang w:val="en-GB"/>
              </w:rPr>
              <w:t xml:space="preserve"> – </w:t>
            </w:r>
            <w:r w:rsidR="00CF55C6">
              <w:rPr>
                <w:lang w:val="en-GB"/>
              </w:rPr>
              <w:t>number of observations in the sample</w:t>
            </w:r>
          </w:p>
          <w:p w:rsidR="004B1A6E" w:rsidRPr="00CF55C6" w:rsidRDefault="008E3922" w:rsidP="004B1A6E">
            <w:pPr>
              <w:ind w:firstLine="0"/>
              <w:jc w:val="left"/>
              <w:rPr>
                <w:rFonts w:eastAsiaTheme="minorEastAsia"/>
                <w:lang w:val="en-GB"/>
              </w:rPr>
            </w:pP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it</m:t>
                  </m:r>
                </m:sub>
              </m:sSub>
            </m:oMath>
            <w:r w:rsidR="00CF55C6">
              <w:rPr>
                <w:rFonts w:eastAsiaTheme="minorEastAsia"/>
                <w:i/>
                <w:lang w:val="en-GB"/>
              </w:rPr>
              <w:t xml:space="preserve"> </w:t>
            </w:r>
            <w:r w:rsidR="00CF55C6">
              <w:rPr>
                <w:i/>
                <w:lang w:val="en-GB"/>
              </w:rPr>
              <w:t xml:space="preserve">– </w:t>
            </w:r>
            <w:r w:rsidR="00CF55C6">
              <w:rPr>
                <w:lang w:val="en-GB"/>
              </w:rPr>
              <w:t>daily return of a firm at particular day</w:t>
            </w:r>
            <w:r w:rsidR="002A65DD">
              <w:rPr>
                <w:lang w:val="en-GB"/>
              </w:rPr>
              <w:t xml:space="preserve"> (based on the closed prices)</w:t>
            </w:r>
          </w:p>
          <w:p w:rsidR="004B1A6E" w:rsidRPr="00A65046" w:rsidRDefault="008E3922" w:rsidP="004B1A6E">
            <w:pPr>
              <w:ind w:firstLine="0"/>
              <w:jc w:val="left"/>
              <w:rPr>
                <w:rFonts w:eastAsiaTheme="minorEastAsia"/>
                <w:i/>
                <w:lang w:val="en-GB"/>
              </w:rPr>
            </w:pPr>
            <m:oMath>
              <m:sSub>
                <m:sSubPr>
                  <m:ctrlPr>
                    <w:rPr>
                      <w:rFonts w:ascii="Cambria Math" w:hAnsi="Cambria Math"/>
                      <w:i/>
                      <w:lang w:val="en-GB"/>
                    </w:rPr>
                  </m:ctrlPr>
                </m:sSubPr>
                <m:e>
                  <m:r>
                    <w:rPr>
                      <w:rFonts w:ascii="Cambria Math" w:hAnsi="Cambria Math"/>
                      <w:lang w:val="en-GB"/>
                    </w:rPr>
                    <m:t>α</m:t>
                  </m:r>
                </m:e>
                <m:sub>
                  <m:r>
                    <w:rPr>
                      <w:rFonts w:ascii="Cambria Math" w:hAnsi="Cambria Math"/>
                      <w:lang w:val="en-GB"/>
                    </w:rPr>
                    <m:t>i</m:t>
                  </m:r>
                </m:sub>
              </m:sSub>
            </m:oMath>
            <w:r w:rsidR="00CF55C6">
              <w:rPr>
                <w:rFonts w:eastAsiaTheme="minorEastAsia"/>
                <w:i/>
                <w:lang w:val="en-GB"/>
              </w:rPr>
              <w:t xml:space="preserve"> </w:t>
            </w:r>
            <w:r w:rsidR="00CF55C6">
              <w:rPr>
                <w:i/>
                <w:lang w:val="en-GB"/>
              </w:rPr>
              <w:t xml:space="preserve">– </w:t>
            </w:r>
            <w:r w:rsidR="00CF55C6" w:rsidRPr="00CF55C6">
              <w:rPr>
                <w:lang w:val="en-GB"/>
              </w:rPr>
              <w:t>intercept measure</w:t>
            </w:r>
          </w:p>
          <w:p w:rsidR="004B1A6E" w:rsidRPr="00CF55C6" w:rsidRDefault="008E3922" w:rsidP="004B1A6E">
            <w:pPr>
              <w:ind w:firstLine="0"/>
              <w:jc w:val="left"/>
              <w:rPr>
                <w:rFonts w:eastAsiaTheme="minorEastAsia"/>
                <w:lang w:val="en-GB"/>
              </w:rPr>
            </w:pPr>
            <m:oMath>
              <m:sSub>
                <m:sSubPr>
                  <m:ctrlPr>
                    <w:rPr>
                      <w:rFonts w:ascii="Cambria Math" w:hAnsi="Cambria Math"/>
                      <w:i/>
                      <w:lang w:val="en-GB"/>
                    </w:rPr>
                  </m:ctrlPr>
                </m:sSubPr>
                <m:e>
                  <m:r>
                    <w:rPr>
                      <w:rFonts w:ascii="Cambria Math" w:hAnsi="Cambria Math"/>
                      <w:lang w:val="en-GB"/>
                    </w:rPr>
                    <m:t>β</m:t>
                  </m:r>
                </m:e>
                <m:sub>
                  <m:r>
                    <w:rPr>
                      <w:rFonts w:ascii="Cambria Math" w:hAnsi="Cambria Math"/>
                      <w:lang w:val="en-GB"/>
                    </w:rPr>
                    <m:t>i</m:t>
                  </m:r>
                </m:sub>
              </m:sSub>
            </m:oMath>
            <w:r w:rsidR="00CF55C6">
              <w:rPr>
                <w:rFonts w:eastAsiaTheme="minorEastAsia"/>
                <w:i/>
                <w:lang w:val="en-GB"/>
              </w:rPr>
              <w:t xml:space="preserve"> </w:t>
            </w:r>
            <w:r w:rsidR="00CF55C6">
              <w:rPr>
                <w:i/>
                <w:lang w:val="en-GB"/>
              </w:rPr>
              <w:t xml:space="preserve">– </w:t>
            </w:r>
            <w:r w:rsidR="00CF55C6">
              <w:rPr>
                <w:i/>
                <w:lang w:val="en-GB"/>
              </w:rPr>
              <w:softHyphen/>
            </w:r>
            <w:r w:rsidR="00CF55C6">
              <w:rPr>
                <w:lang w:val="en-GB"/>
              </w:rPr>
              <w:t>systematic risk</w:t>
            </w:r>
          </w:p>
          <w:p w:rsidR="004B1A6E" w:rsidRPr="00CF55C6" w:rsidRDefault="008E3922" w:rsidP="004B1A6E">
            <w:pPr>
              <w:ind w:firstLine="0"/>
              <w:jc w:val="left"/>
              <w:rPr>
                <w:rFonts w:eastAsiaTheme="minorEastAsia"/>
                <w:lang w:val="en-GB"/>
              </w:rPr>
            </w:pP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mt</m:t>
                  </m:r>
                </m:sub>
              </m:sSub>
            </m:oMath>
            <w:r w:rsidR="00CF55C6">
              <w:rPr>
                <w:i/>
                <w:lang w:val="en-GB"/>
              </w:rPr>
              <w:t xml:space="preserve">– </w:t>
            </w:r>
            <w:r w:rsidR="00CF55C6">
              <w:rPr>
                <w:lang w:val="en-GB"/>
              </w:rPr>
              <w:t>daily return of an index at particular day</w:t>
            </w:r>
            <w:r w:rsidR="002A65DD">
              <w:rPr>
                <w:lang w:val="en-GB"/>
              </w:rPr>
              <w:t xml:space="preserve"> (based on the closed prices)</w:t>
            </w:r>
          </w:p>
          <w:p w:rsidR="004B1A6E" w:rsidRPr="00CF55C6" w:rsidRDefault="008E3922" w:rsidP="004B1A6E">
            <w:pPr>
              <w:ind w:firstLine="0"/>
              <w:jc w:val="left"/>
              <w:rPr>
                <w:rFonts w:eastAsiaTheme="minorEastAsia"/>
                <w:szCs w:val="24"/>
                <w:lang w:val="en-GB"/>
              </w:rPr>
            </w:pPr>
            <m:oMath>
              <m:sSub>
                <m:sSubPr>
                  <m:ctrlPr>
                    <w:rPr>
                      <w:rFonts w:ascii="Cambria Math" w:hAnsi="Cambria Math"/>
                      <w:i/>
                      <w:szCs w:val="24"/>
                      <w:lang w:val="en-GB"/>
                    </w:rPr>
                  </m:ctrlPr>
                </m:sSubPr>
                <m:e>
                  <m:r>
                    <w:rPr>
                      <w:rFonts w:ascii="Cambria Math" w:hAnsi="Cambria Math"/>
                      <w:szCs w:val="24"/>
                      <w:lang w:val="en-GB"/>
                    </w:rPr>
                    <m:t>AAR</m:t>
                  </m:r>
                </m:e>
                <m:sub>
                  <m:r>
                    <w:rPr>
                      <w:rFonts w:ascii="Cambria Math" w:hAnsi="Cambria Math"/>
                      <w:szCs w:val="24"/>
                      <w:lang w:val="en-GB"/>
                    </w:rPr>
                    <m:t>t</m:t>
                  </m:r>
                </m:sub>
              </m:sSub>
            </m:oMath>
            <w:r w:rsidR="00CF55C6">
              <w:rPr>
                <w:rFonts w:eastAsiaTheme="minorEastAsia"/>
                <w:i/>
                <w:szCs w:val="24"/>
                <w:lang w:val="en-GB"/>
              </w:rPr>
              <w:t xml:space="preserve"> </w:t>
            </w:r>
            <w:r w:rsidR="00CF55C6">
              <w:rPr>
                <w:i/>
                <w:lang w:val="en-GB"/>
              </w:rPr>
              <w:t xml:space="preserve">– </w:t>
            </w:r>
            <w:r w:rsidR="00CF55C6">
              <w:rPr>
                <w:lang w:val="en-GB"/>
              </w:rPr>
              <w:t>average abnormal returns</w:t>
            </w:r>
          </w:p>
          <w:p w:rsidR="004B1A6E" w:rsidRPr="00CF55C6" w:rsidRDefault="008E3922" w:rsidP="004B1A6E">
            <w:pPr>
              <w:ind w:firstLine="0"/>
              <w:jc w:val="left"/>
              <w:rPr>
                <w:rFonts w:eastAsiaTheme="minorEastAsia"/>
                <w:szCs w:val="24"/>
                <w:lang w:val="en-GB"/>
              </w:rPr>
            </w:pPr>
            <m:oMath>
              <m:sSub>
                <m:sSubPr>
                  <m:ctrlPr>
                    <w:rPr>
                      <w:rFonts w:ascii="Cambria Math" w:hAnsi="Cambria Math"/>
                      <w:i/>
                      <w:szCs w:val="24"/>
                      <w:lang w:val="en-GB"/>
                    </w:rPr>
                  </m:ctrlPr>
                </m:sSubPr>
                <m:e>
                  <m:r>
                    <w:rPr>
                      <w:rFonts w:ascii="Cambria Math" w:hAnsi="Cambria Math"/>
                      <w:szCs w:val="24"/>
                      <w:lang w:val="en-GB"/>
                    </w:rPr>
                    <m:t>CAAR</m:t>
                  </m:r>
                </m:e>
                <m:sub>
                  <m:sSub>
                    <m:sSubPr>
                      <m:ctrlPr>
                        <w:rPr>
                          <w:rFonts w:ascii="Cambria Math" w:hAnsi="Cambria Math"/>
                          <w:i/>
                          <w:szCs w:val="24"/>
                          <w:lang w:val="en-GB"/>
                        </w:rPr>
                      </m:ctrlPr>
                    </m:sSubPr>
                    <m:e>
                      <m:r>
                        <w:rPr>
                          <w:rFonts w:ascii="Cambria Math" w:hAnsi="Cambria Math"/>
                          <w:szCs w:val="24"/>
                          <w:lang w:val="en-GB"/>
                        </w:rPr>
                        <m:t>T</m:t>
                      </m:r>
                    </m:e>
                    <m:sub>
                      <m:r>
                        <w:rPr>
                          <w:rFonts w:ascii="Cambria Math" w:hAnsi="Cambria Math"/>
                          <w:szCs w:val="24"/>
                          <w:lang w:val="en-GB"/>
                        </w:rPr>
                        <m:t>1</m:t>
                      </m:r>
                    </m:sub>
                  </m:sSub>
                </m:sub>
              </m:sSub>
            </m:oMath>
            <w:r w:rsidR="00CF55C6">
              <w:rPr>
                <w:rFonts w:eastAsiaTheme="minorEastAsia"/>
                <w:i/>
                <w:szCs w:val="24"/>
                <w:lang w:val="en-GB"/>
              </w:rPr>
              <w:t xml:space="preserve"> </w:t>
            </w:r>
            <w:r w:rsidR="00CF55C6">
              <w:rPr>
                <w:i/>
                <w:lang w:val="en-GB"/>
              </w:rPr>
              <w:t>–</w:t>
            </w:r>
            <w:r w:rsidR="00CF55C6">
              <w:rPr>
                <w:lang w:val="en-GB"/>
              </w:rPr>
              <w:t xml:space="preserve"> cumulative average abnormal returns</w:t>
            </w:r>
          </w:p>
          <w:p w:rsidR="004B1A6E" w:rsidRPr="00CF55C6" w:rsidRDefault="004B1A6E" w:rsidP="004B1A6E">
            <w:pPr>
              <w:ind w:firstLine="0"/>
              <w:jc w:val="left"/>
              <w:rPr>
                <w:rFonts w:eastAsiaTheme="minorEastAsia"/>
                <w:szCs w:val="24"/>
                <w:lang w:val="en-GB"/>
              </w:rPr>
            </w:pPr>
            <m:oMath>
              <m:r>
                <w:rPr>
                  <w:rFonts w:ascii="Cambria Math" w:hAnsi="Cambria Math"/>
                  <w:lang w:val="en-GB"/>
                </w:rPr>
                <m:t>σ</m:t>
              </m:r>
            </m:oMath>
            <w:r w:rsidR="00CF55C6">
              <w:rPr>
                <w:rFonts w:eastAsiaTheme="minorEastAsia"/>
                <w:i/>
                <w:lang w:val="en-GB"/>
              </w:rPr>
              <w:t xml:space="preserve"> </w:t>
            </w:r>
            <w:r w:rsidR="00CF55C6">
              <w:rPr>
                <w:i/>
                <w:lang w:val="en-GB"/>
              </w:rPr>
              <w:t>–</w:t>
            </w:r>
            <w:r w:rsidR="00CF55C6">
              <w:rPr>
                <w:lang w:val="en-GB"/>
              </w:rPr>
              <w:t xml:space="preserve"> standard deviation</w:t>
            </w:r>
          </w:p>
          <w:p w:rsidR="004B1A6E" w:rsidRPr="00CF55C6" w:rsidRDefault="008E3922" w:rsidP="004B1A6E">
            <w:pPr>
              <w:ind w:firstLine="0"/>
              <w:rPr>
                <w:lang w:val="en-GB"/>
              </w:rPr>
            </w:pP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AAR/CAAR</m:t>
                  </m:r>
                </m:sub>
              </m:sSub>
            </m:oMath>
            <w:r w:rsidR="00CF55C6">
              <w:rPr>
                <w:rFonts w:eastAsiaTheme="minorEastAsia"/>
                <w:lang w:val="en-GB"/>
              </w:rPr>
              <w:t xml:space="preserve"> </w:t>
            </w:r>
            <w:r w:rsidR="00CF55C6">
              <w:rPr>
                <w:i/>
                <w:lang w:val="en-GB"/>
              </w:rPr>
              <w:t>–</w:t>
            </w:r>
            <w:r w:rsidR="00CF55C6">
              <w:rPr>
                <w:lang w:val="en-GB"/>
              </w:rPr>
              <w:t xml:space="preserve"> ordinary t-test for mean abnormal returns</w:t>
            </w:r>
          </w:p>
        </w:tc>
        <w:tc>
          <w:tcPr>
            <w:tcW w:w="4673" w:type="dxa"/>
          </w:tcPr>
          <w:p w:rsidR="004B1A6E" w:rsidRPr="00CF55C6" w:rsidRDefault="004B1A6E" w:rsidP="0030656B">
            <w:pPr>
              <w:ind w:firstLine="0"/>
              <w:rPr>
                <w:rFonts w:eastAsiaTheme="minorEastAsia"/>
                <w:lang w:val="en-GB"/>
              </w:rPr>
            </w:pPr>
            <m:oMath>
              <m:r>
                <w:rPr>
                  <w:rFonts w:ascii="Cambria Math" w:eastAsiaTheme="minorEastAsia" w:hAnsi="Cambria Math"/>
                  <w:lang w:val="en-GB"/>
                </w:rPr>
                <w:lastRenderedPageBreak/>
                <m:t xml:space="preserve">τ </m:t>
              </m:r>
            </m:oMath>
            <w:r w:rsidR="00CF55C6">
              <w:rPr>
                <w:i/>
                <w:lang w:val="en-GB"/>
              </w:rPr>
              <w:t xml:space="preserve">– </w:t>
            </w:r>
            <w:r w:rsidR="00CF55C6">
              <w:rPr>
                <w:lang w:val="en-GB"/>
              </w:rPr>
              <w:t>a month from the event window</w:t>
            </w:r>
          </w:p>
          <w:p w:rsidR="004B1A6E" w:rsidRPr="00CF55C6" w:rsidRDefault="004B1A6E" w:rsidP="0030656B">
            <w:pPr>
              <w:ind w:firstLine="0"/>
              <w:rPr>
                <w:rFonts w:eastAsiaTheme="minorEastAsia"/>
                <w:lang w:val="en-GB"/>
              </w:rPr>
            </w:pPr>
            <w:r>
              <w:rPr>
                <w:rFonts w:eastAsiaTheme="minorEastAsia"/>
                <w:i/>
                <w:lang w:val="en-GB"/>
              </w:rPr>
              <w:t>m</w:t>
            </w:r>
            <w:r w:rsidR="00CF55C6">
              <w:rPr>
                <w:rFonts w:eastAsiaTheme="minorEastAsia"/>
                <w:i/>
                <w:lang w:val="en-GB"/>
              </w:rPr>
              <w:t xml:space="preserve"> </w:t>
            </w:r>
            <w:r w:rsidR="00CF55C6">
              <w:rPr>
                <w:i/>
                <w:lang w:val="en-GB"/>
              </w:rPr>
              <w:t xml:space="preserve">– </w:t>
            </w:r>
            <w:r w:rsidR="00CF55C6">
              <w:rPr>
                <w:lang w:val="en-GB"/>
              </w:rPr>
              <w:t>number of month (</w:t>
            </w:r>
            <w:proofErr w:type="spellStart"/>
            <w:r w:rsidR="00CF55C6">
              <w:rPr>
                <w:lang w:val="en-GB"/>
              </w:rPr>
              <w:t>e.g</w:t>
            </w:r>
            <w:proofErr w:type="spellEnd"/>
            <w:r w:rsidR="00CF55C6">
              <w:rPr>
                <w:lang w:val="en-GB"/>
              </w:rPr>
              <w:t xml:space="preserve"> 24)</w:t>
            </w:r>
          </w:p>
          <w:p w:rsidR="004B1A6E" w:rsidRPr="00CF55C6" w:rsidRDefault="004B1A6E" w:rsidP="0030656B">
            <w:pPr>
              <w:ind w:firstLine="0"/>
              <w:rPr>
                <w:rFonts w:eastAsiaTheme="minorEastAsia"/>
                <w:lang w:val="en-GB"/>
              </w:rPr>
            </w:pPr>
            <m:oMath>
              <m:r>
                <w:rPr>
                  <w:rFonts w:ascii="Cambria Math" w:eastAsiaTheme="minorEastAsia" w:hAnsi="Cambria Math"/>
                  <w:lang w:val="en-GB"/>
                </w:rPr>
                <m:t>T</m:t>
              </m:r>
            </m:oMath>
            <w:r w:rsidR="00CF55C6">
              <w:rPr>
                <w:rFonts w:eastAsiaTheme="minorEastAsia"/>
                <w:i/>
                <w:lang w:val="en-GB"/>
              </w:rPr>
              <w:t xml:space="preserve"> </w:t>
            </w:r>
            <w:r w:rsidR="00CF55C6">
              <w:rPr>
                <w:i/>
                <w:lang w:val="en-GB"/>
              </w:rPr>
              <w:t xml:space="preserve">– </w:t>
            </w:r>
            <w:r w:rsidR="00CF55C6">
              <w:rPr>
                <w:lang w:val="en-GB"/>
              </w:rPr>
              <w:t>event window sample</w:t>
            </w:r>
          </w:p>
          <w:p w:rsidR="004B1A6E" w:rsidRPr="00CF55C6" w:rsidRDefault="009B546E" w:rsidP="0030656B">
            <w:pPr>
              <w:ind w:firstLine="0"/>
              <w:rPr>
                <w:rFonts w:eastAsiaTheme="minorEastAsia"/>
                <w:lang w:val="en-GB"/>
              </w:rPr>
            </w:pPr>
            <w:r>
              <w:rPr>
                <w:rFonts w:eastAsiaTheme="minorEastAsia"/>
                <w:i/>
                <w:lang w:val="en-GB"/>
              </w:rPr>
              <w:t>c</w:t>
            </w:r>
            <w:r w:rsidR="00CF55C6">
              <w:rPr>
                <w:rFonts w:eastAsiaTheme="minorEastAsia"/>
                <w:i/>
                <w:lang w:val="en-GB"/>
              </w:rPr>
              <w:t xml:space="preserve"> </w:t>
            </w:r>
            <w:r w:rsidR="00CF55C6">
              <w:rPr>
                <w:i/>
                <w:lang w:val="en-GB"/>
              </w:rPr>
              <w:t xml:space="preserve">– </w:t>
            </w:r>
            <w:r w:rsidR="00CF55C6">
              <w:rPr>
                <w:lang w:val="en-GB"/>
              </w:rPr>
              <w:t>control firm</w:t>
            </w:r>
          </w:p>
          <w:p w:rsidR="009B546E" w:rsidRPr="00CF55C6" w:rsidRDefault="008E3922" w:rsidP="009B546E">
            <w:pPr>
              <w:ind w:firstLine="0"/>
              <w:rPr>
                <w:rFonts w:eastAsiaTheme="minorEastAsia"/>
                <w:lang w:val="en-GB"/>
              </w:rPr>
            </w:pP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i</m:t>
                  </m:r>
                  <m:r>
                    <m:rPr>
                      <m:sty m:val="p"/>
                    </m:rPr>
                    <w:rPr>
                      <w:rFonts w:ascii="Cambria Math" w:hAnsi="Cambria Math" w:cs="Times New Roman"/>
                      <w:lang w:val="en-GB"/>
                    </w:rPr>
                    <m:t>τ</m:t>
                  </m:r>
                </m:sub>
              </m:sSub>
            </m:oMath>
            <w:r w:rsidR="00CF55C6">
              <w:rPr>
                <w:rFonts w:eastAsiaTheme="minorEastAsia"/>
                <w:i/>
                <w:lang w:val="en-GB"/>
              </w:rPr>
              <w:t xml:space="preserve"> </w:t>
            </w:r>
            <w:r w:rsidR="00CF55C6">
              <w:rPr>
                <w:i/>
                <w:lang w:val="en-GB"/>
              </w:rPr>
              <w:t xml:space="preserve">– </w:t>
            </w:r>
            <w:r w:rsidR="00CF55C6">
              <w:rPr>
                <w:lang w:val="en-GB"/>
              </w:rPr>
              <w:t>monthly return of a company from the sample at particular month</w:t>
            </w:r>
            <w:r w:rsidR="002A65DD">
              <w:rPr>
                <w:lang w:val="en-GB"/>
              </w:rPr>
              <w:t xml:space="preserve"> (based on the end of the month period)</w:t>
            </w:r>
          </w:p>
          <w:p w:rsidR="009B546E" w:rsidRPr="00CF55C6" w:rsidRDefault="008E3922" w:rsidP="0030656B">
            <w:pPr>
              <w:ind w:firstLine="0"/>
              <w:rPr>
                <w:rFonts w:eastAsiaTheme="minorEastAsia"/>
                <w:lang w:val="en-GB"/>
              </w:rPr>
            </w:pP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c</m:t>
                  </m:r>
                  <m:r>
                    <m:rPr>
                      <m:sty m:val="p"/>
                    </m:rPr>
                    <w:rPr>
                      <w:rFonts w:ascii="Cambria Math" w:hAnsi="Cambria Math" w:cs="Times New Roman"/>
                      <w:lang w:val="en-GB"/>
                    </w:rPr>
                    <m:t>τ</m:t>
                  </m:r>
                </m:sub>
              </m:sSub>
            </m:oMath>
            <w:r w:rsidR="00CF55C6">
              <w:rPr>
                <w:rFonts w:eastAsiaTheme="minorEastAsia"/>
                <w:i/>
                <w:lang w:val="en-GB"/>
              </w:rPr>
              <w:t xml:space="preserve"> </w:t>
            </w:r>
            <w:r w:rsidR="00CF55C6">
              <w:rPr>
                <w:i/>
                <w:lang w:val="en-GB"/>
              </w:rPr>
              <w:t xml:space="preserve">– </w:t>
            </w:r>
            <w:r w:rsidR="00CF55C6">
              <w:rPr>
                <w:lang w:val="en-GB"/>
              </w:rPr>
              <w:t>monthly return of a company from the control sample at a particular month</w:t>
            </w:r>
            <w:r w:rsidR="002A65DD">
              <w:rPr>
                <w:lang w:val="en-GB"/>
              </w:rPr>
              <w:t xml:space="preserve"> (based on the end of the month period)</w:t>
            </w:r>
          </w:p>
          <w:p w:rsidR="009B546E" w:rsidRPr="00CF55C6" w:rsidRDefault="009B546E" w:rsidP="0030656B">
            <w:pPr>
              <w:ind w:firstLine="0"/>
              <w:rPr>
                <w:lang w:val="en-GB"/>
              </w:rPr>
            </w:pPr>
            <w:r>
              <w:rPr>
                <w:i/>
                <w:lang w:val="en-GB"/>
              </w:rPr>
              <w:lastRenderedPageBreak/>
              <w:t>N</w:t>
            </w:r>
            <w:r w:rsidR="00CF55C6">
              <w:rPr>
                <w:i/>
                <w:lang w:val="en-GB"/>
              </w:rPr>
              <w:t xml:space="preserve"> – </w:t>
            </w:r>
            <w:r w:rsidR="00CF55C6">
              <w:rPr>
                <w:lang w:val="en-GB"/>
              </w:rPr>
              <w:t>number of observations in the sample</w:t>
            </w:r>
          </w:p>
          <w:p w:rsidR="009B546E" w:rsidRPr="00CF55C6" w:rsidRDefault="008E3922" w:rsidP="0030656B">
            <w:pPr>
              <w:ind w:firstLine="0"/>
              <w:rPr>
                <w:rFonts w:eastAsiaTheme="minorEastAsia"/>
                <w:lang w:val="en-GB"/>
              </w:rPr>
            </w:pP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ABHAR</m:t>
                  </m:r>
                </m:sub>
              </m:sSub>
            </m:oMath>
            <w:r w:rsidR="00CF55C6">
              <w:rPr>
                <w:rFonts w:eastAsiaTheme="minorEastAsia"/>
                <w:i/>
                <w:lang w:val="en-GB"/>
              </w:rPr>
              <w:t xml:space="preserve"> </w:t>
            </w:r>
            <w:r w:rsidR="00CF55C6">
              <w:rPr>
                <w:i/>
                <w:lang w:val="en-GB"/>
              </w:rPr>
              <w:t>–</w:t>
            </w:r>
            <w:r w:rsidR="00CF55C6">
              <w:rPr>
                <w:lang w:val="en-GB"/>
              </w:rPr>
              <w:t xml:space="preserve"> ordinary t-test for rejecting null hypothesis</w:t>
            </w:r>
          </w:p>
          <w:p w:rsidR="009B546E" w:rsidRPr="00CF55C6" w:rsidRDefault="009B546E" w:rsidP="0030656B">
            <w:pPr>
              <w:ind w:firstLine="0"/>
              <w:rPr>
                <w:rFonts w:eastAsiaTheme="minorEastAsia"/>
                <w:lang w:val="en-GB"/>
              </w:rPr>
            </w:pPr>
            <m:oMath>
              <m:r>
                <w:rPr>
                  <w:rFonts w:ascii="Cambria Math" w:eastAsiaTheme="minorEastAsia" w:hAnsi="Cambria Math"/>
                  <w:lang w:val="en-GB"/>
                </w:rPr>
                <m:t>γ</m:t>
              </m:r>
            </m:oMath>
            <w:r w:rsidR="00CF55C6">
              <w:rPr>
                <w:rFonts w:eastAsiaTheme="minorEastAsia"/>
                <w:i/>
                <w:lang w:val="en-GB"/>
              </w:rPr>
              <w:t xml:space="preserve"> </w:t>
            </w:r>
            <w:r w:rsidR="00CF55C6">
              <w:rPr>
                <w:i/>
                <w:lang w:val="en-GB"/>
              </w:rPr>
              <w:t>–</w:t>
            </w:r>
            <w:r w:rsidR="00CF55C6">
              <w:rPr>
                <w:lang w:val="en-GB"/>
              </w:rPr>
              <w:t xml:space="preserve"> skewness measure of BHAR</w:t>
            </w:r>
          </w:p>
          <w:p w:rsidR="009B546E" w:rsidRPr="00CF55C6" w:rsidRDefault="008E3922" w:rsidP="0030656B">
            <w:pPr>
              <w:ind w:firstLine="0"/>
              <w:rPr>
                <w:rFonts w:eastAsiaTheme="minorEastAsia"/>
                <w:lang w:val="en-GB"/>
              </w:rPr>
            </w:pPr>
            <m:oMath>
              <m:sSub>
                <m:sSubPr>
                  <m:ctrlPr>
                    <w:rPr>
                      <w:rFonts w:ascii="Cambria Math" w:eastAsiaTheme="minorEastAsia" w:hAnsi="Cambria Math"/>
                      <w:i/>
                      <w:lang w:val="en-GB"/>
                    </w:rPr>
                  </m:ctrlPr>
                </m:sSubPr>
                <m:e>
                  <m:r>
                    <w:rPr>
                      <w:rFonts w:ascii="Cambria Math" w:eastAsiaTheme="minorEastAsia" w:hAnsi="Cambria Math"/>
                      <w:lang w:val="en-GB"/>
                    </w:rPr>
                    <m:t>t</m:t>
                  </m:r>
                </m:e>
                <m:sub>
                  <m:r>
                    <w:rPr>
                      <w:rFonts w:ascii="Cambria Math" w:eastAsiaTheme="minorEastAsia" w:hAnsi="Cambria Math"/>
                      <w:lang w:val="en-GB"/>
                    </w:rPr>
                    <m:t>bharsa</m:t>
                  </m:r>
                </m:sub>
              </m:sSub>
            </m:oMath>
            <w:r w:rsidR="00CF55C6">
              <w:rPr>
                <w:rFonts w:eastAsiaTheme="minorEastAsia"/>
                <w:i/>
                <w:lang w:val="en-GB"/>
              </w:rPr>
              <w:t xml:space="preserve"> </w:t>
            </w:r>
            <w:r w:rsidR="00CF55C6">
              <w:rPr>
                <w:i/>
                <w:lang w:val="en-GB"/>
              </w:rPr>
              <w:t xml:space="preserve">– </w:t>
            </w:r>
            <w:r w:rsidR="00CF55C6">
              <w:rPr>
                <w:lang w:val="en-GB"/>
              </w:rPr>
              <w:t>skewness t-adjusted test for rejecting the null hypothesis</w:t>
            </w:r>
          </w:p>
        </w:tc>
      </w:tr>
    </w:tbl>
    <w:p w:rsidR="00597362" w:rsidRDefault="00597362" w:rsidP="00B83C29">
      <w:pPr>
        <w:ind w:firstLine="0"/>
        <w:rPr>
          <w:i/>
          <w:lang w:val="en-GB"/>
        </w:rPr>
      </w:pPr>
    </w:p>
    <w:p w:rsidR="00B9403E" w:rsidRDefault="0030656B" w:rsidP="00B9403E">
      <w:pPr>
        <w:pStyle w:val="2"/>
        <w:rPr>
          <w:lang w:val="en-GB"/>
        </w:rPr>
      </w:pPr>
      <w:bookmarkStart w:id="14" w:name="_Toc73640570"/>
      <w:r>
        <w:rPr>
          <w:lang w:val="en-GB"/>
        </w:rPr>
        <w:t>2.3</w:t>
      </w:r>
      <w:r w:rsidR="00B9403E">
        <w:rPr>
          <w:lang w:val="en-GB"/>
        </w:rPr>
        <w:t>. Data sampling</w:t>
      </w:r>
      <w:bookmarkEnd w:id="14"/>
    </w:p>
    <w:p w:rsidR="00AE1433" w:rsidRDefault="00AE1433" w:rsidP="00AE1433">
      <w:pPr>
        <w:rPr>
          <w:lang w:val="en-GB"/>
        </w:rPr>
      </w:pPr>
      <w:r>
        <w:rPr>
          <w:lang w:val="en-GB"/>
        </w:rPr>
        <w:t xml:space="preserve">The core aim if this research, as it was mentioned in the previous part, is to define an existence of any abnormal return to M&amp;A deals, or simply a positive market reaction. </w:t>
      </w:r>
      <w:r w:rsidR="001A05D9">
        <w:rPr>
          <w:lang w:val="en-GB"/>
        </w:rPr>
        <w:t>In advance to discussion of research methodology, the data sample will be defined first. The primary source for data was the Thomson</w:t>
      </w:r>
      <w:r w:rsidR="00393375" w:rsidRPr="00393375">
        <w:rPr>
          <w:lang w:val="en-GB"/>
        </w:rPr>
        <w:t xml:space="preserve"> </w:t>
      </w:r>
      <w:r w:rsidR="00393375">
        <w:rPr>
          <w:lang w:val="en-GB"/>
        </w:rPr>
        <w:t>Reuters</w:t>
      </w:r>
      <w:r w:rsidR="001A05D9">
        <w:rPr>
          <w:lang w:val="en-GB"/>
        </w:rPr>
        <w:t xml:space="preserve"> Eikon platform. This software is widely used for analysis, because it provides wide range of data on</w:t>
      </w:r>
      <w:r w:rsidR="00E42C70">
        <w:rPr>
          <w:lang w:val="en-GB"/>
        </w:rPr>
        <w:t xml:space="preserve"> fundamental</w:t>
      </w:r>
      <w:r w:rsidR="001A05D9">
        <w:rPr>
          <w:lang w:val="en-GB"/>
        </w:rPr>
        <w:t xml:space="preserve"> financial </w:t>
      </w:r>
      <w:r w:rsidR="00E42C70">
        <w:rPr>
          <w:lang w:val="en-GB"/>
        </w:rPr>
        <w:t xml:space="preserve">information over 40 000 companies all over the world. </w:t>
      </w:r>
      <w:r w:rsidR="00393375" w:rsidRPr="00393375">
        <w:rPr>
          <w:lang w:val="en-GB"/>
        </w:rPr>
        <w:t>The Eikon information portal provides real-time information for making operational decisions in the financial markets. The following information is available on the Eikon platform:</w:t>
      </w:r>
    </w:p>
    <w:p w:rsidR="00E42C70" w:rsidRPr="00E42C70" w:rsidRDefault="00E42C70" w:rsidP="00A36559">
      <w:pPr>
        <w:pStyle w:val="aa"/>
        <w:numPr>
          <w:ilvl w:val="0"/>
          <w:numId w:val="5"/>
        </w:numPr>
        <w:rPr>
          <w:lang w:val="en-GB"/>
        </w:rPr>
      </w:pPr>
      <w:r w:rsidRPr="00E42C70">
        <w:rPr>
          <w:lang w:val="en-GB"/>
        </w:rPr>
        <w:t>Data and analytics by country, region, and industry</w:t>
      </w:r>
    </w:p>
    <w:p w:rsidR="00E42C70" w:rsidRPr="00E42C70" w:rsidRDefault="00E42C70" w:rsidP="00A36559">
      <w:pPr>
        <w:pStyle w:val="aa"/>
        <w:numPr>
          <w:ilvl w:val="0"/>
          <w:numId w:val="5"/>
        </w:numPr>
        <w:rPr>
          <w:lang w:val="en-GB"/>
        </w:rPr>
      </w:pPr>
      <w:r w:rsidRPr="00E42C70">
        <w:rPr>
          <w:lang w:val="en-GB"/>
        </w:rPr>
        <w:t>Forecasts of interest rates, oil, and macroeconomic indicators</w:t>
      </w:r>
    </w:p>
    <w:p w:rsidR="00E42C70" w:rsidRPr="00E42C70" w:rsidRDefault="00E42C70" w:rsidP="00A36559">
      <w:pPr>
        <w:pStyle w:val="aa"/>
        <w:numPr>
          <w:ilvl w:val="0"/>
          <w:numId w:val="5"/>
        </w:numPr>
        <w:rPr>
          <w:lang w:val="en-GB"/>
        </w:rPr>
      </w:pPr>
      <w:r w:rsidRPr="00E42C70">
        <w:rPr>
          <w:lang w:val="en-GB"/>
        </w:rPr>
        <w:t>Current and historical prices for financial market instruments</w:t>
      </w:r>
    </w:p>
    <w:p w:rsidR="00E42C70" w:rsidRPr="00E42C70" w:rsidRDefault="00E42C70" w:rsidP="00A36559">
      <w:pPr>
        <w:pStyle w:val="aa"/>
        <w:numPr>
          <w:ilvl w:val="0"/>
          <w:numId w:val="5"/>
        </w:numPr>
        <w:rPr>
          <w:lang w:val="en-GB"/>
        </w:rPr>
      </w:pPr>
      <w:r w:rsidRPr="00E42C70">
        <w:rPr>
          <w:lang w:val="en-GB"/>
        </w:rPr>
        <w:t>Analytical models, charts, calculators</w:t>
      </w:r>
    </w:p>
    <w:p w:rsidR="00393375" w:rsidRDefault="00393375" w:rsidP="00AE1433">
      <w:pPr>
        <w:rPr>
          <w:lang w:val="en-GB"/>
        </w:rPr>
      </w:pPr>
      <w:r>
        <w:rPr>
          <w:lang w:val="en-GB"/>
        </w:rPr>
        <w:t>Before moving to the final sample list, main criteria for selection and the process of filtering will be discussed here.</w:t>
      </w:r>
    </w:p>
    <w:p w:rsidR="00E42C70" w:rsidRDefault="00E42C70" w:rsidP="00AE1433">
      <w:pPr>
        <w:rPr>
          <w:b/>
          <w:lang w:val="en-GB"/>
        </w:rPr>
      </w:pPr>
      <w:r w:rsidRPr="00E42C70">
        <w:rPr>
          <w:b/>
          <w:lang w:val="en-GB"/>
        </w:rPr>
        <w:t>Criteria</w:t>
      </w:r>
      <w:r>
        <w:rPr>
          <w:b/>
          <w:lang w:val="en-GB"/>
        </w:rPr>
        <w:t xml:space="preserve"> for sampling</w:t>
      </w:r>
      <w:r w:rsidRPr="00E42C70">
        <w:rPr>
          <w:b/>
          <w:lang w:val="en-GB"/>
        </w:rPr>
        <w:t xml:space="preserve">: </w:t>
      </w:r>
    </w:p>
    <w:p w:rsidR="00E94CC5" w:rsidRPr="00E94CC5" w:rsidRDefault="00E94CC5" w:rsidP="00AE1433">
      <w:pPr>
        <w:rPr>
          <w:lang w:val="en-GB"/>
        </w:rPr>
      </w:pPr>
      <w:r>
        <w:rPr>
          <w:lang w:val="en-GB"/>
        </w:rPr>
        <w:t>*</w:t>
      </w:r>
      <w:r w:rsidRPr="00E94CC5">
        <w:rPr>
          <w:lang w:val="en-GB"/>
        </w:rPr>
        <w:t xml:space="preserve">I am going to use </w:t>
      </w:r>
      <w:r>
        <w:rPr>
          <w:lang w:val="en-GB"/>
        </w:rPr>
        <w:t>quite soft criteria for filtering the data in order to get a solid data range, thereafter the initial acquired results will be thoroughly analysed and data that logically do not suit to my data will be excluded from my study.</w:t>
      </w:r>
    </w:p>
    <w:p w:rsidR="00E42C70" w:rsidRPr="00E42C70" w:rsidRDefault="00E42C70" w:rsidP="00A36559">
      <w:pPr>
        <w:pStyle w:val="aa"/>
        <w:numPr>
          <w:ilvl w:val="0"/>
          <w:numId w:val="6"/>
        </w:numPr>
        <w:rPr>
          <w:b/>
          <w:lang w:val="en-GB"/>
        </w:rPr>
      </w:pPr>
      <w:r w:rsidRPr="00E94CC5">
        <w:rPr>
          <w:i/>
          <w:lang w:val="en-GB"/>
        </w:rPr>
        <w:t xml:space="preserve">Time range. </w:t>
      </w:r>
      <w:r>
        <w:rPr>
          <w:lang w:val="en-GB"/>
        </w:rPr>
        <w:t>The initial period selection will not be restricted to particular years</w:t>
      </w:r>
      <w:r w:rsidR="00FA44A2">
        <w:rPr>
          <w:lang w:val="en-GB"/>
        </w:rPr>
        <w:t xml:space="preserve"> in short-term study</w:t>
      </w:r>
      <w:r>
        <w:rPr>
          <w:lang w:val="en-GB"/>
        </w:rPr>
        <w:t>. The whole possible period from Th</w:t>
      </w:r>
      <w:r w:rsidR="00FA44A2">
        <w:rPr>
          <w:lang w:val="en-GB"/>
        </w:rPr>
        <w:t xml:space="preserve">omson Eikon will be considered. The different approach for long term study will be used. I am going to use upper period restriction that will be the end of 2017, so my long-term research could end before the beginning of Coronavirus crisis, otherwise, my results will be </w:t>
      </w:r>
      <w:r w:rsidR="00FA44A2">
        <w:rPr>
          <w:lang w:val="en-GB"/>
        </w:rPr>
        <w:lastRenderedPageBreak/>
        <w:t xml:space="preserve">spoiled and probably unreliable due to supply and demand shocks that took place in 2020. </w:t>
      </w:r>
      <w:r>
        <w:rPr>
          <w:lang w:val="en-GB"/>
        </w:rPr>
        <w:t>However, during the process of filtering the timespan can be adjusted.</w:t>
      </w:r>
    </w:p>
    <w:p w:rsidR="00E42C70" w:rsidRPr="00E42C70" w:rsidRDefault="00E42C70" w:rsidP="00A36559">
      <w:pPr>
        <w:pStyle w:val="aa"/>
        <w:numPr>
          <w:ilvl w:val="0"/>
          <w:numId w:val="6"/>
        </w:numPr>
        <w:rPr>
          <w:b/>
          <w:lang w:val="en-GB"/>
        </w:rPr>
      </w:pPr>
      <w:r w:rsidRPr="00E94CC5">
        <w:rPr>
          <w:i/>
          <w:lang w:val="en-GB"/>
        </w:rPr>
        <w:t>Types of acquirers.</w:t>
      </w:r>
      <w:r>
        <w:rPr>
          <w:lang w:val="en-GB"/>
        </w:rPr>
        <w:t xml:space="preserve"> On the side of acquirers, companies participating in oil and gas industry (including all parts of value chain) will be included.</w:t>
      </w:r>
      <w:r w:rsidR="003F3F8F">
        <w:rPr>
          <w:lang w:val="en-GB"/>
        </w:rPr>
        <w:t xml:space="preserve"> In addition to that, these companies should be publically traded</w:t>
      </w:r>
      <w:r w:rsidR="00003251">
        <w:rPr>
          <w:lang w:val="en-GB"/>
        </w:rPr>
        <w:t xml:space="preserve"> (independent oil </w:t>
      </w:r>
      <w:r w:rsidR="00893632">
        <w:rPr>
          <w:lang w:val="en-GB"/>
        </w:rPr>
        <w:t>companies</w:t>
      </w:r>
      <w:r w:rsidR="00003251">
        <w:rPr>
          <w:lang w:val="en-GB"/>
        </w:rPr>
        <w:t>)</w:t>
      </w:r>
      <w:r w:rsidR="003F3F8F">
        <w:rPr>
          <w:lang w:val="en-GB"/>
        </w:rPr>
        <w:t xml:space="preserve"> at the moment of analysis, otherwise it will not possible to study a market reaction.</w:t>
      </w:r>
    </w:p>
    <w:p w:rsidR="006B0CEB" w:rsidRPr="006B0CEB" w:rsidRDefault="00E42C70" w:rsidP="00A36559">
      <w:pPr>
        <w:pStyle w:val="aa"/>
        <w:numPr>
          <w:ilvl w:val="0"/>
          <w:numId w:val="6"/>
        </w:numPr>
        <w:rPr>
          <w:b/>
          <w:lang w:val="en-GB"/>
        </w:rPr>
      </w:pPr>
      <w:r w:rsidRPr="00E94CC5">
        <w:rPr>
          <w:i/>
          <w:lang w:val="en-GB"/>
        </w:rPr>
        <w:t>Region/subregion/country of acquirer</w:t>
      </w:r>
      <w:r w:rsidR="00E94CC5">
        <w:rPr>
          <w:i/>
          <w:lang w:val="en-GB"/>
        </w:rPr>
        <w:t>s</w:t>
      </w:r>
      <w:r w:rsidRPr="00E94CC5">
        <w:rPr>
          <w:i/>
          <w:lang w:val="en-GB"/>
        </w:rPr>
        <w:t>.</w:t>
      </w:r>
      <w:r>
        <w:rPr>
          <w:lang w:val="en-GB"/>
        </w:rPr>
        <w:t xml:space="preserve"> As for geography of oil&amp;</w:t>
      </w:r>
      <w:r w:rsidR="00E94CC5">
        <w:rPr>
          <w:lang w:val="en-GB"/>
        </w:rPr>
        <w:t>gas companies I am going to use</w:t>
      </w:r>
      <w:r>
        <w:rPr>
          <w:lang w:val="en-GB"/>
        </w:rPr>
        <w:t xml:space="preserve"> Europe and North American companies</w:t>
      </w:r>
      <w:r w:rsidR="00E94CC5">
        <w:rPr>
          <w:lang w:val="en-GB"/>
        </w:rPr>
        <w:t>. On the side of Europe, I am not going to restrict myself only to European Union companies, but include all companies belonging to European region as well. As for North American region, this will include only companies from US and Canada. All these Atlantic have more similarities with each other than differences, what provides the principle of homogenous to my study.</w:t>
      </w:r>
      <w:r w:rsidR="006B0CEB">
        <w:rPr>
          <w:lang w:val="en-GB"/>
        </w:rPr>
        <w:t xml:space="preserve"> Moreover, </w:t>
      </w:r>
      <w:r w:rsidR="00FA44A2">
        <w:rPr>
          <w:lang w:val="en-GB"/>
        </w:rPr>
        <w:t>oil and gas companies of Europe</w:t>
      </w:r>
      <w:r w:rsidR="006B0CEB">
        <w:rPr>
          <w:lang w:val="en-GB"/>
        </w:rPr>
        <w:t xml:space="preserve"> or US origin, in studies related to the research of M&amp;A inside the </w:t>
      </w:r>
      <w:r w:rsidR="00FA44A2">
        <w:rPr>
          <w:lang w:val="en-GB"/>
        </w:rPr>
        <w:t xml:space="preserve">O&amp;G industry are </w:t>
      </w:r>
      <w:r w:rsidR="006B0CEB">
        <w:rPr>
          <w:lang w:val="en-GB"/>
        </w:rPr>
        <w:t>the most active  (</w:t>
      </w:r>
      <w:r w:rsidR="006B0CEB" w:rsidRPr="0041642E">
        <w:rPr>
          <w:lang w:val="en-GB"/>
        </w:rPr>
        <w:t>Yue Guo, Yu Yung, Chang Wang</w:t>
      </w:r>
      <w:r w:rsidR="006B0CEB">
        <w:rPr>
          <w:lang w:val="en-GB"/>
        </w:rPr>
        <w:t>, 2021)</w:t>
      </w:r>
      <w:r w:rsidR="006B0CEB">
        <w:rPr>
          <w:rStyle w:val="af0"/>
          <w:lang w:val="en-GB"/>
        </w:rPr>
        <w:footnoteReference w:id="79"/>
      </w:r>
      <w:r w:rsidR="006B0CEB">
        <w:rPr>
          <w:lang w:val="en-GB"/>
        </w:rPr>
        <w:t>.</w:t>
      </w:r>
    </w:p>
    <w:p w:rsidR="00E42C70" w:rsidRPr="00003251" w:rsidRDefault="004E6913" w:rsidP="00A36559">
      <w:pPr>
        <w:pStyle w:val="aa"/>
        <w:numPr>
          <w:ilvl w:val="0"/>
          <w:numId w:val="6"/>
        </w:numPr>
        <w:rPr>
          <w:b/>
          <w:lang w:val="en-GB"/>
        </w:rPr>
      </w:pPr>
      <w:r>
        <w:rPr>
          <w:i/>
          <w:lang w:val="en-GB"/>
        </w:rPr>
        <w:t xml:space="preserve">Target company. </w:t>
      </w:r>
      <w:r>
        <w:rPr>
          <w:lang w:val="en-GB"/>
        </w:rPr>
        <w:t>The most crucial criteria here is that companies from target side should belong to renewable/alternative</w:t>
      </w:r>
      <w:r w:rsidR="00003251">
        <w:rPr>
          <w:lang w:val="en-GB"/>
        </w:rPr>
        <w:t xml:space="preserve"> energy company. </w:t>
      </w:r>
    </w:p>
    <w:p w:rsidR="00003251" w:rsidRPr="00003251" w:rsidRDefault="00003251" w:rsidP="00A36559">
      <w:pPr>
        <w:pStyle w:val="aa"/>
        <w:numPr>
          <w:ilvl w:val="0"/>
          <w:numId w:val="6"/>
        </w:numPr>
        <w:rPr>
          <w:b/>
          <w:lang w:val="en-GB"/>
        </w:rPr>
      </w:pPr>
      <w:r w:rsidRPr="00E94CC5">
        <w:rPr>
          <w:i/>
          <w:lang w:val="en-GB"/>
        </w:rPr>
        <w:t xml:space="preserve">Region/subregion/country </w:t>
      </w:r>
      <w:r>
        <w:rPr>
          <w:i/>
          <w:lang w:val="en-GB"/>
        </w:rPr>
        <w:t xml:space="preserve">of target companies. </w:t>
      </w:r>
      <w:r>
        <w:rPr>
          <w:lang w:val="en-GB"/>
        </w:rPr>
        <w:t xml:space="preserve">In terms of geography, there no restriction to a particular region. The whole possible population will be considered. This will allow us to gather additional results that not directly related to core study goal, but brings valuable information, which can be used for further studies. </w:t>
      </w:r>
    </w:p>
    <w:p w:rsidR="00003251" w:rsidRPr="00F47F66" w:rsidRDefault="00F47F66" w:rsidP="00A36559">
      <w:pPr>
        <w:pStyle w:val="aa"/>
        <w:numPr>
          <w:ilvl w:val="0"/>
          <w:numId w:val="6"/>
        </w:numPr>
        <w:rPr>
          <w:b/>
          <w:lang w:val="en-GB"/>
        </w:rPr>
      </w:pPr>
      <w:r>
        <w:rPr>
          <w:i/>
          <w:lang w:val="en-GB"/>
        </w:rPr>
        <w:t>Size of a deal.</w:t>
      </w:r>
      <w:r>
        <w:rPr>
          <w:lang w:val="en-GB"/>
        </w:rPr>
        <w:t xml:space="preserve"> No restrictions here, as well as for the ratio of stake acquired, because sometimes such information cannot be available at all. </w:t>
      </w:r>
    </w:p>
    <w:p w:rsidR="00F47F66" w:rsidRDefault="00F47F66" w:rsidP="00F47F66">
      <w:pPr>
        <w:rPr>
          <w:lang w:val="en-GB"/>
        </w:rPr>
      </w:pPr>
      <w:r>
        <w:rPr>
          <w:lang w:val="en-GB"/>
        </w:rPr>
        <w:t>These are preliminary selection criteria for defining my sample, which I am going to use for data sampling. Further on, some additional criteria or specification can be added in order to get a proper picture of data for the analysis.</w:t>
      </w:r>
    </w:p>
    <w:p w:rsidR="00F47F66" w:rsidRPr="00F47F66" w:rsidRDefault="00BD7A79" w:rsidP="00F47F66">
      <w:pPr>
        <w:rPr>
          <w:b/>
          <w:lang w:val="en-GB"/>
        </w:rPr>
      </w:pPr>
      <w:r>
        <w:rPr>
          <w:b/>
          <w:lang w:val="en-GB"/>
        </w:rPr>
        <w:t xml:space="preserve">Gathering and </w:t>
      </w:r>
      <w:r w:rsidR="00F47F66" w:rsidRPr="00F47F66">
        <w:rPr>
          <w:b/>
          <w:lang w:val="en-GB"/>
        </w:rPr>
        <w:t>filtering</w:t>
      </w:r>
      <w:r>
        <w:rPr>
          <w:b/>
          <w:lang w:val="en-GB"/>
        </w:rPr>
        <w:t xml:space="preserve"> of data</w:t>
      </w:r>
    </w:p>
    <w:p w:rsidR="006060A7" w:rsidRDefault="00F47F66" w:rsidP="003A41AF">
      <w:pPr>
        <w:rPr>
          <w:lang w:val="en-GB"/>
        </w:rPr>
      </w:pPr>
      <w:r>
        <w:rPr>
          <w:lang w:val="en-GB"/>
        </w:rPr>
        <w:t>The Thomson Eikon, the platfo</w:t>
      </w:r>
      <w:r w:rsidR="006136C0">
        <w:rPr>
          <w:lang w:val="en-GB"/>
        </w:rPr>
        <w:t xml:space="preserve">rm that I have mentioned before, allows to gather information on different types of M&amp;A deals. Inside the platform inserted different filters that allow to build a required list of M&amp;A deals. To get a full </w:t>
      </w:r>
      <w:r w:rsidR="00CE681F">
        <w:rPr>
          <w:lang w:val="en-GB"/>
        </w:rPr>
        <w:t xml:space="preserve">and concrete </w:t>
      </w:r>
      <w:r w:rsidR="006136C0">
        <w:rPr>
          <w:lang w:val="en-GB"/>
        </w:rPr>
        <w:t xml:space="preserve">picture for my research I have used </w:t>
      </w:r>
      <w:r w:rsidR="00CE681F">
        <w:rPr>
          <w:lang w:val="en-GB"/>
        </w:rPr>
        <w:t>almost all of them, i</w:t>
      </w:r>
      <w:r w:rsidR="006060A7">
        <w:rPr>
          <w:lang w:val="en-GB"/>
        </w:rPr>
        <w:t>n accordance with</w:t>
      </w:r>
      <w:r w:rsidR="00CE681F">
        <w:rPr>
          <w:lang w:val="en-GB"/>
        </w:rPr>
        <w:t xml:space="preserve"> evaluation criteria defined above.</w:t>
      </w:r>
      <w:r w:rsidR="003A41AF">
        <w:rPr>
          <w:lang w:val="en-GB"/>
        </w:rPr>
        <w:t xml:space="preserve"> </w:t>
      </w:r>
      <w:r w:rsidR="006060A7">
        <w:rPr>
          <w:lang w:val="en-GB"/>
        </w:rPr>
        <w:t xml:space="preserve">To begin with, </w:t>
      </w:r>
      <w:r w:rsidR="006060A7">
        <w:rPr>
          <w:lang w:val="en-GB"/>
        </w:rPr>
        <w:lastRenderedPageBreak/>
        <w:t>I will provide a step by step description the process of data filtration, starting with a</w:t>
      </w:r>
      <w:r w:rsidR="003A41AF">
        <w:rPr>
          <w:lang w:val="en-GB"/>
        </w:rPr>
        <w:t>n</w:t>
      </w:r>
      <w:r w:rsidR="006060A7">
        <w:rPr>
          <w:lang w:val="en-GB"/>
        </w:rPr>
        <w:t xml:space="preserve"> initial picture of a sample and eventually showing the </w:t>
      </w:r>
      <w:r w:rsidR="003A41AF">
        <w:rPr>
          <w:lang w:val="en-GB"/>
        </w:rPr>
        <w:t>final data sample.</w:t>
      </w:r>
    </w:p>
    <w:p w:rsidR="003A41AF" w:rsidRDefault="003A41AF" w:rsidP="00E42C70">
      <w:pPr>
        <w:rPr>
          <w:lang w:val="en-GB"/>
        </w:rPr>
      </w:pPr>
      <w:r>
        <w:rPr>
          <w:lang w:val="en-GB"/>
        </w:rPr>
        <w:t>The table of results included following columns:</w:t>
      </w:r>
    </w:p>
    <w:p w:rsidR="003A41AF" w:rsidRDefault="003A41AF" w:rsidP="00A36559">
      <w:pPr>
        <w:pStyle w:val="aa"/>
        <w:numPr>
          <w:ilvl w:val="0"/>
          <w:numId w:val="7"/>
        </w:numPr>
        <w:rPr>
          <w:lang w:val="en-GB"/>
        </w:rPr>
      </w:pPr>
      <w:r w:rsidRPr="003A41AF">
        <w:rPr>
          <w:lang w:val="en-GB"/>
        </w:rPr>
        <w:t xml:space="preserve">Deal Number </w:t>
      </w:r>
    </w:p>
    <w:p w:rsidR="003A41AF" w:rsidRDefault="003A41AF" w:rsidP="00A36559">
      <w:pPr>
        <w:pStyle w:val="aa"/>
        <w:numPr>
          <w:ilvl w:val="0"/>
          <w:numId w:val="7"/>
        </w:numPr>
        <w:rPr>
          <w:lang w:val="en-GB"/>
        </w:rPr>
      </w:pPr>
      <w:r>
        <w:rPr>
          <w:lang w:val="en-GB"/>
        </w:rPr>
        <w:t>Announcement date – for time period the maximum possible time san has been used</w:t>
      </w:r>
      <w:r w:rsidR="00D0662C">
        <w:rPr>
          <w:lang w:val="en-GB"/>
        </w:rPr>
        <w:t xml:space="preserve">. </w:t>
      </w:r>
    </w:p>
    <w:p w:rsidR="003A41AF" w:rsidRDefault="003A41AF" w:rsidP="00A36559">
      <w:pPr>
        <w:pStyle w:val="aa"/>
        <w:numPr>
          <w:ilvl w:val="0"/>
          <w:numId w:val="7"/>
        </w:numPr>
        <w:rPr>
          <w:lang w:val="en-GB"/>
        </w:rPr>
      </w:pPr>
      <w:r>
        <w:rPr>
          <w:lang w:val="en-GB"/>
        </w:rPr>
        <w:t>Deal size</w:t>
      </w:r>
    </w:p>
    <w:p w:rsidR="003A41AF" w:rsidRDefault="003A41AF" w:rsidP="00A36559">
      <w:pPr>
        <w:pStyle w:val="aa"/>
        <w:numPr>
          <w:ilvl w:val="0"/>
          <w:numId w:val="7"/>
        </w:numPr>
        <w:rPr>
          <w:lang w:val="en-GB"/>
        </w:rPr>
      </w:pPr>
      <w:r w:rsidRPr="003A41AF">
        <w:rPr>
          <w:lang w:val="en-GB"/>
        </w:rPr>
        <w:t>Reported Deal Value (M USD)</w:t>
      </w:r>
    </w:p>
    <w:p w:rsidR="003A41AF" w:rsidRDefault="003A41AF" w:rsidP="00A36559">
      <w:pPr>
        <w:pStyle w:val="aa"/>
        <w:numPr>
          <w:ilvl w:val="0"/>
          <w:numId w:val="7"/>
        </w:numPr>
        <w:rPr>
          <w:lang w:val="en-GB"/>
        </w:rPr>
      </w:pPr>
      <w:r w:rsidRPr="003A41AF">
        <w:rPr>
          <w:lang w:val="en-GB"/>
        </w:rPr>
        <w:t>Deal Status</w:t>
      </w:r>
    </w:p>
    <w:p w:rsidR="003A41AF" w:rsidRDefault="003A41AF" w:rsidP="00A36559">
      <w:pPr>
        <w:pStyle w:val="aa"/>
        <w:numPr>
          <w:ilvl w:val="0"/>
          <w:numId w:val="7"/>
        </w:numPr>
        <w:rPr>
          <w:lang w:val="en-GB"/>
        </w:rPr>
      </w:pPr>
      <w:r w:rsidRPr="003A41AF">
        <w:rPr>
          <w:lang w:val="en-GB"/>
        </w:rPr>
        <w:t>Acquirer Ultimate Parent</w:t>
      </w:r>
    </w:p>
    <w:p w:rsidR="003A41AF" w:rsidRDefault="003A41AF" w:rsidP="00A36559">
      <w:pPr>
        <w:pStyle w:val="aa"/>
        <w:numPr>
          <w:ilvl w:val="0"/>
          <w:numId w:val="7"/>
        </w:numPr>
        <w:rPr>
          <w:lang w:val="en-GB"/>
        </w:rPr>
      </w:pPr>
      <w:r w:rsidRPr="003A41AF">
        <w:rPr>
          <w:lang w:val="en-GB"/>
        </w:rPr>
        <w:t>Acquirer Name</w:t>
      </w:r>
    </w:p>
    <w:p w:rsidR="003A41AF" w:rsidRDefault="003A41AF" w:rsidP="00A36559">
      <w:pPr>
        <w:pStyle w:val="aa"/>
        <w:numPr>
          <w:ilvl w:val="0"/>
          <w:numId w:val="7"/>
        </w:numPr>
        <w:rPr>
          <w:lang w:val="en-GB"/>
        </w:rPr>
      </w:pPr>
      <w:r w:rsidRPr="003A41AF">
        <w:rPr>
          <w:lang w:val="en-GB"/>
        </w:rPr>
        <w:t>Acquirer Business Description</w:t>
      </w:r>
      <w:r>
        <w:rPr>
          <w:lang w:val="en-GB"/>
        </w:rPr>
        <w:t xml:space="preserve"> </w:t>
      </w:r>
    </w:p>
    <w:p w:rsidR="003A41AF" w:rsidRDefault="003A41AF" w:rsidP="00A36559">
      <w:pPr>
        <w:pStyle w:val="aa"/>
        <w:numPr>
          <w:ilvl w:val="0"/>
          <w:numId w:val="7"/>
        </w:numPr>
        <w:rPr>
          <w:lang w:val="en-GB"/>
        </w:rPr>
      </w:pPr>
      <w:r w:rsidRPr="003A41AF">
        <w:rPr>
          <w:lang w:val="en-GB"/>
        </w:rPr>
        <w:t>Target Ultimate Parent</w:t>
      </w:r>
    </w:p>
    <w:p w:rsidR="003A41AF" w:rsidRDefault="003A41AF" w:rsidP="00A36559">
      <w:pPr>
        <w:pStyle w:val="aa"/>
        <w:numPr>
          <w:ilvl w:val="0"/>
          <w:numId w:val="7"/>
        </w:numPr>
        <w:rPr>
          <w:lang w:val="en-GB"/>
        </w:rPr>
      </w:pPr>
      <w:r w:rsidRPr="003A41AF">
        <w:rPr>
          <w:lang w:val="en-GB"/>
        </w:rPr>
        <w:t>Target Name</w:t>
      </w:r>
    </w:p>
    <w:p w:rsidR="003A41AF" w:rsidRDefault="003A41AF" w:rsidP="00A36559">
      <w:pPr>
        <w:pStyle w:val="aa"/>
        <w:numPr>
          <w:ilvl w:val="0"/>
          <w:numId w:val="7"/>
        </w:numPr>
        <w:rPr>
          <w:lang w:val="en-GB"/>
        </w:rPr>
      </w:pPr>
      <w:r w:rsidRPr="003A41AF">
        <w:rPr>
          <w:lang w:val="en-GB"/>
        </w:rPr>
        <w:t>Target Business Description</w:t>
      </w:r>
    </w:p>
    <w:p w:rsidR="003A41AF" w:rsidRDefault="003A41AF" w:rsidP="00A36559">
      <w:pPr>
        <w:pStyle w:val="aa"/>
        <w:numPr>
          <w:ilvl w:val="0"/>
          <w:numId w:val="7"/>
        </w:numPr>
        <w:rPr>
          <w:lang w:val="en-GB"/>
        </w:rPr>
      </w:pPr>
      <w:r w:rsidRPr="003A41AF">
        <w:rPr>
          <w:lang w:val="en-GB"/>
        </w:rPr>
        <w:t>Acquirer Nation</w:t>
      </w:r>
      <w:r>
        <w:rPr>
          <w:lang w:val="en-GB"/>
        </w:rPr>
        <w:t xml:space="preserve"> </w:t>
      </w:r>
    </w:p>
    <w:p w:rsidR="00D0662C" w:rsidRDefault="003A41AF" w:rsidP="00A36559">
      <w:pPr>
        <w:pStyle w:val="aa"/>
        <w:numPr>
          <w:ilvl w:val="0"/>
          <w:numId w:val="7"/>
        </w:numPr>
        <w:rPr>
          <w:lang w:val="en-GB"/>
        </w:rPr>
      </w:pPr>
      <w:r w:rsidRPr="00D0662C">
        <w:rPr>
          <w:lang w:val="en-GB"/>
        </w:rPr>
        <w:t>Acquirer Region/Subregion</w:t>
      </w:r>
    </w:p>
    <w:p w:rsidR="00D0662C" w:rsidRDefault="00D0662C" w:rsidP="00A36559">
      <w:pPr>
        <w:pStyle w:val="aa"/>
        <w:numPr>
          <w:ilvl w:val="0"/>
          <w:numId w:val="7"/>
        </w:numPr>
        <w:rPr>
          <w:lang w:val="en-GB"/>
        </w:rPr>
      </w:pPr>
      <w:r w:rsidRPr="00D0662C">
        <w:rPr>
          <w:lang w:val="en-GB"/>
        </w:rPr>
        <w:t>Acquirer Industry</w:t>
      </w:r>
      <w:r>
        <w:rPr>
          <w:lang w:val="en-GB"/>
        </w:rPr>
        <w:t xml:space="preserve"> – Oil&amp;gas was selected in filters</w:t>
      </w:r>
    </w:p>
    <w:p w:rsidR="00D0662C" w:rsidRDefault="00D0662C" w:rsidP="00A36559">
      <w:pPr>
        <w:pStyle w:val="aa"/>
        <w:numPr>
          <w:ilvl w:val="0"/>
          <w:numId w:val="7"/>
        </w:numPr>
        <w:rPr>
          <w:lang w:val="en-GB"/>
        </w:rPr>
      </w:pPr>
      <w:r w:rsidRPr="00D0662C">
        <w:rPr>
          <w:lang w:val="en-GB"/>
        </w:rPr>
        <w:t>Target Industry</w:t>
      </w:r>
    </w:p>
    <w:p w:rsidR="00D0662C" w:rsidRDefault="00D0662C" w:rsidP="00A36559">
      <w:pPr>
        <w:pStyle w:val="aa"/>
        <w:numPr>
          <w:ilvl w:val="0"/>
          <w:numId w:val="7"/>
        </w:numPr>
        <w:rPr>
          <w:lang w:val="en-GB"/>
        </w:rPr>
      </w:pPr>
      <w:r w:rsidRPr="00D0662C">
        <w:rPr>
          <w:lang w:val="en-GB"/>
        </w:rPr>
        <w:t>Form of the Transaction</w:t>
      </w:r>
    </w:p>
    <w:p w:rsidR="00D0662C" w:rsidRDefault="00D0662C" w:rsidP="00A36559">
      <w:pPr>
        <w:pStyle w:val="aa"/>
        <w:numPr>
          <w:ilvl w:val="0"/>
          <w:numId w:val="7"/>
        </w:numPr>
        <w:rPr>
          <w:lang w:val="en-GB"/>
        </w:rPr>
      </w:pPr>
      <w:r w:rsidRPr="00D0662C">
        <w:rPr>
          <w:lang w:val="en-GB"/>
        </w:rPr>
        <w:t>% acquired</w:t>
      </w:r>
    </w:p>
    <w:p w:rsidR="00D0662C" w:rsidRDefault="00D0662C" w:rsidP="00A36559">
      <w:pPr>
        <w:pStyle w:val="aa"/>
        <w:numPr>
          <w:ilvl w:val="0"/>
          <w:numId w:val="7"/>
        </w:numPr>
        <w:rPr>
          <w:lang w:val="en-GB"/>
        </w:rPr>
      </w:pPr>
      <w:r w:rsidRPr="00D0662C">
        <w:rPr>
          <w:lang w:val="en-GB"/>
        </w:rPr>
        <w:t>Target Public Status</w:t>
      </w:r>
    </w:p>
    <w:p w:rsidR="00D0662C" w:rsidRDefault="00D0662C" w:rsidP="00A36559">
      <w:pPr>
        <w:pStyle w:val="aa"/>
        <w:numPr>
          <w:ilvl w:val="0"/>
          <w:numId w:val="7"/>
        </w:numPr>
        <w:rPr>
          <w:lang w:val="en-GB"/>
        </w:rPr>
      </w:pPr>
      <w:r w:rsidRPr="00D0662C">
        <w:rPr>
          <w:lang w:val="en-GB"/>
        </w:rPr>
        <w:t>Acquirer Public Status</w:t>
      </w:r>
    </w:p>
    <w:p w:rsidR="00D0662C" w:rsidRDefault="00D0662C" w:rsidP="00A36559">
      <w:pPr>
        <w:pStyle w:val="aa"/>
        <w:numPr>
          <w:ilvl w:val="0"/>
          <w:numId w:val="7"/>
        </w:numPr>
        <w:rPr>
          <w:lang w:val="en-GB"/>
        </w:rPr>
      </w:pPr>
      <w:r>
        <w:rPr>
          <w:lang w:val="en-GB"/>
        </w:rPr>
        <w:t>Target&amp;</w:t>
      </w:r>
      <w:r w:rsidRPr="00D0662C">
        <w:rPr>
          <w:lang w:val="en-GB"/>
        </w:rPr>
        <w:t xml:space="preserve"> Acquirer RIC</w:t>
      </w:r>
      <w:r>
        <w:rPr>
          <w:lang w:val="en-GB"/>
        </w:rPr>
        <w:t xml:space="preserve"> – an identifier on stock market.</w:t>
      </w:r>
    </w:p>
    <w:p w:rsidR="00223347" w:rsidRDefault="00223347" w:rsidP="0016216E">
      <w:pPr>
        <w:rPr>
          <w:lang w:val="en-GB"/>
        </w:rPr>
      </w:pPr>
    </w:p>
    <w:p w:rsidR="004B4B42" w:rsidRDefault="00BD7A79" w:rsidP="0016216E">
      <w:pPr>
        <w:rPr>
          <w:lang w:val="en-GB"/>
        </w:rPr>
      </w:pPr>
      <w:r>
        <w:rPr>
          <w:i/>
          <w:lang w:val="en-GB"/>
        </w:rPr>
        <w:t>First r</w:t>
      </w:r>
      <w:r w:rsidR="00223347" w:rsidRPr="00223347">
        <w:rPr>
          <w:i/>
          <w:lang w:val="en-GB"/>
        </w:rPr>
        <w:t>esults:</w:t>
      </w:r>
      <w:r w:rsidR="00223347">
        <w:rPr>
          <w:lang w:val="en-GB"/>
        </w:rPr>
        <w:t xml:space="preserve"> the time span that was from 1990 to 2021; all deals had a Completed status;</w:t>
      </w:r>
    </w:p>
    <w:p w:rsidR="004B4B42" w:rsidRDefault="004B4B42" w:rsidP="0016216E">
      <w:pPr>
        <w:rPr>
          <w:lang w:val="en-GB"/>
        </w:rPr>
      </w:pPr>
      <w:r>
        <w:rPr>
          <w:lang w:val="en-GB"/>
        </w:rPr>
        <w:t>A</w:t>
      </w:r>
      <w:r w:rsidR="00223347">
        <w:rPr>
          <w:lang w:val="en-GB"/>
        </w:rPr>
        <w:t>cquirer industry was Oil&amp;gas;</w:t>
      </w:r>
    </w:p>
    <w:p w:rsidR="004B4B42" w:rsidRDefault="00223347" w:rsidP="0016216E">
      <w:pPr>
        <w:rPr>
          <w:lang w:val="en-GB"/>
        </w:rPr>
      </w:pPr>
      <w:r>
        <w:rPr>
          <w:lang w:val="en-GB"/>
        </w:rPr>
        <w:t xml:space="preserve">Target industry was Alternative energy that according to Thomson Eikon include all </w:t>
      </w:r>
      <w:r w:rsidR="00D46645">
        <w:rPr>
          <w:lang w:val="en-GB"/>
        </w:rPr>
        <w:t xml:space="preserve">energy </w:t>
      </w:r>
      <w:r>
        <w:rPr>
          <w:lang w:val="en-GB"/>
        </w:rPr>
        <w:t>companies participating in non-fossil fuel industry; acquirers regions were Europe and North America, on the side of Europe all companies are from Western Europe except for one from Romania;</w:t>
      </w:r>
    </w:p>
    <w:p w:rsidR="004B4B42" w:rsidRDefault="004B4B42" w:rsidP="0016216E">
      <w:pPr>
        <w:rPr>
          <w:lang w:val="en-GB"/>
        </w:rPr>
      </w:pPr>
      <w:r>
        <w:rPr>
          <w:lang w:val="en-GB"/>
        </w:rPr>
        <w:t>T</w:t>
      </w:r>
      <w:r w:rsidR="00223347">
        <w:rPr>
          <w:lang w:val="en-GB"/>
        </w:rPr>
        <w:t>he total number of deal in the initial lis</w:t>
      </w:r>
      <w:r w:rsidR="00107DD6">
        <w:rPr>
          <w:lang w:val="en-GB"/>
        </w:rPr>
        <w:t xml:space="preserve">t were 98; </w:t>
      </w:r>
    </w:p>
    <w:p w:rsidR="00223347" w:rsidRDefault="00107DD6" w:rsidP="0016216E">
      <w:pPr>
        <w:rPr>
          <w:lang w:val="en-GB"/>
        </w:rPr>
      </w:pPr>
      <w:r>
        <w:rPr>
          <w:lang w:val="en-GB"/>
        </w:rPr>
        <w:t xml:space="preserve">As for form of transaction it included several different types like </w:t>
      </w:r>
      <w:r w:rsidRPr="00107DD6">
        <w:rPr>
          <w:lang w:val="en-GB"/>
        </w:rPr>
        <w:t>Merger</w:t>
      </w:r>
      <w:r>
        <w:rPr>
          <w:lang w:val="en-GB"/>
        </w:rPr>
        <w:t xml:space="preserve">, </w:t>
      </w:r>
      <w:r w:rsidR="004B4B42">
        <w:rPr>
          <w:lang w:val="en-GB"/>
        </w:rPr>
        <w:t>Acquisition o</w:t>
      </w:r>
      <w:r w:rsidRPr="00107DD6">
        <w:rPr>
          <w:lang w:val="en-GB"/>
        </w:rPr>
        <w:t>f Majority Assets</w:t>
      </w:r>
      <w:r>
        <w:rPr>
          <w:lang w:val="en-GB"/>
        </w:rPr>
        <w:t xml:space="preserve">, </w:t>
      </w:r>
      <w:r w:rsidR="007C3190">
        <w:rPr>
          <w:lang w:val="en-GB"/>
        </w:rPr>
        <w:t>Acquisition o</w:t>
      </w:r>
      <w:r w:rsidRPr="00107DD6">
        <w:rPr>
          <w:lang w:val="en-GB"/>
        </w:rPr>
        <w:t>f Assets</w:t>
      </w:r>
      <w:r>
        <w:rPr>
          <w:lang w:val="en-GB"/>
        </w:rPr>
        <w:t xml:space="preserve">, </w:t>
      </w:r>
      <w:r w:rsidR="007C3190">
        <w:rPr>
          <w:lang w:val="en-GB"/>
        </w:rPr>
        <w:t>Acquisition o</w:t>
      </w:r>
      <w:r w:rsidRPr="00107DD6">
        <w:rPr>
          <w:lang w:val="en-GB"/>
        </w:rPr>
        <w:t>f Partial Interest</w:t>
      </w:r>
      <w:r>
        <w:rPr>
          <w:lang w:val="en-GB"/>
        </w:rPr>
        <w:t xml:space="preserve"> and </w:t>
      </w:r>
      <w:r w:rsidR="007C3190">
        <w:rPr>
          <w:lang w:val="en-GB"/>
        </w:rPr>
        <w:t>Acquisition o</w:t>
      </w:r>
      <w:r w:rsidRPr="00107DD6">
        <w:rPr>
          <w:lang w:val="en-GB"/>
        </w:rPr>
        <w:t>f Remaining Interest</w:t>
      </w:r>
      <w:r>
        <w:rPr>
          <w:lang w:val="en-GB"/>
        </w:rPr>
        <w:t xml:space="preserve"> (all these are types of M&amp;A deals according to Thomson Reuters).</w:t>
      </w:r>
    </w:p>
    <w:p w:rsidR="004B4B42" w:rsidRDefault="004B4B42" w:rsidP="0016216E">
      <w:pPr>
        <w:rPr>
          <w:lang w:val="en-GB"/>
        </w:rPr>
      </w:pPr>
    </w:p>
    <w:p w:rsidR="004B4B42" w:rsidRDefault="00223347" w:rsidP="00223347">
      <w:pPr>
        <w:rPr>
          <w:lang w:val="en-GB"/>
        </w:rPr>
      </w:pPr>
      <w:r w:rsidRPr="00223347">
        <w:rPr>
          <w:i/>
          <w:lang w:val="en-GB"/>
        </w:rPr>
        <w:t>Notes*:</w:t>
      </w:r>
      <w:r>
        <w:rPr>
          <w:lang w:val="en-GB"/>
        </w:rPr>
        <w:t xml:space="preserve"> deal size factor was not considered as significant for further data selection, because some deals reported 0 deal value, while the % of acquired were 100%, what can tell that the data on deal size probably is not publically available</w:t>
      </w:r>
      <w:r w:rsidR="0016216E">
        <w:rPr>
          <w:lang w:val="en-GB"/>
        </w:rPr>
        <w:t xml:space="preserve">; </w:t>
      </w:r>
    </w:p>
    <w:p w:rsidR="004B4B42" w:rsidRDefault="00107DD6" w:rsidP="00223347">
      <w:pPr>
        <w:rPr>
          <w:lang w:val="en-GB"/>
        </w:rPr>
      </w:pPr>
      <w:r>
        <w:rPr>
          <w:lang w:val="en-GB"/>
        </w:rPr>
        <w:t>sometimes the information between the type of deal did not relate to informa</w:t>
      </w:r>
      <w:r w:rsidR="004B4B42">
        <w:rPr>
          <w:lang w:val="en-GB"/>
        </w:rPr>
        <w:t>tion on % acquired, for example, it was stated 0% acquired and Acquisition of Majority of assets, what could be interpreted as not availability of true information on % acquired, hence, the column of % acquired did not influence further selection of information;</w:t>
      </w:r>
    </w:p>
    <w:p w:rsidR="004B4B42" w:rsidRDefault="004B4B42" w:rsidP="00223347">
      <w:pPr>
        <w:rPr>
          <w:lang w:val="en-GB"/>
        </w:rPr>
      </w:pPr>
      <w:r>
        <w:rPr>
          <w:lang w:val="en-GB"/>
        </w:rPr>
        <w:t>Acquirer</w:t>
      </w:r>
      <w:r w:rsidR="0016216E">
        <w:rPr>
          <w:lang w:val="en-GB"/>
        </w:rPr>
        <w:t xml:space="preserve"> ultimate parent data was needed as the companies that participated in deals, were often not public</w:t>
      </w:r>
      <w:r w:rsidR="00223347">
        <w:rPr>
          <w:lang w:val="en-GB"/>
        </w:rPr>
        <w:t xml:space="preserve"> (what is exposed in </w:t>
      </w:r>
      <w:r w:rsidR="00223347" w:rsidRPr="00223347">
        <w:rPr>
          <w:lang w:val="en-GB"/>
        </w:rPr>
        <w:t>Acquirer Public Status</w:t>
      </w:r>
      <w:r w:rsidR="00223347">
        <w:rPr>
          <w:lang w:val="en-GB"/>
        </w:rPr>
        <w:t xml:space="preserve"> column)</w:t>
      </w:r>
      <w:r w:rsidR="0016216E">
        <w:rPr>
          <w:lang w:val="en-GB"/>
        </w:rPr>
        <w:t>, therefore only their parent</w:t>
      </w:r>
      <w:r w:rsidR="00223347">
        <w:rPr>
          <w:lang w:val="en-GB"/>
        </w:rPr>
        <w:t>s’ trading data</w:t>
      </w:r>
      <w:r w:rsidR="0016216E">
        <w:rPr>
          <w:lang w:val="en-GB"/>
        </w:rPr>
        <w:t xml:space="preserve"> </w:t>
      </w:r>
      <w:r w:rsidR="00223347">
        <w:rPr>
          <w:lang w:val="en-GB"/>
        </w:rPr>
        <w:t>was</w:t>
      </w:r>
      <w:r w:rsidR="0016216E">
        <w:rPr>
          <w:lang w:val="en-GB"/>
        </w:rPr>
        <w:t xml:space="preserve"> available;</w:t>
      </w:r>
    </w:p>
    <w:p w:rsidR="00D0662C" w:rsidRDefault="0016216E" w:rsidP="00223347">
      <w:pPr>
        <w:rPr>
          <w:lang w:val="en-GB"/>
        </w:rPr>
      </w:pPr>
      <w:r>
        <w:rPr>
          <w:lang w:val="en-GB"/>
        </w:rPr>
        <w:t xml:space="preserve"> </w:t>
      </w:r>
      <w:r w:rsidR="00D46645">
        <w:rPr>
          <w:lang w:val="en-GB"/>
        </w:rPr>
        <w:t>Acquirers’ business description later on was needed to analyse if these companies suit to my study; target business description was later used to diversify among solar&amp;wind companies and other types of alt</w:t>
      </w:r>
      <w:r w:rsidR="00AE36A4">
        <w:rPr>
          <w:lang w:val="en-GB"/>
        </w:rPr>
        <w:t>ernative energy entities for my</w:t>
      </w:r>
      <w:r w:rsidR="00107DD6">
        <w:rPr>
          <w:lang w:val="en-GB"/>
        </w:rPr>
        <w:t>; the final column acquirer RIC was used to gather stock return information.</w:t>
      </w:r>
    </w:p>
    <w:p w:rsidR="004B4B42" w:rsidRDefault="004B4B42" w:rsidP="00223347">
      <w:pPr>
        <w:rPr>
          <w:lang w:val="en-GB"/>
        </w:rPr>
      </w:pPr>
    </w:p>
    <w:p w:rsidR="00107DD6" w:rsidRDefault="00107DD6" w:rsidP="00223347">
      <w:pPr>
        <w:rPr>
          <w:lang w:val="en-GB"/>
        </w:rPr>
      </w:pPr>
      <w:r>
        <w:rPr>
          <w:lang w:val="en-GB"/>
        </w:rPr>
        <w:t>There on, the crude initial data obtained from the Eikon has been filtered</w:t>
      </w:r>
      <w:r w:rsidR="00103366">
        <w:rPr>
          <w:lang w:val="en-GB"/>
        </w:rPr>
        <w:t xml:space="preserve">, the process itself was quite long and multi </w:t>
      </w:r>
      <w:r w:rsidR="00DE5507">
        <w:rPr>
          <w:lang w:val="en-GB"/>
        </w:rPr>
        <w:t>stepped</w:t>
      </w:r>
      <w:r>
        <w:rPr>
          <w:lang w:val="en-GB"/>
        </w:rPr>
        <w:t xml:space="preserve">. Since, the major goal of my study is to access the market’s reaction </w:t>
      </w:r>
      <w:r w:rsidR="004637F9">
        <w:rPr>
          <w:lang w:val="en-GB"/>
        </w:rPr>
        <w:t>on M&amp;</w:t>
      </w:r>
      <w:r>
        <w:rPr>
          <w:lang w:val="en-GB"/>
        </w:rPr>
        <w:t>A</w:t>
      </w:r>
      <w:r w:rsidR="004637F9">
        <w:rPr>
          <w:lang w:val="en-GB"/>
        </w:rPr>
        <w:t xml:space="preserve"> deals between companies belonging to Oil&amp;gas industry from the acquirer side and companies belonging to alternative energy solutions from target side. Thus if companies according to its description did not belong to these categories, then were excluded.</w:t>
      </w:r>
    </w:p>
    <w:p w:rsidR="00103366" w:rsidRDefault="00103366" w:rsidP="00223347">
      <w:pPr>
        <w:rPr>
          <w:lang w:val="en-GB"/>
        </w:rPr>
      </w:pPr>
      <w:r>
        <w:rPr>
          <w:lang w:val="en-GB"/>
        </w:rPr>
        <w:t xml:space="preserve">On the side of </w:t>
      </w:r>
      <w:r w:rsidR="00DE5507">
        <w:rPr>
          <w:lang w:val="en-GB"/>
        </w:rPr>
        <w:t xml:space="preserve">targets there were not any obstacles and these companies’ functions description responded to the definition of alternative Energy. The opposite situation took place with acquirers. Even though, the Thomson platform has defined them as oil&amp;gas industry, according to their business description this was not always the case. For example, some companies were involved in coal mining like Alkana Energy PLC, hydrogen and biofuel energy, services providers for oil&amp;gas industry, companies participating in renewable energy like Ørsted. Therefore, all companies from the </w:t>
      </w:r>
      <w:r w:rsidR="00140EE9">
        <w:rPr>
          <w:lang w:val="en-GB"/>
        </w:rPr>
        <w:t>acquirer’s</w:t>
      </w:r>
      <w:r w:rsidR="00DE5507">
        <w:rPr>
          <w:lang w:val="en-GB"/>
        </w:rPr>
        <w:t xml:space="preserve"> side that could not be </w:t>
      </w:r>
      <w:r w:rsidR="00140EE9">
        <w:rPr>
          <w:lang w:val="en-GB"/>
        </w:rPr>
        <w:t>included in any part of value chain typical for oil and gas industry (up/mid/downstream) according to their business description were excluded from the list, otherwise they would spoil the results of my research. However, if listed business to exclude was just a part of their business activities and were combined with activities in oil and gas sector, then those companies were left.</w:t>
      </w:r>
    </w:p>
    <w:p w:rsidR="008143E4" w:rsidRDefault="00140EE9" w:rsidP="00375F07">
      <w:pPr>
        <w:rPr>
          <w:lang w:val="en-GB"/>
        </w:rPr>
      </w:pPr>
      <w:r>
        <w:rPr>
          <w:lang w:val="en-GB"/>
        </w:rPr>
        <w:t>Second major filter was the availability of stock prices for left companies. Initially not all companies had RICs, what meant that all of them are publically traded. The availability on stock market was double checked throu</w:t>
      </w:r>
      <w:r w:rsidR="00445579">
        <w:rPr>
          <w:lang w:val="en-GB"/>
        </w:rPr>
        <w:t xml:space="preserve">gh the Yahoo finance. Even if companies left are available on </w:t>
      </w:r>
      <w:r w:rsidR="00445579">
        <w:rPr>
          <w:lang w:val="en-GB"/>
        </w:rPr>
        <w:lastRenderedPageBreak/>
        <w:t>stock market, some of them did not went IPO at the period needed for my analysis that was the case mostly for companies that participate</w:t>
      </w:r>
      <w:r w:rsidR="00375F07">
        <w:rPr>
          <w:lang w:val="en-GB"/>
        </w:rPr>
        <w:t>d in deals before 2000s.</w:t>
      </w:r>
    </w:p>
    <w:p w:rsidR="00375F07" w:rsidRPr="00D0662C" w:rsidRDefault="00375F07" w:rsidP="00375F07">
      <w:pPr>
        <w:rPr>
          <w:lang w:val="en-GB"/>
        </w:rPr>
      </w:pPr>
      <w:r>
        <w:rPr>
          <w:lang w:val="en-GB"/>
        </w:rPr>
        <w:t>One of issues that appeared during selecting the traded companies</w:t>
      </w:r>
      <w:r w:rsidR="000F63D7">
        <w:rPr>
          <w:lang w:val="en-GB"/>
        </w:rPr>
        <w:t xml:space="preserve"> that several companies from the acquirers list being subsidiaries of a same parent company, therefore the stock returns of that parent company has been analysed. This has reduced the number of companies in the list, but not the number of observations.</w:t>
      </w:r>
    </w:p>
    <w:p w:rsidR="000F63D7" w:rsidRDefault="000F63D7" w:rsidP="000F63D7">
      <w:pPr>
        <w:rPr>
          <w:lang w:val="en-GB"/>
        </w:rPr>
      </w:pPr>
      <w:r>
        <w:rPr>
          <w:lang w:val="en-GB"/>
        </w:rPr>
        <w:t>All these filters that I have discussed has considerably reduced the numb</w:t>
      </w:r>
      <w:r w:rsidR="00BD0807">
        <w:rPr>
          <w:lang w:val="en-GB"/>
        </w:rPr>
        <w:t>er of observations from 98 to 25 for short term study and to 16</w:t>
      </w:r>
      <w:r>
        <w:rPr>
          <w:lang w:val="en-GB"/>
        </w:rPr>
        <w:t xml:space="preserve"> for long term study (deals starting from 2018 have been excluded for long term, that 7 deals from 2018 to 2021). </w:t>
      </w:r>
    </w:p>
    <w:p w:rsidR="00037BCF" w:rsidRDefault="00037BCF" w:rsidP="00D73321">
      <w:pPr>
        <w:rPr>
          <w:lang w:val="en-GB"/>
        </w:rPr>
      </w:pPr>
      <w:r>
        <w:rPr>
          <w:lang w:val="en-GB"/>
        </w:rPr>
        <w:t>Now moving to the summary of data sample the table of M&amp;A, which effects will be analysed, two tables presenting data for short-term and long-terms studies respectively, are provided below.</w:t>
      </w:r>
      <w:r w:rsidR="0026537E">
        <w:rPr>
          <w:lang w:val="en-GB"/>
        </w:rPr>
        <w:t xml:space="preserve"> The tables are presented in time consequence order of deals starting from latest one and ending by the earliest. </w:t>
      </w:r>
    </w:p>
    <w:p w:rsidR="00037BCF" w:rsidRDefault="0030656B" w:rsidP="00D73321">
      <w:pPr>
        <w:pStyle w:val="3"/>
        <w:rPr>
          <w:lang w:val="en-GB"/>
        </w:rPr>
      </w:pPr>
      <w:bookmarkStart w:id="15" w:name="_Toc73640571"/>
      <w:r>
        <w:rPr>
          <w:lang w:val="en-GB"/>
        </w:rPr>
        <w:t xml:space="preserve">2.3.1 </w:t>
      </w:r>
      <w:r w:rsidR="00D73321">
        <w:rPr>
          <w:lang w:val="en-GB"/>
        </w:rPr>
        <w:t>Data</w:t>
      </w:r>
      <w:r>
        <w:rPr>
          <w:lang w:val="en-GB"/>
        </w:rPr>
        <w:t xml:space="preserve"> for short-term study</w:t>
      </w:r>
      <w:bookmarkEnd w:id="15"/>
    </w:p>
    <w:p w:rsidR="00AE36A4" w:rsidRDefault="00AE36A4" w:rsidP="00AE36A4">
      <w:pPr>
        <w:rPr>
          <w:lang w:val="en-GB"/>
        </w:rPr>
      </w:pPr>
    </w:p>
    <w:p w:rsidR="00AE36A4" w:rsidRPr="00AE36A4" w:rsidRDefault="00AE36A4" w:rsidP="00AE36A4">
      <w:pPr>
        <w:rPr>
          <w:lang w:val="en-GB"/>
        </w:rPr>
      </w:pPr>
    </w:p>
    <w:p w:rsidR="00037BCF" w:rsidRDefault="00DF71E1" w:rsidP="00DF71E1">
      <w:pPr>
        <w:pStyle w:val="SVEtablecaption"/>
      </w:pPr>
      <w:r>
        <w:t>Data sample for short-term study</w:t>
      </w:r>
      <w:r w:rsidR="00AE36A4">
        <w:rPr>
          <w:lang w:val="en-GB"/>
        </w:rPr>
        <w:t>. Source [made by author, data acquired from Thomson Eikon]</w:t>
      </w:r>
    </w:p>
    <w:p w:rsidR="00037BCF" w:rsidRDefault="00037BCF" w:rsidP="000F63D7">
      <w:pPr>
        <w:rPr>
          <w:lang w:val="en-GB"/>
        </w:rPr>
      </w:pPr>
    </w:p>
    <w:tbl>
      <w:tblPr>
        <w:tblStyle w:val="a6"/>
        <w:tblW w:w="11625" w:type="dxa"/>
        <w:tblInd w:w="-1565" w:type="dxa"/>
        <w:tblLayout w:type="fixed"/>
        <w:tblLook w:val="04A0" w:firstRow="1" w:lastRow="0" w:firstColumn="1" w:lastColumn="0" w:noHBand="0" w:noVBand="1"/>
      </w:tblPr>
      <w:tblGrid>
        <w:gridCol w:w="1276"/>
        <w:gridCol w:w="1277"/>
        <w:gridCol w:w="1559"/>
        <w:gridCol w:w="1417"/>
        <w:gridCol w:w="1134"/>
        <w:gridCol w:w="1985"/>
        <w:gridCol w:w="1134"/>
        <w:gridCol w:w="1843"/>
      </w:tblGrid>
      <w:tr w:rsidR="00D82ABF" w:rsidTr="001624D5">
        <w:tc>
          <w:tcPr>
            <w:tcW w:w="1276" w:type="dxa"/>
          </w:tcPr>
          <w:p w:rsidR="00DF71E1" w:rsidRDefault="00DF71E1" w:rsidP="00DF71E1">
            <w:pPr>
              <w:pStyle w:val="SVEtableheader"/>
            </w:pPr>
            <w:r>
              <w:t>Announcement date</w:t>
            </w:r>
          </w:p>
        </w:tc>
        <w:tc>
          <w:tcPr>
            <w:tcW w:w="1277" w:type="dxa"/>
          </w:tcPr>
          <w:p w:rsidR="00DF71E1" w:rsidRDefault="00DF71E1" w:rsidP="00DF71E1">
            <w:pPr>
              <w:pStyle w:val="SVEtableheader"/>
            </w:pPr>
            <w:r>
              <w:t xml:space="preserve">Acquirer parent </w:t>
            </w:r>
          </w:p>
        </w:tc>
        <w:tc>
          <w:tcPr>
            <w:tcW w:w="1559" w:type="dxa"/>
          </w:tcPr>
          <w:p w:rsidR="00DF71E1" w:rsidRDefault="00DF71E1" w:rsidP="00DF71E1">
            <w:pPr>
              <w:pStyle w:val="SVEtableheader"/>
            </w:pPr>
            <w:r>
              <w:t>Acquirer Name</w:t>
            </w:r>
          </w:p>
        </w:tc>
        <w:tc>
          <w:tcPr>
            <w:tcW w:w="1417" w:type="dxa"/>
          </w:tcPr>
          <w:p w:rsidR="00DF71E1" w:rsidRDefault="00DF71E1" w:rsidP="00DF71E1">
            <w:pPr>
              <w:pStyle w:val="SVEtableheader"/>
            </w:pPr>
            <w:r>
              <w:t>Acquirer RIC</w:t>
            </w:r>
          </w:p>
        </w:tc>
        <w:tc>
          <w:tcPr>
            <w:tcW w:w="1134" w:type="dxa"/>
          </w:tcPr>
          <w:p w:rsidR="00DF71E1" w:rsidRDefault="00DF71E1" w:rsidP="00864FA5">
            <w:pPr>
              <w:pStyle w:val="SVEtableheader"/>
            </w:pPr>
            <w:r>
              <w:t xml:space="preserve">Acquirer </w:t>
            </w:r>
            <w:r w:rsidR="00864FA5">
              <w:t>nation</w:t>
            </w:r>
          </w:p>
        </w:tc>
        <w:tc>
          <w:tcPr>
            <w:tcW w:w="1985" w:type="dxa"/>
          </w:tcPr>
          <w:p w:rsidR="00DF71E1" w:rsidRDefault="00DF71E1" w:rsidP="00DF71E1">
            <w:pPr>
              <w:pStyle w:val="SVEtableheader"/>
            </w:pPr>
            <w:r>
              <w:t>Target name</w:t>
            </w:r>
          </w:p>
        </w:tc>
        <w:tc>
          <w:tcPr>
            <w:tcW w:w="1134" w:type="dxa"/>
          </w:tcPr>
          <w:p w:rsidR="00DF71E1" w:rsidRDefault="00DF71E1" w:rsidP="00864FA5">
            <w:pPr>
              <w:pStyle w:val="SVEtableheader"/>
            </w:pPr>
            <w:r>
              <w:t xml:space="preserve">Target </w:t>
            </w:r>
            <w:r w:rsidR="00864FA5">
              <w:t>nation</w:t>
            </w:r>
          </w:p>
        </w:tc>
        <w:tc>
          <w:tcPr>
            <w:tcW w:w="1843" w:type="dxa"/>
          </w:tcPr>
          <w:p w:rsidR="00DF71E1" w:rsidRDefault="00DF71E1" w:rsidP="00DF71E1">
            <w:pPr>
              <w:pStyle w:val="SVEtableheader"/>
            </w:pPr>
            <w:r>
              <w:t>Form of transaction</w:t>
            </w:r>
          </w:p>
        </w:tc>
      </w:tr>
      <w:tr w:rsidR="00E25E63" w:rsidTr="001624D5">
        <w:tc>
          <w:tcPr>
            <w:tcW w:w="1276" w:type="dxa"/>
          </w:tcPr>
          <w:p w:rsidR="00E25E63" w:rsidRPr="00CD5E17" w:rsidRDefault="00E25E63" w:rsidP="00E25E63">
            <w:pPr>
              <w:pStyle w:val="SVEtablecontent"/>
              <w:rPr>
                <w:sz w:val="16"/>
                <w:szCs w:val="16"/>
              </w:rPr>
            </w:pPr>
            <w:r w:rsidRPr="00CD5E17">
              <w:rPr>
                <w:sz w:val="16"/>
                <w:szCs w:val="16"/>
              </w:rPr>
              <w:t>10/02/2021</w:t>
            </w:r>
          </w:p>
        </w:tc>
        <w:tc>
          <w:tcPr>
            <w:tcW w:w="1277" w:type="dxa"/>
            <w:vAlign w:val="bottom"/>
          </w:tcPr>
          <w:p w:rsidR="00E25E63" w:rsidRPr="00CD5E17" w:rsidRDefault="00E25E63" w:rsidP="00E25E63">
            <w:pPr>
              <w:pStyle w:val="SVEtablecontent"/>
              <w:rPr>
                <w:sz w:val="16"/>
                <w:szCs w:val="16"/>
              </w:rPr>
            </w:pPr>
            <w:r w:rsidRPr="00CD5E17">
              <w:rPr>
                <w:sz w:val="16"/>
                <w:szCs w:val="16"/>
              </w:rPr>
              <w:t>Engie SA</w:t>
            </w:r>
          </w:p>
        </w:tc>
        <w:tc>
          <w:tcPr>
            <w:tcW w:w="1559" w:type="dxa"/>
            <w:vAlign w:val="bottom"/>
          </w:tcPr>
          <w:p w:rsidR="00E25E63" w:rsidRPr="00CD5E17" w:rsidRDefault="00E25E63" w:rsidP="00E25E63">
            <w:pPr>
              <w:pStyle w:val="SVEtablecontent"/>
              <w:rPr>
                <w:sz w:val="16"/>
                <w:szCs w:val="16"/>
              </w:rPr>
            </w:pPr>
            <w:r w:rsidRPr="00CD5E17">
              <w:rPr>
                <w:sz w:val="16"/>
                <w:szCs w:val="16"/>
              </w:rPr>
              <w:t>Storengy SAS</w:t>
            </w:r>
          </w:p>
        </w:tc>
        <w:tc>
          <w:tcPr>
            <w:tcW w:w="1417" w:type="dxa"/>
          </w:tcPr>
          <w:p w:rsidR="00E25E63" w:rsidRPr="00CD5E17" w:rsidRDefault="00E25E63" w:rsidP="00E25E63">
            <w:pPr>
              <w:pStyle w:val="SVEtablecontent"/>
              <w:rPr>
                <w:sz w:val="16"/>
                <w:szCs w:val="16"/>
              </w:rPr>
            </w:pPr>
            <w:r w:rsidRPr="00CD5E17">
              <w:rPr>
                <w:sz w:val="16"/>
                <w:szCs w:val="16"/>
              </w:rPr>
              <w:t>ENGIE.PA</w:t>
            </w:r>
          </w:p>
        </w:tc>
        <w:tc>
          <w:tcPr>
            <w:tcW w:w="1134" w:type="dxa"/>
            <w:vAlign w:val="bottom"/>
          </w:tcPr>
          <w:p w:rsidR="00E25E63" w:rsidRPr="00CD5E17" w:rsidRDefault="00E25E63" w:rsidP="00E25E63">
            <w:pPr>
              <w:pStyle w:val="SVEtablecontent"/>
              <w:rPr>
                <w:sz w:val="16"/>
                <w:szCs w:val="16"/>
              </w:rPr>
            </w:pPr>
            <w:r w:rsidRPr="00CD5E17">
              <w:rPr>
                <w:sz w:val="16"/>
                <w:szCs w:val="16"/>
              </w:rPr>
              <w:t>France</w:t>
            </w:r>
          </w:p>
        </w:tc>
        <w:tc>
          <w:tcPr>
            <w:tcW w:w="1985" w:type="dxa"/>
            <w:vAlign w:val="bottom"/>
          </w:tcPr>
          <w:p w:rsidR="00E25E63" w:rsidRPr="00CD5E17" w:rsidRDefault="00E25E63" w:rsidP="00E25E63">
            <w:pPr>
              <w:pStyle w:val="SVEtablecontent"/>
              <w:rPr>
                <w:sz w:val="16"/>
                <w:szCs w:val="16"/>
              </w:rPr>
            </w:pPr>
            <w:r w:rsidRPr="00CD5E17">
              <w:rPr>
                <w:sz w:val="16"/>
                <w:szCs w:val="16"/>
              </w:rPr>
              <w:t>Dijon Metropole Smart Energhy</w:t>
            </w:r>
          </w:p>
        </w:tc>
        <w:tc>
          <w:tcPr>
            <w:tcW w:w="1134" w:type="dxa"/>
            <w:vAlign w:val="bottom"/>
          </w:tcPr>
          <w:p w:rsidR="00E25E63" w:rsidRPr="00CD5E17" w:rsidRDefault="00E25E63" w:rsidP="00E25E63">
            <w:pPr>
              <w:pStyle w:val="SVEtablecontent"/>
              <w:rPr>
                <w:sz w:val="16"/>
                <w:szCs w:val="16"/>
              </w:rPr>
            </w:pPr>
            <w:r w:rsidRPr="00CD5E17">
              <w:rPr>
                <w:sz w:val="16"/>
                <w:szCs w:val="16"/>
              </w:rPr>
              <w:t>France</w:t>
            </w:r>
          </w:p>
        </w:tc>
        <w:tc>
          <w:tcPr>
            <w:tcW w:w="1843" w:type="dxa"/>
            <w:vAlign w:val="bottom"/>
          </w:tcPr>
          <w:p w:rsidR="00E25E63" w:rsidRPr="00CD5E17" w:rsidRDefault="00E25E63" w:rsidP="00E25E63">
            <w:pPr>
              <w:pStyle w:val="SVEtablecontent"/>
              <w:rPr>
                <w:sz w:val="16"/>
                <w:szCs w:val="16"/>
              </w:rPr>
            </w:pPr>
            <w:r w:rsidRPr="00CD5E17">
              <w:rPr>
                <w:sz w:val="16"/>
                <w:szCs w:val="16"/>
              </w:rPr>
              <w:t>Acquisition Of Partial Interest</w:t>
            </w:r>
          </w:p>
        </w:tc>
      </w:tr>
      <w:tr w:rsidR="00E25E63" w:rsidTr="001624D5">
        <w:tc>
          <w:tcPr>
            <w:tcW w:w="1276" w:type="dxa"/>
          </w:tcPr>
          <w:p w:rsidR="00E25E63" w:rsidRPr="00CD5E17" w:rsidRDefault="00E25E63" w:rsidP="00E25E63">
            <w:pPr>
              <w:pStyle w:val="SVEtablecontent"/>
              <w:rPr>
                <w:sz w:val="16"/>
                <w:szCs w:val="16"/>
              </w:rPr>
            </w:pPr>
            <w:r w:rsidRPr="00CD5E17">
              <w:rPr>
                <w:sz w:val="16"/>
                <w:szCs w:val="16"/>
              </w:rPr>
              <w:t>19/12/2019</w:t>
            </w:r>
          </w:p>
        </w:tc>
        <w:tc>
          <w:tcPr>
            <w:tcW w:w="1277" w:type="dxa"/>
            <w:vAlign w:val="bottom"/>
          </w:tcPr>
          <w:p w:rsidR="00E25E63" w:rsidRPr="00CD5E17" w:rsidRDefault="00E25E63" w:rsidP="00E25E63">
            <w:pPr>
              <w:pStyle w:val="SVEtablecontent"/>
              <w:rPr>
                <w:sz w:val="16"/>
                <w:szCs w:val="16"/>
              </w:rPr>
            </w:pPr>
            <w:r w:rsidRPr="00CD5E17">
              <w:rPr>
                <w:sz w:val="16"/>
                <w:szCs w:val="16"/>
              </w:rPr>
              <w:t>Equinor ASA</w:t>
            </w:r>
          </w:p>
        </w:tc>
        <w:tc>
          <w:tcPr>
            <w:tcW w:w="1559" w:type="dxa"/>
            <w:vAlign w:val="bottom"/>
          </w:tcPr>
          <w:p w:rsidR="00E25E63" w:rsidRPr="00CD5E17" w:rsidRDefault="00E25E63" w:rsidP="00E25E63">
            <w:pPr>
              <w:pStyle w:val="SVEtablecontent"/>
              <w:rPr>
                <w:sz w:val="16"/>
                <w:szCs w:val="16"/>
              </w:rPr>
            </w:pPr>
            <w:r w:rsidRPr="00CD5E17">
              <w:rPr>
                <w:sz w:val="16"/>
                <w:szCs w:val="16"/>
              </w:rPr>
              <w:t>Equinor ASA</w:t>
            </w:r>
          </w:p>
        </w:tc>
        <w:tc>
          <w:tcPr>
            <w:tcW w:w="1417" w:type="dxa"/>
          </w:tcPr>
          <w:p w:rsidR="00E25E63" w:rsidRPr="00CD5E17" w:rsidRDefault="00E25E63" w:rsidP="00E25E63">
            <w:pPr>
              <w:pStyle w:val="SVEtablecontent"/>
              <w:rPr>
                <w:sz w:val="16"/>
                <w:szCs w:val="16"/>
              </w:rPr>
            </w:pPr>
            <w:r w:rsidRPr="00CD5E17">
              <w:rPr>
                <w:sz w:val="16"/>
                <w:szCs w:val="16"/>
              </w:rPr>
              <w:t>EQNR.OL</w:t>
            </w:r>
          </w:p>
        </w:tc>
        <w:tc>
          <w:tcPr>
            <w:tcW w:w="1134" w:type="dxa"/>
            <w:vAlign w:val="bottom"/>
          </w:tcPr>
          <w:p w:rsidR="00E25E63" w:rsidRPr="00CD5E17" w:rsidRDefault="00E25E63" w:rsidP="00E25E63">
            <w:pPr>
              <w:pStyle w:val="SVEtablecontent"/>
              <w:rPr>
                <w:sz w:val="16"/>
                <w:szCs w:val="16"/>
              </w:rPr>
            </w:pPr>
            <w:r w:rsidRPr="00CD5E17">
              <w:rPr>
                <w:sz w:val="16"/>
                <w:szCs w:val="16"/>
              </w:rPr>
              <w:t>Norway</w:t>
            </w:r>
          </w:p>
        </w:tc>
        <w:tc>
          <w:tcPr>
            <w:tcW w:w="1985" w:type="dxa"/>
            <w:vAlign w:val="bottom"/>
          </w:tcPr>
          <w:p w:rsidR="00E25E63" w:rsidRPr="00CD5E17" w:rsidRDefault="00E25E63" w:rsidP="00E25E63">
            <w:pPr>
              <w:pStyle w:val="SVEtablecontent"/>
              <w:rPr>
                <w:sz w:val="16"/>
                <w:szCs w:val="16"/>
              </w:rPr>
            </w:pPr>
            <w:r w:rsidRPr="00CD5E17">
              <w:rPr>
                <w:sz w:val="16"/>
                <w:szCs w:val="16"/>
                <w:highlight w:val="yellow"/>
              </w:rPr>
              <w:t>Scatec Solar ASA</w:t>
            </w:r>
          </w:p>
        </w:tc>
        <w:tc>
          <w:tcPr>
            <w:tcW w:w="1134" w:type="dxa"/>
            <w:vAlign w:val="bottom"/>
          </w:tcPr>
          <w:p w:rsidR="00E25E63" w:rsidRPr="00CD5E17" w:rsidRDefault="00E25E63" w:rsidP="00E25E63">
            <w:pPr>
              <w:pStyle w:val="SVEtablecontent"/>
              <w:rPr>
                <w:sz w:val="16"/>
                <w:szCs w:val="16"/>
              </w:rPr>
            </w:pPr>
            <w:r w:rsidRPr="00CD5E17">
              <w:rPr>
                <w:sz w:val="16"/>
                <w:szCs w:val="16"/>
              </w:rPr>
              <w:t>Norway</w:t>
            </w:r>
          </w:p>
        </w:tc>
        <w:tc>
          <w:tcPr>
            <w:tcW w:w="1843" w:type="dxa"/>
            <w:vAlign w:val="bottom"/>
          </w:tcPr>
          <w:p w:rsidR="00E25E63" w:rsidRPr="00CD5E17" w:rsidRDefault="00E25E63" w:rsidP="00E25E63">
            <w:pPr>
              <w:pStyle w:val="SVEtablecontent"/>
              <w:rPr>
                <w:sz w:val="16"/>
                <w:szCs w:val="16"/>
              </w:rPr>
            </w:pPr>
            <w:r w:rsidRPr="00CD5E17">
              <w:rPr>
                <w:sz w:val="16"/>
                <w:szCs w:val="16"/>
              </w:rPr>
              <w:t>Acquisition Of Partial Interest</w:t>
            </w:r>
          </w:p>
        </w:tc>
      </w:tr>
      <w:tr w:rsidR="00E25E63" w:rsidTr="001624D5">
        <w:tc>
          <w:tcPr>
            <w:tcW w:w="1276" w:type="dxa"/>
          </w:tcPr>
          <w:p w:rsidR="00E25E63" w:rsidRPr="00CD5E17" w:rsidRDefault="00E25E63" w:rsidP="00E25E63">
            <w:pPr>
              <w:pStyle w:val="SVEtablecontent"/>
              <w:rPr>
                <w:sz w:val="16"/>
                <w:szCs w:val="16"/>
              </w:rPr>
            </w:pPr>
            <w:r w:rsidRPr="00CD5E17">
              <w:rPr>
                <w:sz w:val="16"/>
                <w:szCs w:val="16"/>
              </w:rPr>
              <w:t>21/11/2019</w:t>
            </w:r>
          </w:p>
        </w:tc>
        <w:tc>
          <w:tcPr>
            <w:tcW w:w="1277" w:type="dxa"/>
            <w:vAlign w:val="bottom"/>
          </w:tcPr>
          <w:p w:rsidR="00E25E63" w:rsidRPr="00CD5E17" w:rsidRDefault="00E25E63" w:rsidP="00E25E63">
            <w:pPr>
              <w:pStyle w:val="SVEtablecontent"/>
              <w:rPr>
                <w:sz w:val="16"/>
                <w:szCs w:val="16"/>
              </w:rPr>
            </w:pPr>
            <w:r w:rsidRPr="00CD5E17">
              <w:rPr>
                <w:sz w:val="16"/>
                <w:szCs w:val="16"/>
              </w:rPr>
              <w:t>Snam SpA</w:t>
            </w:r>
          </w:p>
        </w:tc>
        <w:tc>
          <w:tcPr>
            <w:tcW w:w="1559" w:type="dxa"/>
            <w:vAlign w:val="bottom"/>
          </w:tcPr>
          <w:p w:rsidR="00E25E63" w:rsidRPr="00CD5E17" w:rsidRDefault="00E25E63" w:rsidP="00E25E63">
            <w:pPr>
              <w:pStyle w:val="SVEtablecontent"/>
              <w:rPr>
                <w:sz w:val="16"/>
                <w:szCs w:val="16"/>
              </w:rPr>
            </w:pPr>
            <w:r w:rsidRPr="00CD5E17">
              <w:rPr>
                <w:sz w:val="16"/>
                <w:szCs w:val="16"/>
              </w:rPr>
              <w:t>Snam 4 Environment</w:t>
            </w:r>
          </w:p>
        </w:tc>
        <w:tc>
          <w:tcPr>
            <w:tcW w:w="1417" w:type="dxa"/>
          </w:tcPr>
          <w:p w:rsidR="00E25E63" w:rsidRPr="00CD5E17" w:rsidRDefault="00E25E63" w:rsidP="00E25E63">
            <w:pPr>
              <w:pStyle w:val="SVEtablecontent"/>
              <w:rPr>
                <w:sz w:val="16"/>
                <w:szCs w:val="16"/>
              </w:rPr>
            </w:pPr>
            <w:r w:rsidRPr="00CD5E17">
              <w:rPr>
                <w:sz w:val="16"/>
                <w:szCs w:val="16"/>
              </w:rPr>
              <w:t>SRG.MI</w:t>
            </w:r>
          </w:p>
        </w:tc>
        <w:tc>
          <w:tcPr>
            <w:tcW w:w="1134" w:type="dxa"/>
            <w:vAlign w:val="bottom"/>
          </w:tcPr>
          <w:p w:rsidR="00E25E63" w:rsidRPr="00CD5E17" w:rsidRDefault="00E25E63" w:rsidP="00E25E63">
            <w:pPr>
              <w:pStyle w:val="SVEtablecontent"/>
              <w:rPr>
                <w:sz w:val="16"/>
                <w:szCs w:val="16"/>
              </w:rPr>
            </w:pPr>
            <w:r w:rsidRPr="00CD5E17">
              <w:rPr>
                <w:sz w:val="16"/>
                <w:szCs w:val="16"/>
              </w:rPr>
              <w:t>Italy</w:t>
            </w:r>
          </w:p>
        </w:tc>
        <w:tc>
          <w:tcPr>
            <w:tcW w:w="1985" w:type="dxa"/>
            <w:vAlign w:val="bottom"/>
          </w:tcPr>
          <w:p w:rsidR="00E25E63" w:rsidRPr="00CD5E17" w:rsidRDefault="00E25E63" w:rsidP="00E25E63">
            <w:pPr>
              <w:pStyle w:val="SVEtablecontent"/>
              <w:rPr>
                <w:sz w:val="16"/>
                <w:szCs w:val="16"/>
              </w:rPr>
            </w:pPr>
            <w:r w:rsidRPr="00CD5E17">
              <w:rPr>
                <w:sz w:val="16"/>
                <w:szCs w:val="16"/>
              </w:rPr>
              <w:t>Renerwaste SRL</w:t>
            </w:r>
          </w:p>
        </w:tc>
        <w:tc>
          <w:tcPr>
            <w:tcW w:w="1134" w:type="dxa"/>
            <w:vAlign w:val="bottom"/>
          </w:tcPr>
          <w:p w:rsidR="00E25E63" w:rsidRPr="00CD5E17" w:rsidRDefault="00E25E63" w:rsidP="00E25E63">
            <w:pPr>
              <w:pStyle w:val="SVEtablecontent"/>
              <w:rPr>
                <w:sz w:val="16"/>
                <w:szCs w:val="16"/>
              </w:rPr>
            </w:pPr>
            <w:r w:rsidRPr="00CD5E17">
              <w:rPr>
                <w:sz w:val="16"/>
                <w:szCs w:val="16"/>
              </w:rPr>
              <w:t>Italy</w:t>
            </w:r>
          </w:p>
        </w:tc>
        <w:tc>
          <w:tcPr>
            <w:tcW w:w="1843" w:type="dxa"/>
            <w:vAlign w:val="bottom"/>
          </w:tcPr>
          <w:p w:rsidR="00E25E63" w:rsidRPr="00CD5E17" w:rsidRDefault="00E25E63" w:rsidP="00E25E63">
            <w:pPr>
              <w:pStyle w:val="SVEtablecontent"/>
              <w:rPr>
                <w:sz w:val="16"/>
                <w:szCs w:val="16"/>
              </w:rPr>
            </w:pPr>
            <w:r w:rsidRPr="00CD5E17">
              <w:rPr>
                <w:sz w:val="16"/>
                <w:szCs w:val="16"/>
              </w:rPr>
              <w:t>Acquisition Of Majority Assets</w:t>
            </w:r>
          </w:p>
        </w:tc>
      </w:tr>
      <w:tr w:rsidR="00E25E63" w:rsidTr="001624D5">
        <w:tc>
          <w:tcPr>
            <w:tcW w:w="1276" w:type="dxa"/>
          </w:tcPr>
          <w:p w:rsidR="00E25E63" w:rsidRPr="00CD5E17" w:rsidRDefault="00E25E63" w:rsidP="00E25E63">
            <w:pPr>
              <w:pStyle w:val="SVEtablecontent"/>
              <w:rPr>
                <w:sz w:val="16"/>
                <w:szCs w:val="16"/>
              </w:rPr>
            </w:pPr>
            <w:r w:rsidRPr="00CD5E17">
              <w:rPr>
                <w:sz w:val="16"/>
                <w:szCs w:val="16"/>
              </w:rPr>
              <w:t>27/02/2019</w:t>
            </w:r>
          </w:p>
        </w:tc>
        <w:tc>
          <w:tcPr>
            <w:tcW w:w="1277" w:type="dxa"/>
            <w:vAlign w:val="bottom"/>
          </w:tcPr>
          <w:p w:rsidR="00E25E63" w:rsidRPr="00CD5E17" w:rsidRDefault="00E25E63" w:rsidP="00E25E63">
            <w:pPr>
              <w:pStyle w:val="SVEtablecontent"/>
              <w:rPr>
                <w:sz w:val="16"/>
                <w:szCs w:val="16"/>
              </w:rPr>
            </w:pPr>
            <w:r w:rsidRPr="00CD5E17">
              <w:rPr>
                <w:sz w:val="16"/>
                <w:szCs w:val="16"/>
              </w:rPr>
              <w:t>Royal Dutch Shell PLC</w:t>
            </w:r>
          </w:p>
        </w:tc>
        <w:tc>
          <w:tcPr>
            <w:tcW w:w="1559" w:type="dxa"/>
            <w:vAlign w:val="bottom"/>
          </w:tcPr>
          <w:p w:rsidR="00E25E63" w:rsidRPr="00CD5E17" w:rsidRDefault="00E25E63" w:rsidP="00E25E63">
            <w:pPr>
              <w:pStyle w:val="SVEtablecontent"/>
              <w:rPr>
                <w:sz w:val="16"/>
                <w:szCs w:val="16"/>
              </w:rPr>
            </w:pPr>
            <w:r w:rsidRPr="00CD5E17">
              <w:rPr>
                <w:sz w:val="16"/>
                <w:szCs w:val="16"/>
              </w:rPr>
              <w:t>Shell Petroleum Co Ltd</w:t>
            </w:r>
          </w:p>
        </w:tc>
        <w:tc>
          <w:tcPr>
            <w:tcW w:w="1417" w:type="dxa"/>
          </w:tcPr>
          <w:p w:rsidR="00E25E63" w:rsidRPr="00CD5E17" w:rsidRDefault="00E25E63" w:rsidP="00E25E63">
            <w:pPr>
              <w:pStyle w:val="SVEtablecontent"/>
              <w:rPr>
                <w:sz w:val="16"/>
                <w:szCs w:val="16"/>
              </w:rPr>
            </w:pPr>
            <w:r w:rsidRPr="00CD5E17">
              <w:rPr>
                <w:sz w:val="16"/>
                <w:szCs w:val="16"/>
              </w:rPr>
              <w:t>RDSa.AS</w:t>
            </w:r>
          </w:p>
        </w:tc>
        <w:tc>
          <w:tcPr>
            <w:tcW w:w="1134" w:type="dxa"/>
            <w:vAlign w:val="bottom"/>
          </w:tcPr>
          <w:p w:rsidR="00E25E63" w:rsidRPr="00CD5E17" w:rsidRDefault="00E25E63" w:rsidP="00E25E63">
            <w:pPr>
              <w:pStyle w:val="SVEtablecontent"/>
              <w:rPr>
                <w:sz w:val="16"/>
                <w:szCs w:val="16"/>
              </w:rPr>
            </w:pPr>
            <w:r w:rsidRPr="00CD5E17">
              <w:rPr>
                <w:sz w:val="16"/>
                <w:szCs w:val="16"/>
              </w:rPr>
              <w:t>United Kingdom</w:t>
            </w:r>
          </w:p>
        </w:tc>
        <w:tc>
          <w:tcPr>
            <w:tcW w:w="1985" w:type="dxa"/>
            <w:vAlign w:val="bottom"/>
          </w:tcPr>
          <w:p w:rsidR="00E25E63" w:rsidRPr="00CD5E17" w:rsidRDefault="00E25E63" w:rsidP="00E25E63">
            <w:pPr>
              <w:pStyle w:val="SVEtablecontent"/>
              <w:rPr>
                <w:sz w:val="16"/>
                <w:szCs w:val="16"/>
              </w:rPr>
            </w:pPr>
            <w:r w:rsidRPr="00CD5E17">
              <w:rPr>
                <w:sz w:val="16"/>
                <w:szCs w:val="16"/>
              </w:rPr>
              <w:t>Limejump Ltd</w:t>
            </w:r>
          </w:p>
        </w:tc>
        <w:tc>
          <w:tcPr>
            <w:tcW w:w="1134" w:type="dxa"/>
            <w:vAlign w:val="bottom"/>
          </w:tcPr>
          <w:p w:rsidR="00E25E63" w:rsidRPr="00CD5E17" w:rsidRDefault="00E25E63" w:rsidP="00E25E63">
            <w:pPr>
              <w:pStyle w:val="SVEtablecontent"/>
              <w:rPr>
                <w:sz w:val="16"/>
                <w:szCs w:val="16"/>
              </w:rPr>
            </w:pPr>
            <w:r w:rsidRPr="00CD5E17">
              <w:rPr>
                <w:sz w:val="16"/>
                <w:szCs w:val="16"/>
              </w:rPr>
              <w:t>United Kingdom</w:t>
            </w:r>
          </w:p>
        </w:tc>
        <w:tc>
          <w:tcPr>
            <w:tcW w:w="1843" w:type="dxa"/>
            <w:vAlign w:val="bottom"/>
          </w:tcPr>
          <w:p w:rsidR="00E25E63" w:rsidRPr="00CD5E17" w:rsidRDefault="00E25E63" w:rsidP="00E25E63">
            <w:pPr>
              <w:pStyle w:val="SVEtablecontent"/>
              <w:rPr>
                <w:sz w:val="16"/>
                <w:szCs w:val="16"/>
              </w:rPr>
            </w:pPr>
            <w:r w:rsidRPr="00CD5E17">
              <w:rPr>
                <w:sz w:val="16"/>
                <w:szCs w:val="16"/>
              </w:rPr>
              <w:t>Acquisition Of Assets</w:t>
            </w:r>
          </w:p>
        </w:tc>
      </w:tr>
      <w:tr w:rsidR="00E25E63" w:rsidTr="001624D5">
        <w:tc>
          <w:tcPr>
            <w:tcW w:w="1276" w:type="dxa"/>
          </w:tcPr>
          <w:p w:rsidR="00E25E63" w:rsidRPr="00CD5E17" w:rsidRDefault="00E25E63" w:rsidP="00E25E63">
            <w:pPr>
              <w:pStyle w:val="SVEtablecontent"/>
              <w:rPr>
                <w:sz w:val="16"/>
                <w:szCs w:val="16"/>
              </w:rPr>
            </w:pPr>
            <w:r w:rsidRPr="00CD5E17">
              <w:rPr>
                <w:sz w:val="16"/>
                <w:szCs w:val="16"/>
              </w:rPr>
              <w:t>03/12/2018</w:t>
            </w:r>
          </w:p>
        </w:tc>
        <w:tc>
          <w:tcPr>
            <w:tcW w:w="1277" w:type="dxa"/>
            <w:vAlign w:val="bottom"/>
          </w:tcPr>
          <w:p w:rsidR="00E25E63" w:rsidRPr="00CD5E17" w:rsidRDefault="00E25E63" w:rsidP="00E25E63">
            <w:pPr>
              <w:pStyle w:val="SVEtablecontent"/>
              <w:rPr>
                <w:sz w:val="16"/>
                <w:szCs w:val="16"/>
              </w:rPr>
            </w:pPr>
            <w:r w:rsidRPr="00CD5E17">
              <w:rPr>
                <w:sz w:val="16"/>
                <w:szCs w:val="16"/>
              </w:rPr>
              <w:t>Snam SpA</w:t>
            </w:r>
          </w:p>
        </w:tc>
        <w:tc>
          <w:tcPr>
            <w:tcW w:w="1559" w:type="dxa"/>
            <w:vAlign w:val="bottom"/>
          </w:tcPr>
          <w:p w:rsidR="00E25E63" w:rsidRPr="00CD5E17" w:rsidRDefault="00E25E63" w:rsidP="00E25E63">
            <w:pPr>
              <w:pStyle w:val="SVEtablecontent"/>
              <w:rPr>
                <w:sz w:val="16"/>
                <w:szCs w:val="16"/>
              </w:rPr>
            </w:pPr>
            <w:r w:rsidRPr="00CD5E17">
              <w:rPr>
                <w:sz w:val="16"/>
                <w:szCs w:val="16"/>
              </w:rPr>
              <w:t>Snam 4 Mobility SpA</w:t>
            </w:r>
          </w:p>
        </w:tc>
        <w:tc>
          <w:tcPr>
            <w:tcW w:w="1417" w:type="dxa"/>
          </w:tcPr>
          <w:p w:rsidR="00E25E63" w:rsidRPr="00CD5E17" w:rsidRDefault="00E25E63" w:rsidP="00E25E63">
            <w:pPr>
              <w:pStyle w:val="SVEtablecontent"/>
              <w:rPr>
                <w:sz w:val="16"/>
                <w:szCs w:val="16"/>
              </w:rPr>
            </w:pPr>
            <w:r w:rsidRPr="00CD5E17">
              <w:rPr>
                <w:sz w:val="16"/>
                <w:szCs w:val="16"/>
              </w:rPr>
              <w:t>SRG.MI</w:t>
            </w:r>
          </w:p>
        </w:tc>
        <w:tc>
          <w:tcPr>
            <w:tcW w:w="1134" w:type="dxa"/>
            <w:vAlign w:val="bottom"/>
          </w:tcPr>
          <w:p w:rsidR="00E25E63" w:rsidRPr="00CD5E17" w:rsidRDefault="00E25E63" w:rsidP="00E25E63">
            <w:pPr>
              <w:pStyle w:val="SVEtablecontent"/>
              <w:rPr>
                <w:sz w:val="16"/>
                <w:szCs w:val="16"/>
              </w:rPr>
            </w:pPr>
            <w:r w:rsidRPr="00CD5E17">
              <w:rPr>
                <w:sz w:val="16"/>
                <w:szCs w:val="16"/>
              </w:rPr>
              <w:t>Italy</w:t>
            </w:r>
          </w:p>
        </w:tc>
        <w:tc>
          <w:tcPr>
            <w:tcW w:w="1985" w:type="dxa"/>
            <w:vAlign w:val="bottom"/>
          </w:tcPr>
          <w:p w:rsidR="00E25E63" w:rsidRPr="00CD5E17" w:rsidRDefault="00E25E63" w:rsidP="00E25E63">
            <w:pPr>
              <w:pStyle w:val="SVEtablecontent"/>
              <w:rPr>
                <w:sz w:val="16"/>
                <w:szCs w:val="16"/>
              </w:rPr>
            </w:pPr>
            <w:r w:rsidRPr="00CD5E17">
              <w:rPr>
                <w:sz w:val="16"/>
                <w:szCs w:val="16"/>
              </w:rPr>
              <w:t>Enersi Srl</w:t>
            </w:r>
          </w:p>
        </w:tc>
        <w:tc>
          <w:tcPr>
            <w:tcW w:w="1134" w:type="dxa"/>
            <w:vAlign w:val="bottom"/>
          </w:tcPr>
          <w:p w:rsidR="00E25E63" w:rsidRPr="00CD5E17" w:rsidRDefault="00E25E63" w:rsidP="00E25E63">
            <w:pPr>
              <w:pStyle w:val="SVEtablecontent"/>
              <w:rPr>
                <w:sz w:val="16"/>
                <w:szCs w:val="16"/>
              </w:rPr>
            </w:pPr>
            <w:r w:rsidRPr="00CD5E17">
              <w:rPr>
                <w:sz w:val="16"/>
                <w:szCs w:val="16"/>
              </w:rPr>
              <w:t>Italy</w:t>
            </w:r>
          </w:p>
        </w:tc>
        <w:tc>
          <w:tcPr>
            <w:tcW w:w="1843" w:type="dxa"/>
            <w:vAlign w:val="bottom"/>
          </w:tcPr>
          <w:p w:rsidR="00E25E63" w:rsidRPr="00CD5E17" w:rsidRDefault="00E25E63" w:rsidP="00E25E63">
            <w:pPr>
              <w:pStyle w:val="SVEtablecontent"/>
              <w:rPr>
                <w:sz w:val="16"/>
                <w:szCs w:val="16"/>
              </w:rPr>
            </w:pPr>
            <w:r w:rsidRPr="00CD5E17">
              <w:rPr>
                <w:sz w:val="16"/>
                <w:szCs w:val="16"/>
              </w:rPr>
              <w:t>Merger</w:t>
            </w:r>
          </w:p>
        </w:tc>
      </w:tr>
      <w:tr w:rsidR="00E25E63" w:rsidTr="001624D5">
        <w:tc>
          <w:tcPr>
            <w:tcW w:w="1276" w:type="dxa"/>
          </w:tcPr>
          <w:p w:rsidR="00E25E63" w:rsidRPr="00CD5E17" w:rsidRDefault="00E25E63" w:rsidP="00E25E63">
            <w:pPr>
              <w:pStyle w:val="SVEtablecontent"/>
              <w:rPr>
                <w:sz w:val="16"/>
                <w:szCs w:val="16"/>
              </w:rPr>
            </w:pPr>
            <w:r w:rsidRPr="00CD5E17">
              <w:rPr>
                <w:sz w:val="16"/>
                <w:szCs w:val="16"/>
              </w:rPr>
              <w:t>15/11/2018</w:t>
            </w:r>
          </w:p>
        </w:tc>
        <w:tc>
          <w:tcPr>
            <w:tcW w:w="1277" w:type="dxa"/>
            <w:vAlign w:val="bottom"/>
          </w:tcPr>
          <w:p w:rsidR="00E25E63" w:rsidRPr="00CD5E17" w:rsidRDefault="00E25E63" w:rsidP="00E25E63">
            <w:pPr>
              <w:pStyle w:val="SVEtablecontent"/>
              <w:rPr>
                <w:sz w:val="16"/>
                <w:szCs w:val="16"/>
              </w:rPr>
            </w:pPr>
            <w:r w:rsidRPr="00CD5E17">
              <w:rPr>
                <w:sz w:val="16"/>
                <w:szCs w:val="16"/>
              </w:rPr>
              <w:t>Equinor ASA</w:t>
            </w:r>
          </w:p>
        </w:tc>
        <w:tc>
          <w:tcPr>
            <w:tcW w:w="1559" w:type="dxa"/>
            <w:vAlign w:val="bottom"/>
          </w:tcPr>
          <w:p w:rsidR="00E25E63" w:rsidRPr="00CD5E17" w:rsidRDefault="00E25E63" w:rsidP="00E25E63">
            <w:pPr>
              <w:pStyle w:val="SVEtablecontent"/>
              <w:rPr>
                <w:sz w:val="16"/>
                <w:szCs w:val="16"/>
              </w:rPr>
            </w:pPr>
            <w:r w:rsidRPr="00CD5E17">
              <w:rPr>
                <w:sz w:val="16"/>
                <w:szCs w:val="16"/>
              </w:rPr>
              <w:t>Equinor ASA</w:t>
            </w:r>
          </w:p>
        </w:tc>
        <w:tc>
          <w:tcPr>
            <w:tcW w:w="1417" w:type="dxa"/>
          </w:tcPr>
          <w:p w:rsidR="00E25E63" w:rsidRPr="00CD5E17" w:rsidRDefault="00E25E63" w:rsidP="00E25E63">
            <w:pPr>
              <w:pStyle w:val="SVEtablecontent"/>
              <w:rPr>
                <w:sz w:val="16"/>
                <w:szCs w:val="16"/>
              </w:rPr>
            </w:pPr>
            <w:r w:rsidRPr="00CD5E17">
              <w:rPr>
                <w:sz w:val="16"/>
                <w:szCs w:val="16"/>
              </w:rPr>
              <w:t>EQNR.OL</w:t>
            </w:r>
          </w:p>
        </w:tc>
        <w:tc>
          <w:tcPr>
            <w:tcW w:w="1134" w:type="dxa"/>
            <w:vAlign w:val="bottom"/>
          </w:tcPr>
          <w:p w:rsidR="00E25E63" w:rsidRPr="00CD5E17" w:rsidRDefault="00E25E63" w:rsidP="00E25E63">
            <w:pPr>
              <w:pStyle w:val="SVEtablecontent"/>
              <w:rPr>
                <w:sz w:val="16"/>
                <w:szCs w:val="16"/>
              </w:rPr>
            </w:pPr>
            <w:r w:rsidRPr="00CD5E17">
              <w:rPr>
                <w:sz w:val="16"/>
                <w:szCs w:val="16"/>
              </w:rPr>
              <w:t>Norway</w:t>
            </w:r>
          </w:p>
        </w:tc>
        <w:tc>
          <w:tcPr>
            <w:tcW w:w="1985" w:type="dxa"/>
            <w:vAlign w:val="bottom"/>
          </w:tcPr>
          <w:p w:rsidR="00E25E63" w:rsidRPr="00CD5E17" w:rsidRDefault="00E25E63" w:rsidP="00E25E63">
            <w:pPr>
              <w:pStyle w:val="SVEtablecontent"/>
              <w:rPr>
                <w:sz w:val="16"/>
                <w:szCs w:val="16"/>
              </w:rPr>
            </w:pPr>
            <w:r w:rsidRPr="00CD5E17">
              <w:rPr>
                <w:sz w:val="16"/>
                <w:szCs w:val="16"/>
                <w:highlight w:val="yellow"/>
              </w:rPr>
              <w:t>Scatec Solar ASA</w:t>
            </w:r>
          </w:p>
        </w:tc>
        <w:tc>
          <w:tcPr>
            <w:tcW w:w="1134" w:type="dxa"/>
            <w:vAlign w:val="bottom"/>
          </w:tcPr>
          <w:p w:rsidR="00E25E63" w:rsidRPr="00CD5E17" w:rsidRDefault="00E25E63" w:rsidP="00E25E63">
            <w:pPr>
              <w:pStyle w:val="SVEtablecontent"/>
              <w:rPr>
                <w:sz w:val="16"/>
                <w:szCs w:val="16"/>
              </w:rPr>
            </w:pPr>
            <w:r w:rsidRPr="00CD5E17">
              <w:rPr>
                <w:sz w:val="16"/>
                <w:szCs w:val="16"/>
              </w:rPr>
              <w:t>Norway</w:t>
            </w:r>
          </w:p>
        </w:tc>
        <w:tc>
          <w:tcPr>
            <w:tcW w:w="1843" w:type="dxa"/>
            <w:vAlign w:val="bottom"/>
          </w:tcPr>
          <w:p w:rsidR="00E25E63" w:rsidRPr="00CD5E17" w:rsidRDefault="00E25E63" w:rsidP="00E25E63">
            <w:pPr>
              <w:pStyle w:val="SVEtablecontent"/>
              <w:rPr>
                <w:sz w:val="16"/>
                <w:szCs w:val="16"/>
              </w:rPr>
            </w:pPr>
            <w:r w:rsidRPr="00CD5E17">
              <w:rPr>
                <w:sz w:val="16"/>
                <w:szCs w:val="16"/>
              </w:rPr>
              <w:t>Acquisition Of Partial Interest</w:t>
            </w:r>
          </w:p>
        </w:tc>
      </w:tr>
      <w:tr w:rsidR="00E25E63" w:rsidTr="001624D5">
        <w:tc>
          <w:tcPr>
            <w:tcW w:w="1276" w:type="dxa"/>
          </w:tcPr>
          <w:p w:rsidR="00E25E63" w:rsidRPr="00CD5E17" w:rsidRDefault="00E25E63" w:rsidP="00E25E63">
            <w:pPr>
              <w:pStyle w:val="SVEtablecontent"/>
              <w:rPr>
                <w:sz w:val="16"/>
                <w:szCs w:val="16"/>
              </w:rPr>
            </w:pPr>
            <w:r w:rsidRPr="00CD5E17">
              <w:rPr>
                <w:sz w:val="16"/>
                <w:szCs w:val="16"/>
              </w:rPr>
              <w:t>05/07/2018</w:t>
            </w:r>
          </w:p>
        </w:tc>
        <w:tc>
          <w:tcPr>
            <w:tcW w:w="1277" w:type="dxa"/>
            <w:vAlign w:val="bottom"/>
          </w:tcPr>
          <w:p w:rsidR="00E25E63" w:rsidRPr="00CD5E17" w:rsidRDefault="00E25E63" w:rsidP="00E25E63">
            <w:pPr>
              <w:pStyle w:val="SVEtablecontent"/>
              <w:rPr>
                <w:sz w:val="16"/>
                <w:szCs w:val="16"/>
              </w:rPr>
            </w:pPr>
            <w:r w:rsidRPr="00CD5E17">
              <w:rPr>
                <w:sz w:val="16"/>
                <w:szCs w:val="16"/>
              </w:rPr>
              <w:t>Snam SpA</w:t>
            </w:r>
          </w:p>
        </w:tc>
        <w:tc>
          <w:tcPr>
            <w:tcW w:w="1559" w:type="dxa"/>
            <w:vAlign w:val="bottom"/>
          </w:tcPr>
          <w:p w:rsidR="00E25E63" w:rsidRPr="00CD5E17" w:rsidRDefault="00E25E63" w:rsidP="00E25E63">
            <w:pPr>
              <w:pStyle w:val="SVEtablecontent"/>
              <w:rPr>
                <w:sz w:val="16"/>
                <w:szCs w:val="16"/>
              </w:rPr>
            </w:pPr>
            <w:r w:rsidRPr="00CD5E17">
              <w:rPr>
                <w:sz w:val="16"/>
                <w:szCs w:val="16"/>
              </w:rPr>
              <w:t>Snam 4 Mobility SpA</w:t>
            </w:r>
          </w:p>
        </w:tc>
        <w:tc>
          <w:tcPr>
            <w:tcW w:w="1417" w:type="dxa"/>
          </w:tcPr>
          <w:p w:rsidR="00E25E63" w:rsidRPr="00CD5E17" w:rsidRDefault="00E25E63" w:rsidP="00E25E63">
            <w:pPr>
              <w:pStyle w:val="SVEtablecontent"/>
              <w:rPr>
                <w:sz w:val="16"/>
                <w:szCs w:val="16"/>
              </w:rPr>
            </w:pPr>
            <w:r w:rsidRPr="00CD5E17">
              <w:rPr>
                <w:sz w:val="16"/>
                <w:szCs w:val="16"/>
              </w:rPr>
              <w:t>RDSa.AS</w:t>
            </w:r>
          </w:p>
        </w:tc>
        <w:tc>
          <w:tcPr>
            <w:tcW w:w="1134" w:type="dxa"/>
            <w:vAlign w:val="bottom"/>
          </w:tcPr>
          <w:p w:rsidR="00E25E63" w:rsidRPr="00CD5E17" w:rsidRDefault="00E25E63" w:rsidP="00E25E63">
            <w:pPr>
              <w:pStyle w:val="SVEtablecontent"/>
              <w:rPr>
                <w:sz w:val="16"/>
                <w:szCs w:val="16"/>
              </w:rPr>
            </w:pPr>
            <w:r w:rsidRPr="00CD5E17">
              <w:rPr>
                <w:sz w:val="16"/>
                <w:szCs w:val="16"/>
              </w:rPr>
              <w:t>Italy</w:t>
            </w:r>
          </w:p>
        </w:tc>
        <w:tc>
          <w:tcPr>
            <w:tcW w:w="1985" w:type="dxa"/>
            <w:vAlign w:val="bottom"/>
          </w:tcPr>
          <w:p w:rsidR="00E25E63" w:rsidRPr="00CD5E17" w:rsidRDefault="00E25E63" w:rsidP="00E25E63">
            <w:pPr>
              <w:pStyle w:val="SVEtablecontent"/>
              <w:rPr>
                <w:sz w:val="16"/>
                <w:szCs w:val="16"/>
              </w:rPr>
            </w:pPr>
            <w:r w:rsidRPr="00CD5E17">
              <w:rPr>
                <w:sz w:val="16"/>
                <w:szCs w:val="16"/>
              </w:rPr>
              <w:t>IES Biogas Srl</w:t>
            </w:r>
          </w:p>
        </w:tc>
        <w:tc>
          <w:tcPr>
            <w:tcW w:w="1134" w:type="dxa"/>
            <w:vAlign w:val="bottom"/>
          </w:tcPr>
          <w:p w:rsidR="00E25E63" w:rsidRPr="00CD5E17" w:rsidRDefault="00E25E63" w:rsidP="00E25E63">
            <w:pPr>
              <w:pStyle w:val="SVEtablecontent"/>
              <w:rPr>
                <w:sz w:val="16"/>
                <w:szCs w:val="16"/>
              </w:rPr>
            </w:pPr>
            <w:r w:rsidRPr="00CD5E17">
              <w:rPr>
                <w:sz w:val="16"/>
                <w:szCs w:val="16"/>
              </w:rPr>
              <w:t>Italy</w:t>
            </w:r>
          </w:p>
        </w:tc>
        <w:tc>
          <w:tcPr>
            <w:tcW w:w="1843" w:type="dxa"/>
            <w:vAlign w:val="bottom"/>
          </w:tcPr>
          <w:p w:rsidR="00E25E63" w:rsidRPr="00CD5E17" w:rsidRDefault="00E25E63" w:rsidP="00E25E63">
            <w:pPr>
              <w:pStyle w:val="SVEtablecontent"/>
              <w:rPr>
                <w:sz w:val="16"/>
                <w:szCs w:val="16"/>
              </w:rPr>
            </w:pPr>
            <w:r w:rsidRPr="00CD5E17">
              <w:rPr>
                <w:sz w:val="16"/>
                <w:szCs w:val="16"/>
              </w:rPr>
              <w:t>Acquisition Of Majority Assets</w:t>
            </w:r>
          </w:p>
        </w:tc>
      </w:tr>
      <w:tr w:rsidR="00E25E63" w:rsidRPr="008E3922" w:rsidTr="001624D5">
        <w:tc>
          <w:tcPr>
            <w:tcW w:w="1276" w:type="dxa"/>
          </w:tcPr>
          <w:p w:rsidR="00E25E63" w:rsidRPr="00CD5E17" w:rsidRDefault="00E25E63" w:rsidP="00E25E63">
            <w:pPr>
              <w:pStyle w:val="SVEtablecontent"/>
              <w:rPr>
                <w:sz w:val="16"/>
                <w:szCs w:val="16"/>
              </w:rPr>
            </w:pPr>
            <w:r w:rsidRPr="00CD5E17">
              <w:rPr>
                <w:sz w:val="16"/>
                <w:szCs w:val="16"/>
              </w:rPr>
              <w:t>19/09/2017</w:t>
            </w:r>
          </w:p>
        </w:tc>
        <w:tc>
          <w:tcPr>
            <w:tcW w:w="1277" w:type="dxa"/>
            <w:vAlign w:val="bottom"/>
          </w:tcPr>
          <w:p w:rsidR="00E25E63" w:rsidRPr="00CD5E17" w:rsidRDefault="00E25E63" w:rsidP="00E25E63">
            <w:pPr>
              <w:pStyle w:val="SVEtablecontent"/>
              <w:rPr>
                <w:sz w:val="16"/>
                <w:szCs w:val="16"/>
              </w:rPr>
            </w:pPr>
            <w:r w:rsidRPr="00CD5E17">
              <w:rPr>
                <w:sz w:val="16"/>
                <w:szCs w:val="16"/>
              </w:rPr>
              <w:t>Total SA</w:t>
            </w:r>
          </w:p>
        </w:tc>
        <w:tc>
          <w:tcPr>
            <w:tcW w:w="1559" w:type="dxa"/>
            <w:vAlign w:val="bottom"/>
          </w:tcPr>
          <w:p w:rsidR="00E25E63" w:rsidRPr="00CD5E17" w:rsidRDefault="00E25E63" w:rsidP="00E25E63">
            <w:pPr>
              <w:pStyle w:val="SVEtablecontent"/>
              <w:rPr>
                <w:sz w:val="16"/>
                <w:szCs w:val="16"/>
              </w:rPr>
            </w:pPr>
            <w:r w:rsidRPr="00CD5E17">
              <w:rPr>
                <w:sz w:val="16"/>
                <w:szCs w:val="16"/>
              </w:rPr>
              <w:t>Total SA</w:t>
            </w:r>
          </w:p>
        </w:tc>
        <w:tc>
          <w:tcPr>
            <w:tcW w:w="1417" w:type="dxa"/>
          </w:tcPr>
          <w:p w:rsidR="00E25E63" w:rsidRPr="00CD5E17" w:rsidRDefault="00E25E63" w:rsidP="00E25E63">
            <w:pPr>
              <w:pStyle w:val="SVEtablecontent"/>
              <w:rPr>
                <w:sz w:val="16"/>
                <w:szCs w:val="16"/>
              </w:rPr>
            </w:pPr>
            <w:r w:rsidRPr="00CD5E17">
              <w:rPr>
                <w:sz w:val="16"/>
                <w:szCs w:val="16"/>
              </w:rPr>
              <w:t>TOTF.PA</w:t>
            </w:r>
          </w:p>
        </w:tc>
        <w:tc>
          <w:tcPr>
            <w:tcW w:w="1134" w:type="dxa"/>
            <w:vAlign w:val="bottom"/>
          </w:tcPr>
          <w:p w:rsidR="00E25E63" w:rsidRPr="00CD5E17" w:rsidRDefault="00E25E63" w:rsidP="00E25E63">
            <w:pPr>
              <w:pStyle w:val="SVEtablecontent"/>
              <w:rPr>
                <w:sz w:val="16"/>
                <w:szCs w:val="16"/>
              </w:rPr>
            </w:pPr>
            <w:r w:rsidRPr="00CD5E17">
              <w:rPr>
                <w:sz w:val="16"/>
                <w:szCs w:val="16"/>
              </w:rPr>
              <w:t>France</w:t>
            </w:r>
          </w:p>
        </w:tc>
        <w:tc>
          <w:tcPr>
            <w:tcW w:w="1985" w:type="dxa"/>
            <w:vAlign w:val="bottom"/>
          </w:tcPr>
          <w:p w:rsidR="00E25E63" w:rsidRPr="00CD5E17" w:rsidRDefault="00E25E63" w:rsidP="00E25E63">
            <w:pPr>
              <w:pStyle w:val="SVEtablecontent"/>
              <w:rPr>
                <w:sz w:val="16"/>
                <w:szCs w:val="16"/>
              </w:rPr>
            </w:pPr>
            <w:r w:rsidRPr="00CD5E17">
              <w:rPr>
                <w:sz w:val="16"/>
                <w:szCs w:val="16"/>
              </w:rPr>
              <w:t>EREN Renewable Energy SA</w:t>
            </w:r>
          </w:p>
        </w:tc>
        <w:tc>
          <w:tcPr>
            <w:tcW w:w="1134" w:type="dxa"/>
            <w:vAlign w:val="bottom"/>
          </w:tcPr>
          <w:p w:rsidR="00E25E63" w:rsidRPr="00CD5E17" w:rsidRDefault="00E25E63" w:rsidP="00E25E63">
            <w:pPr>
              <w:pStyle w:val="SVEtablecontent"/>
              <w:rPr>
                <w:sz w:val="16"/>
                <w:szCs w:val="16"/>
              </w:rPr>
            </w:pPr>
            <w:r w:rsidRPr="00CD5E17">
              <w:rPr>
                <w:sz w:val="16"/>
                <w:szCs w:val="16"/>
              </w:rPr>
              <w:t>France</w:t>
            </w:r>
          </w:p>
        </w:tc>
        <w:tc>
          <w:tcPr>
            <w:tcW w:w="1843" w:type="dxa"/>
            <w:vAlign w:val="bottom"/>
          </w:tcPr>
          <w:p w:rsidR="00E25E63" w:rsidRPr="00CD5E17" w:rsidRDefault="00E25E63" w:rsidP="00E25E63">
            <w:pPr>
              <w:pStyle w:val="SVEtablecontent"/>
              <w:rPr>
                <w:sz w:val="16"/>
                <w:szCs w:val="16"/>
              </w:rPr>
            </w:pPr>
            <w:r w:rsidRPr="00CD5E17">
              <w:rPr>
                <w:sz w:val="16"/>
                <w:szCs w:val="16"/>
              </w:rPr>
              <w:t>Acquisition Of Partial Interest+Acquisition Of Majority Assets</w:t>
            </w:r>
          </w:p>
        </w:tc>
      </w:tr>
      <w:tr w:rsidR="00E25E63" w:rsidTr="001624D5">
        <w:tc>
          <w:tcPr>
            <w:tcW w:w="1276" w:type="dxa"/>
          </w:tcPr>
          <w:p w:rsidR="00E25E63" w:rsidRPr="00CD5E17" w:rsidRDefault="00E25E63" w:rsidP="00E25E63">
            <w:pPr>
              <w:pStyle w:val="SVEtablecontent"/>
              <w:rPr>
                <w:sz w:val="16"/>
                <w:szCs w:val="16"/>
              </w:rPr>
            </w:pPr>
            <w:r w:rsidRPr="00CD5E17">
              <w:rPr>
                <w:sz w:val="16"/>
                <w:szCs w:val="16"/>
              </w:rPr>
              <w:t>25/04/2016</w:t>
            </w:r>
          </w:p>
        </w:tc>
        <w:tc>
          <w:tcPr>
            <w:tcW w:w="1277" w:type="dxa"/>
            <w:vAlign w:val="bottom"/>
          </w:tcPr>
          <w:p w:rsidR="00E25E63" w:rsidRPr="00CD5E17" w:rsidRDefault="00E25E63" w:rsidP="00E25E63">
            <w:pPr>
              <w:pStyle w:val="SVEtablecontent"/>
              <w:rPr>
                <w:sz w:val="16"/>
                <w:szCs w:val="16"/>
              </w:rPr>
            </w:pPr>
            <w:r w:rsidRPr="00CD5E17">
              <w:rPr>
                <w:sz w:val="16"/>
                <w:szCs w:val="16"/>
              </w:rPr>
              <w:t>Statoil ASA</w:t>
            </w:r>
          </w:p>
        </w:tc>
        <w:tc>
          <w:tcPr>
            <w:tcW w:w="1559" w:type="dxa"/>
            <w:vAlign w:val="bottom"/>
          </w:tcPr>
          <w:p w:rsidR="00E25E63" w:rsidRPr="00CD5E17" w:rsidRDefault="00E25E63" w:rsidP="00E25E63">
            <w:pPr>
              <w:pStyle w:val="SVEtablecontent"/>
              <w:rPr>
                <w:sz w:val="16"/>
                <w:szCs w:val="16"/>
              </w:rPr>
            </w:pPr>
            <w:r w:rsidRPr="00CD5E17">
              <w:rPr>
                <w:sz w:val="16"/>
                <w:szCs w:val="16"/>
              </w:rPr>
              <w:t>Statoil ASA</w:t>
            </w:r>
          </w:p>
        </w:tc>
        <w:tc>
          <w:tcPr>
            <w:tcW w:w="1417" w:type="dxa"/>
          </w:tcPr>
          <w:p w:rsidR="00E25E63" w:rsidRPr="00CD5E17" w:rsidRDefault="00E25E63" w:rsidP="00E25E63">
            <w:pPr>
              <w:pStyle w:val="SVEtablecontent"/>
              <w:rPr>
                <w:sz w:val="16"/>
                <w:szCs w:val="16"/>
              </w:rPr>
            </w:pPr>
            <w:r w:rsidRPr="00CD5E17">
              <w:rPr>
                <w:sz w:val="16"/>
                <w:szCs w:val="16"/>
              </w:rPr>
              <w:t>EQNR.OL</w:t>
            </w:r>
          </w:p>
        </w:tc>
        <w:tc>
          <w:tcPr>
            <w:tcW w:w="1134" w:type="dxa"/>
            <w:vAlign w:val="bottom"/>
          </w:tcPr>
          <w:p w:rsidR="00E25E63" w:rsidRPr="00CD5E17" w:rsidRDefault="00E25E63" w:rsidP="00E25E63">
            <w:pPr>
              <w:pStyle w:val="SVEtablecontent"/>
              <w:rPr>
                <w:sz w:val="16"/>
                <w:szCs w:val="16"/>
              </w:rPr>
            </w:pPr>
            <w:r w:rsidRPr="00CD5E17">
              <w:rPr>
                <w:sz w:val="16"/>
                <w:szCs w:val="16"/>
              </w:rPr>
              <w:t>Norway</w:t>
            </w:r>
          </w:p>
        </w:tc>
        <w:tc>
          <w:tcPr>
            <w:tcW w:w="1985" w:type="dxa"/>
            <w:vAlign w:val="bottom"/>
          </w:tcPr>
          <w:p w:rsidR="00E25E63" w:rsidRPr="00CD5E17" w:rsidRDefault="00E25E63" w:rsidP="00E25E63">
            <w:pPr>
              <w:pStyle w:val="SVEtablecontent"/>
              <w:rPr>
                <w:sz w:val="16"/>
                <w:szCs w:val="16"/>
                <w:highlight w:val="cyan"/>
                <w:lang w:val="en-GB"/>
              </w:rPr>
            </w:pPr>
            <w:r w:rsidRPr="00CD5E17">
              <w:rPr>
                <w:sz w:val="16"/>
                <w:szCs w:val="16"/>
                <w:highlight w:val="cyan"/>
                <w:lang w:val="en-GB"/>
              </w:rPr>
              <w:t xml:space="preserve">AWE Arkona Windpark </w:t>
            </w:r>
            <w:proofErr w:type="spellStart"/>
            <w:r w:rsidRPr="00CD5E17">
              <w:rPr>
                <w:sz w:val="16"/>
                <w:szCs w:val="16"/>
                <w:highlight w:val="cyan"/>
                <w:lang w:val="en-GB"/>
              </w:rPr>
              <w:t>Entwicklungs</w:t>
            </w:r>
            <w:proofErr w:type="spellEnd"/>
            <w:r w:rsidRPr="00CD5E17">
              <w:rPr>
                <w:sz w:val="16"/>
                <w:szCs w:val="16"/>
                <w:highlight w:val="cyan"/>
                <w:lang w:val="en-GB"/>
              </w:rPr>
              <w:t xml:space="preserve"> GmbH</w:t>
            </w:r>
          </w:p>
        </w:tc>
        <w:tc>
          <w:tcPr>
            <w:tcW w:w="1134" w:type="dxa"/>
            <w:vAlign w:val="bottom"/>
          </w:tcPr>
          <w:p w:rsidR="00E25E63" w:rsidRPr="00CD5E17" w:rsidRDefault="00E25E63" w:rsidP="00E25E63">
            <w:pPr>
              <w:pStyle w:val="SVEtablecontent"/>
              <w:rPr>
                <w:sz w:val="16"/>
                <w:szCs w:val="16"/>
              </w:rPr>
            </w:pPr>
            <w:r w:rsidRPr="00CD5E17">
              <w:rPr>
                <w:sz w:val="16"/>
                <w:szCs w:val="16"/>
              </w:rPr>
              <w:t>Germany</w:t>
            </w:r>
          </w:p>
        </w:tc>
        <w:tc>
          <w:tcPr>
            <w:tcW w:w="1843" w:type="dxa"/>
            <w:vAlign w:val="bottom"/>
          </w:tcPr>
          <w:p w:rsidR="00E25E63" w:rsidRPr="00CD5E17" w:rsidRDefault="00E25E63" w:rsidP="00E25E63">
            <w:pPr>
              <w:pStyle w:val="SVEtablecontent"/>
              <w:rPr>
                <w:sz w:val="16"/>
                <w:szCs w:val="16"/>
              </w:rPr>
            </w:pPr>
            <w:r w:rsidRPr="00CD5E17">
              <w:rPr>
                <w:sz w:val="16"/>
                <w:szCs w:val="16"/>
              </w:rPr>
              <w:t>Acquisition Of Majority Assets</w:t>
            </w:r>
          </w:p>
        </w:tc>
      </w:tr>
      <w:tr w:rsidR="00E25E63" w:rsidTr="001624D5">
        <w:tc>
          <w:tcPr>
            <w:tcW w:w="1276" w:type="dxa"/>
          </w:tcPr>
          <w:p w:rsidR="00E25E63" w:rsidRPr="00CD5E17" w:rsidRDefault="00E25E63" w:rsidP="00E25E63">
            <w:pPr>
              <w:pStyle w:val="SVEtablecontent"/>
              <w:rPr>
                <w:sz w:val="16"/>
                <w:szCs w:val="16"/>
              </w:rPr>
            </w:pPr>
            <w:r w:rsidRPr="00CD5E17">
              <w:rPr>
                <w:sz w:val="16"/>
                <w:szCs w:val="16"/>
              </w:rPr>
              <w:lastRenderedPageBreak/>
              <w:t>29/10/2015</w:t>
            </w:r>
          </w:p>
        </w:tc>
        <w:tc>
          <w:tcPr>
            <w:tcW w:w="1277" w:type="dxa"/>
            <w:vAlign w:val="bottom"/>
          </w:tcPr>
          <w:p w:rsidR="00E25E63" w:rsidRPr="00CD5E17" w:rsidRDefault="00E25E63" w:rsidP="00E25E63">
            <w:pPr>
              <w:pStyle w:val="SVEtablecontent"/>
              <w:rPr>
                <w:sz w:val="16"/>
                <w:szCs w:val="16"/>
              </w:rPr>
            </w:pPr>
            <w:r w:rsidRPr="00CD5E17">
              <w:rPr>
                <w:sz w:val="16"/>
                <w:szCs w:val="16"/>
              </w:rPr>
              <w:t>RWE AG</w:t>
            </w:r>
          </w:p>
        </w:tc>
        <w:tc>
          <w:tcPr>
            <w:tcW w:w="1559" w:type="dxa"/>
            <w:vAlign w:val="bottom"/>
          </w:tcPr>
          <w:p w:rsidR="00E25E63" w:rsidRPr="00CD5E17" w:rsidRDefault="00E25E63" w:rsidP="00E25E63">
            <w:pPr>
              <w:pStyle w:val="SVEtablecontent"/>
              <w:rPr>
                <w:sz w:val="16"/>
                <w:szCs w:val="16"/>
              </w:rPr>
            </w:pPr>
            <w:r w:rsidRPr="00CD5E17">
              <w:rPr>
                <w:sz w:val="16"/>
                <w:szCs w:val="16"/>
              </w:rPr>
              <w:t>RWE Innogy Ltd</w:t>
            </w:r>
          </w:p>
        </w:tc>
        <w:tc>
          <w:tcPr>
            <w:tcW w:w="1417" w:type="dxa"/>
          </w:tcPr>
          <w:p w:rsidR="00E25E63" w:rsidRPr="00CD5E17" w:rsidRDefault="00E25E63" w:rsidP="00E25E63">
            <w:pPr>
              <w:pStyle w:val="SVEtablecontent"/>
              <w:rPr>
                <w:sz w:val="16"/>
                <w:szCs w:val="16"/>
              </w:rPr>
            </w:pPr>
            <w:r w:rsidRPr="00CD5E17">
              <w:rPr>
                <w:sz w:val="16"/>
                <w:szCs w:val="16"/>
              </w:rPr>
              <w:t>RWEG.DE</w:t>
            </w:r>
          </w:p>
        </w:tc>
        <w:tc>
          <w:tcPr>
            <w:tcW w:w="1134" w:type="dxa"/>
            <w:vAlign w:val="bottom"/>
          </w:tcPr>
          <w:p w:rsidR="00E25E63" w:rsidRPr="00CD5E17" w:rsidRDefault="00E25E63" w:rsidP="00E25E63">
            <w:pPr>
              <w:pStyle w:val="SVEtablecontent"/>
              <w:rPr>
                <w:sz w:val="16"/>
                <w:szCs w:val="16"/>
              </w:rPr>
            </w:pPr>
            <w:r w:rsidRPr="00CD5E17">
              <w:rPr>
                <w:sz w:val="16"/>
                <w:szCs w:val="16"/>
              </w:rPr>
              <w:t>United Kingdom</w:t>
            </w:r>
          </w:p>
        </w:tc>
        <w:tc>
          <w:tcPr>
            <w:tcW w:w="1985" w:type="dxa"/>
            <w:vAlign w:val="bottom"/>
          </w:tcPr>
          <w:p w:rsidR="00E25E63" w:rsidRPr="00CD5E17" w:rsidRDefault="00E25E63" w:rsidP="00E25E63">
            <w:pPr>
              <w:pStyle w:val="SVEtablecontent"/>
              <w:rPr>
                <w:sz w:val="16"/>
                <w:szCs w:val="16"/>
                <w:highlight w:val="cyan"/>
              </w:rPr>
            </w:pPr>
            <w:r w:rsidRPr="00CD5E17">
              <w:rPr>
                <w:sz w:val="16"/>
                <w:szCs w:val="16"/>
                <w:highlight w:val="cyan"/>
              </w:rPr>
              <w:t>Galloper Offshore Wind Farm</w:t>
            </w:r>
          </w:p>
        </w:tc>
        <w:tc>
          <w:tcPr>
            <w:tcW w:w="1134" w:type="dxa"/>
            <w:vAlign w:val="bottom"/>
          </w:tcPr>
          <w:p w:rsidR="00E25E63" w:rsidRPr="00CD5E17" w:rsidRDefault="00E25E63" w:rsidP="00E25E63">
            <w:pPr>
              <w:pStyle w:val="SVEtablecontent"/>
              <w:rPr>
                <w:sz w:val="16"/>
                <w:szCs w:val="16"/>
              </w:rPr>
            </w:pPr>
            <w:r w:rsidRPr="00CD5E17">
              <w:rPr>
                <w:sz w:val="16"/>
                <w:szCs w:val="16"/>
              </w:rPr>
              <w:t>United Kingdom</w:t>
            </w:r>
          </w:p>
        </w:tc>
        <w:tc>
          <w:tcPr>
            <w:tcW w:w="1843" w:type="dxa"/>
            <w:vAlign w:val="bottom"/>
          </w:tcPr>
          <w:p w:rsidR="00E25E63" w:rsidRPr="00CD5E17" w:rsidRDefault="00E25E63" w:rsidP="00E25E63">
            <w:pPr>
              <w:pStyle w:val="SVEtablecontent"/>
              <w:rPr>
                <w:sz w:val="16"/>
                <w:szCs w:val="16"/>
              </w:rPr>
            </w:pPr>
            <w:r w:rsidRPr="00CD5E17">
              <w:rPr>
                <w:sz w:val="16"/>
                <w:szCs w:val="16"/>
              </w:rPr>
              <w:t>Acquisition Of Remaining Interest</w:t>
            </w:r>
          </w:p>
        </w:tc>
      </w:tr>
      <w:tr w:rsidR="00E25E63" w:rsidTr="001624D5">
        <w:tc>
          <w:tcPr>
            <w:tcW w:w="1276" w:type="dxa"/>
          </w:tcPr>
          <w:p w:rsidR="00E25E63" w:rsidRPr="00CD5E17" w:rsidRDefault="00E25E63" w:rsidP="00E25E63">
            <w:pPr>
              <w:pStyle w:val="SVEtablecontent"/>
              <w:rPr>
                <w:sz w:val="16"/>
                <w:szCs w:val="16"/>
              </w:rPr>
            </w:pPr>
            <w:r w:rsidRPr="00CD5E17">
              <w:rPr>
                <w:sz w:val="16"/>
                <w:szCs w:val="16"/>
              </w:rPr>
              <w:t>07/07/2015</w:t>
            </w:r>
          </w:p>
        </w:tc>
        <w:tc>
          <w:tcPr>
            <w:tcW w:w="1277" w:type="dxa"/>
            <w:vAlign w:val="bottom"/>
          </w:tcPr>
          <w:p w:rsidR="00E25E63" w:rsidRPr="00CD5E17" w:rsidRDefault="00E25E63" w:rsidP="00E25E63">
            <w:pPr>
              <w:pStyle w:val="SVEtablecontent"/>
              <w:rPr>
                <w:sz w:val="16"/>
                <w:szCs w:val="16"/>
              </w:rPr>
            </w:pPr>
            <w:r w:rsidRPr="00CD5E17">
              <w:rPr>
                <w:sz w:val="16"/>
                <w:szCs w:val="16"/>
              </w:rPr>
              <w:t>Suncor Energy Inc</w:t>
            </w:r>
          </w:p>
        </w:tc>
        <w:tc>
          <w:tcPr>
            <w:tcW w:w="1559" w:type="dxa"/>
            <w:vAlign w:val="bottom"/>
          </w:tcPr>
          <w:p w:rsidR="00E25E63" w:rsidRPr="00CD5E17" w:rsidRDefault="00E25E63" w:rsidP="00E25E63">
            <w:pPr>
              <w:pStyle w:val="SVEtablecontent"/>
              <w:rPr>
                <w:sz w:val="16"/>
                <w:szCs w:val="16"/>
              </w:rPr>
            </w:pPr>
            <w:r w:rsidRPr="00CD5E17">
              <w:rPr>
                <w:sz w:val="16"/>
                <w:szCs w:val="16"/>
              </w:rPr>
              <w:t>Suncor Energy Inc</w:t>
            </w:r>
          </w:p>
        </w:tc>
        <w:tc>
          <w:tcPr>
            <w:tcW w:w="1417" w:type="dxa"/>
          </w:tcPr>
          <w:p w:rsidR="00E25E63" w:rsidRPr="00CD5E17" w:rsidRDefault="00E25E63" w:rsidP="00E25E63">
            <w:pPr>
              <w:pStyle w:val="SVEtablecontent"/>
              <w:rPr>
                <w:sz w:val="16"/>
                <w:szCs w:val="16"/>
              </w:rPr>
            </w:pPr>
            <w:r w:rsidRPr="00CD5E17">
              <w:rPr>
                <w:sz w:val="16"/>
                <w:szCs w:val="16"/>
              </w:rPr>
              <w:t>SU.TO</w:t>
            </w:r>
          </w:p>
        </w:tc>
        <w:tc>
          <w:tcPr>
            <w:tcW w:w="1134" w:type="dxa"/>
            <w:vAlign w:val="bottom"/>
          </w:tcPr>
          <w:p w:rsidR="00E25E63" w:rsidRPr="00CD5E17" w:rsidRDefault="00E25E63" w:rsidP="00E25E63">
            <w:pPr>
              <w:pStyle w:val="SVEtablecontent"/>
              <w:rPr>
                <w:sz w:val="16"/>
                <w:szCs w:val="16"/>
              </w:rPr>
            </w:pPr>
            <w:r w:rsidRPr="00CD5E17">
              <w:rPr>
                <w:sz w:val="16"/>
                <w:szCs w:val="16"/>
              </w:rPr>
              <w:t>Canada</w:t>
            </w:r>
          </w:p>
        </w:tc>
        <w:tc>
          <w:tcPr>
            <w:tcW w:w="1985" w:type="dxa"/>
            <w:vAlign w:val="bottom"/>
          </w:tcPr>
          <w:p w:rsidR="00E25E63" w:rsidRPr="00CD5E17" w:rsidRDefault="00E25E63" w:rsidP="00E25E63">
            <w:pPr>
              <w:pStyle w:val="SVEtablecontent"/>
              <w:rPr>
                <w:sz w:val="16"/>
                <w:szCs w:val="16"/>
                <w:lang w:val="en-GB"/>
              </w:rPr>
            </w:pPr>
            <w:r w:rsidRPr="00CD5E17">
              <w:rPr>
                <w:sz w:val="16"/>
                <w:szCs w:val="16"/>
                <w:lang w:val="en-GB"/>
              </w:rPr>
              <w:t>TransAlta Corp-376 MW Poplar Creek Cogeneration Facility</w:t>
            </w:r>
          </w:p>
        </w:tc>
        <w:tc>
          <w:tcPr>
            <w:tcW w:w="1134" w:type="dxa"/>
            <w:vAlign w:val="bottom"/>
          </w:tcPr>
          <w:p w:rsidR="00E25E63" w:rsidRPr="00CD5E17" w:rsidRDefault="00E25E63" w:rsidP="00E25E63">
            <w:pPr>
              <w:pStyle w:val="SVEtablecontent"/>
              <w:rPr>
                <w:sz w:val="16"/>
                <w:szCs w:val="16"/>
              </w:rPr>
            </w:pPr>
            <w:r w:rsidRPr="00CD5E17">
              <w:rPr>
                <w:sz w:val="16"/>
                <w:szCs w:val="16"/>
              </w:rPr>
              <w:t>Canada</w:t>
            </w:r>
          </w:p>
        </w:tc>
        <w:tc>
          <w:tcPr>
            <w:tcW w:w="1843" w:type="dxa"/>
            <w:vAlign w:val="bottom"/>
          </w:tcPr>
          <w:p w:rsidR="00E25E63" w:rsidRPr="00CD5E17" w:rsidRDefault="00E25E63" w:rsidP="00E25E63">
            <w:pPr>
              <w:pStyle w:val="SVEtablecontent"/>
              <w:rPr>
                <w:sz w:val="16"/>
                <w:szCs w:val="16"/>
              </w:rPr>
            </w:pPr>
            <w:r w:rsidRPr="00CD5E17">
              <w:rPr>
                <w:sz w:val="16"/>
                <w:szCs w:val="16"/>
              </w:rPr>
              <w:t>Acquisition Of Assets</w:t>
            </w:r>
          </w:p>
        </w:tc>
      </w:tr>
      <w:tr w:rsidR="00E25E63" w:rsidTr="001624D5">
        <w:tc>
          <w:tcPr>
            <w:tcW w:w="1276" w:type="dxa"/>
          </w:tcPr>
          <w:p w:rsidR="00E25E63" w:rsidRPr="00CD5E17" w:rsidRDefault="00E25E63" w:rsidP="00E25E63">
            <w:pPr>
              <w:pStyle w:val="SVEtablecontent"/>
              <w:rPr>
                <w:sz w:val="16"/>
                <w:szCs w:val="16"/>
              </w:rPr>
            </w:pPr>
            <w:r w:rsidRPr="00CD5E17">
              <w:rPr>
                <w:sz w:val="16"/>
                <w:szCs w:val="16"/>
              </w:rPr>
              <w:t>22/06/2015</w:t>
            </w:r>
          </w:p>
        </w:tc>
        <w:tc>
          <w:tcPr>
            <w:tcW w:w="1277" w:type="dxa"/>
            <w:vAlign w:val="bottom"/>
          </w:tcPr>
          <w:p w:rsidR="00E25E63" w:rsidRPr="00CD5E17" w:rsidRDefault="00E25E63" w:rsidP="00E25E63">
            <w:pPr>
              <w:pStyle w:val="SVEtablecontent"/>
              <w:rPr>
                <w:sz w:val="16"/>
                <w:szCs w:val="16"/>
              </w:rPr>
            </w:pPr>
            <w:r w:rsidRPr="00CD5E17">
              <w:rPr>
                <w:sz w:val="16"/>
                <w:szCs w:val="16"/>
              </w:rPr>
              <w:t>Gas Natural SDG SA</w:t>
            </w:r>
          </w:p>
        </w:tc>
        <w:tc>
          <w:tcPr>
            <w:tcW w:w="1559" w:type="dxa"/>
            <w:vAlign w:val="bottom"/>
          </w:tcPr>
          <w:p w:rsidR="00E25E63" w:rsidRPr="00CD5E17" w:rsidRDefault="00E25E63" w:rsidP="00E25E63">
            <w:pPr>
              <w:pStyle w:val="SVEtablecontent"/>
              <w:rPr>
                <w:sz w:val="16"/>
                <w:szCs w:val="16"/>
              </w:rPr>
            </w:pPr>
            <w:r w:rsidRPr="00CD5E17">
              <w:rPr>
                <w:sz w:val="16"/>
                <w:szCs w:val="16"/>
              </w:rPr>
              <w:t>Gas Natural SDG SA</w:t>
            </w:r>
          </w:p>
        </w:tc>
        <w:tc>
          <w:tcPr>
            <w:tcW w:w="1417" w:type="dxa"/>
            <w:vAlign w:val="bottom"/>
          </w:tcPr>
          <w:p w:rsidR="00E25E63" w:rsidRPr="00CD5E17" w:rsidRDefault="00E25E63" w:rsidP="00E25E63">
            <w:pPr>
              <w:pStyle w:val="SVEtablecontent"/>
              <w:rPr>
                <w:sz w:val="16"/>
                <w:szCs w:val="16"/>
              </w:rPr>
            </w:pPr>
            <w:r w:rsidRPr="00CD5E17">
              <w:rPr>
                <w:sz w:val="16"/>
                <w:szCs w:val="16"/>
              </w:rPr>
              <w:t>NTGY.MC</w:t>
            </w:r>
          </w:p>
        </w:tc>
        <w:tc>
          <w:tcPr>
            <w:tcW w:w="1134" w:type="dxa"/>
            <w:vAlign w:val="bottom"/>
          </w:tcPr>
          <w:p w:rsidR="00E25E63" w:rsidRPr="00CD5E17" w:rsidRDefault="00E25E63" w:rsidP="00E25E63">
            <w:pPr>
              <w:pStyle w:val="SVEtablecontent"/>
              <w:rPr>
                <w:sz w:val="16"/>
                <w:szCs w:val="16"/>
              </w:rPr>
            </w:pPr>
            <w:r w:rsidRPr="00CD5E17">
              <w:rPr>
                <w:sz w:val="16"/>
                <w:szCs w:val="16"/>
              </w:rPr>
              <w:t>Spain</w:t>
            </w:r>
          </w:p>
        </w:tc>
        <w:tc>
          <w:tcPr>
            <w:tcW w:w="1985" w:type="dxa"/>
            <w:vAlign w:val="bottom"/>
          </w:tcPr>
          <w:p w:rsidR="00E25E63" w:rsidRPr="00CD5E17" w:rsidRDefault="00E25E63" w:rsidP="00E25E63">
            <w:pPr>
              <w:pStyle w:val="SVEtablecontent"/>
              <w:rPr>
                <w:sz w:val="16"/>
                <w:szCs w:val="16"/>
              </w:rPr>
            </w:pPr>
            <w:r w:rsidRPr="00CD5E17">
              <w:rPr>
                <w:sz w:val="16"/>
                <w:szCs w:val="16"/>
                <w:highlight w:val="cyan"/>
              </w:rPr>
              <w:t>Gecal Renovables SA</w:t>
            </w:r>
          </w:p>
        </w:tc>
        <w:tc>
          <w:tcPr>
            <w:tcW w:w="1134" w:type="dxa"/>
            <w:vAlign w:val="bottom"/>
          </w:tcPr>
          <w:p w:rsidR="00E25E63" w:rsidRPr="00CD5E17" w:rsidRDefault="00E25E63" w:rsidP="00E25E63">
            <w:pPr>
              <w:pStyle w:val="SVEtablecontent"/>
              <w:rPr>
                <w:sz w:val="16"/>
                <w:szCs w:val="16"/>
              </w:rPr>
            </w:pPr>
            <w:r w:rsidRPr="00CD5E17">
              <w:rPr>
                <w:sz w:val="16"/>
                <w:szCs w:val="16"/>
              </w:rPr>
              <w:t>Spain</w:t>
            </w:r>
          </w:p>
        </w:tc>
        <w:tc>
          <w:tcPr>
            <w:tcW w:w="1843" w:type="dxa"/>
            <w:vAlign w:val="bottom"/>
          </w:tcPr>
          <w:p w:rsidR="00E25E63" w:rsidRPr="00CD5E17" w:rsidRDefault="00E25E63" w:rsidP="00E25E63">
            <w:pPr>
              <w:pStyle w:val="SVEtablecontent"/>
              <w:rPr>
                <w:sz w:val="16"/>
                <w:szCs w:val="16"/>
              </w:rPr>
            </w:pPr>
            <w:r w:rsidRPr="00CD5E17">
              <w:rPr>
                <w:sz w:val="16"/>
                <w:szCs w:val="16"/>
              </w:rPr>
              <w:t>Merger</w:t>
            </w:r>
          </w:p>
        </w:tc>
      </w:tr>
      <w:tr w:rsidR="00E25E63" w:rsidTr="001624D5">
        <w:tc>
          <w:tcPr>
            <w:tcW w:w="1276" w:type="dxa"/>
          </w:tcPr>
          <w:p w:rsidR="00E25E63" w:rsidRPr="00CD5E17" w:rsidRDefault="00E25E63" w:rsidP="00E25E63">
            <w:pPr>
              <w:pStyle w:val="SVEtablecontent"/>
              <w:rPr>
                <w:sz w:val="16"/>
                <w:szCs w:val="16"/>
              </w:rPr>
            </w:pPr>
            <w:r w:rsidRPr="00CD5E17">
              <w:rPr>
                <w:sz w:val="16"/>
                <w:szCs w:val="16"/>
              </w:rPr>
              <w:t>29/12/2014</w:t>
            </w:r>
          </w:p>
        </w:tc>
        <w:tc>
          <w:tcPr>
            <w:tcW w:w="1277" w:type="dxa"/>
            <w:vAlign w:val="bottom"/>
          </w:tcPr>
          <w:p w:rsidR="00E25E63" w:rsidRPr="00CD5E17" w:rsidRDefault="00E25E63" w:rsidP="00E25E63">
            <w:pPr>
              <w:pStyle w:val="SVEtablecontent"/>
              <w:rPr>
                <w:sz w:val="16"/>
                <w:szCs w:val="16"/>
              </w:rPr>
            </w:pPr>
            <w:r w:rsidRPr="00CD5E17">
              <w:rPr>
                <w:sz w:val="16"/>
                <w:szCs w:val="16"/>
              </w:rPr>
              <w:t>TransCanada Corp</w:t>
            </w:r>
          </w:p>
        </w:tc>
        <w:tc>
          <w:tcPr>
            <w:tcW w:w="1559" w:type="dxa"/>
            <w:vAlign w:val="bottom"/>
          </w:tcPr>
          <w:p w:rsidR="00E25E63" w:rsidRPr="00CD5E17" w:rsidRDefault="00E25E63" w:rsidP="00E25E63">
            <w:pPr>
              <w:pStyle w:val="SVEtablecontent"/>
              <w:rPr>
                <w:sz w:val="16"/>
                <w:szCs w:val="16"/>
              </w:rPr>
            </w:pPr>
            <w:r w:rsidRPr="00CD5E17">
              <w:rPr>
                <w:sz w:val="16"/>
                <w:szCs w:val="16"/>
              </w:rPr>
              <w:t>TransCanada Corp</w:t>
            </w:r>
          </w:p>
        </w:tc>
        <w:tc>
          <w:tcPr>
            <w:tcW w:w="1417" w:type="dxa"/>
            <w:vAlign w:val="bottom"/>
          </w:tcPr>
          <w:p w:rsidR="00E25E63" w:rsidRPr="00CD5E17" w:rsidRDefault="00E25E63" w:rsidP="00E25E63">
            <w:pPr>
              <w:pStyle w:val="SVEtablecontent"/>
              <w:rPr>
                <w:sz w:val="16"/>
                <w:szCs w:val="16"/>
              </w:rPr>
            </w:pPr>
            <w:r w:rsidRPr="00CD5E17">
              <w:rPr>
                <w:sz w:val="16"/>
                <w:szCs w:val="16"/>
              </w:rPr>
              <w:t>TRP.TO</w:t>
            </w:r>
          </w:p>
        </w:tc>
        <w:tc>
          <w:tcPr>
            <w:tcW w:w="1134" w:type="dxa"/>
            <w:vAlign w:val="bottom"/>
          </w:tcPr>
          <w:p w:rsidR="00E25E63" w:rsidRPr="00CD5E17" w:rsidRDefault="00E25E63" w:rsidP="00E25E63">
            <w:pPr>
              <w:pStyle w:val="SVEtablecontent"/>
              <w:rPr>
                <w:sz w:val="16"/>
                <w:szCs w:val="16"/>
              </w:rPr>
            </w:pPr>
            <w:r w:rsidRPr="00CD5E17">
              <w:rPr>
                <w:sz w:val="16"/>
                <w:szCs w:val="16"/>
              </w:rPr>
              <w:t>Canada</w:t>
            </w:r>
          </w:p>
        </w:tc>
        <w:tc>
          <w:tcPr>
            <w:tcW w:w="1985" w:type="dxa"/>
            <w:vAlign w:val="bottom"/>
          </w:tcPr>
          <w:p w:rsidR="00E25E63" w:rsidRPr="00CD5E17" w:rsidRDefault="00E25E63" w:rsidP="00E25E63">
            <w:pPr>
              <w:pStyle w:val="SVEtablecontent"/>
              <w:rPr>
                <w:sz w:val="16"/>
                <w:szCs w:val="16"/>
                <w:lang w:val="en-GB"/>
              </w:rPr>
            </w:pPr>
            <w:r w:rsidRPr="00CD5E17">
              <w:rPr>
                <w:sz w:val="16"/>
                <w:szCs w:val="16"/>
                <w:highlight w:val="yellow"/>
                <w:lang w:val="en-GB"/>
              </w:rPr>
              <w:t>Canadian Solar Solutions Inc-Liskeard 1</w:t>
            </w:r>
          </w:p>
        </w:tc>
        <w:tc>
          <w:tcPr>
            <w:tcW w:w="1134" w:type="dxa"/>
            <w:vAlign w:val="bottom"/>
          </w:tcPr>
          <w:p w:rsidR="00E25E63" w:rsidRPr="00CD5E17" w:rsidRDefault="00E25E63" w:rsidP="00E25E63">
            <w:pPr>
              <w:pStyle w:val="SVEtablecontent"/>
              <w:rPr>
                <w:sz w:val="16"/>
                <w:szCs w:val="16"/>
              </w:rPr>
            </w:pPr>
            <w:r w:rsidRPr="00CD5E17">
              <w:rPr>
                <w:sz w:val="16"/>
                <w:szCs w:val="16"/>
              </w:rPr>
              <w:t>Canada</w:t>
            </w:r>
          </w:p>
        </w:tc>
        <w:tc>
          <w:tcPr>
            <w:tcW w:w="1843" w:type="dxa"/>
            <w:vAlign w:val="bottom"/>
          </w:tcPr>
          <w:p w:rsidR="00E25E63" w:rsidRPr="00CD5E17" w:rsidRDefault="00E25E63" w:rsidP="00E25E63">
            <w:pPr>
              <w:pStyle w:val="SVEtablecontent"/>
              <w:rPr>
                <w:sz w:val="16"/>
                <w:szCs w:val="16"/>
              </w:rPr>
            </w:pPr>
            <w:r w:rsidRPr="00CD5E17">
              <w:rPr>
                <w:sz w:val="16"/>
                <w:szCs w:val="16"/>
              </w:rPr>
              <w:t>Acquisition Of Assets</w:t>
            </w:r>
          </w:p>
        </w:tc>
      </w:tr>
      <w:tr w:rsidR="00E25E63" w:rsidTr="001624D5">
        <w:tc>
          <w:tcPr>
            <w:tcW w:w="1276" w:type="dxa"/>
          </w:tcPr>
          <w:p w:rsidR="00E25E63" w:rsidRPr="00CD5E17" w:rsidRDefault="00E25E63" w:rsidP="00E25E63">
            <w:pPr>
              <w:pStyle w:val="SVEtablecontent"/>
              <w:rPr>
                <w:sz w:val="16"/>
                <w:szCs w:val="16"/>
              </w:rPr>
            </w:pPr>
            <w:r w:rsidRPr="00CD5E17">
              <w:rPr>
                <w:sz w:val="16"/>
                <w:szCs w:val="16"/>
              </w:rPr>
              <w:t>02/10/2014</w:t>
            </w:r>
          </w:p>
        </w:tc>
        <w:tc>
          <w:tcPr>
            <w:tcW w:w="1277" w:type="dxa"/>
            <w:vAlign w:val="bottom"/>
          </w:tcPr>
          <w:p w:rsidR="00E25E63" w:rsidRPr="00CD5E17" w:rsidRDefault="00E25E63" w:rsidP="00E25E63">
            <w:pPr>
              <w:pStyle w:val="SVEtablecontent"/>
              <w:rPr>
                <w:sz w:val="16"/>
                <w:szCs w:val="16"/>
              </w:rPr>
            </w:pPr>
            <w:r w:rsidRPr="00CD5E17">
              <w:rPr>
                <w:sz w:val="16"/>
                <w:szCs w:val="16"/>
              </w:rPr>
              <w:t>TransCanada Corp</w:t>
            </w:r>
          </w:p>
        </w:tc>
        <w:tc>
          <w:tcPr>
            <w:tcW w:w="1559" w:type="dxa"/>
            <w:vAlign w:val="bottom"/>
          </w:tcPr>
          <w:p w:rsidR="00E25E63" w:rsidRPr="00CD5E17" w:rsidRDefault="00E25E63" w:rsidP="00E25E63">
            <w:pPr>
              <w:pStyle w:val="SVEtablecontent"/>
              <w:rPr>
                <w:sz w:val="16"/>
                <w:szCs w:val="16"/>
              </w:rPr>
            </w:pPr>
            <w:r w:rsidRPr="00CD5E17">
              <w:rPr>
                <w:sz w:val="16"/>
                <w:szCs w:val="16"/>
              </w:rPr>
              <w:t>TransCanada Corp</w:t>
            </w:r>
          </w:p>
        </w:tc>
        <w:tc>
          <w:tcPr>
            <w:tcW w:w="1417" w:type="dxa"/>
            <w:vAlign w:val="bottom"/>
          </w:tcPr>
          <w:p w:rsidR="00E25E63" w:rsidRPr="00CD5E17" w:rsidRDefault="00E25E63" w:rsidP="00E25E63">
            <w:pPr>
              <w:pStyle w:val="SVEtablecontent"/>
              <w:rPr>
                <w:sz w:val="16"/>
                <w:szCs w:val="16"/>
              </w:rPr>
            </w:pPr>
            <w:r w:rsidRPr="00CD5E17">
              <w:rPr>
                <w:sz w:val="16"/>
                <w:szCs w:val="16"/>
              </w:rPr>
              <w:t>TRP.TO</w:t>
            </w:r>
          </w:p>
        </w:tc>
        <w:tc>
          <w:tcPr>
            <w:tcW w:w="1134" w:type="dxa"/>
            <w:vAlign w:val="bottom"/>
          </w:tcPr>
          <w:p w:rsidR="00E25E63" w:rsidRPr="00CD5E17" w:rsidRDefault="00E25E63" w:rsidP="00E25E63">
            <w:pPr>
              <w:pStyle w:val="SVEtablecontent"/>
              <w:rPr>
                <w:sz w:val="16"/>
                <w:szCs w:val="16"/>
              </w:rPr>
            </w:pPr>
            <w:r w:rsidRPr="00CD5E17">
              <w:rPr>
                <w:sz w:val="16"/>
                <w:szCs w:val="16"/>
              </w:rPr>
              <w:t>Canada</w:t>
            </w:r>
          </w:p>
        </w:tc>
        <w:tc>
          <w:tcPr>
            <w:tcW w:w="1985" w:type="dxa"/>
            <w:vAlign w:val="bottom"/>
          </w:tcPr>
          <w:p w:rsidR="00E25E63" w:rsidRPr="00CD5E17" w:rsidRDefault="00E25E63" w:rsidP="00E25E63">
            <w:pPr>
              <w:pStyle w:val="SVEtablecontent"/>
              <w:rPr>
                <w:sz w:val="16"/>
                <w:szCs w:val="16"/>
                <w:lang w:val="en-GB"/>
              </w:rPr>
            </w:pPr>
            <w:r w:rsidRPr="00CD5E17">
              <w:rPr>
                <w:sz w:val="16"/>
                <w:szCs w:val="16"/>
                <w:highlight w:val="yellow"/>
                <w:lang w:val="en-GB"/>
              </w:rPr>
              <w:t>Canadian Solar Solutions Inc-Solar Power Facilities(3)</w:t>
            </w:r>
          </w:p>
        </w:tc>
        <w:tc>
          <w:tcPr>
            <w:tcW w:w="1134" w:type="dxa"/>
            <w:vAlign w:val="bottom"/>
          </w:tcPr>
          <w:p w:rsidR="00E25E63" w:rsidRPr="00CD5E17" w:rsidRDefault="00E25E63" w:rsidP="00E25E63">
            <w:pPr>
              <w:pStyle w:val="SVEtablecontent"/>
              <w:rPr>
                <w:sz w:val="16"/>
                <w:szCs w:val="16"/>
              </w:rPr>
            </w:pPr>
            <w:r w:rsidRPr="00CD5E17">
              <w:rPr>
                <w:sz w:val="16"/>
                <w:szCs w:val="16"/>
              </w:rPr>
              <w:t>Canada</w:t>
            </w:r>
          </w:p>
        </w:tc>
        <w:tc>
          <w:tcPr>
            <w:tcW w:w="1843" w:type="dxa"/>
            <w:vAlign w:val="bottom"/>
          </w:tcPr>
          <w:p w:rsidR="00E25E63" w:rsidRPr="00CD5E17" w:rsidRDefault="00E25E63" w:rsidP="00E25E63">
            <w:pPr>
              <w:pStyle w:val="SVEtablecontent"/>
              <w:rPr>
                <w:sz w:val="16"/>
                <w:szCs w:val="16"/>
              </w:rPr>
            </w:pPr>
            <w:r w:rsidRPr="00CD5E17">
              <w:rPr>
                <w:sz w:val="16"/>
                <w:szCs w:val="16"/>
              </w:rPr>
              <w:t>Acquisition Of Assets</w:t>
            </w:r>
          </w:p>
        </w:tc>
      </w:tr>
      <w:tr w:rsidR="00E25E63" w:rsidTr="001624D5">
        <w:tc>
          <w:tcPr>
            <w:tcW w:w="1276" w:type="dxa"/>
          </w:tcPr>
          <w:p w:rsidR="00E25E63" w:rsidRPr="00CD5E17" w:rsidRDefault="00E25E63" w:rsidP="00E25E63">
            <w:pPr>
              <w:pStyle w:val="SVEtablecontent"/>
              <w:rPr>
                <w:sz w:val="16"/>
                <w:szCs w:val="16"/>
              </w:rPr>
            </w:pPr>
            <w:r w:rsidRPr="00CD5E17">
              <w:rPr>
                <w:sz w:val="16"/>
                <w:szCs w:val="16"/>
              </w:rPr>
              <w:t>31/12/2013</w:t>
            </w:r>
          </w:p>
        </w:tc>
        <w:tc>
          <w:tcPr>
            <w:tcW w:w="1277" w:type="dxa"/>
            <w:vAlign w:val="bottom"/>
          </w:tcPr>
          <w:p w:rsidR="00E25E63" w:rsidRPr="00CD5E17" w:rsidRDefault="00E25E63" w:rsidP="00E25E63">
            <w:pPr>
              <w:pStyle w:val="SVEtablecontent"/>
              <w:rPr>
                <w:sz w:val="16"/>
                <w:szCs w:val="16"/>
              </w:rPr>
            </w:pPr>
            <w:r w:rsidRPr="00CD5E17">
              <w:rPr>
                <w:sz w:val="16"/>
                <w:szCs w:val="16"/>
              </w:rPr>
              <w:t>TransCanada Corp</w:t>
            </w:r>
          </w:p>
        </w:tc>
        <w:tc>
          <w:tcPr>
            <w:tcW w:w="1559" w:type="dxa"/>
            <w:vAlign w:val="bottom"/>
          </w:tcPr>
          <w:p w:rsidR="00E25E63" w:rsidRPr="00CD5E17" w:rsidRDefault="00E25E63" w:rsidP="00E25E63">
            <w:pPr>
              <w:pStyle w:val="SVEtablecontent"/>
              <w:rPr>
                <w:sz w:val="16"/>
                <w:szCs w:val="16"/>
              </w:rPr>
            </w:pPr>
            <w:r w:rsidRPr="00CD5E17">
              <w:rPr>
                <w:sz w:val="16"/>
                <w:szCs w:val="16"/>
              </w:rPr>
              <w:t>TransCanada Corp</w:t>
            </w:r>
          </w:p>
        </w:tc>
        <w:tc>
          <w:tcPr>
            <w:tcW w:w="1417" w:type="dxa"/>
            <w:vAlign w:val="bottom"/>
          </w:tcPr>
          <w:p w:rsidR="00E25E63" w:rsidRPr="00CD5E17" w:rsidRDefault="00E25E63" w:rsidP="00E25E63">
            <w:pPr>
              <w:pStyle w:val="SVEtablecontent"/>
              <w:rPr>
                <w:sz w:val="16"/>
                <w:szCs w:val="16"/>
              </w:rPr>
            </w:pPr>
            <w:r w:rsidRPr="00CD5E17">
              <w:rPr>
                <w:sz w:val="16"/>
                <w:szCs w:val="16"/>
              </w:rPr>
              <w:t>TRP.TO</w:t>
            </w:r>
          </w:p>
        </w:tc>
        <w:tc>
          <w:tcPr>
            <w:tcW w:w="1134" w:type="dxa"/>
            <w:vAlign w:val="bottom"/>
          </w:tcPr>
          <w:p w:rsidR="00E25E63" w:rsidRPr="00CD5E17" w:rsidRDefault="00E25E63" w:rsidP="00E25E63">
            <w:pPr>
              <w:pStyle w:val="SVEtablecontent"/>
              <w:rPr>
                <w:sz w:val="16"/>
                <w:szCs w:val="16"/>
              </w:rPr>
            </w:pPr>
            <w:r w:rsidRPr="00CD5E17">
              <w:rPr>
                <w:sz w:val="16"/>
                <w:szCs w:val="16"/>
              </w:rPr>
              <w:t>Canada</w:t>
            </w:r>
          </w:p>
        </w:tc>
        <w:tc>
          <w:tcPr>
            <w:tcW w:w="1985" w:type="dxa"/>
            <w:vAlign w:val="bottom"/>
          </w:tcPr>
          <w:p w:rsidR="00E25E63" w:rsidRPr="00CD5E17" w:rsidRDefault="00E25E63" w:rsidP="00E25E63">
            <w:pPr>
              <w:pStyle w:val="SVEtablecontent"/>
              <w:rPr>
                <w:sz w:val="16"/>
                <w:szCs w:val="16"/>
                <w:lang w:val="en-GB"/>
              </w:rPr>
            </w:pPr>
            <w:r w:rsidRPr="00CD5E17">
              <w:rPr>
                <w:sz w:val="16"/>
                <w:szCs w:val="16"/>
                <w:highlight w:val="yellow"/>
                <w:lang w:val="en-GB"/>
              </w:rPr>
              <w:t>Canadian Solar Solutions Inc- Mississippi Mills</w:t>
            </w:r>
          </w:p>
        </w:tc>
        <w:tc>
          <w:tcPr>
            <w:tcW w:w="1134" w:type="dxa"/>
            <w:vAlign w:val="bottom"/>
          </w:tcPr>
          <w:p w:rsidR="00E25E63" w:rsidRPr="00CD5E17" w:rsidRDefault="00E25E63" w:rsidP="00E25E63">
            <w:pPr>
              <w:pStyle w:val="SVEtablecontent"/>
              <w:rPr>
                <w:sz w:val="16"/>
                <w:szCs w:val="16"/>
              </w:rPr>
            </w:pPr>
            <w:r w:rsidRPr="00CD5E17">
              <w:rPr>
                <w:sz w:val="16"/>
                <w:szCs w:val="16"/>
              </w:rPr>
              <w:t>Canada</w:t>
            </w:r>
          </w:p>
        </w:tc>
        <w:tc>
          <w:tcPr>
            <w:tcW w:w="1843" w:type="dxa"/>
            <w:vAlign w:val="bottom"/>
          </w:tcPr>
          <w:p w:rsidR="00E25E63" w:rsidRPr="00CD5E17" w:rsidRDefault="00E25E63" w:rsidP="00E25E63">
            <w:pPr>
              <w:pStyle w:val="SVEtablecontent"/>
              <w:rPr>
                <w:sz w:val="16"/>
                <w:szCs w:val="16"/>
              </w:rPr>
            </w:pPr>
            <w:r w:rsidRPr="00CD5E17">
              <w:rPr>
                <w:sz w:val="16"/>
                <w:szCs w:val="16"/>
              </w:rPr>
              <w:t>Acquisition Of Assets</w:t>
            </w:r>
          </w:p>
        </w:tc>
      </w:tr>
      <w:tr w:rsidR="00E25E63" w:rsidTr="001624D5">
        <w:tc>
          <w:tcPr>
            <w:tcW w:w="1276" w:type="dxa"/>
          </w:tcPr>
          <w:p w:rsidR="00E25E63" w:rsidRPr="00CD5E17" w:rsidRDefault="00E25E63" w:rsidP="00E25E63">
            <w:pPr>
              <w:pStyle w:val="SVEtablecontent"/>
              <w:rPr>
                <w:sz w:val="16"/>
                <w:szCs w:val="16"/>
              </w:rPr>
            </w:pPr>
            <w:r w:rsidRPr="00CD5E17">
              <w:rPr>
                <w:sz w:val="16"/>
                <w:szCs w:val="16"/>
              </w:rPr>
              <w:t>28/06/2013</w:t>
            </w:r>
          </w:p>
        </w:tc>
        <w:tc>
          <w:tcPr>
            <w:tcW w:w="1277" w:type="dxa"/>
            <w:vAlign w:val="bottom"/>
          </w:tcPr>
          <w:p w:rsidR="00E25E63" w:rsidRPr="00CD5E17" w:rsidRDefault="00E25E63" w:rsidP="00E25E63">
            <w:pPr>
              <w:pStyle w:val="SVEtablecontent"/>
              <w:rPr>
                <w:sz w:val="16"/>
                <w:szCs w:val="16"/>
              </w:rPr>
            </w:pPr>
            <w:r w:rsidRPr="00CD5E17">
              <w:rPr>
                <w:sz w:val="16"/>
                <w:szCs w:val="16"/>
              </w:rPr>
              <w:t>TransCanada Corp</w:t>
            </w:r>
          </w:p>
        </w:tc>
        <w:tc>
          <w:tcPr>
            <w:tcW w:w="1559" w:type="dxa"/>
            <w:vAlign w:val="bottom"/>
          </w:tcPr>
          <w:p w:rsidR="00E25E63" w:rsidRPr="00CD5E17" w:rsidRDefault="00E25E63" w:rsidP="00E25E63">
            <w:pPr>
              <w:pStyle w:val="SVEtablecontent"/>
              <w:rPr>
                <w:sz w:val="16"/>
                <w:szCs w:val="16"/>
              </w:rPr>
            </w:pPr>
            <w:r w:rsidRPr="00CD5E17">
              <w:rPr>
                <w:sz w:val="16"/>
                <w:szCs w:val="16"/>
              </w:rPr>
              <w:t>TransCanada Corp</w:t>
            </w:r>
          </w:p>
        </w:tc>
        <w:tc>
          <w:tcPr>
            <w:tcW w:w="1417" w:type="dxa"/>
            <w:vAlign w:val="bottom"/>
          </w:tcPr>
          <w:p w:rsidR="00E25E63" w:rsidRPr="00CD5E17" w:rsidRDefault="00E25E63" w:rsidP="00E25E63">
            <w:pPr>
              <w:pStyle w:val="SVEtablecontent"/>
              <w:rPr>
                <w:sz w:val="16"/>
                <w:szCs w:val="16"/>
              </w:rPr>
            </w:pPr>
            <w:r w:rsidRPr="00CD5E17">
              <w:rPr>
                <w:sz w:val="16"/>
                <w:szCs w:val="16"/>
              </w:rPr>
              <w:t>TRP.TO</w:t>
            </w:r>
          </w:p>
        </w:tc>
        <w:tc>
          <w:tcPr>
            <w:tcW w:w="1134" w:type="dxa"/>
            <w:vAlign w:val="bottom"/>
          </w:tcPr>
          <w:p w:rsidR="00E25E63" w:rsidRPr="00CD5E17" w:rsidRDefault="00E25E63" w:rsidP="00E25E63">
            <w:pPr>
              <w:pStyle w:val="SVEtablecontent"/>
              <w:rPr>
                <w:sz w:val="16"/>
                <w:szCs w:val="16"/>
              </w:rPr>
            </w:pPr>
            <w:r w:rsidRPr="00CD5E17">
              <w:rPr>
                <w:sz w:val="16"/>
                <w:szCs w:val="16"/>
              </w:rPr>
              <w:t>Canada</w:t>
            </w:r>
          </w:p>
        </w:tc>
        <w:tc>
          <w:tcPr>
            <w:tcW w:w="1985" w:type="dxa"/>
            <w:vAlign w:val="bottom"/>
          </w:tcPr>
          <w:p w:rsidR="00E25E63" w:rsidRPr="00CD5E17" w:rsidRDefault="00E25E63" w:rsidP="00E25E63">
            <w:pPr>
              <w:pStyle w:val="SVEtablecontent"/>
              <w:rPr>
                <w:sz w:val="16"/>
                <w:szCs w:val="16"/>
                <w:lang w:val="en-GB"/>
              </w:rPr>
            </w:pPr>
            <w:r w:rsidRPr="00CD5E17">
              <w:rPr>
                <w:sz w:val="16"/>
                <w:szCs w:val="16"/>
                <w:highlight w:val="yellow"/>
                <w:lang w:val="en-GB"/>
              </w:rPr>
              <w:t>Canadian Solar Solutions Inc- Brockville 1</w:t>
            </w:r>
          </w:p>
          <w:p w:rsidR="00E25E63" w:rsidRPr="00CD5E17" w:rsidRDefault="00E25E63" w:rsidP="00E25E63">
            <w:pPr>
              <w:pStyle w:val="SVEtablecontent"/>
              <w:rPr>
                <w:sz w:val="16"/>
                <w:szCs w:val="16"/>
                <w:lang w:val="en-GB"/>
              </w:rPr>
            </w:pPr>
          </w:p>
        </w:tc>
        <w:tc>
          <w:tcPr>
            <w:tcW w:w="1134" w:type="dxa"/>
            <w:vAlign w:val="bottom"/>
          </w:tcPr>
          <w:p w:rsidR="00E25E63" w:rsidRPr="00CD5E17" w:rsidRDefault="00E25E63" w:rsidP="00E25E63">
            <w:pPr>
              <w:pStyle w:val="SVEtablecontent"/>
              <w:rPr>
                <w:sz w:val="16"/>
                <w:szCs w:val="16"/>
              </w:rPr>
            </w:pPr>
            <w:r w:rsidRPr="00CD5E17">
              <w:rPr>
                <w:sz w:val="16"/>
                <w:szCs w:val="16"/>
              </w:rPr>
              <w:t>Canada</w:t>
            </w:r>
          </w:p>
        </w:tc>
        <w:tc>
          <w:tcPr>
            <w:tcW w:w="1843" w:type="dxa"/>
            <w:vAlign w:val="bottom"/>
          </w:tcPr>
          <w:p w:rsidR="00E25E63" w:rsidRPr="00CD5E17" w:rsidRDefault="00E25E63" w:rsidP="00E25E63">
            <w:pPr>
              <w:pStyle w:val="SVEtablecontent"/>
              <w:rPr>
                <w:sz w:val="16"/>
                <w:szCs w:val="16"/>
              </w:rPr>
            </w:pPr>
            <w:r w:rsidRPr="00CD5E17">
              <w:rPr>
                <w:sz w:val="16"/>
                <w:szCs w:val="16"/>
              </w:rPr>
              <w:t>Acquisition Of Assets</w:t>
            </w:r>
          </w:p>
        </w:tc>
      </w:tr>
      <w:tr w:rsidR="00E25E63" w:rsidRPr="008E3922" w:rsidTr="001624D5">
        <w:tc>
          <w:tcPr>
            <w:tcW w:w="1276" w:type="dxa"/>
          </w:tcPr>
          <w:p w:rsidR="00E25E63" w:rsidRPr="00CD5E17" w:rsidRDefault="00E25E63" w:rsidP="00E25E63">
            <w:pPr>
              <w:pStyle w:val="SVEtablecontent"/>
              <w:rPr>
                <w:sz w:val="16"/>
                <w:szCs w:val="16"/>
              </w:rPr>
            </w:pPr>
            <w:r w:rsidRPr="00CD5E17">
              <w:rPr>
                <w:sz w:val="16"/>
                <w:szCs w:val="16"/>
              </w:rPr>
              <w:t>06/12/2012</w:t>
            </w:r>
          </w:p>
        </w:tc>
        <w:tc>
          <w:tcPr>
            <w:tcW w:w="1277" w:type="dxa"/>
            <w:vAlign w:val="bottom"/>
          </w:tcPr>
          <w:p w:rsidR="00E25E63" w:rsidRPr="00CD5E17" w:rsidRDefault="00E25E63" w:rsidP="00E25E63">
            <w:pPr>
              <w:pStyle w:val="SVEtablecontent"/>
              <w:rPr>
                <w:sz w:val="16"/>
                <w:szCs w:val="16"/>
              </w:rPr>
            </w:pPr>
            <w:r w:rsidRPr="00CD5E17">
              <w:rPr>
                <w:sz w:val="16"/>
                <w:szCs w:val="16"/>
              </w:rPr>
              <w:t>Gas Natural SDG SA</w:t>
            </w:r>
          </w:p>
        </w:tc>
        <w:tc>
          <w:tcPr>
            <w:tcW w:w="1559" w:type="dxa"/>
            <w:vAlign w:val="bottom"/>
          </w:tcPr>
          <w:p w:rsidR="00E25E63" w:rsidRPr="00CD5E17" w:rsidRDefault="00E25E63" w:rsidP="00E25E63">
            <w:pPr>
              <w:pStyle w:val="SVEtablecontent"/>
              <w:rPr>
                <w:sz w:val="16"/>
                <w:szCs w:val="16"/>
              </w:rPr>
            </w:pPr>
            <w:r w:rsidRPr="00CD5E17">
              <w:rPr>
                <w:sz w:val="16"/>
                <w:szCs w:val="16"/>
              </w:rPr>
              <w:t>Gas Natural SDG SA</w:t>
            </w:r>
          </w:p>
        </w:tc>
        <w:tc>
          <w:tcPr>
            <w:tcW w:w="1417" w:type="dxa"/>
            <w:vAlign w:val="bottom"/>
          </w:tcPr>
          <w:p w:rsidR="00E25E63" w:rsidRPr="00CD5E17" w:rsidRDefault="00E25E63" w:rsidP="00E25E63">
            <w:pPr>
              <w:pStyle w:val="SVEtablecontent"/>
              <w:rPr>
                <w:sz w:val="16"/>
                <w:szCs w:val="16"/>
              </w:rPr>
            </w:pPr>
            <w:r w:rsidRPr="00CD5E17">
              <w:rPr>
                <w:sz w:val="16"/>
                <w:szCs w:val="16"/>
              </w:rPr>
              <w:t>NTGY.MC</w:t>
            </w:r>
          </w:p>
        </w:tc>
        <w:tc>
          <w:tcPr>
            <w:tcW w:w="1134" w:type="dxa"/>
            <w:vAlign w:val="bottom"/>
          </w:tcPr>
          <w:p w:rsidR="00E25E63" w:rsidRPr="00CD5E17" w:rsidRDefault="00E25E63" w:rsidP="00E25E63">
            <w:pPr>
              <w:pStyle w:val="SVEtablecontent"/>
              <w:rPr>
                <w:sz w:val="16"/>
                <w:szCs w:val="16"/>
              </w:rPr>
            </w:pPr>
            <w:r w:rsidRPr="00CD5E17">
              <w:rPr>
                <w:sz w:val="16"/>
                <w:szCs w:val="16"/>
              </w:rPr>
              <w:t>Spain</w:t>
            </w:r>
          </w:p>
        </w:tc>
        <w:tc>
          <w:tcPr>
            <w:tcW w:w="1985" w:type="dxa"/>
            <w:vAlign w:val="bottom"/>
          </w:tcPr>
          <w:p w:rsidR="00E25E63" w:rsidRPr="00CD5E17" w:rsidRDefault="00E25E63" w:rsidP="00E25E63">
            <w:pPr>
              <w:pStyle w:val="SVEtablecontent"/>
              <w:rPr>
                <w:sz w:val="16"/>
                <w:szCs w:val="16"/>
                <w:lang w:val="en-GB"/>
              </w:rPr>
            </w:pPr>
            <w:r w:rsidRPr="00CD5E17">
              <w:rPr>
                <w:sz w:val="16"/>
                <w:szCs w:val="16"/>
                <w:highlight w:val="cyan"/>
                <w:lang w:val="en-GB"/>
              </w:rPr>
              <w:t>Vientos del Noroeste SA / Energias Especiales Espina SL</w:t>
            </w:r>
          </w:p>
        </w:tc>
        <w:tc>
          <w:tcPr>
            <w:tcW w:w="1134" w:type="dxa"/>
            <w:vAlign w:val="bottom"/>
          </w:tcPr>
          <w:p w:rsidR="00E25E63" w:rsidRPr="00CD5E17" w:rsidRDefault="00E25E63" w:rsidP="00E25E63">
            <w:pPr>
              <w:pStyle w:val="SVEtablecontent"/>
              <w:rPr>
                <w:sz w:val="16"/>
                <w:szCs w:val="16"/>
              </w:rPr>
            </w:pPr>
            <w:r w:rsidRPr="00CD5E17">
              <w:rPr>
                <w:sz w:val="16"/>
                <w:szCs w:val="16"/>
              </w:rPr>
              <w:t>Spain</w:t>
            </w:r>
          </w:p>
        </w:tc>
        <w:tc>
          <w:tcPr>
            <w:tcW w:w="1843" w:type="dxa"/>
            <w:vAlign w:val="bottom"/>
          </w:tcPr>
          <w:p w:rsidR="00E25E63" w:rsidRPr="00CD5E17" w:rsidRDefault="00E25E63" w:rsidP="00E25E63">
            <w:pPr>
              <w:pStyle w:val="SVEtablecontent"/>
              <w:rPr>
                <w:sz w:val="16"/>
                <w:szCs w:val="16"/>
                <w:lang w:val="en-GB"/>
              </w:rPr>
            </w:pPr>
            <w:r w:rsidRPr="00CD5E17">
              <w:rPr>
                <w:sz w:val="16"/>
                <w:szCs w:val="16"/>
                <w:lang w:val="en-GB"/>
              </w:rPr>
              <w:t>Acquisition Of Assets / Acquisition Of Assets</w:t>
            </w:r>
          </w:p>
        </w:tc>
      </w:tr>
      <w:tr w:rsidR="00E25E63" w:rsidTr="001624D5">
        <w:tc>
          <w:tcPr>
            <w:tcW w:w="1276" w:type="dxa"/>
          </w:tcPr>
          <w:p w:rsidR="00E25E63" w:rsidRPr="00CD5E17" w:rsidRDefault="00E25E63" w:rsidP="00E25E63">
            <w:pPr>
              <w:pStyle w:val="SVEtablecontent"/>
              <w:rPr>
                <w:sz w:val="16"/>
                <w:szCs w:val="16"/>
              </w:rPr>
            </w:pPr>
            <w:r w:rsidRPr="00CD5E17">
              <w:rPr>
                <w:sz w:val="16"/>
                <w:szCs w:val="16"/>
              </w:rPr>
              <w:t>01/07/2011</w:t>
            </w:r>
          </w:p>
        </w:tc>
        <w:tc>
          <w:tcPr>
            <w:tcW w:w="1277" w:type="dxa"/>
            <w:vAlign w:val="bottom"/>
          </w:tcPr>
          <w:p w:rsidR="00E25E63" w:rsidRPr="00CD5E17" w:rsidRDefault="00E25E63" w:rsidP="00E25E63">
            <w:pPr>
              <w:pStyle w:val="SVEtablecontent"/>
              <w:rPr>
                <w:sz w:val="16"/>
                <w:szCs w:val="16"/>
              </w:rPr>
            </w:pPr>
            <w:r w:rsidRPr="00CD5E17">
              <w:rPr>
                <w:sz w:val="16"/>
                <w:szCs w:val="16"/>
              </w:rPr>
              <w:t>Gas Natural SDG SA</w:t>
            </w:r>
          </w:p>
        </w:tc>
        <w:tc>
          <w:tcPr>
            <w:tcW w:w="1559" w:type="dxa"/>
            <w:vAlign w:val="bottom"/>
          </w:tcPr>
          <w:p w:rsidR="00E25E63" w:rsidRPr="00CD5E17" w:rsidRDefault="00E25E63" w:rsidP="00E25E63">
            <w:pPr>
              <w:pStyle w:val="SVEtablecontent"/>
              <w:rPr>
                <w:sz w:val="16"/>
                <w:szCs w:val="16"/>
              </w:rPr>
            </w:pPr>
            <w:r w:rsidRPr="00CD5E17">
              <w:rPr>
                <w:sz w:val="16"/>
                <w:szCs w:val="16"/>
              </w:rPr>
              <w:t>Gas Natural SDG SA</w:t>
            </w:r>
          </w:p>
        </w:tc>
        <w:tc>
          <w:tcPr>
            <w:tcW w:w="1417" w:type="dxa"/>
            <w:vAlign w:val="bottom"/>
          </w:tcPr>
          <w:p w:rsidR="00E25E63" w:rsidRPr="00CD5E17" w:rsidRDefault="00E25E63" w:rsidP="00E25E63">
            <w:pPr>
              <w:pStyle w:val="SVEtablecontent"/>
              <w:rPr>
                <w:sz w:val="16"/>
                <w:szCs w:val="16"/>
              </w:rPr>
            </w:pPr>
            <w:r w:rsidRPr="00CD5E17">
              <w:rPr>
                <w:sz w:val="16"/>
                <w:szCs w:val="16"/>
              </w:rPr>
              <w:t>NTGY.MC</w:t>
            </w:r>
          </w:p>
        </w:tc>
        <w:tc>
          <w:tcPr>
            <w:tcW w:w="1134" w:type="dxa"/>
            <w:vAlign w:val="bottom"/>
          </w:tcPr>
          <w:p w:rsidR="00E25E63" w:rsidRPr="00CD5E17" w:rsidRDefault="00E25E63" w:rsidP="00E25E63">
            <w:pPr>
              <w:pStyle w:val="SVEtablecontent"/>
              <w:rPr>
                <w:sz w:val="16"/>
                <w:szCs w:val="16"/>
              </w:rPr>
            </w:pPr>
            <w:r w:rsidRPr="00CD5E17">
              <w:rPr>
                <w:sz w:val="16"/>
                <w:szCs w:val="16"/>
              </w:rPr>
              <w:t>Spain</w:t>
            </w:r>
          </w:p>
        </w:tc>
        <w:tc>
          <w:tcPr>
            <w:tcW w:w="1985" w:type="dxa"/>
          </w:tcPr>
          <w:p w:rsidR="00E25E63" w:rsidRPr="00CD5E17" w:rsidRDefault="00E25E63" w:rsidP="00E25E63">
            <w:pPr>
              <w:pStyle w:val="SVEtablecontent"/>
              <w:rPr>
                <w:sz w:val="16"/>
                <w:szCs w:val="16"/>
              </w:rPr>
            </w:pPr>
            <w:r w:rsidRPr="00CD5E17">
              <w:rPr>
                <w:sz w:val="16"/>
                <w:szCs w:val="16"/>
                <w:highlight w:val="cyan"/>
              </w:rPr>
              <w:t>Actividades de Construccion y Servicios SA{ACS}-Wind Power Assets</w:t>
            </w:r>
          </w:p>
        </w:tc>
        <w:tc>
          <w:tcPr>
            <w:tcW w:w="1134" w:type="dxa"/>
            <w:vAlign w:val="bottom"/>
          </w:tcPr>
          <w:p w:rsidR="00E25E63" w:rsidRPr="00CD5E17" w:rsidRDefault="00E25E63" w:rsidP="00E25E63">
            <w:pPr>
              <w:pStyle w:val="SVEtablecontent"/>
              <w:rPr>
                <w:sz w:val="16"/>
                <w:szCs w:val="16"/>
              </w:rPr>
            </w:pPr>
            <w:r w:rsidRPr="00CD5E17">
              <w:rPr>
                <w:sz w:val="16"/>
                <w:szCs w:val="16"/>
              </w:rPr>
              <w:t>Spain</w:t>
            </w:r>
          </w:p>
        </w:tc>
        <w:tc>
          <w:tcPr>
            <w:tcW w:w="1843" w:type="dxa"/>
            <w:vAlign w:val="bottom"/>
          </w:tcPr>
          <w:p w:rsidR="00E25E63" w:rsidRPr="00CD5E17" w:rsidRDefault="00E25E63" w:rsidP="00E25E63">
            <w:pPr>
              <w:pStyle w:val="SVEtablecontent"/>
              <w:rPr>
                <w:sz w:val="16"/>
                <w:szCs w:val="16"/>
              </w:rPr>
            </w:pPr>
            <w:r w:rsidRPr="00CD5E17">
              <w:rPr>
                <w:sz w:val="16"/>
                <w:szCs w:val="16"/>
              </w:rPr>
              <w:t>Acquisition Of Assets</w:t>
            </w:r>
          </w:p>
        </w:tc>
      </w:tr>
      <w:tr w:rsidR="00E25E63" w:rsidTr="001624D5">
        <w:tc>
          <w:tcPr>
            <w:tcW w:w="1276" w:type="dxa"/>
          </w:tcPr>
          <w:p w:rsidR="00E25E63" w:rsidRPr="00CD5E17" w:rsidRDefault="00E25E63" w:rsidP="00E25E63">
            <w:pPr>
              <w:pStyle w:val="SVEtablecontent"/>
              <w:rPr>
                <w:sz w:val="16"/>
                <w:szCs w:val="16"/>
              </w:rPr>
            </w:pPr>
            <w:r w:rsidRPr="00CD5E17">
              <w:rPr>
                <w:sz w:val="16"/>
                <w:szCs w:val="16"/>
              </w:rPr>
              <w:t>14/04/2011</w:t>
            </w:r>
          </w:p>
        </w:tc>
        <w:tc>
          <w:tcPr>
            <w:tcW w:w="1277" w:type="dxa"/>
            <w:vAlign w:val="bottom"/>
          </w:tcPr>
          <w:p w:rsidR="00E25E63" w:rsidRPr="00CD5E17" w:rsidRDefault="00E25E63" w:rsidP="00E25E63">
            <w:pPr>
              <w:pStyle w:val="SVEtablecontent"/>
              <w:rPr>
                <w:sz w:val="16"/>
                <w:szCs w:val="16"/>
              </w:rPr>
            </w:pPr>
            <w:r w:rsidRPr="00CD5E17">
              <w:rPr>
                <w:sz w:val="16"/>
                <w:szCs w:val="16"/>
              </w:rPr>
              <w:t>Total SA</w:t>
            </w:r>
          </w:p>
        </w:tc>
        <w:tc>
          <w:tcPr>
            <w:tcW w:w="1559" w:type="dxa"/>
            <w:vAlign w:val="bottom"/>
          </w:tcPr>
          <w:p w:rsidR="00E25E63" w:rsidRPr="00CD5E17" w:rsidRDefault="00E25E63" w:rsidP="00E25E63">
            <w:pPr>
              <w:pStyle w:val="SVEtablecontent"/>
              <w:rPr>
                <w:sz w:val="16"/>
                <w:szCs w:val="16"/>
              </w:rPr>
            </w:pPr>
            <w:r w:rsidRPr="00CD5E17">
              <w:rPr>
                <w:sz w:val="16"/>
                <w:szCs w:val="16"/>
              </w:rPr>
              <w:t>Total SA</w:t>
            </w:r>
          </w:p>
        </w:tc>
        <w:tc>
          <w:tcPr>
            <w:tcW w:w="1417" w:type="dxa"/>
            <w:vAlign w:val="bottom"/>
          </w:tcPr>
          <w:p w:rsidR="00E25E63" w:rsidRPr="00CD5E17" w:rsidRDefault="00E25E63" w:rsidP="00E25E63">
            <w:pPr>
              <w:pStyle w:val="SVEtablecontent"/>
              <w:rPr>
                <w:sz w:val="16"/>
                <w:szCs w:val="16"/>
              </w:rPr>
            </w:pPr>
            <w:r w:rsidRPr="00CD5E17">
              <w:rPr>
                <w:sz w:val="16"/>
                <w:szCs w:val="16"/>
              </w:rPr>
              <w:t>TOTF.PA</w:t>
            </w:r>
          </w:p>
        </w:tc>
        <w:tc>
          <w:tcPr>
            <w:tcW w:w="1134" w:type="dxa"/>
            <w:vAlign w:val="bottom"/>
          </w:tcPr>
          <w:p w:rsidR="00E25E63" w:rsidRPr="00CD5E17" w:rsidRDefault="00E25E63" w:rsidP="00E25E63">
            <w:pPr>
              <w:pStyle w:val="SVEtablecontent"/>
              <w:rPr>
                <w:sz w:val="16"/>
                <w:szCs w:val="16"/>
              </w:rPr>
            </w:pPr>
            <w:r w:rsidRPr="00CD5E17">
              <w:rPr>
                <w:sz w:val="16"/>
                <w:szCs w:val="16"/>
              </w:rPr>
              <w:t>France</w:t>
            </w:r>
          </w:p>
        </w:tc>
        <w:tc>
          <w:tcPr>
            <w:tcW w:w="1985" w:type="dxa"/>
            <w:vAlign w:val="bottom"/>
          </w:tcPr>
          <w:p w:rsidR="00E25E63" w:rsidRPr="00CD5E17" w:rsidRDefault="00E25E63" w:rsidP="00E25E63">
            <w:pPr>
              <w:pStyle w:val="SVEtablecontent"/>
              <w:rPr>
                <w:sz w:val="16"/>
                <w:szCs w:val="16"/>
                <w:lang w:val="en-GB"/>
              </w:rPr>
            </w:pPr>
            <w:r w:rsidRPr="00CD5E17">
              <w:rPr>
                <w:sz w:val="16"/>
                <w:szCs w:val="16"/>
                <w:lang w:val="en-GB"/>
              </w:rPr>
              <w:t>Tenesol SA</w:t>
            </w:r>
          </w:p>
        </w:tc>
        <w:tc>
          <w:tcPr>
            <w:tcW w:w="1134" w:type="dxa"/>
            <w:vAlign w:val="bottom"/>
          </w:tcPr>
          <w:p w:rsidR="00E25E63" w:rsidRPr="00CD5E17" w:rsidRDefault="00E25E63" w:rsidP="00E25E63">
            <w:pPr>
              <w:pStyle w:val="SVEtablecontent"/>
              <w:rPr>
                <w:sz w:val="16"/>
                <w:szCs w:val="16"/>
              </w:rPr>
            </w:pPr>
            <w:r w:rsidRPr="00CD5E17">
              <w:rPr>
                <w:sz w:val="16"/>
                <w:szCs w:val="16"/>
              </w:rPr>
              <w:t>France</w:t>
            </w:r>
          </w:p>
        </w:tc>
        <w:tc>
          <w:tcPr>
            <w:tcW w:w="1843" w:type="dxa"/>
            <w:vAlign w:val="bottom"/>
          </w:tcPr>
          <w:p w:rsidR="00E25E63" w:rsidRPr="00CD5E17" w:rsidRDefault="00E25E63" w:rsidP="00E25E63">
            <w:pPr>
              <w:pStyle w:val="SVEtablecontent"/>
              <w:rPr>
                <w:sz w:val="16"/>
                <w:szCs w:val="16"/>
              </w:rPr>
            </w:pPr>
            <w:r w:rsidRPr="00CD5E17">
              <w:rPr>
                <w:sz w:val="16"/>
                <w:szCs w:val="16"/>
              </w:rPr>
              <w:t>Merger</w:t>
            </w:r>
          </w:p>
        </w:tc>
      </w:tr>
      <w:tr w:rsidR="00E25E63" w:rsidTr="001624D5">
        <w:tc>
          <w:tcPr>
            <w:tcW w:w="1276" w:type="dxa"/>
          </w:tcPr>
          <w:p w:rsidR="00E25E63" w:rsidRPr="00CD5E17" w:rsidRDefault="00E25E63" w:rsidP="00E25E63">
            <w:pPr>
              <w:pStyle w:val="SVEtablecontent"/>
              <w:rPr>
                <w:sz w:val="16"/>
                <w:szCs w:val="16"/>
              </w:rPr>
            </w:pPr>
            <w:r w:rsidRPr="00CD5E17">
              <w:rPr>
                <w:sz w:val="16"/>
                <w:szCs w:val="16"/>
              </w:rPr>
              <w:t>02/11/2010</w:t>
            </w:r>
          </w:p>
        </w:tc>
        <w:tc>
          <w:tcPr>
            <w:tcW w:w="1277" w:type="dxa"/>
            <w:vAlign w:val="bottom"/>
          </w:tcPr>
          <w:p w:rsidR="00E25E63" w:rsidRPr="00CD5E17" w:rsidRDefault="00E25E63" w:rsidP="00E25E63">
            <w:pPr>
              <w:pStyle w:val="SVEtablecontent"/>
              <w:rPr>
                <w:sz w:val="16"/>
                <w:szCs w:val="16"/>
              </w:rPr>
            </w:pPr>
            <w:r w:rsidRPr="00CD5E17">
              <w:rPr>
                <w:sz w:val="16"/>
                <w:szCs w:val="16"/>
              </w:rPr>
              <w:t>Suncor Energy Inc</w:t>
            </w:r>
          </w:p>
        </w:tc>
        <w:tc>
          <w:tcPr>
            <w:tcW w:w="1559" w:type="dxa"/>
            <w:vAlign w:val="bottom"/>
          </w:tcPr>
          <w:p w:rsidR="00E25E63" w:rsidRPr="00CD5E17" w:rsidRDefault="00E25E63" w:rsidP="00E25E63">
            <w:pPr>
              <w:pStyle w:val="SVEtablecontent"/>
              <w:rPr>
                <w:sz w:val="16"/>
                <w:szCs w:val="16"/>
              </w:rPr>
            </w:pPr>
            <w:r w:rsidRPr="00CD5E17">
              <w:rPr>
                <w:sz w:val="16"/>
                <w:szCs w:val="16"/>
              </w:rPr>
              <w:t>Suncor Energy Inc</w:t>
            </w:r>
          </w:p>
        </w:tc>
        <w:tc>
          <w:tcPr>
            <w:tcW w:w="1417" w:type="dxa"/>
            <w:vAlign w:val="bottom"/>
          </w:tcPr>
          <w:p w:rsidR="00E25E63" w:rsidRPr="00CD5E17" w:rsidRDefault="00E25E63" w:rsidP="00E25E63">
            <w:pPr>
              <w:pStyle w:val="SVEtablecontent"/>
              <w:rPr>
                <w:sz w:val="16"/>
                <w:szCs w:val="16"/>
              </w:rPr>
            </w:pPr>
            <w:r w:rsidRPr="00CD5E17">
              <w:rPr>
                <w:sz w:val="16"/>
                <w:szCs w:val="16"/>
              </w:rPr>
              <w:t>SU.TO</w:t>
            </w:r>
          </w:p>
        </w:tc>
        <w:tc>
          <w:tcPr>
            <w:tcW w:w="1134" w:type="dxa"/>
            <w:vAlign w:val="bottom"/>
          </w:tcPr>
          <w:p w:rsidR="00E25E63" w:rsidRPr="00CD5E17" w:rsidRDefault="00E25E63" w:rsidP="00E25E63">
            <w:pPr>
              <w:pStyle w:val="SVEtablecontent"/>
              <w:rPr>
                <w:sz w:val="16"/>
                <w:szCs w:val="16"/>
              </w:rPr>
            </w:pPr>
            <w:r w:rsidRPr="00CD5E17">
              <w:rPr>
                <w:sz w:val="16"/>
                <w:szCs w:val="16"/>
              </w:rPr>
              <w:t>Canada</w:t>
            </w:r>
          </w:p>
        </w:tc>
        <w:tc>
          <w:tcPr>
            <w:tcW w:w="1985" w:type="dxa"/>
            <w:vAlign w:val="bottom"/>
          </w:tcPr>
          <w:p w:rsidR="00E25E63" w:rsidRPr="00CD5E17" w:rsidRDefault="00E25E63" w:rsidP="00E25E63">
            <w:pPr>
              <w:pStyle w:val="SVEtablecontent"/>
              <w:rPr>
                <w:sz w:val="16"/>
                <w:szCs w:val="16"/>
              </w:rPr>
            </w:pPr>
            <w:r w:rsidRPr="00CD5E17">
              <w:rPr>
                <w:sz w:val="16"/>
                <w:szCs w:val="16"/>
                <w:highlight w:val="cyan"/>
              </w:rPr>
              <w:t>General Electric Co-Wind Turbines(55)</w:t>
            </w:r>
          </w:p>
        </w:tc>
        <w:tc>
          <w:tcPr>
            <w:tcW w:w="1134" w:type="dxa"/>
            <w:vAlign w:val="bottom"/>
          </w:tcPr>
          <w:p w:rsidR="00E25E63" w:rsidRPr="00CD5E17" w:rsidRDefault="00E25E63" w:rsidP="00E25E63">
            <w:pPr>
              <w:pStyle w:val="SVEtablecontent"/>
              <w:rPr>
                <w:sz w:val="16"/>
                <w:szCs w:val="16"/>
              </w:rPr>
            </w:pPr>
            <w:r w:rsidRPr="00CD5E17">
              <w:rPr>
                <w:sz w:val="16"/>
                <w:szCs w:val="16"/>
              </w:rPr>
              <w:t>Canada</w:t>
            </w:r>
          </w:p>
        </w:tc>
        <w:tc>
          <w:tcPr>
            <w:tcW w:w="1843" w:type="dxa"/>
            <w:vAlign w:val="bottom"/>
          </w:tcPr>
          <w:p w:rsidR="00E25E63" w:rsidRPr="00CD5E17" w:rsidRDefault="00E25E63" w:rsidP="00E25E63">
            <w:pPr>
              <w:pStyle w:val="SVEtablecontent"/>
              <w:rPr>
                <w:sz w:val="16"/>
                <w:szCs w:val="16"/>
              </w:rPr>
            </w:pPr>
            <w:r w:rsidRPr="00CD5E17">
              <w:rPr>
                <w:sz w:val="16"/>
                <w:szCs w:val="16"/>
              </w:rPr>
              <w:t>Acquisition Of Assets</w:t>
            </w:r>
          </w:p>
        </w:tc>
      </w:tr>
      <w:tr w:rsidR="00E25E63" w:rsidTr="001624D5">
        <w:tc>
          <w:tcPr>
            <w:tcW w:w="1276" w:type="dxa"/>
          </w:tcPr>
          <w:p w:rsidR="00E25E63" w:rsidRPr="00CD5E17" w:rsidRDefault="00E25E63" w:rsidP="00E25E63">
            <w:pPr>
              <w:pStyle w:val="SVEtablecontent"/>
              <w:rPr>
                <w:sz w:val="16"/>
                <w:szCs w:val="16"/>
              </w:rPr>
            </w:pPr>
            <w:r w:rsidRPr="00CD5E17">
              <w:rPr>
                <w:sz w:val="16"/>
                <w:szCs w:val="16"/>
              </w:rPr>
              <w:t>15/04/2010</w:t>
            </w:r>
          </w:p>
        </w:tc>
        <w:tc>
          <w:tcPr>
            <w:tcW w:w="1277" w:type="dxa"/>
            <w:vAlign w:val="bottom"/>
          </w:tcPr>
          <w:p w:rsidR="00E25E63" w:rsidRPr="00CD5E17" w:rsidRDefault="00E25E63" w:rsidP="00E25E63">
            <w:pPr>
              <w:pStyle w:val="SVEtablecontent"/>
              <w:rPr>
                <w:sz w:val="16"/>
                <w:szCs w:val="16"/>
              </w:rPr>
            </w:pPr>
            <w:r w:rsidRPr="00CD5E17">
              <w:rPr>
                <w:sz w:val="16"/>
                <w:szCs w:val="16"/>
              </w:rPr>
              <w:t>OMV AG</w:t>
            </w:r>
          </w:p>
        </w:tc>
        <w:tc>
          <w:tcPr>
            <w:tcW w:w="1559" w:type="dxa"/>
            <w:vAlign w:val="bottom"/>
          </w:tcPr>
          <w:p w:rsidR="00E25E63" w:rsidRPr="00CD5E17" w:rsidRDefault="00E25E63" w:rsidP="00E25E63">
            <w:pPr>
              <w:pStyle w:val="SVEtablecontent"/>
              <w:rPr>
                <w:sz w:val="16"/>
                <w:szCs w:val="16"/>
              </w:rPr>
            </w:pPr>
            <w:r w:rsidRPr="00CD5E17">
              <w:rPr>
                <w:sz w:val="16"/>
                <w:szCs w:val="16"/>
              </w:rPr>
              <w:t>OMV Petrom SA</w:t>
            </w:r>
          </w:p>
        </w:tc>
        <w:tc>
          <w:tcPr>
            <w:tcW w:w="1417" w:type="dxa"/>
            <w:vAlign w:val="bottom"/>
          </w:tcPr>
          <w:p w:rsidR="00E25E63" w:rsidRPr="00CD5E17" w:rsidRDefault="00E25E63" w:rsidP="00E25E63">
            <w:pPr>
              <w:pStyle w:val="SVEtablecontent"/>
              <w:rPr>
                <w:sz w:val="16"/>
                <w:szCs w:val="16"/>
              </w:rPr>
            </w:pPr>
            <w:r w:rsidRPr="00CD5E17">
              <w:rPr>
                <w:sz w:val="16"/>
                <w:szCs w:val="16"/>
              </w:rPr>
              <w:t>ROSNP.BX</w:t>
            </w:r>
          </w:p>
        </w:tc>
        <w:tc>
          <w:tcPr>
            <w:tcW w:w="1134" w:type="dxa"/>
            <w:vAlign w:val="bottom"/>
          </w:tcPr>
          <w:p w:rsidR="00E25E63" w:rsidRPr="00CD5E17" w:rsidRDefault="00E25E63" w:rsidP="00E25E63">
            <w:pPr>
              <w:pStyle w:val="SVEtablecontent"/>
              <w:rPr>
                <w:sz w:val="16"/>
                <w:szCs w:val="16"/>
              </w:rPr>
            </w:pPr>
            <w:r w:rsidRPr="00CD5E17">
              <w:rPr>
                <w:sz w:val="16"/>
                <w:szCs w:val="16"/>
              </w:rPr>
              <w:t>Romania</w:t>
            </w:r>
          </w:p>
        </w:tc>
        <w:tc>
          <w:tcPr>
            <w:tcW w:w="1985" w:type="dxa"/>
            <w:vAlign w:val="bottom"/>
          </w:tcPr>
          <w:p w:rsidR="00E25E63" w:rsidRPr="00CD5E17" w:rsidRDefault="00E25E63" w:rsidP="00E25E63">
            <w:pPr>
              <w:pStyle w:val="SVEtablecontent"/>
              <w:rPr>
                <w:sz w:val="16"/>
                <w:szCs w:val="16"/>
                <w:lang w:val="en-GB"/>
              </w:rPr>
            </w:pPr>
            <w:r w:rsidRPr="00CD5E17">
              <w:rPr>
                <w:sz w:val="16"/>
                <w:szCs w:val="16"/>
                <w:highlight w:val="cyan"/>
                <w:lang w:val="en-GB"/>
              </w:rPr>
              <w:t>SC Wind Power Park SRL</w:t>
            </w:r>
          </w:p>
        </w:tc>
        <w:tc>
          <w:tcPr>
            <w:tcW w:w="1134" w:type="dxa"/>
            <w:vAlign w:val="bottom"/>
          </w:tcPr>
          <w:p w:rsidR="00E25E63" w:rsidRPr="00CD5E17" w:rsidRDefault="00E25E63" w:rsidP="00E25E63">
            <w:pPr>
              <w:pStyle w:val="SVEtablecontent"/>
              <w:rPr>
                <w:sz w:val="16"/>
                <w:szCs w:val="16"/>
              </w:rPr>
            </w:pPr>
            <w:r w:rsidRPr="00CD5E17">
              <w:rPr>
                <w:sz w:val="16"/>
                <w:szCs w:val="16"/>
              </w:rPr>
              <w:t>Romania</w:t>
            </w:r>
          </w:p>
        </w:tc>
        <w:tc>
          <w:tcPr>
            <w:tcW w:w="1843" w:type="dxa"/>
            <w:vAlign w:val="bottom"/>
          </w:tcPr>
          <w:p w:rsidR="00E25E63" w:rsidRPr="00CD5E17" w:rsidRDefault="00E25E63" w:rsidP="00E25E63">
            <w:pPr>
              <w:pStyle w:val="SVEtablecontent"/>
              <w:rPr>
                <w:sz w:val="16"/>
                <w:szCs w:val="16"/>
              </w:rPr>
            </w:pPr>
            <w:r w:rsidRPr="00CD5E17">
              <w:rPr>
                <w:sz w:val="16"/>
                <w:szCs w:val="16"/>
              </w:rPr>
              <w:t>Merger</w:t>
            </w:r>
          </w:p>
        </w:tc>
      </w:tr>
      <w:tr w:rsidR="00E25E63" w:rsidTr="001624D5">
        <w:tc>
          <w:tcPr>
            <w:tcW w:w="1276" w:type="dxa"/>
          </w:tcPr>
          <w:p w:rsidR="00E25E63" w:rsidRPr="00CD5E17" w:rsidRDefault="00E25E63" w:rsidP="00E25E63">
            <w:pPr>
              <w:pStyle w:val="SVEtablecontent"/>
              <w:rPr>
                <w:sz w:val="16"/>
                <w:szCs w:val="16"/>
              </w:rPr>
            </w:pPr>
            <w:r w:rsidRPr="00CD5E17">
              <w:rPr>
                <w:sz w:val="16"/>
                <w:szCs w:val="16"/>
              </w:rPr>
              <w:t>28/07/2009</w:t>
            </w:r>
          </w:p>
        </w:tc>
        <w:tc>
          <w:tcPr>
            <w:tcW w:w="1277" w:type="dxa"/>
            <w:vAlign w:val="bottom"/>
          </w:tcPr>
          <w:p w:rsidR="00E25E63" w:rsidRPr="00CD5E17" w:rsidRDefault="00E25E63" w:rsidP="00E25E63">
            <w:pPr>
              <w:pStyle w:val="SVEtablecontent"/>
              <w:rPr>
                <w:sz w:val="16"/>
                <w:szCs w:val="16"/>
              </w:rPr>
            </w:pPr>
            <w:r w:rsidRPr="00CD5E17">
              <w:rPr>
                <w:sz w:val="16"/>
                <w:szCs w:val="16"/>
              </w:rPr>
              <w:t>BP PLC</w:t>
            </w:r>
          </w:p>
        </w:tc>
        <w:tc>
          <w:tcPr>
            <w:tcW w:w="1559" w:type="dxa"/>
            <w:vAlign w:val="bottom"/>
          </w:tcPr>
          <w:p w:rsidR="00E25E63" w:rsidRPr="00CD5E17" w:rsidRDefault="00E25E63" w:rsidP="00E25E63">
            <w:pPr>
              <w:pStyle w:val="SVEtablecontent"/>
              <w:rPr>
                <w:sz w:val="16"/>
                <w:szCs w:val="16"/>
              </w:rPr>
            </w:pPr>
            <w:r w:rsidRPr="00CD5E17">
              <w:rPr>
                <w:sz w:val="16"/>
                <w:szCs w:val="16"/>
              </w:rPr>
              <w:t>BP Solar Espana SAU</w:t>
            </w:r>
          </w:p>
        </w:tc>
        <w:tc>
          <w:tcPr>
            <w:tcW w:w="1417" w:type="dxa"/>
          </w:tcPr>
          <w:p w:rsidR="00E25E63" w:rsidRPr="00CD5E17" w:rsidRDefault="00E25E63" w:rsidP="00E25E63">
            <w:pPr>
              <w:pStyle w:val="SVEtablecontent"/>
              <w:rPr>
                <w:sz w:val="16"/>
                <w:szCs w:val="16"/>
              </w:rPr>
            </w:pPr>
            <w:r w:rsidRPr="00CD5E17">
              <w:rPr>
                <w:sz w:val="16"/>
                <w:szCs w:val="16"/>
              </w:rPr>
              <w:t>BP.L</w:t>
            </w:r>
          </w:p>
        </w:tc>
        <w:tc>
          <w:tcPr>
            <w:tcW w:w="1134" w:type="dxa"/>
            <w:vAlign w:val="bottom"/>
          </w:tcPr>
          <w:p w:rsidR="00E25E63" w:rsidRPr="00EA5663" w:rsidRDefault="00E25E63" w:rsidP="00E25E63">
            <w:pPr>
              <w:pStyle w:val="SVEtablecontent"/>
              <w:rPr>
                <w:sz w:val="16"/>
                <w:szCs w:val="16"/>
                <w:lang w:val="ru-RU"/>
              </w:rPr>
            </w:pPr>
            <w:r w:rsidRPr="00CD5E17">
              <w:rPr>
                <w:sz w:val="16"/>
                <w:szCs w:val="16"/>
              </w:rPr>
              <w:t>Spain</w:t>
            </w:r>
          </w:p>
        </w:tc>
        <w:tc>
          <w:tcPr>
            <w:tcW w:w="1985" w:type="dxa"/>
            <w:vAlign w:val="bottom"/>
          </w:tcPr>
          <w:p w:rsidR="00E25E63" w:rsidRPr="00CD5E17" w:rsidRDefault="00E25E63" w:rsidP="00E25E63">
            <w:pPr>
              <w:pStyle w:val="SVEtablecontent"/>
              <w:rPr>
                <w:sz w:val="16"/>
                <w:szCs w:val="16"/>
                <w:lang w:val="en-GB"/>
              </w:rPr>
            </w:pPr>
            <w:r w:rsidRPr="00CD5E17">
              <w:rPr>
                <w:sz w:val="16"/>
                <w:szCs w:val="16"/>
                <w:lang w:val="en-GB"/>
              </w:rPr>
              <w:t>Orisol Corporacion Energetica SA</w:t>
            </w:r>
          </w:p>
        </w:tc>
        <w:tc>
          <w:tcPr>
            <w:tcW w:w="1134" w:type="dxa"/>
            <w:vAlign w:val="bottom"/>
          </w:tcPr>
          <w:p w:rsidR="00E25E63" w:rsidRPr="00CD5E17" w:rsidRDefault="00E25E63" w:rsidP="00E25E63">
            <w:pPr>
              <w:pStyle w:val="SVEtablecontent"/>
              <w:rPr>
                <w:sz w:val="16"/>
                <w:szCs w:val="16"/>
              </w:rPr>
            </w:pPr>
            <w:r w:rsidRPr="00CD5E17">
              <w:rPr>
                <w:sz w:val="16"/>
                <w:szCs w:val="16"/>
              </w:rPr>
              <w:t>Spain</w:t>
            </w:r>
          </w:p>
        </w:tc>
        <w:tc>
          <w:tcPr>
            <w:tcW w:w="1843" w:type="dxa"/>
            <w:vAlign w:val="bottom"/>
          </w:tcPr>
          <w:p w:rsidR="00E25E63" w:rsidRPr="00CD5E17" w:rsidRDefault="00E25E63" w:rsidP="00E25E63">
            <w:pPr>
              <w:pStyle w:val="SVEtablecontent"/>
              <w:rPr>
                <w:sz w:val="16"/>
                <w:szCs w:val="16"/>
              </w:rPr>
            </w:pPr>
            <w:r w:rsidRPr="00CD5E17">
              <w:rPr>
                <w:sz w:val="16"/>
                <w:szCs w:val="16"/>
              </w:rPr>
              <w:t>Acquisition Of Assets</w:t>
            </w:r>
          </w:p>
        </w:tc>
      </w:tr>
      <w:tr w:rsidR="00E25E63" w:rsidTr="001624D5">
        <w:tc>
          <w:tcPr>
            <w:tcW w:w="1276" w:type="dxa"/>
          </w:tcPr>
          <w:p w:rsidR="00E25E63" w:rsidRPr="00CD5E17" w:rsidRDefault="00E25E63" w:rsidP="00E25E63">
            <w:pPr>
              <w:pStyle w:val="SVEtablecontent"/>
              <w:rPr>
                <w:sz w:val="16"/>
                <w:szCs w:val="16"/>
              </w:rPr>
            </w:pPr>
            <w:r w:rsidRPr="00CD5E17">
              <w:rPr>
                <w:sz w:val="16"/>
                <w:szCs w:val="16"/>
              </w:rPr>
              <w:t>26/02/2008</w:t>
            </w:r>
          </w:p>
        </w:tc>
        <w:tc>
          <w:tcPr>
            <w:tcW w:w="1277" w:type="dxa"/>
            <w:vAlign w:val="bottom"/>
          </w:tcPr>
          <w:p w:rsidR="00E25E63" w:rsidRPr="00CD5E17" w:rsidRDefault="00E25E63" w:rsidP="00E25E63">
            <w:pPr>
              <w:pStyle w:val="SVEtablecontent"/>
              <w:rPr>
                <w:sz w:val="16"/>
                <w:szCs w:val="16"/>
              </w:rPr>
            </w:pPr>
            <w:r w:rsidRPr="00CD5E17">
              <w:rPr>
                <w:sz w:val="16"/>
                <w:szCs w:val="16"/>
              </w:rPr>
              <w:t>Gaz de France SA</w:t>
            </w:r>
          </w:p>
        </w:tc>
        <w:tc>
          <w:tcPr>
            <w:tcW w:w="1559" w:type="dxa"/>
            <w:vAlign w:val="bottom"/>
          </w:tcPr>
          <w:p w:rsidR="00E25E63" w:rsidRPr="00CD5E17" w:rsidRDefault="00E25E63" w:rsidP="00E25E63">
            <w:pPr>
              <w:pStyle w:val="SVEtablecontent"/>
              <w:rPr>
                <w:sz w:val="16"/>
                <w:szCs w:val="16"/>
              </w:rPr>
            </w:pPr>
            <w:r w:rsidRPr="00CD5E17">
              <w:rPr>
                <w:sz w:val="16"/>
                <w:szCs w:val="16"/>
              </w:rPr>
              <w:t>Gaz de France SA</w:t>
            </w:r>
          </w:p>
        </w:tc>
        <w:tc>
          <w:tcPr>
            <w:tcW w:w="1417" w:type="dxa"/>
          </w:tcPr>
          <w:p w:rsidR="00E25E63" w:rsidRPr="00CD5E17" w:rsidRDefault="00E25E63" w:rsidP="00E25E63">
            <w:pPr>
              <w:pStyle w:val="SVEtablecontent"/>
              <w:rPr>
                <w:sz w:val="16"/>
                <w:szCs w:val="16"/>
              </w:rPr>
            </w:pPr>
            <w:r w:rsidRPr="00CD5E17">
              <w:rPr>
                <w:sz w:val="16"/>
                <w:szCs w:val="16"/>
              </w:rPr>
              <w:t>ENGIE.PA</w:t>
            </w:r>
          </w:p>
        </w:tc>
        <w:tc>
          <w:tcPr>
            <w:tcW w:w="1134" w:type="dxa"/>
            <w:vAlign w:val="bottom"/>
          </w:tcPr>
          <w:p w:rsidR="00E25E63" w:rsidRPr="00CD5E17" w:rsidRDefault="00E25E63" w:rsidP="00E25E63">
            <w:pPr>
              <w:pStyle w:val="SVEtablecontent"/>
              <w:rPr>
                <w:sz w:val="16"/>
                <w:szCs w:val="16"/>
              </w:rPr>
            </w:pPr>
            <w:r w:rsidRPr="00CD5E17">
              <w:rPr>
                <w:sz w:val="16"/>
                <w:szCs w:val="16"/>
              </w:rPr>
              <w:t>France</w:t>
            </w:r>
          </w:p>
        </w:tc>
        <w:tc>
          <w:tcPr>
            <w:tcW w:w="1985" w:type="dxa"/>
            <w:vAlign w:val="bottom"/>
          </w:tcPr>
          <w:p w:rsidR="00E25E63" w:rsidRPr="00CD5E17" w:rsidRDefault="00E25E63" w:rsidP="00E25E63">
            <w:pPr>
              <w:pStyle w:val="SVEtablecontent"/>
              <w:rPr>
                <w:sz w:val="16"/>
                <w:szCs w:val="16"/>
              </w:rPr>
            </w:pPr>
            <w:r w:rsidRPr="00CD5E17">
              <w:rPr>
                <w:sz w:val="16"/>
                <w:szCs w:val="16"/>
              </w:rPr>
              <w:t>Nass &amp; Wind Technologie SAS</w:t>
            </w:r>
          </w:p>
        </w:tc>
        <w:tc>
          <w:tcPr>
            <w:tcW w:w="1134" w:type="dxa"/>
            <w:vAlign w:val="bottom"/>
          </w:tcPr>
          <w:p w:rsidR="00E25E63" w:rsidRPr="00CD5E17" w:rsidRDefault="00E25E63" w:rsidP="00E25E63">
            <w:pPr>
              <w:pStyle w:val="SVEtablecontent"/>
              <w:rPr>
                <w:sz w:val="16"/>
                <w:szCs w:val="16"/>
              </w:rPr>
            </w:pPr>
            <w:r w:rsidRPr="00CD5E17">
              <w:rPr>
                <w:sz w:val="16"/>
                <w:szCs w:val="16"/>
              </w:rPr>
              <w:t>United Kingdom</w:t>
            </w:r>
          </w:p>
        </w:tc>
        <w:tc>
          <w:tcPr>
            <w:tcW w:w="1843" w:type="dxa"/>
            <w:vAlign w:val="bottom"/>
          </w:tcPr>
          <w:p w:rsidR="00E25E63" w:rsidRPr="00CD5E17" w:rsidRDefault="00E25E63" w:rsidP="00E25E63">
            <w:pPr>
              <w:pStyle w:val="SVEtablecontent"/>
              <w:rPr>
                <w:sz w:val="16"/>
                <w:szCs w:val="16"/>
              </w:rPr>
            </w:pPr>
            <w:r w:rsidRPr="00CD5E17">
              <w:rPr>
                <w:sz w:val="16"/>
                <w:szCs w:val="16"/>
              </w:rPr>
              <w:t>Acquisition Of Assets</w:t>
            </w:r>
          </w:p>
        </w:tc>
      </w:tr>
      <w:tr w:rsidR="00E25E63" w:rsidTr="001624D5">
        <w:tc>
          <w:tcPr>
            <w:tcW w:w="1276" w:type="dxa"/>
          </w:tcPr>
          <w:p w:rsidR="00E25E63" w:rsidRPr="00CD5E17" w:rsidRDefault="00E25E63" w:rsidP="00E25E63">
            <w:pPr>
              <w:pStyle w:val="SVEtablecontent"/>
              <w:rPr>
                <w:sz w:val="16"/>
                <w:szCs w:val="16"/>
              </w:rPr>
            </w:pPr>
            <w:r w:rsidRPr="00CD5E17">
              <w:rPr>
                <w:sz w:val="16"/>
                <w:szCs w:val="16"/>
              </w:rPr>
              <w:t>20/04/2005</w:t>
            </w:r>
          </w:p>
        </w:tc>
        <w:tc>
          <w:tcPr>
            <w:tcW w:w="1277" w:type="dxa"/>
            <w:vAlign w:val="bottom"/>
          </w:tcPr>
          <w:p w:rsidR="00E25E63" w:rsidRPr="00CD5E17" w:rsidRDefault="00E25E63" w:rsidP="00E25E63">
            <w:pPr>
              <w:pStyle w:val="SVEtablecontent"/>
              <w:rPr>
                <w:sz w:val="16"/>
                <w:szCs w:val="16"/>
              </w:rPr>
            </w:pPr>
            <w:r w:rsidRPr="00CD5E17">
              <w:rPr>
                <w:sz w:val="16"/>
                <w:szCs w:val="16"/>
              </w:rPr>
              <w:t>Gas Natural SDG SA</w:t>
            </w:r>
          </w:p>
        </w:tc>
        <w:tc>
          <w:tcPr>
            <w:tcW w:w="1559" w:type="dxa"/>
            <w:vAlign w:val="bottom"/>
          </w:tcPr>
          <w:p w:rsidR="00E25E63" w:rsidRPr="00CD5E17" w:rsidRDefault="00E25E63" w:rsidP="00E25E63">
            <w:pPr>
              <w:pStyle w:val="SVEtablecontent"/>
              <w:rPr>
                <w:sz w:val="16"/>
                <w:szCs w:val="16"/>
              </w:rPr>
            </w:pPr>
            <w:r w:rsidRPr="00CD5E17">
              <w:rPr>
                <w:sz w:val="16"/>
                <w:szCs w:val="16"/>
              </w:rPr>
              <w:t>Gas Natural SDG SA</w:t>
            </w:r>
          </w:p>
        </w:tc>
        <w:tc>
          <w:tcPr>
            <w:tcW w:w="1417" w:type="dxa"/>
          </w:tcPr>
          <w:p w:rsidR="00E25E63" w:rsidRPr="00CD5E17" w:rsidRDefault="00E25E63" w:rsidP="00E25E63">
            <w:pPr>
              <w:pStyle w:val="SVEtablecontent"/>
              <w:rPr>
                <w:sz w:val="16"/>
                <w:szCs w:val="16"/>
              </w:rPr>
            </w:pPr>
            <w:r w:rsidRPr="00CD5E17">
              <w:rPr>
                <w:sz w:val="16"/>
                <w:szCs w:val="16"/>
              </w:rPr>
              <w:t>NTGY.MC</w:t>
            </w:r>
          </w:p>
        </w:tc>
        <w:tc>
          <w:tcPr>
            <w:tcW w:w="1134" w:type="dxa"/>
            <w:vAlign w:val="bottom"/>
          </w:tcPr>
          <w:p w:rsidR="00E25E63" w:rsidRPr="00CD5E17" w:rsidRDefault="00E25E63" w:rsidP="00E25E63">
            <w:pPr>
              <w:pStyle w:val="SVEtablecontent"/>
              <w:rPr>
                <w:sz w:val="16"/>
                <w:szCs w:val="16"/>
              </w:rPr>
            </w:pPr>
            <w:r w:rsidRPr="00CD5E17">
              <w:rPr>
                <w:sz w:val="16"/>
                <w:szCs w:val="16"/>
              </w:rPr>
              <w:t>Spain</w:t>
            </w:r>
          </w:p>
        </w:tc>
        <w:tc>
          <w:tcPr>
            <w:tcW w:w="1985" w:type="dxa"/>
            <w:vAlign w:val="bottom"/>
          </w:tcPr>
          <w:p w:rsidR="00E25E63" w:rsidRPr="00CD5E17" w:rsidRDefault="00E25E63" w:rsidP="00E25E63">
            <w:pPr>
              <w:pStyle w:val="SVEtablecontent"/>
              <w:rPr>
                <w:sz w:val="16"/>
                <w:szCs w:val="16"/>
              </w:rPr>
            </w:pPr>
            <w:r w:rsidRPr="00CD5E17">
              <w:rPr>
                <w:sz w:val="16"/>
                <w:szCs w:val="16"/>
              </w:rPr>
              <w:t>Dersa SA</w:t>
            </w:r>
          </w:p>
        </w:tc>
        <w:tc>
          <w:tcPr>
            <w:tcW w:w="1134" w:type="dxa"/>
            <w:vAlign w:val="bottom"/>
          </w:tcPr>
          <w:p w:rsidR="00E25E63" w:rsidRPr="00CD5E17" w:rsidRDefault="00E25E63" w:rsidP="00E25E63">
            <w:pPr>
              <w:pStyle w:val="SVEtablecontent"/>
              <w:rPr>
                <w:sz w:val="16"/>
                <w:szCs w:val="16"/>
              </w:rPr>
            </w:pPr>
            <w:r w:rsidRPr="00CD5E17">
              <w:rPr>
                <w:sz w:val="16"/>
                <w:szCs w:val="16"/>
              </w:rPr>
              <w:t>Spain</w:t>
            </w:r>
          </w:p>
        </w:tc>
        <w:tc>
          <w:tcPr>
            <w:tcW w:w="1843" w:type="dxa"/>
            <w:vAlign w:val="bottom"/>
          </w:tcPr>
          <w:p w:rsidR="00E25E63" w:rsidRPr="00CD5E17" w:rsidRDefault="00E25E63" w:rsidP="00E25E63">
            <w:pPr>
              <w:pStyle w:val="SVEtablecontent"/>
              <w:rPr>
                <w:sz w:val="16"/>
                <w:szCs w:val="16"/>
              </w:rPr>
            </w:pPr>
            <w:r w:rsidRPr="00CD5E17">
              <w:rPr>
                <w:sz w:val="16"/>
                <w:szCs w:val="16"/>
              </w:rPr>
              <w:t>Merger</w:t>
            </w:r>
          </w:p>
        </w:tc>
      </w:tr>
      <w:tr w:rsidR="00642D20" w:rsidRPr="008E3922" w:rsidTr="001624D5">
        <w:tc>
          <w:tcPr>
            <w:tcW w:w="1276" w:type="dxa"/>
          </w:tcPr>
          <w:p w:rsidR="00642D20" w:rsidRPr="00CD5E17" w:rsidRDefault="00642D20" w:rsidP="00642D20">
            <w:pPr>
              <w:pStyle w:val="SVEtablecontent"/>
              <w:rPr>
                <w:sz w:val="16"/>
                <w:szCs w:val="16"/>
              </w:rPr>
            </w:pPr>
            <w:r w:rsidRPr="00CD5E17">
              <w:rPr>
                <w:sz w:val="16"/>
                <w:szCs w:val="16"/>
              </w:rPr>
              <w:t>23/07/2003</w:t>
            </w:r>
          </w:p>
        </w:tc>
        <w:tc>
          <w:tcPr>
            <w:tcW w:w="1277" w:type="dxa"/>
            <w:vAlign w:val="bottom"/>
          </w:tcPr>
          <w:p w:rsidR="00642D20" w:rsidRPr="00CD5E17" w:rsidRDefault="00642D20" w:rsidP="00642D20">
            <w:pPr>
              <w:pStyle w:val="SVEtablecontent"/>
              <w:rPr>
                <w:sz w:val="16"/>
                <w:szCs w:val="16"/>
              </w:rPr>
            </w:pPr>
            <w:r w:rsidRPr="00CD5E17">
              <w:rPr>
                <w:sz w:val="16"/>
                <w:szCs w:val="16"/>
              </w:rPr>
              <w:t>Royal Dutch Petroleum Co</w:t>
            </w:r>
          </w:p>
        </w:tc>
        <w:tc>
          <w:tcPr>
            <w:tcW w:w="1559" w:type="dxa"/>
            <w:vAlign w:val="bottom"/>
          </w:tcPr>
          <w:p w:rsidR="00642D20" w:rsidRPr="00CD5E17" w:rsidRDefault="00642D20" w:rsidP="00642D20">
            <w:pPr>
              <w:pStyle w:val="SVEtablecontent"/>
              <w:rPr>
                <w:sz w:val="16"/>
                <w:szCs w:val="16"/>
              </w:rPr>
            </w:pPr>
            <w:r w:rsidRPr="00CD5E17">
              <w:rPr>
                <w:sz w:val="16"/>
                <w:szCs w:val="16"/>
              </w:rPr>
              <w:t>Royal Dutch/Shell Group</w:t>
            </w:r>
          </w:p>
        </w:tc>
        <w:tc>
          <w:tcPr>
            <w:tcW w:w="1417" w:type="dxa"/>
          </w:tcPr>
          <w:p w:rsidR="00642D20" w:rsidRPr="00CD5E17" w:rsidRDefault="00642D20" w:rsidP="00642D20">
            <w:pPr>
              <w:pStyle w:val="SVEtablecontent"/>
              <w:rPr>
                <w:sz w:val="16"/>
                <w:szCs w:val="16"/>
              </w:rPr>
            </w:pPr>
            <w:r w:rsidRPr="00CD5E17">
              <w:rPr>
                <w:sz w:val="16"/>
                <w:szCs w:val="16"/>
              </w:rPr>
              <w:t>RDSa.AS</w:t>
            </w:r>
          </w:p>
        </w:tc>
        <w:tc>
          <w:tcPr>
            <w:tcW w:w="1134" w:type="dxa"/>
            <w:vAlign w:val="bottom"/>
          </w:tcPr>
          <w:p w:rsidR="00642D20" w:rsidRPr="00CD5E17" w:rsidRDefault="00642D20" w:rsidP="00642D20">
            <w:pPr>
              <w:pStyle w:val="SVEtablecontent"/>
              <w:rPr>
                <w:sz w:val="16"/>
                <w:szCs w:val="16"/>
              </w:rPr>
            </w:pPr>
            <w:r w:rsidRPr="00CD5E17">
              <w:rPr>
                <w:sz w:val="16"/>
                <w:szCs w:val="16"/>
              </w:rPr>
              <w:t>Netherlands</w:t>
            </w:r>
          </w:p>
        </w:tc>
        <w:tc>
          <w:tcPr>
            <w:tcW w:w="1985" w:type="dxa"/>
            <w:vAlign w:val="bottom"/>
          </w:tcPr>
          <w:p w:rsidR="00642D20" w:rsidRPr="00CD5E17" w:rsidRDefault="009F7932" w:rsidP="00642D20">
            <w:pPr>
              <w:pStyle w:val="SVEtablecontent"/>
              <w:rPr>
                <w:sz w:val="16"/>
                <w:szCs w:val="16"/>
              </w:rPr>
            </w:pPr>
            <w:r w:rsidRPr="00CD5E17">
              <w:rPr>
                <w:sz w:val="16"/>
                <w:szCs w:val="16"/>
                <w:highlight w:val="cyan"/>
              </w:rPr>
              <w:t>La Muela Wind Farms Project</w:t>
            </w:r>
          </w:p>
        </w:tc>
        <w:tc>
          <w:tcPr>
            <w:tcW w:w="1134" w:type="dxa"/>
          </w:tcPr>
          <w:p w:rsidR="00642D20" w:rsidRPr="00CD5E17" w:rsidRDefault="00642D20" w:rsidP="00642D20">
            <w:pPr>
              <w:pStyle w:val="SVEtablecontent"/>
              <w:rPr>
                <w:sz w:val="16"/>
                <w:szCs w:val="16"/>
              </w:rPr>
            </w:pPr>
          </w:p>
        </w:tc>
        <w:tc>
          <w:tcPr>
            <w:tcW w:w="1843" w:type="dxa"/>
          </w:tcPr>
          <w:p w:rsidR="00642D20" w:rsidRPr="00CD5E17" w:rsidRDefault="00642D20" w:rsidP="009F7932">
            <w:pPr>
              <w:pStyle w:val="SVEtablecontent"/>
              <w:rPr>
                <w:sz w:val="16"/>
                <w:szCs w:val="16"/>
              </w:rPr>
            </w:pPr>
          </w:p>
        </w:tc>
      </w:tr>
    </w:tbl>
    <w:p w:rsidR="00E42C70" w:rsidRDefault="00E42C70" w:rsidP="00971E76">
      <w:pPr>
        <w:ind w:firstLine="0"/>
        <w:rPr>
          <w:lang w:val="en-GB"/>
        </w:rPr>
      </w:pPr>
    </w:p>
    <w:p w:rsidR="00C740F4" w:rsidRDefault="0030656B" w:rsidP="0030656B">
      <w:pPr>
        <w:pStyle w:val="3"/>
        <w:rPr>
          <w:lang w:val="en-GB"/>
        </w:rPr>
      </w:pPr>
      <w:bookmarkStart w:id="16" w:name="_Toc73640572"/>
      <w:r>
        <w:rPr>
          <w:lang w:val="en-GB"/>
        </w:rPr>
        <w:t>2.3.1 (</w:t>
      </w:r>
      <w:proofErr w:type="gramStart"/>
      <w:r>
        <w:rPr>
          <w:lang w:val="en-GB"/>
        </w:rPr>
        <w:t>a</w:t>
      </w:r>
      <w:proofErr w:type="gramEnd"/>
      <w:r>
        <w:rPr>
          <w:lang w:val="en-GB"/>
        </w:rPr>
        <w:t xml:space="preserve">) </w:t>
      </w:r>
      <w:r w:rsidR="00043049">
        <w:rPr>
          <w:lang w:val="en-GB"/>
        </w:rPr>
        <w:t>Descriptive statistics</w:t>
      </w:r>
      <w:bookmarkEnd w:id="16"/>
    </w:p>
    <w:p w:rsidR="00AC306E" w:rsidRDefault="00AC306E" w:rsidP="00AC306E">
      <w:pPr>
        <w:rPr>
          <w:lang w:val="en-GB"/>
        </w:rPr>
      </w:pPr>
      <w:r>
        <w:rPr>
          <w:lang w:val="en-GB"/>
        </w:rPr>
        <w:t>The blue colour stands for a company that operates in wind energy sector, whereas the yellow for solar energy sector.</w:t>
      </w:r>
    </w:p>
    <w:p w:rsidR="00BD1A8E" w:rsidRDefault="00BD1A8E" w:rsidP="00B9403E">
      <w:pPr>
        <w:rPr>
          <w:lang w:val="en-GB"/>
        </w:rPr>
      </w:pPr>
      <w:r>
        <w:rPr>
          <w:lang w:val="en-GB"/>
        </w:rPr>
        <w:t>In this subpart,</w:t>
      </w:r>
      <w:r w:rsidR="00343C5C">
        <w:rPr>
          <w:lang w:val="en-GB"/>
        </w:rPr>
        <w:t xml:space="preserve"> in spite of being not the core main goal of my study,</w:t>
      </w:r>
      <w:r>
        <w:rPr>
          <w:lang w:val="en-GB"/>
        </w:rPr>
        <w:t xml:space="preserve"> the discussion of </w:t>
      </w:r>
      <w:r w:rsidR="00343C5C">
        <w:rPr>
          <w:lang w:val="en-GB"/>
        </w:rPr>
        <w:t>observation will be provided. This will show trends on the topic of business model transformation of oil and gas companies that have been discussed previously in the literature review and complement the picture.</w:t>
      </w:r>
    </w:p>
    <w:p w:rsidR="00C740F4" w:rsidRDefault="00C740F4" w:rsidP="00B9403E">
      <w:pPr>
        <w:rPr>
          <w:lang w:val="en-GB"/>
        </w:rPr>
      </w:pPr>
      <w:r>
        <w:rPr>
          <w:lang w:val="en-GB"/>
        </w:rPr>
        <w:t xml:space="preserve">Nevertheless, I have to mention the limitation of the sample that I have acquired. The main one is the sample size. </w:t>
      </w:r>
    </w:p>
    <w:p w:rsidR="000C0968" w:rsidRDefault="00DD4888" w:rsidP="000C0968">
      <w:pPr>
        <w:pStyle w:val="SVEfigure"/>
        <w:rPr>
          <w:lang w:val="en-GB"/>
        </w:rPr>
      </w:pPr>
      <w:r>
        <w:rPr>
          <w:noProof/>
          <w:lang w:val="ru-RU" w:eastAsia="ru-RU"/>
        </w:rPr>
        <w:lastRenderedPageBreak/>
        <w:drawing>
          <wp:inline distT="0" distB="0" distL="0" distR="0" wp14:anchorId="33612AA3" wp14:editId="6761A76C">
            <wp:extent cx="4572000" cy="2743200"/>
            <wp:effectExtent l="0" t="0" r="0" b="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0C0968" w:rsidRDefault="000C0968" w:rsidP="000C0968">
      <w:pPr>
        <w:pStyle w:val="SVEfigurecaption"/>
        <w:rPr>
          <w:lang w:val="en-GB"/>
        </w:rPr>
      </w:pPr>
      <w:r>
        <w:rPr>
          <w:lang w:val="en-GB"/>
        </w:rPr>
        <w:t>M&amp;A activities by year</w:t>
      </w:r>
      <w:r w:rsidR="00AE36A4">
        <w:rPr>
          <w:lang w:val="en-GB"/>
        </w:rPr>
        <w:t>. Source [made by author, data acquired from Thomson Eikon]</w:t>
      </w:r>
    </w:p>
    <w:p w:rsidR="001D77B7" w:rsidRPr="001D77B7" w:rsidRDefault="001D77B7" w:rsidP="001D77B7">
      <w:pPr>
        <w:rPr>
          <w:lang w:val="en-GB"/>
        </w:rPr>
      </w:pPr>
      <w:r>
        <w:rPr>
          <w:lang w:val="en-GB"/>
        </w:rPr>
        <w:t xml:space="preserve">Fig. 8 presents the number of deals made by public oil&amp;gas companies since 2003 and up to 2021. According to this bar chart the trend on </w:t>
      </w:r>
      <w:r w:rsidR="00043049">
        <w:rPr>
          <w:lang w:val="en-GB"/>
        </w:rPr>
        <w:t>intensifying deals activity</w:t>
      </w:r>
      <w:r>
        <w:rPr>
          <w:lang w:val="en-GB"/>
        </w:rPr>
        <w:t xml:space="preserve"> </w:t>
      </w:r>
      <w:r w:rsidR="00043049">
        <w:rPr>
          <w:lang w:val="en-GB"/>
        </w:rPr>
        <w:t>can be observed. While in 2000s the cross-sector deals were quite rare, starting from 2010s they have become more often.</w:t>
      </w:r>
      <w:r w:rsidR="00472335">
        <w:rPr>
          <w:lang w:val="en-GB"/>
        </w:rPr>
        <w:t xml:space="preserve"> The increase in 2015 and following decrease in 2016 and 2017 probably can be connected with </w:t>
      </w:r>
      <w:proofErr w:type="spellStart"/>
      <w:proofErr w:type="gramStart"/>
      <w:r w:rsidR="00472335">
        <w:rPr>
          <w:lang w:val="en-GB"/>
        </w:rPr>
        <w:t>a</w:t>
      </w:r>
      <w:proofErr w:type="spellEnd"/>
      <w:proofErr w:type="gramEnd"/>
      <w:r w:rsidR="00472335">
        <w:rPr>
          <w:lang w:val="en-GB"/>
        </w:rPr>
        <w:t xml:space="preserve"> oil price drop in 2015 and further prices stabilization in next years, but this does not fully explain why M&amp;A activity increased again in 2018 and 2019. </w:t>
      </w:r>
      <w:r w:rsidR="00043049">
        <w:rPr>
          <w:lang w:val="en-GB"/>
        </w:rPr>
        <w:t>Hence it could be speculated that oil&amp;gas companies became more interested in business model transformation and green energy.</w:t>
      </w:r>
    </w:p>
    <w:p w:rsidR="001F35C5" w:rsidRPr="00B145EB" w:rsidRDefault="00B145EB" w:rsidP="001F35C5">
      <w:pPr>
        <w:pStyle w:val="SVEfigure"/>
        <w:rPr>
          <w:lang w:val="en-GB"/>
        </w:rPr>
      </w:pPr>
      <w:r>
        <w:rPr>
          <w:noProof/>
          <w:lang w:val="ru-RU" w:eastAsia="ru-RU"/>
        </w:rPr>
        <w:lastRenderedPageBreak/>
        <w:drawing>
          <wp:inline distT="0" distB="0" distL="0" distR="0" wp14:anchorId="5A19F45B" wp14:editId="56E2FBE8">
            <wp:extent cx="4572000" cy="27432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1F35C5" w:rsidRDefault="001F35C5" w:rsidP="001F35C5">
      <w:pPr>
        <w:pStyle w:val="SVEfigurecaption"/>
        <w:rPr>
          <w:lang w:val="en-GB"/>
        </w:rPr>
      </w:pPr>
      <w:r>
        <w:rPr>
          <w:lang w:val="en-GB"/>
        </w:rPr>
        <w:t>Number of deals by each company</w:t>
      </w:r>
      <w:r w:rsidR="00AE36A4">
        <w:rPr>
          <w:lang w:val="en-GB"/>
        </w:rPr>
        <w:t>. Source [made by author, data acquired from Thomson Eikon]</w:t>
      </w:r>
    </w:p>
    <w:p w:rsidR="00043049" w:rsidRPr="00043049" w:rsidRDefault="00043049" w:rsidP="00043049">
      <w:pPr>
        <w:rPr>
          <w:lang w:val="en-GB"/>
        </w:rPr>
      </w:pPr>
      <w:r>
        <w:rPr>
          <w:lang w:val="en-GB"/>
        </w:rPr>
        <w:t>Fig 9 depicts activity of each company from the sample list in terms of number of deals of arranged by each company.</w:t>
      </w:r>
      <w:r w:rsidR="00F61C90">
        <w:rPr>
          <w:lang w:val="en-GB"/>
        </w:rPr>
        <w:t xml:space="preserve"> A Canadian company, Trans Canada Corp and a Spanish company, Gas Natural</w:t>
      </w:r>
      <w:r w:rsidR="00B145EB">
        <w:rPr>
          <w:lang w:val="en-GB"/>
        </w:rPr>
        <w:t xml:space="preserve"> are at the top</w:t>
      </w:r>
      <w:r w:rsidR="00F61C90">
        <w:rPr>
          <w:lang w:val="en-GB"/>
        </w:rPr>
        <w:t>. Both can be considered as midstream companies.</w:t>
      </w:r>
    </w:p>
    <w:p w:rsidR="00DF50A3" w:rsidRPr="00DF50A3" w:rsidRDefault="00DF50A3" w:rsidP="00DF50A3">
      <w:pPr>
        <w:rPr>
          <w:lang w:val="en-GB"/>
        </w:rPr>
      </w:pPr>
    </w:p>
    <w:p w:rsidR="00255250" w:rsidRDefault="00DF50A3" w:rsidP="00DF50A3">
      <w:pPr>
        <w:pStyle w:val="SVEtablecaption"/>
      </w:pPr>
      <w:r>
        <w:rPr>
          <w:lang w:val="en-GB"/>
        </w:rPr>
        <w:t>Acquirer type</w:t>
      </w:r>
      <w:r w:rsidR="00AE36A4">
        <w:rPr>
          <w:lang w:val="en-GB"/>
        </w:rPr>
        <w:t>. Source [made by author, data acquired from Thomson Eikon]</w:t>
      </w:r>
    </w:p>
    <w:tbl>
      <w:tblPr>
        <w:tblStyle w:val="23"/>
        <w:tblW w:w="0" w:type="auto"/>
        <w:tblLook w:val="04A0" w:firstRow="1" w:lastRow="0" w:firstColumn="1" w:lastColumn="0" w:noHBand="0" w:noVBand="1"/>
      </w:tblPr>
      <w:tblGrid>
        <w:gridCol w:w="4672"/>
        <w:gridCol w:w="4673"/>
      </w:tblGrid>
      <w:tr w:rsidR="00DF50A3" w:rsidRPr="001D77B7" w:rsidTr="005C111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DF50A3" w:rsidRPr="007B7A9B" w:rsidRDefault="00DF50A3" w:rsidP="005C111B">
            <w:pPr>
              <w:pStyle w:val="SVEtableheader"/>
              <w:rPr>
                <w:b/>
              </w:rPr>
            </w:pPr>
            <w:r w:rsidRPr="007B7A9B">
              <w:rPr>
                <w:b/>
              </w:rPr>
              <w:t>Type of oil&amp;gas company</w:t>
            </w:r>
          </w:p>
        </w:tc>
        <w:tc>
          <w:tcPr>
            <w:tcW w:w="4673" w:type="dxa"/>
          </w:tcPr>
          <w:p w:rsidR="00DF50A3" w:rsidRPr="001D77B7" w:rsidRDefault="005C111B" w:rsidP="005C111B">
            <w:pPr>
              <w:pStyle w:val="SVEtableheader"/>
              <w:cnfStyle w:val="100000000000" w:firstRow="1" w:lastRow="0" w:firstColumn="0" w:lastColumn="0" w:oddVBand="0" w:evenVBand="0" w:oddHBand="0" w:evenHBand="0" w:firstRowFirstColumn="0" w:firstRowLastColumn="0" w:lastRowFirstColumn="0" w:lastRowLastColumn="0"/>
              <w:rPr>
                <w:b/>
                <w:lang w:val="en-GB"/>
              </w:rPr>
            </w:pPr>
            <w:r w:rsidRPr="007B7A9B">
              <w:rPr>
                <w:b/>
              </w:rPr>
              <w:t>% of total</w:t>
            </w:r>
          </w:p>
        </w:tc>
      </w:tr>
      <w:tr w:rsidR="00DF50A3" w:rsidRPr="001D77B7" w:rsidTr="005C1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DF50A3" w:rsidRPr="005C111B" w:rsidRDefault="00F61C90" w:rsidP="005C111B">
            <w:pPr>
              <w:pStyle w:val="SVEtablecontent"/>
              <w:rPr>
                <w:b w:val="0"/>
              </w:rPr>
            </w:pPr>
            <w:r w:rsidRPr="005C111B">
              <w:rPr>
                <w:b w:val="0"/>
              </w:rPr>
              <w:t>Integrated</w:t>
            </w:r>
          </w:p>
        </w:tc>
        <w:tc>
          <w:tcPr>
            <w:tcW w:w="4673" w:type="dxa"/>
          </w:tcPr>
          <w:p w:rsidR="00DF50A3" w:rsidRDefault="00F7494A" w:rsidP="005C111B">
            <w:pPr>
              <w:pStyle w:val="SVEtablecontent"/>
              <w:cnfStyle w:val="000000100000" w:firstRow="0" w:lastRow="0" w:firstColumn="0" w:lastColumn="0" w:oddVBand="0" w:evenVBand="0" w:oddHBand="1" w:evenHBand="0" w:firstRowFirstColumn="0" w:firstRowLastColumn="0" w:lastRowFirstColumn="0" w:lastRowLastColumn="0"/>
            </w:pPr>
            <w:r>
              <w:t>6 (55</w:t>
            </w:r>
            <w:r w:rsidR="00F61C90">
              <w:t>%)</w:t>
            </w:r>
          </w:p>
        </w:tc>
      </w:tr>
      <w:tr w:rsidR="00DF50A3" w:rsidRPr="001D77B7" w:rsidTr="005C111B">
        <w:tc>
          <w:tcPr>
            <w:cnfStyle w:val="001000000000" w:firstRow="0" w:lastRow="0" w:firstColumn="1" w:lastColumn="0" w:oddVBand="0" w:evenVBand="0" w:oddHBand="0" w:evenHBand="0" w:firstRowFirstColumn="0" w:firstRowLastColumn="0" w:lastRowFirstColumn="0" w:lastRowLastColumn="0"/>
            <w:tcW w:w="4672" w:type="dxa"/>
          </w:tcPr>
          <w:p w:rsidR="00DF50A3" w:rsidRPr="005C111B" w:rsidRDefault="00F61C90" w:rsidP="005C111B">
            <w:pPr>
              <w:pStyle w:val="SVEtablecontent"/>
              <w:rPr>
                <w:b w:val="0"/>
              </w:rPr>
            </w:pPr>
            <w:r w:rsidRPr="005C111B">
              <w:rPr>
                <w:b w:val="0"/>
              </w:rPr>
              <w:t>Midstream</w:t>
            </w:r>
          </w:p>
        </w:tc>
        <w:tc>
          <w:tcPr>
            <w:tcW w:w="4673" w:type="dxa"/>
          </w:tcPr>
          <w:p w:rsidR="00DF50A3" w:rsidRDefault="00F7494A" w:rsidP="005C111B">
            <w:pPr>
              <w:pStyle w:val="SVEtablecontent"/>
              <w:cnfStyle w:val="000000000000" w:firstRow="0" w:lastRow="0" w:firstColumn="0" w:lastColumn="0" w:oddVBand="0" w:evenVBand="0" w:oddHBand="0" w:evenHBand="0" w:firstRowFirstColumn="0" w:firstRowLastColumn="0" w:lastRowFirstColumn="0" w:lastRowLastColumn="0"/>
            </w:pPr>
            <w:r>
              <w:t>3 (27</w:t>
            </w:r>
            <w:r w:rsidR="00F61C90">
              <w:t>%)</w:t>
            </w:r>
          </w:p>
        </w:tc>
      </w:tr>
      <w:tr w:rsidR="00DF50A3" w:rsidTr="005C111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DF50A3" w:rsidRPr="005C111B" w:rsidRDefault="00F61C90" w:rsidP="005C111B">
            <w:pPr>
              <w:pStyle w:val="SVEtablecontent"/>
              <w:rPr>
                <w:b w:val="0"/>
              </w:rPr>
            </w:pPr>
            <w:r w:rsidRPr="005C111B">
              <w:rPr>
                <w:b w:val="0"/>
              </w:rPr>
              <w:t>Services</w:t>
            </w:r>
          </w:p>
        </w:tc>
        <w:tc>
          <w:tcPr>
            <w:tcW w:w="4673" w:type="dxa"/>
          </w:tcPr>
          <w:p w:rsidR="00DF50A3" w:rsidRDefault="00F7494A" w:rsidP="005C111B">
            <w:pPr>
              <w:pStyle w:val="SVEtablecontent"/>
              <w:cnfStyle w:val="000000100000" w:firstRow="0" w:lastRow="0" w:firstColumn="0" w:lastColumn="0" w:oddVBand="0" w:evenVBand="0" w:oddHBand="1" w:evenHBand="0" w:firstRowFirstColumn="0" w:firstRowLastColumn="0" w:lastRowFirstColumn="0" w:lastRowLastColumn="0"/>
            </w:pPr>
            <w:r>
              <w:t>2 (18</w:t>
            </w:r>
            <w:r w:rsidR="00F61C90">
              <w:t>%)</w:t>
            </w:r>
          </w:p>
        </w:tc>
      </w:tr>
    </w:tbl>
    <w:p w:rsidR="00DF50A3" w:rsidRDefault="00DF50A3" w:rsidP="00255250">
      <w:pPr>
        <w:rPr>
          <w:lang w:val="en-GB"/>
        </w:rPr>
      </w:pPr>
    </w:p>
    <w:p w:rsidR="008661CE" w:rsidRDefault="00F61C90" w:rsidP="00255250">
      <w:pPr>
        <w:rPr>
          <w:lang w:val="en-GB"/>
        </w:rPr>
      </w:pPr>
      <w:r>
        <w:rPr>
          <w:lang w:val="en-GB"/>
        </w:rPr>
        <w:t xml:space="preserve">According to the Table 3 that differentiate companies according to its type of activity inside of value chain, dominating ratio of companies come from integrated oil&amp;gas companies. According to the description of such types of companies from the introduction part, these are companies that work on all levels of value chain. </w:t>
      </w:r>
      <w:r w:rsidR="00104B85">
        <w:rPr>
          <w:lang w:val="en-GB"/>
        </w:rPr>
        <w:t>Thus, we can speculate</w:t>
      </w:r>
      <w:r>
        <w:rPr>
          <w:lang w:val="en-GB"/>
        </w:rPr>
        <w:t xml:space="preserve"> </w:t>
      </w:r>
      <w:r w:rsidR="00104B85">
        <w:rPr>
          <w:lang w:val="en-GB"/>
        </w:rPr>
        <w:t xml:space="preserve">that such </w:t>
      </w:r>
      <w:r>
        <w:rPr>
          <w:lang w:val="en-GB"/>
        </w:rPr>
        <w:t>companies are more interested in transition than other types</w:t>
      </w:r>
      <w:r w:rsidR="00104B85">
        <w:rPr>
          <w:lang w:val="en-GB"/>
        </w:rPr>
        <w:t>, or that such companies have more possibilities to start energy transition, since integrated oil entities are usually big international players, like Total or BP from the list, therefore they have more resources to enter alternative energy market.</w:t>
      </w:r>
    </w:p>
    <w:p w:rsidR="00F61C90" w:rsidRDefault="00F61C90" w:rsidP="00255250">
      <w:pPr>
        <w:rPr>
          <w:lang w:val="en-GB"/>
        </w:rPr>
      </w:pPr>
      <w:r>
        <w:rPr>
          <w:lang w:val="en-GB"/>
        </w:rPr>
        <w:t>On the second place goes companies that could be identified as midstream</w:t>
      </w:r>
      <w:r w:rsidR="008661CE">
        <w:rPr>
          <w:lang w:val="en-GB"/>
        </w:rPr>
        <w:t xml:space="preserve">. Here we can speculate want to get less risky position in a value chain by diversifying its energy mix that they </w:t>
      </w:r>
      <w:r w:rsidR="008661CE">
        <w:rPr>
          <w:lang w:val="en-GB"/>
        </w:rPr>
        <w:lastRenderedPageBreak/>
        <w:t xml:space="preserve">deliver. Since, demand/supply oil&amp;gas shocks strongly affects midstream companies that is logically </w:t>
      </w:r>
      <w:r w:rsidR="00815C82">
        <w:rPr>
          <w:lang w:val="en-GB"/>
        </w:rPr>
        <w:t>why</w:t>
      </w:r>
      <w:r w:rsidR="008661CE">
        <w:rPr>
          <w:lang w:val="en-GB"/>
        </w:rPr>
        <w:t xml:space="preserve"> midstream </w:t>
      </w:r>
      <w:r w:rsidR="00815C82">
        <w:rPr>
          <w:lang w:val="en-GB"/>
        </w:rPr>
        <w:t>sector</w:t>
      </w:r>
      <w:r w:rsidR="008661CE">
        <w:rPr>
          <w:lang w:val="en-GB"/>
        </w:rPr>
        <w:t xml:space="preserve"> want</w:t>
      </w:r>
      <w:r w:rsidR="00815C82">
        <w:rPr>
          <w:lang w:val="en-GB"/>
        </w:rPr>
        <w:t>s</w:t>
      </w:r>
      <w:r w:rsidR="008661CE">
        <w:rPr>
          <w:lang w:val="en-GB"/>
        </w:rPr>
        <w:t xml:space="preserve"> to safeguard its positions</w:t>
      </w:r>
      <w:r w:rsidR="00C66AB4">
        <w:rPr>
          <w:lang w:val="en-GB"/>
        </w:rPr>
        <w:t>.</w:t>
      </w:r>
    </w:p>
    <w:p w:rsidR="00255250" w:rsidRDefault="00255250" w:rsidP="00B564CD">
      <w:pPr>
        <w:pStyle w:val="SVEtablecaption"/>
        <w:rPr>
          <w:lang w:val="en-GB"/>
        </w:rPr>
      </w:pPr>
      <w:r>
        <w:t>Type of target</w:t>
      </w:r>
      <w:r w:rsidR="00B564CD" w:rsidRPr="00AE36A4">
        <w:rPr>
          <w:lang w:val="en-GB"/>
        </w:rPr>
        <w:t xml:space="preserve"> </w:t>
      </w:r>
      <w:r w:rsidR="00B564CD">
        <w:rPr>
          <w:lang w:val="en-GB"/>
        </w:rPr>
        <w:t>business</w:t>
      </w:r>
      <w:r w:rsidR="00AE36A4">
        <w:rPr>
          <w:lang w:val="en-GB"/>
        </w:rPr>
        <w:t>. Source [made by author, data acquired from Thomson Eikon]</w:t>
      </w:r>
    </w:p>
    <w:tbl>
      <w:tblPr>
        <w:tblStyle w:val="23"/>
        <w:tblW w:w="0" w:type="auto"/>
        <w:tblLook w:val="04A0" w:firstRow="1" w:lastRow="0" w:firstColumn="1" w:lastColumn="0" w:noHBand="0" w:noVBand="1"/>
      </w:tblPr>
      <w:tblGrid>
        <w:gridCol w:w="4672"/>
        <w:gridCol w:w="4673"/>
      </w:tblGrid>
      <w:tr w:rsidR="00B564CD" w:rsidTr="00B564C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B564CD" w:rsidRPr="007B7A9B" w:rsidRDefault="00B564CD" w:rsidP="007B7A9B">
            <w:pPr>
              <w:pStyle w:val="SVEtableheader"/>
              <w:rPr>
                <w:b/>
                <w:lang w:val="en-GB"/>
              </w:rPr>
            </w:pPr>
            <w:r w:rsidRPr="007B7A9B">
              <w:rPr>
                <w:b/>
              </w:rPr>
              <w:t>Type of target</w:t>
            </w:r>
            <w:r w:rsidRPr="007B7A9B">
              <w:rPr>
                <w:b/>
                <w:lang w:val="ru-RU"/>
              </w:rPr>
              <w:t xml:space="preserve"> </w:t>
            </w:r>
            <w:r w:rsidRPr="007B7A9B">
              <w:rPr>
                <w:b/>
                <w:lang w:val="en-GB"/>
              </w:rPr>
              <w:t>business</w:t>
            </w:r>
          </w:p>
        </w:tc>
        <w:tc>
          <w:tcPr>
            <w:tcW w:w="4673" w:type="dxa"/>
          </w:tcPr>
          <w:p w:rsidR="00B564CD" w:rsidRPr="007B7A9B" w:rsidRDefault="00B564CD" w:rsidP="00B564CD">
            <w:pPr>
              <w:pStyle w:val="SVEtableheader"/>
              <w:cnfStyle w:val="100000000000" w:firstRow="1" w:lastRow="0" w:firstColumn="0" w:lastColumn="0" w:oddVBand="0" w:evenVBand="0" w:oddHBand="0" w:evenHBand="0" w:firstRowFirstColumn="0" w:firstRowLastColumn="0" w:lastRowFirstColumn="0" w:lastRowLastColumn="0"/>
              <w:rPr>
                <w:b/>
              </w:rPr>
            </w:pPr>
            <w:r w:rsidRPr="007B7A9B">
              <w:rPr>
                <w:b/>
              </w:rPr>
              <w:t>% of total</w:t>
            </w:r>
          </w:p>
        </w:tc>
      </w:tr>
      <w:tr w:rsidR="00B564CD" w:rsidTr="00B56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B564CD" w:rsidRPr="007B7A9B" w:rsidRDefault="00B564CD" w:rsidP="00B564CD">
            <w:pPr>
              <w:pStyle w:val="SVEtablecontent"/>
              <w:rPr>
                <w:b w:val="0"/>
              </w:rPr>
            </w:pPr>
            <w:r w:rsidRPr="007B7A9B">
              <w:rPr>
                <w:b w:val="0"/>
              </w:rPr>
              <w:t>Wind</w:t>
            </w:r>
          </w:p>
        </w:tc>
        <w:tc>
          <w:tcPr>
            <w:tcW w:w="4673" w:type="dxa"/>
          </w:tcPr>
          <w:p w:rsidR="00B564CD" w:rsidRDefault="00815C82" w:rsidP="00B564CD">
            <w:pPr>
              <w:pStyle w:val="SVEtablecontent"/>
              <w:cnfStyle w:val="000000100000" w:firstRow="0" w:lastRow="0" w:firstColumn="0" w:lastColumn="0" w:oddVBand="0" w:evenVBand="0" w:oddHBand="1" w:evenHBand="0" w:firstRowFirstColumn="0" w:firstRowLastColumn="0" w:lastRowFirstColumn="0" w:lastRowLastColumn="0"/>
            </w:pPr>
            <w:r>
              <w:t>34.62</w:t>
            </w:r>
            <w:r w:rsidR="00B564CD">
              <w:t>%</w:t>
            </w:r>
          </w:p>
        </w:tc>
      </w:tr>
      <w:tr w:rsidR="00B564CD" w:rsidTr="00B564CD">
        <w:tc>
          <w:tcPr>
            <w:cnfStyle w:val="001000000000" w:firstRow="0" w:lastRow="0" w:firstColumn="1" w:lastColumn="0" w:oddVBand="0" w:evenVBand="0" w:oddHBand="0" w:evenHBand="0" w:firstRowFirstColumn="0" w:firstRowLastColumn="0" w:lastRowFirstColumn="0" w:lastRowLastColumn="0"/>
            <w:tcW w:w="4672" w:type="dxa"/>
          </w:tcPr>
          <w:p w:rsidR="00B564CD" w:rsidRPr="007B7A9B" w:rsidRDefault="00B564CD" w:rsidP="00B564CD">
            <w:pPr>
              <w:pStyle w:val="SVEtablecontent"/>
              <w:rPr>
                <w:b w:val="0"/>
              </w:rPr>
            </w:pPr>
            <w:r w:rsidRPr="007B7A9B">
              <w:rPr>
                <w:b w:val="0"/>
              </w:rPr>
              <w:t>Solar</w:t>
            </w:r>
          </w:p>
        </w:tc>
        <w:tc>
          <w:tcPr>
            <w:tcW w:w="4673" w:type="dxa"/>
          </w:tcPr>
          <w:p w:rsidR="00B564CD" w:rsidRDefault="00815C82" w:rsidP="00B564CD">
            <w:pPr>
              <w:pStyle w:val="SVEtablecontent"/>
              <w:cnfStyle w:val="000000000000" w:firstRow="0" w:lastRow="0" w:firstColumn="0" w:lastColumn="0" w:oddVBand="0" w:evenVBand="0" w:oddHBand="0" w:evenHBand="0" w:firstRowFirstColumn="0" w:firstRowLastColumn="0" w:lastRowFirstColumn="0" w:lastRowLastColumn="0"/>
            </w:pPr>
            <w:r>
              <w:t>23.08</w:t>
            </w:r>
            <w:r w:rsidR="00B564CD">
              <w:t>%</w:t>
            </w:r>
          </w:p>
        </w:tc>
      </w:tr>
      <w:tr w:rsidR="00B564CD" w:rsidTr="00B564C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B564CD" w:rsidRPr="007B7A9B" w:rsidRDefault="00DB79D8" w:rsidP="00DB79D8">
            <w:pPr>
              <w:pStyle w:val="SVEtablecontent"/>
              <w:rPr>
                <w:b w:val="0"/>
              </w:rPr>
            </w:pPr>
            <w:r>
              <w:rPr>
                <w:b w:val="0"/>
              </w:rPr>
              <w:t xml:space="preserve">Other </w:t>
            </w:r>
          </w:p>
        </w:tc>
        <w:tc>
          <w:tcPr>
            <w:tcW w:w="4673" w:type="dxa"/>
          </w:tcPr>
          <w:p w:rsidR="00B564CD" w:rsidRDefault="00815C82" w:rsidP="00B564CD">
            <w:pPr>
              <w:pStyle w:val="SVEtablecontent"/>
              <w:cnfStyle w:val="000000100000" w:firstRow="0" w:lastRow="0" w:firstColumn="0" w:lastColumn="0" w:oddVBand="0" w:evenVBand="0" w:oddHBand="1" w:evenHBand="0" w:firstRowFirstColumn="0" w:firstRowLastColumn="0" w:lastRowFirstColumn="0" w:lastRowLastColumn="0"/>
            </w:pPr>
            <w:r>
              <w:t>34.62</w:t>
            </w:r>
            <w:r w:rsidR="00B564CD">
              <w:t>%</w:t>
            </w:r>
          </w:p>
        </w:tc>
      </w:tr>
      <w:tr w:rsidR="00B564CD" w:rsidRPr="00815C82" w:rsidTr="00B564CD">
        <w:tc>
          <w:tcPr>
            <w:cnfStyle w:val="001000000000" w:firstRow="0" w:lastRow="0" w:firstColumn="1" w:lastColumn="0" w:oddVBand="0" w:evenVBand="0" w:oddHBand="0" w:evenHBand="0" w:firstRowFirstColumn="0" w:firstRowLastColumn="0" w:lastRowFirstColumn="0" w:lastRowLastColumn="0"/>
            <w:tcW w:w="4672" w:type="dxa"/>
          </w:tcPr>
          <w:p w:rsidR="00B564CD" w:rsidRPr="007B7A9B" w:rsidRDefault="00B564CD" w:rsidP="00B564CD">
            <w:pPr>
              <w:pStyle w:val="SVEtablecontent"/>
              <w:rPr>
                <w:b w:val="0"/>
              </w:rPr>
            </w:pPr>
            <w:r w:rsidRPr="007B7A9B">
              <w:rPr>
                <w:b w:val="0"/>
              </w:rPr>
              <w:t>biofuels</w:t>
            </w:r>
          </w:p>
        </w:tc>
        <w:tc>
          <w:tcPr>
            <w:tcW w:w="4673" w:type="dxa"/>
          </w:tcPr>
          <w:p w:rsidR="00B564CD" w:rsidRPr="00815C82" w:rsidRDefault="00815C82" w:rsidP="00B564CD">
            <w:pPr>
              <w:pStyle w:val="SVEtablecontent"/>
              <w:cnfStyle w:val="000000000000" w:firstRow="0" w:lastRow="0" w:firstColumn="0" w:lastColumn="0" w:oddVBand="0" w:evenVBand="0" w:oddHBand="0" w:evenHBand="0" w:firstRowFirstColumn="0" w:firstRowLastColumn="0" w:lastRowFirstColumn="0" w:lastRowLastColumn="0"/>
              <w:rPr>
                <w:lang w:val="en-GB"/>
              </w:rPr>
            </w:pPr>
            <w:r>
              <w:t>7.62</w:t>
            </w:r>
            <w:r w:rsidR="00B564CD">
              <w:t xml:space="preserve">% </w:t>
            </w:r>
          </w:p>
        </w:tc>
      </w:tr>
    </w:tbl>
    <w:p w:rsidR="00B564CD" w:rsidRDefault="00B564CD" w:rsidP="00B564CD">
      <w:pPr>
        <w:rPr>
          <w:lang w:val="en-GB"/>
        </w:rPr>
      </w:pPr>
    </w:p>
    <w:p w:rsidR="00C66AB4" w:rsidRPr="00027C9E" w:rsidRDefault="00C66AB4" w:rsidP="00B564CD">
      <w:pPr>
        <w:rPr>
          <w:lang w:val="en-GB"/>
        </w:rPr>
      </w:pPr>
      <w:r>
        <w:rPr>
          <w:lang w:val="en-GB"/>
        </w:rPr>
        <w:t>By the type of target companies, wind energy plants have a solid 1</w:t>
      </w:r>
      <w:r w:rsidRPr="00C66AB4">
        <w:rPr>
          <w:vertAlign w:val="superscript"/>
          <w:lang w:val="en-GB"/>
        </w:rPr>
        <w:t>st</w:t>
      </w:r>
      <w:r>
        <w:rPr>
          <w:lang w:val="en-GB"/>
        </w:rPr>
        <w:t xml:space="preserve"> place among all types of companies</w:t>
      </w:r>
      <w:r w:rsidR="005D3C34">
        <w:rPr>
          <w:lang w:val="en-GB"/>
        </w:rPr>
        <w:t>, what means oil&amp;gas companies value this type of alternative energy producers the most.</w:t>
      </w:r>
      <w:r w:rsidR="00027C9E">
        <w:rPr>
          <w:lang w:val="en-GB"/>
        </w:rPr>
        <w:t xml:space="preserve"> In the list companies that operate in geothermal or hydro energy lack at all, there can be several interpretations why, like being too expensive to acquire or worse expects ions from them. Still, extra researches are needed on the topic for clarification of such issues and now this discussion is not the main purpose of my study.</w:t>
      </w:r>
    </w:p>
    <w:p w:rsidR="0087498B" w:rsidRPr="00C66AB4" w:rsidRDefault="0087498B" w:rsidP="00255250">
      <w:pPr>
        <w:rPr>
          <w:lang w:val="en-GB"/>
        </w:rPr>
      </w:pPr>
    </w:p>
    <w:p w:rsidR="00255250" w:rsidRDefault="00255250" w:rsidP="0087498B">
      <w:pPr>
        <w:pStyle w:val="SVEtablecaption"/>
      </w:pPr>
      <w:r>
        <w:t>Type of deal</w:t>
      </w:r>
      <w:r w:rsidR="00AE36A4">
        <w:rPr>
          <w:lang w:val="en-GB"/>
        </w:rPr>
        <w:t>. Source [made by author, data acquired from Thomson Eikon]</w:t>
      </w:r>
    </w:p>
    <w:tbl>
      <w:tblPr>
        <w:tblStyle w:val="23"/>
        <w:tblW w:w="0" w:type="auto"/>
        <w:tblLook w:val="04A0" w:firstRow="1" w:lastRow="0" w:firstColumn="1" w:lastColumn="0" w:noHBand="0" w:noVBand="1"/>
      </w:tblPr>
      <w:tblGrid>
        <w:gridCol w:w="4672"/>
        <w:gridCol w:w="4673"/>
      </w:tblGrid>
      <w:tr w:rsidR="0087498B" w:rsidTr="0026472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87498B" w:rsidRPr="007B7A9B" w:rsidRDefault="0087498B" w:rsidP="0087498B">
            <w:pPr>
              <w:pStyle w:val="SVEtableheader"/>
              <w:rPr>
                <w:b/>
              </w:rPr>
            </w:pPr>
            <w:r w:rsidRPr="007B7A9B">
              <w:rPr>
                <w:b/>
              </w:rPr>
              <w:t>Type of deal</w:t>
            </w:r>
          </w:p>
        </w:tc>
        <w:tc>
          <w:tcPr>
            <w:tcW w:w="4673" w:type="dxa"/>
          </w:tcPr>
          <w:p w:rsidR="0087498B" w:rsidRPr="007B7A9B" w:rsidRDefault="0087498B" w:rsidP="0087498B">
            <w:pPr>
              <w:pStyle w:val="SVEtableheader"/>
              <w:cnfStyle w:val="100000000000" w:firstRow="1" w:lastRow="0" w:firstColumn="0" w:lastColumn="0" w:oddVBand="0" w:evenVBand="0" w:oddHBand="0" w:evenHBand="0" w:firstRowFirstColumn="0" w:firstRowLastColumn="0" w:lastRowFirstColumn="0" w:lastRowLastColumn="0"/>
              <w:rPr>
                <w:b/>
              </w:rPr>
            </w:pPr>
            <w:r w:rsidRPr="007B7A9B">
              <w:rPr>
                <w:b/>
              </w:rPr>
              <w:t>% of total</w:t>
            </w:r>
          </w:p>
        </w:tc>
      </w:tr>
      <w:tr w:rsidR="0087498B" w:rsidTr="00264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87498B" w:rsidRPr="007B7A9B" w:rsidRDefault="00B7191E" w:rsidP="0087498B">
            <w:pPr>
              <w:pStyle w:val="SVEtablecontent"/>
              <w:rPr>
                <w:b w:val="0"/>
              </w:rPr>
            </w:pPr>
            <w:r w:rsidRPr="007B7A9B">
              <w:rPr>
                <w:b w:val="0"/>
              </w:rPr>
              <w:t>Acquisition Of Assets</w:t>
            </w:r>
          </w:p>
        </w:tc>
        <w:tc>
          <w:tcPr>
            <w:tcW w:w="4673" w:type="dxa"/>
          </w:tcPr>
          <w:p w:rsidR="0087498B" w:rsidRDefault="0003677B" w:rsidP="0087498B">
            <w:pPr>
              <w:pStyle w:val="SVEtablecontent"/>
              <w:cnfStyle w:val="000000100000" w:firstRow="0" w:lastRow="0" w:firstColumn="0" w:lastColumn="0" w:oddVBand="0" w:evenVBand="0" w:oddHBand="1" w:evenHBand="0" w:firstRowFirstColumn="0" w:firstRowLastColumn="0" w:lastRowFirstColumn="0" w:lastRowLastColumn="0"/>
            </w:pPr>
            <w:r>
              <w:t>44</w:t>
            </w:r>
            <w:r w:rsidR="00B7191E">
              <w:t>%</w:t>
            </w:r>
          </w:p>
        </w:tc>
      </w:tr>
      <w:tr w:rsidR="0087498B" w:rsidTr="0026472B">
        <w:tc>
          <w:tcPr>
            <w:cnfStyle w:val="001000000000" w:firstRow="0" w:lastRow="0" w:firstColumn="1" w:lastColumn="0" w:oddVBand="0" w:evenVBand="0" w:oddHBand="0" w:evenHBand="0" w:firstRowFirstColumn="0" w:firstRowLastColumn="0" w:lastRowFirstColumn="0" w:lastRowLastColumn="0"/>
            <w:tcW w:w="4672" w:type="dxa"/>
          </w:tcPr>
          <w:p w:rsidR="0087498B" w:rsidRPr="007B7A9B" w:rsidRDefault="00B7191E" w:rsidP="0087498B">
            <w:pPr>
              <w:pStyle w:val="SVEtablecontent"/>
              <w:rPr>
                <w:b w:val="0"/>
              </w:rPr>
            </w:pPr>
            <w:r w:rsidRPr="007B7A9B">
              <w:rPr>
                <w:b w:val="0"/>
              </w:rPr>
              <w:t>Acquisition Of Partial Interest</w:t>
            </w:r>
          </w:p>
        </w:tc>
        <w:tc>
          <w:tcPr>
            <w:tcW w:w="4673" w:type="dxa"/>
          </w:tcPr>
          <w:p w:rsidR="0087498B" w:rsidRDefault="0003677B" w:rsidP="0087498B">
            <w:pPr>
              <w:pStyle w:val="SVEtablecontent"/>
              <w:cnfStyle w:val="000000000000" w:firstRow="0" w:lastRow="0" w:firstColumn="0" w:lastColumn="0" w:oddVBand="0" w:evenVBand="0" w:oddHBand="0" w:evenHBand="0" w:firstRowFirstColumn="0" w:firstRowLastColumn="0" w:lastRowFirstColumn="0" w:lastRowLastColumn="0"/>
            </w:pPr>
            <w:r>
              <w:t>19</w:t>
            </w:r>
            <w:r w:rsidR="00B7191E">
              <w:t>%</w:t>
            </w:r>
          </w:p>
        </w:tc>
      </w:tr>
      <w:tr w:rsidR="0087498B" w:rsidTr="00264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87498B" w:rsidRPr="0003677B" w:rsidRDefault="0003677B" w:rsidP="0087498B">
            <w:pPr>
              <w:pStyle w:val="SVEtablecontent"/>
              <w:rPr>
                <w:b w:val="0"/>
                <w:lang w:val="en-GB"/>
              </w:rPr>
            </w:pPr>
            <w:r w:rsidRPr="007B7A9B">
              <w:rPr>
                <w:b w:val="0"/>
              </w:rPr>
              <w:t>Merger</w:t>
            </w:r>
          </w:p>
        </w:tc>
        <w:tc>
          <w:tcPr>
            <w:tcW w:w="4673" w:type="dxa"/>
          </w:tcPr>
          <w:p w:rsidR="0087498B" w:rsidRPr="0003677B" w:rsidRDefault="0003677B" w:rsidP="0087498B">
            <w:pPr>
              <w:pStyle w:val="SVEtablecontent"/>
              <w:cnfStyle w:val="000000100000" w:firstRow="0" w:lastRow="0" w:firstColumn="0" w:lastColumn="0" w:oddVBand="0" w:evenVBand="0" w:oddHBand="1" w:evenHBand="0" w:firstRowFirstColumn="0" w:firstRowLastColumn="0" w:lastRowFirstColumn="0" w:lastRowLastColumn="0"/>
              <w:rPr>
                <w:lang w:val="ru-RU"/>
              </w:rPr>
            </w:pPr>
            <w:r>
              <w:t>19%</w:t>
            </w:r>
          </w:p>
        </w:tc>
      </w:tr>
      <w:tr w:rsidR="0087498B" w:rsidTr="0026472B">
        <w:tc>
          <w:tcPr>
            <w:cnfStyle w:val="001000000000" w:firstRow="0" w:lastRow="0" w:firstColumn="1" w:lastColumn="0" w:oddVBand="0" w:evenVBand="0" w:oddHBand="0" w:evenHBand="0" w:firstRowFirstColumn="0" w:firstRowLastColumn="0" w:lastRowFirstColumn="0" w:lastRowLastColumn="0"/>
            <w:tcW w:w="4672" w:type="dxa"/>
          </w:tcPr>
          <w:p w:rsidR="0087498B" w:rsidRPr="007B7A9B" w:rsidRDefault="0003677B" w:rsidP="0087498B">
            <w:pPr>
              <w:pStyle w:val="SVEtablecontent"/>
              <w:rPr>
                <w:b w:val="0"/>
              </w:rPr>
            </w:pPr>
            <w:r w:rsidRPr="007B7A9B">
              <w:rPr>
                <w:b w:val="0"/>
              </w:rPr>
              <w:t>Acquisition Of Majority Assets</w:t>
            </w:r>
          </w:p>
        </w:tc>
        <w:tc>
          <w:tcPr>
            <w:tcW w:w="4673" w:type="dxa"/>
          </w:tcPr>
          <w:p w:rsidR="0087498B" w:rsidRDefault="0003677B" w:rsidP="0087498B">
            <w:pPr>
              <w:pStyle w:val="SVEtablecontent"/>
              <w:cnfStyle w:val="000000000000" w:firstRow="0" w:lastRow="0" w:firstColumn="0" w:lastColumn="0" w:oddVBand="0" w:evenVBand="0" w:oddHBand="0" w:evenHBand="0" w:firstRowFirstColumn="0" w:firstRowLastColumn="0" w:lastRowFirstColumn="0" w:lastRowLastColumn="0"/>
            </w:pPr>
            <w:r>
              <w:t>15%</w:t>
            </w:r>
          </w:p>
        </w:tc>
      </w:tr>
      <w:tr w:rsidR="0087498B" w:rsidTr="0026472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2" w:type="dxa"/>
          </w:tcPr>
          <w:p w:rsidR="0087498B" w:rsidRPr="007B7A9B" w:rsidRDefault="0087498B" w:rsidP="0087498B">
            <w:pPr>
              <w:pStyle w:val="SVEtablecontent"/>
              <w:rPr>
                <w:b w:val="0"/>
              </w:rPr>
            </w:pPr>
            <w:r w:rsidRPr="007B7A9B">
              <w:rPr>
                <w:b w:val="0"/>
              </w:rPr>
              <w:t>Acquisition Of Remaining Interest</w:t>
            </w:r>
          </w:p>
        </w:tc>
        <w:tc>
          <w:tcPr>
            <w:tcW w:w="4673" w:type="dxa"/>
          </w:tcPr>
          <w:p w:rsidR="0087498B" w:rsidRDefault="0003677B" w:rsidP="0087498B">
            <w:pPr>
              <w:pStyle w:val="SVEtablecontent"/>
              <w:cnfStyle w:val="000000100000" w:firstRow="0" w:lastRow="0" w:firstColumn="0" w:lastColumn="0" w:oddVBand="0" w:evenVBand="0" w:oddHBand="1" w:evenHBand="0" w:firstRowFirstColumn="0" w:firstRowLastColumn="0" w:lastRowFirstColumn="0" w:lastRowLastColumn="0"/>
            </w:pPr>
            <w:r>
              <w:t>4</w:t>
            </w:r>
            <w:r w:rsidR="0087498B">
              <w:t>%</w:t>
            </w:r>
          </w:p>
        </w:tc>
      </w:tr>
    </w:tbl>
    <w:p w:rsidR="00AF071B" w:rsidRDefault="00AF071B" w:rsidP="00B9403E">
      <w:pPr>
        <w:pStyle w:val="2"/>
        <w:rPr>
          <w:lang w:val="en-GB"/>
        </w:rPr>
      </w:pPr>
    </w:p>
    <w:p w:rsidR="00EA5663" w:rsidRDefault="00B7191E" w:rsidP="00EA5663">
      <w:pPr>
        <w:rPr>
          <w:lang w:val="en-GB"/>
        </w:rPr>
      </w:pPr>
      <w:r>
        <w:rPr>
          <w:lang w:val="en-GB"/>
        </w:rPr>
        <w:t xml:space="preserve">Table 5 shows the </w:t>
      </w:r>
      <w:r w:rsidRPr="00B7191E">
        <w:rPr>
          <w:lang w:val="en-GB"/>
        </w:rPr>
        <w:t>distribution</w:t>
      </w:r>
      <w:r>
        <w:rPr>
          <w:lang w:val="en-GB"/>
        </w:rPr>
        <w:t xml:space="preserve"> by deal type. Among all merges itself are not so wide spread, therefore we can speculate that companies are not always interested in becoming one entity with an alternative energy company and prefers to remain its core business of fossil fuel company, while step by step adding renewable energy assets in its energy mix, that is why acquisitions of assets type of the deal stands on the first place. A good example can be the </w:t>
      </w:r>
      <w:r w:rsidRPr="00B7191E">
        <w:rPr>
          <w:lang w:val="en-GB"/>
        </w:rPr>
        <w:t>TransCanada Corp</w:t>
      </w:r>
      <w:r>
        <w:rPr>
          <w:lang w:val="en-GB"/>
        </w:rPr>
        <w:t xml:space="preserve"> that was acquiring different solar plants from the </w:t>
      </w:r>
      <w:r w:rsidRPr="00B7191E">
        <w:rPr>
          <w:lang w:val="en-GB"/>
        </w:rPr>
        <w:t>Canadian Solar Inc</w:t>
      </w:r>
      <w:r>
        <w:rPr>
          <w:lang w:val="en-GB"/>
        </w:rPr>
        <w:t>.</w:t>
      </w:r>
    </w:p>
    <w:p w:rsidR="006B5238" w:rsidRDefault="00EA5663" w:rsidP="00AF071B">
      <w:pPr>
        <w:rPr>
          <w:lang w:val="en-GB"/>
        </w:rPr>
      </w:pPr>
      <w:r>
        <w:rPr>
          <w:lang w:val="en-GB"/>
        </w:rPr>
        <w:t xml:space="preserve">Finally, </w:t>
      </w:r>
      <w:r w:rsidR="00BE39D3">
        <w:rPr>
          <w:lang w:val="en-GB"/>
        </w:rPr>
        <w:t xml:space="preserve">looking at sample from country and regional perspective, </w:t>
      </w:r>
      <w:r>
        <w:rPr>
          <w:lang w:val="en-GB"/>
        </w:rPr>
        <w:t xml:space="preserve">there are </w:t>
      </w:r>
      <w:r w:rsidR="00694B2E">
        <w:rPr>
          <w:lang w:val="en-GB"/>
        </w:rPr>
        <w:t xml:space="preserve">only 2 </w:t>
      </w:r>
      <w:r>
        <w:rPr>
          <w:lang w:val="en-GB"/>
        </w:rPr>
        <w:t xml:space="preserve">companies from North America, </w:t>
      </w:r>
      <w:r w:rsidR="00694B2E">
        <w:rPr>
          <w:lang w:val="en-GB"/>
        </w:rPr>
        <w:t>and no from USA</w:t>
      </w:r>
      <w:r>
        <w:rPr>
          <w:lang w:val="en-GB"/>
        </w:rPr>
        <w:t>, whereas all other comes from Europe</w:t>
      </w:r>
      <w:r w:rsidR="006B5238">
        <w:rPr>
          <w:lang w:val="en-GB"/>
        </w:rPr>
        <w:t xml:space="preserve">, mostly </w:t>
      </w:r>
      <w:r w:rsidR="006B5238">
        <w:rPr>
          <w:lang w:val="en-GB"/>
        </w:rPr>
        <w:lastRenderedPageBreak/>
        <w:t>Western Europe, except for one company from Romania</w:t>
      </w:r>
      <w:r>
        <w:rPr>
          <w:lang w:val="en-GB"/>
        </w:rPr>
        <w:t xml:space="preserve">. That tells us about European companies being more </w:t>
      </w:r>
      <w:r w:rsidR="00694B2E">
        <w:rPr>
          <w:lang w:val="en-GB"/>
        </w:rPr>
        <w:t>involved</w:t>
      </w:r>
      <w:r>
        <w:rPr>
          <w:lang w:val="en-GB"/>
        </w:rPr>
        <w:t xml:space="preserve"> </w:t>
      </w:r>
      <w:r w:rsidR="00694B2E">
        <w:rPr>
          <w:lang w:val="en-GB"/>
        </w:rPr>
        <w:t>in the process of the</w:t>
      </w:r>
      <w:r>
        <w:rPr>
          <w:lang w:val="en-GB"/>
        </w:rPr>
        <w:t xml:space="preserve"> energy transition</w:t>
      </w:r>
      <w:r w:rsidR="00BE39D3">
        <w:rPr>
          <w:lang w:val="en-GB"/>
        </w:rPr>
        <w:t>, however,</w:t>
      </w:r>
      <w:r>
        <w:rPr>
          <w:lang w:val="en-GB"/>
        </w:rPr>
        <w:t xml:space="preserve"> </w:t>
      </w:r>
      <w:r w:rsidR="00BE39D3">
        <w:rPr>
          <w:lang w:val="en-GB"/>
        </w:rPr>
        <w:t xml:space="preserve">among European companies not particular country can be revealed as the most active one, the companies are equally distributed among them. </w:t>
      </w:r>
      <w:r w:rsidR="007B6B39">
        <w:rPr>
          <w:lang w:val="en-GB"/>
        </w:rPr>
        <w:t xml:space="preserve">What is more significant, there are </w:t>
      </w:r>
      <w:r w:rsidR="00694B2E">
        <w:rPr>
          <w:lang w:val="en-GB"/>
        </w:rPr>
        <w:t xml:space="preserve">4 integrated oil companies from </w:t>
      </w:r>
      <w:r w:rsidR="007B6B39">
        <w:rPr>
          <w:lang w:val="en-GB"/>
        </w:rPr>
        <w:t>the side of Europe like Total, Shell, BP and Statoil. This firmly correlates</w:t>
      </w:r>
      <w:r w:rsidR="00BB23D1">
        <w:rPr>
          <w:lang w:val="en-GB"/>
        </w:rPr>
        <w:t xml:space="preserve"> </w:t>
      </w:r>
      <w:r w:rsidR="007B6B39">
        <w:rPr>
          <w:lang w:val="en-GB"/>
        </w:rPr>
        <w:t>with the findings from the literature review</w:t>
      </w:r>
      <w:r w:rsidR="00BE39D3">
        <w:rPr>
          <w:lang w:val="en-GB"/>
        </w:rPr>
        <w:t>. Previous studies on the topic of business transition of oil&amp;gas companies revealed US companies, like Chevron and Exxon being more sceptical on energy transition.</w:t>
      </w:r>
      <w:r w:rsidR="007B6B39">
        <w:rPr>
          <w:lang w:val="en-GB"/>
        </w:rPr>
        <w:t xml:space="preserve"> </w:t>
      </w:r>
      <w:r w:rsidR="006B5238">
        <w:rPr>
          <w:lang w:val="en-GB"/>
        </w:rPr>
        <w:t>One more issue is about c</w:t>
      </w:r>
      <w:r w:rsidR="00BB23D1">
        <w:rPr>
          <w:lang w:val="en-GB"/>
        </w:rPr>
        <w:t xml:space="preserve">ross border against </w:t>
      </w:r>
      <w:r w:rsidR="006B5238">
        <w:rPr>
          <w:lang w:val="en-GB"/>
        </w:rPr>
        <w:t>domestic deals, the provided sample shows that domestic type</w:t>
      </w:r>
      <w:r w:rsidR="00694B2E">
        <w:rPr>
          <w:lang w:val="en-GB"/>
        </w:rPr>
        <w:t>s of deals strongly prevails (23</w:t>
      </w:r>
      <w:r w:rsidR="006B5238">
        <w:rPr>
          <w:lang w:val="en-GB"/>
        </w:rPr>
        <w:t xml:space="preserve"> against 3) and these 3 left take place in the same region (Europe-Europe, NA-NA). Partially it could be explained by several reasons. First, is that Western countries have more developed alternative energy sector than other regions, so there are simply almost no companies to acquirer outside the region. Even more significant reason is that Western countries have better institutions that allow smooth M&amp;</w:t>
      </w:r>
      <w:proofErr w:type="gramStart"/>
      <w:r w:rsidR="006B5238">
        <w:rPr>
          <w:lang w:val="en-GB"/>
        </w:rPr>
        <w:t>As</w:t>
      </w:r>
      <w:proofErr w:type="gramEnd"/>
      <w:r w:rsidR="006B5238">
        <w:rPr>
          <w:lang w:val="en-GB"/>
        </w:rPr>
        <w:t>, what was shown as most significant reason for oil&amp;gas companies to deal M&amp;As.</w:t>
      </w:r>
    </w:p>
    <w:p w:rsidR="00BB23D1" w:rsidRDefault="006B5238" w:rsidP="00AF071B">
      <w:pPr>
        <w:rPr>
          <w:lang w:val="en-GB"/>
        </w:rPr>
      </w:pPr>
      <w:r>
        <w:rPr>
          <w:lang w:val="en-GB"/>
        </w:rPr>
        <w:t xml:space="preserve">To sum up the description that I </w:t>
      </w:r>
      <w:r w:rsidR="00694B2E">
        <w:rPr>
          <w:lang w:val="en-GB"/>
        </w:rPr>
        <w:t>have provided here, there are 11</w:t>
      </w:r>
      <w:r>
        <w:rPr>
          <w:lang w:val="en-GB"/>
        </w:rPr>
        <w:t xml:space="preserve"> companies in total mostly coming from Europe. As for target companies wind energy produces become most popular one, and domestic deals strongly prevails over cross-border, with a</w:t>
      </w:r>
      <w:r w:rsidR="00694B2E">
        <w:rPr>
          <w:lang w:val="en-GB"/>
        </w:rPr>
        <w:t>n</w:t>
      </w:r>
      <w:r>
        <w:rPr>
          <w:lang w:val="en-GB"/>
        </w:rPr>
        <w:t xml:space="preserve"> asset acquisitions as the most popular type of a deal. </w:t>
      </w:r>
      <w:r w:rsidR="00C740F4">
        <w:rPr>
          <w:lang w:val="en-GB"/>
        </w:rPr>
        <w:t>In general, this type of cross-industry energy deals have become more intensive starting from 2010s.</w:t>
      </w:r>
    </w:p>
    <w:p w:rsidR="00FA3D76" w:rsidRPr="00FA3D76" w:rsidRDefault="0030656B" w:rsidP="0030656B">
      <w:pPr>
        <w:pStyle w:val="3"/>
        <w:rPr>
          <w:lang w:val="en-GB"/>
        </w:rPr>
      </w:pPr>
      <w:bookmarkStart w:id="17" w:name="_Toc73640573"/>
      <w:r>
        <w:rPr>
          <w:lang w:val="en-GB"/>
        </w:rPr>
        <w:t xml:space="preserve">2.3.2 </w:t>
      </w:r>
      <w:r w:rsidR="00FA3D76" w:rsidRPr="00FA3D76">
        <w:rPr>
          <w:lang w:val="en-GB"/>
        </w:rPr>
        <w:t>Data for long-term study</w:t>
      </w:r>
      <w:bookmarkEnd w:id="17"/>
    </w:p>
    <w:p w:rsidR="00FA3D76" w:rsidRDefault="00FA3D76" w:rsidP="00AF071B">
      <w:pPr>
        <w:rPr>
          <w:lang w:val="en-GB"/>
        </w:rPr>
      </w:pPr>
      <w:r>
        <w:rPr>
          <w:lang w:val="en-GB"/>
        </w:rPr>
        <w:t>Below I provide the sample that I am going to use for long-term window analysis. In addition, a table of benchmark companies that will be used for calculation of buy-and-hold abnormal return over two year will be shown as well.</w:t>
      </w:r>
    </w:p>
    <w:p w:rsidR="00971E76" w:rsidRDefault="00971E76" w:rsidP="00AF071B">
      <w:pPr>
        <w:rPr>
          <w:lang w:val="en-GB"/>
        </w:rPr>
      </w:pPr>
    </w:p>
    <w:p w:rsidR="00971E76" w:rsidRDefault="00971E76" w:rsidP="00FA3D76">
      <w:pPr>
        <w:pStyle w:val="SVEtablecaption"/>
      </w:pPr>
      <w:r>
        <w:t>Data sample for long-term study</w:t>
      </w:r>
      <w:r w:rsidR="00AE36A4">
        <w:rPr>
          <w:lang w:val="en-GB"/>
        </w:rPr>
        <w:t>. Source [made by author, data acquired from Thomson Eikon]</w:t>
      </w:r>
    </w:p>
    <w:tbl>
      <w:tblPr>
        <w:tblStyle w:val="a6"/>
        <w:tblW w:w="11625" w:type="dxa"/>
        <w:tblInd w:w="-1565" w:type="dxa"/>
        <w:tblLayout w:type="fixed"/>
        <w:tblLook w:val="04A0" w:firstRow="1" w:lastRow="0" w:firstColumn="1" w:lastColumn="0" w:noHBand="0" w:noVBand="1"/>
      </w:tblPr>
      <w:tblGrid>
        <w:gridCol w:w="1418"/>
        <w:gridCol w:w="1135"/>
        <w:gridCol w:w="1417"/>
        <w:gridCol w:w="1559"/>
        <w:gridCol w:w="1134"/>
        <w:gridCol w:w="1985"/>
        <w:gridCol w:w="1134"/>
        <w:gridCol w:w="1843"/>
      </w:tblGrid>
      <w:tr w:rsidR="00971E76" w:rsidTr="001624D5">
        <w:tc>
          <w:tcPr>
            <w:tcW w:w="1418" w:type="dxa"/>
          </w:tcPr>
          <w:p w:rsidR="00971E76" w:rsidRDefault="00971E76" w:rsidP="006F6BAE">
            <w:pPr>
              <w:pStyle w:val="SVEtableheader"/>
            </w:pPr>
            <w:r>
              <w:t>Announcement date</w:t>
            </w:r>
          </w:p>
        </w:tc>
        <w:tc>
          <w:tcPr>
            <w:tcW w:w="1135" w:type="dxa"/>
          </w:tcPr>
          <w:p w:rsidR="00971E76" w:rsidRDefault="00971E76" w:rsidP="006F6BAE">
            <w:pPr>
              <w:pStyle w:val="SVEtableheader"/>
            </w:pPr>
            <w:r>
              <w:t xml:space="preserve">Acquirer parent </w:t>
            </w:r>
          </w:p>
        </w:tc>
        <w:tc>
          <w:tcPr>
            <w:tcW w:w="1417" w:type="dxa"/>
          </w:tcPr>
          <w:p w:rsidR="00971E76" w:rsidRDefault="00971E76" w:rsidP="006F6BAE">
            <w:pPr>
              <w:pStyle w:val="SVEtableheader"/>
            </w:pPr>
            <w:r>
              <w:t>Acquirer Name</w:t>
            </w:r>
          </w:p>
        </w:tc>
        <w:tc>
          <w:tcPr>
            <w:tcW w:w="1559" w:type="dxa"/>
          </w:tcPr>
          <w:p w:rsidR="00971E76" w:rsidRDefault="00971E76" w:rsidP="006F6BAE">
            <w:pPr>
              <w:pStyle w:val="SVEtableheader"/>
            </w:pPr>
            <w:r>
              <w:t>Acquirer RIC</w:t>
            </w:r>
          </w:p>
        </w:tc>
        <w:tc>
          <w:tcPr>
            <w:tcW w:w="1134" w:type="dxa"/>
          </w:tcPr>
          <w:p w:rsidR="00971E76" w:rsidRDefault="00971E76" w:rsidP="006F6BAE">
            <w:pPr>
              <w:pStyle w:val="SVEtableheader"/>
            </w:pPr>
            <w:r>
              <w:t>Acquirer country</w:t>
            </w:r>
          </w:p>
        </w:tc>
        <w:tc>
          <w:tcPr>
            <w:tcW w:w="1985" w:type="dxa"/>
          </w:tcPr>
          <w:p w:rsidR="00971E76" w:rsidRDefault="00971E76" w:rsidP="006F6BAE">
            <w:pPr>
              <w:pStyle w:val="SVEtableheader"/>
            </w:pPr>
            <w:r>
              <w:t>Target name</w:t>
            </w:r>
          </w:p>
        </w:tc>
        <w:tc>
          <w:tcPr>
            <w:tcW w:w="1134" w:type="dxa"/>
          </w:tcPr>
          <w:p w:rsidR="00971E76" w:rsidRDefault="00971E76" w:rsidP="006F6BAE">
            <w:pPr>
              <w:pStyle w:val="SVEtableheader"/>
            </w:pPr>
            <w:r>
              <w:t>Target country</w:t>
            </w:r>
          </w:p>
        </w:tc>
        <w:tc>
          <w:tcPr>
            <w:tcW w:w="1843" w:type="dxa"/>
          </w:tcPr>
          <w:p w:rsidR="00971E76" w:rsidRDefault="00971E76" w:rsidP="006F6BAE">
            <w:pPr>
              <w:pStyle w:val="SVEtableheader"/>
            </w:pPr>
            <w:r>
              <w:t>Form of transaction</w:t>
            </w:r>
          </w:p>
        </w:tc>
      </w:tr>
      <w:tr w:rsidR="00971E76" w:rsidRPr="008E3922" w:rsidTr="001624D5">
        <w:tc>
          <w:tcPr>
            <w:tcW w:w="1418" w:type="dxa"/>
          </w:tcPr>
          <w:p w:rsidR="00971E76" w:rsidRPr="00CD5E17" w:rsidRDefault="00971E76" w:rsidP="006F6BAE">
            <w:pPr>
              <w:pStyle w:val="SVEtablecontent"/>
              <w:rPr>
                <w:sz w:val="16"/>
                <w:szCs w:val="16"/>
              </w:rPr>
            </w:pPr>
            <w:r w:rsidRPr="00CD5E17">
              <w:rPr>
                <w:sz w:val="16"/>
                <w:szCs w:val="16"/>
              </w:rPr>
              <w:t>19/09/2017</w:t>
            </w:r>
          </w:p>
        </w:tc>
        <w:tc>
          <w:tcPr>
            <w:tcW w:w="1135" w:type="dxa"/>
            <w:vAlign w:val="bottom"/>
          </w:tcPr>
          <w:p w:rsidR="00971E76" w:rsidRPr="00CD5E17" w:rsidRDefault="00971E76" w:rsidP="006F6BAE">
            <w:pPr>
              <w:pStyle w:val="SVEtablecontent"/>
              <w:rPr>
                <w:sz w:val="16"/>
                <w:szCs w:val="16"/>
              </w:rPr>
            </w:pPr>
            <w:r w:rsidRPr="00CD5E17">
              <w:rPr>
                <w:sz w:val="16"/>
                <w:szCs w:val="16"/>
              </w:rPr>
              <w:t>Total SA</w:t>
            </w:r>
          </w:p>
        </w:tc>
        <w:tc>
          <w:tcPr>
            <w:tcW w:w="1417" w:type="dxa"/>
            <w:vAlign w:val="bottom"/>
          </w:tcPr>
          <w:p w:rsidR="00971E76" w:rsidRPr="00CD5E17" w:rsidRDefault="00971E76" w:rsidP="006F6BAE">
            <w:pPr>
              <w:pStyle w:val="SVEtablecontent"/>
              <w:rPr>
                <w:sz w:val="16"/>
                <w:szCs w:val="16"/>
              </w:rPr>
            </w:pPr>
            <w:r w:rsidRPr="00CD5E17">
              <w:rPr>
                <w:sz w:val="16"/>
                <w:szCs w:val="16"/>
              </w:rPr>
              <w:t>Total SA</w:t>
            </w:r>
          </w:p>
        </w:tc>
        <w:tc>
          <w:tcPr>
            <w:tcW w:w="1559" w:type="dxa"/>
            <w:vAlign w:val="bottom"/>
          </w:tcPr>
          <w:p w:rsidR="00971E76" w:rsidRPr="00CD5E17" w:rsidRDefault="00971E76" w:rsidP="006F6BAE">
            <w:pPr>
              <w:spacing w:line="240" w:lineRule="auto"/>
              <w:ind w:firstLine="0"/>
              <w:jc w:val="left"/>
              <w:rPr>
                <w:rFonts w:ascii="Calibri" w:hAnsi="Calibri" w:cs="Calibri"/>
                <w:color w:val="000000"/>
                <w:sz w:val="16"/>
                <w:szCs w:val="16"/>
              </w:rPr>
            </w:pPr>
            <w:r w:rsidRPr="00CD5E17">
              <w:rPr>
                <w:sz w:val="16"/>
                <w:szCs w:val="16"/>
              </w:rPr>
              <w:t>TOTF.PA</w:t>
            </w:r>
          </w:p>
        </w:tc>
        <w:tc>
          <w:tcPr>
            <w:tcW w:w="1134" w:type="dxa"/>
            <w:vAlign w:val="bottom"/>
          </w:tcPr>
          <w:p w:rsidR="00971E76" w:rsidRPr="00CD5E17" w:rsidRDefault="00971E76" w:rsidP="006F6BAE">
            <w:pPr>
              <w:pStyle w:val="SVEtablecontent"/>
              <w:rPr>
                <w:sz w:val="16"/>
                <w:szCs w:val="16"/>
              </w:rPr>
            </w:pPr>
            <w:r w:rsidRPr="00CD5E17">
              <w:rPr>
                <w:sz w:val="16"/>
                <w:szCs w:val="16"/>
              </w:rPr>
              <w:t>France</w:t>
            </w:r>
          </w:p>
        </w:tc>
        <w:tc>
          <w:tcPr>
            <w:tcW w:w="1985" w:type="dxa"/>
            <w:vAlign w:val="bottom"/>
          </w:tcPr>
          <w:p w:rsidR="00971E76" w:rsidRPr="00CD5E17" w:rsidRDefault="00971E76" w:rsidP="006F6BAE">
            <w:pPr>
              <w:pStyle w:val="SVEtablecontent"/>
              <w:rPr>
                <w:sz w:val="16"/>
                <w:szCs w:val="16"/>
              </w:rPr>
            </w:pPr>
            <w:r w:rsidRPr="00CD5E17">
              <w:rPr>
                <w:sz w:val="16"/>
                <w:szCs w:val="16"/>
              </w:rPr>
              <w:t>EREN Renewable Energy SA</w:t>
            </w:r>
          </w:p>
        </w:tc>
        <w:tc>
          <w:tcPr>
            <w:tcW w:w="1134" w:type="dxa"/>
            <w:vAlign w:val="bottom"/>
          </w:tcPr>
          <w:p w:rsidR="00971E76" w:rsidRPr="00CD5E17" w:rsidRDefault="00971E76" w:rsidP="006F6BAE">
            <w:pPr>
              <w:pStyle w:val="SVEtablecontent"/>
              <w:rPr>
                <w:sz w:val="16"/>
                <w:szCs w:val="16"/>
              </w:rPr>
            </w:pPr>
            <w:r w:rsidRPr="00CD5E17">
              <w:rPr>
                <w:sz w:val="16"/>
                <w:szCs w:val="16"/>
              </w:rPr>
              <w:t>France</w:t>
            </w:r>
          </w:p>
        </w:tc>
        <w:tc>
          <w:tcPr>
            <w:tcW w:w="1843" w:type="dxa"/>
          </w:tcPr>
          <w:p w:rsidR="00971E76" w:rsidRPr="00CD5E17" w:rsidRDefault="00971E76" w:rsidP="006F6BAE">
            <w:pPr>
              <w:pStyle w:val="SVEtablecontent"/>
              <w:rPr>
                <w:sz w:val="16"/>
                <w:szCs w:val="16"/>
              </w:rPr>
            </w:pPr>
            <w:r w:rsidRPr="00CD5E17">
              <w:rPr>
                <w:sz w:val="16"/>
                <w:szCs w:val="16"/>
              </w:rPr>
              <w:t>Acquisition Of Partial Interest+Acquisition Of Majority Assets</w:t>
            </w:r>
          </w:p>
        </w:tc>
      </w:tr>
      <w:tr w:rsidR="00971E76" w:rsidRPr="00E25E63" w:rsidTr="001624D5">
        <w:tc>
          <w:tcPr>
            <w:tcW w:w="1418" w:type="dxa"/>
          </w:tcPr>
          <w:p w:rsidR="00971E76" w:rsidRPr="00CD5E17" w:rsidRDefault="00971E76" w:rsidP="006F6BAE">
            <w:pPr>
              <w:pStyle w:val="SVEtablecontent"/>
              <w:rPr>
                <w:sz w:val="16"/>
                <w:szCs w:val="16"/>
              </w:rPr>
            </w:pPr>
            <w:r w:rsidRPr="00CD5E17">
              <w:rPr>
                <w:sz w:val="16"/>
                <w:szCs w:val="16"/>
              </w:rPr>
              <w:t>25/04/2016</w:t>
            </w:r>
          </w:p>
        </w:tc>
        <w:tc>
          <w:tcPr>
            <w:tcW w:w="1135" w:type="dxa"/>
            <w:vAlign w:val="bottom"/>
          </w:tcPr>
          <w:p w:rsidR="00971E76" w:rsidRPr="00CD5E17" w:rsidRDefault="00971E76" w:rsidP="006F6BAE">
            <w:pPr>
              <w:pStyle w:val="SVEtablecontent"/>
              <w:rPr>
                <w:sz w:val="16"/>
                <w:szCs w:val="16"/>
              </w:rPr>
            </w:pPr>
            <w:r w:rsidRPr="00CD5E17">
              <w:rPr>
                <w:sz w:val="16"/>
                <w:szCs w:val="16"/>
              </w:rPr>
              <w:t>Statoil ASA</w:t>
            </w:r>
          </w:p>
        </w:tc>
        <w:tc>
          <w:tcPr>
            <w:tcW w:w="1417" w:type="dxa"/>
            <w:vAlign w:val="bottom"/>
          </w:tcPr>
          <w:p w:rsidR="00971E76" w:rsidRPr="00CD5E17" w:rsidRDefault="00971E76" w:rsidP="006F6BAE">
            <w:pPr>
              <w:pStyle w:val="SVEtablecontent"/>
              <w:rPr>
                <w:sz w:val="16"/>
                <w:szCs w:val="16"/>
              </w:rPr>
            </w:pPr>
            <w:r w:rsidRPr="00CD5E17">
              <w:rPr>
                <w:sz w:val="16"/>
                <w:szCs w:val="16"/>
              </w:rPr>
              <w:t>Statoil ASA</w:t>
            </w:r>
          </w:p>
        </w:tc>
        <w:tc>
          <w:tcPr>
            <w:tcW w:w="1559" w:type="dxa"/>
            <w:vAlign w:val="bottom"/>
          </w:tcPr>
          <w:p w:rsidR="00971E76" w:rsidRPr="00CD5E17" w:rsidRDefault="00971E76" w:rsidP="006F6BAE">
            <w:pPr>
              <w:ind w:firstLine="0"/>
              <w:rPr>
                <w:rFonts w:ascii="Calibri" w:hAnsi="Calibri" w:cs="Calibri"/>
                <w:color w:val="000000"/>
                <w:sz w:val="16"/>
                <w:szCs w:val="16"/>
                <w:lang w:val="en-GB"/>
              </w:rPr>
            </w:pPr>
            <w:r w:rsidRPr="00CD5E17">
              <w:rPr>
                <w:sz w:val="16"/>
                <w:szCs w:val="16"/>
              </w:rPr>
              <w:t>EQNR.OL</w:t>
            </w:r>
          </w:p>
        </w:tc>
        <w:tc>
          <w:tcPr>
            <w:tcW w:w="1134" w:type="dxa"/>
            <w:vAlign w:val="bottom"/>
          </w:tcPr>
          <w:p w:rsidR="00971E76" w:rsidRPr="00CD5E17" w:rsidRDefault="00971E76" w:rsidP="006F6BAE">
            <w:pPr>
              <w:pStyle w:val="SVEtablecontent"/>
              <w:rPr>
                <w:sz w:val="16"/>
                <w:szCs w:val="16"/>
              </w:rPr>
            </w:pPr>
            <w:r w:rsidRPr="00CD5E17">
              <w:rPr>
                <w:sz w:val="16"/>
                <w:szCs w:val="16"/>
              </w:rPr>
              <w:t>Norway</w:t>
            </w:r>
          </w:p>
        </w:tc>
        <w:tc>
          <w:tcPr>
            <w:tcW w:w="1985" w:type="dxa"/>
            <w:vAlign w:val="bottom"/>
          </w:tcPr>
          <w:p w:rsidR="00971E76" w:rsidRPr="00CD5E17" w:rsidRDefault="00971E76" w:rsidP="006F6BAE">
            <w:pPr>
              <w:pStyle w:val="SVEtablecontent"/>
              <w:rPr>
                <w:sz w:val="16"/>
                <w:szCs w:val="16"/>
              </w:rPr>
            </w:pPr>
            <w:r w:rsidRPr="00CD5E17">
              <w:rPr>
                <w:sz w:val="16"/>
                <w:szCs w:val="16"/>
                <w:highlight w:val="cyan"/>
              </w:rPr>
              <w:t xml:space="preserve">AWE Arkona Windpark </w:t>
            </w:r>
            <w:proofErr w:type="spellStart"/>
            <w:r w:rsidRPr="00CD5E17">
              <w:rPr>
                <w:sz w:val="16"/>
                <w:szCs w:val="16"/>
                <w:highlight w:val="cyan"/>
              </w:rPr>
              <w:t>Entwicklungs</w:t>
            </w:r>
            <w:proofErr w:type="spellEnd"/>
            <w:r w:rsidRPr="00CD5E17">
              <w:rPr>
                <w:sz w:val="16"/>
                <w:szCs w:val="16"/>
                <w:highlight w:val="cyan"/>
              </w:rPr>
              <w:t xml:space="preserve"> GmbH</w:t>
            </w:r>
          </w:p>
        </w:tc>
        <w:tc>
          <w:tcPr>
            <w:tcW w:w="1134" w:type="dxa"/>
            <w:vAlign w:val="bottom"/>
          </w:tcPr>
          <w:p w:rsidR="00971E76" w:rsidRPr="00CD5E17" w:rsidRDefault="00971E76" w:rsidP="006F6BAE">
            <w:pPr>
              <w:pStyle w:val="SVEtablecontent"/>
              <w:rPr>
                <w:sz w:val="16"/>
                <w:szCs w:val="16"/>
              </w:rPr>
            </w:pPr>
            <w:r w:rsidRPr="00CD5E17">
              <w:rPr>
                <w:sz w:val="16"/>
                <w:szCs w:val="16"/>
              </w:rPr>
              <w:t>Germany</w:t>
            </w:r>
          </w:p>
        </w:tc>
        <w:tc>
          <w:tcPr>
            <w:tcW w:w="1843" w:type="dxa"/>
            <w:vAlign w:val="bottom"/>
          </w:tcPr>
          <w:p w:rsidR="00971E76" w:rsidRPr="00CD5E17" w:rsidRDefault="00971E76" w:rsidP="006F6BAE">
            <w:pPr>
              <w:pStyle w:val="SVEtablecontent"/>
              <w:rPr>
                <w:sz w:val="16"/>
                <w:szCs w:val="16"/>
              </w:rPr>
            </w:pPr>
            <w:r w:rsidRPr="00CD5E17">
              <w:rPr>
                <w:sz w:val="16"/>
                <w:szCs w:val="16"/>
              </w:rPr>
              <w:t>Acquisition Of Majority Assets</w:t>
            </w:r>
          </w:p>
        </w:tc>
      </w:tr>
      <w:tr w:rsidR="00971E76" w:rsidTr="001624D5">
        <w:tc>
          <w:tcPr>
            <w:tcW w:w="1418" w:type="dxa"/>
          </w:tcPr>
          <w:p w:rsidR="00971E76" w:rsidRPr="00CD5E17" w:rsidRDefault="00971E76" w:rsidP="006F6BAE">
            <w:pPr>
              <w:pStyle w:val="SVEtablecontent"/>
              <w:rPr>
                <w:sz w:val="16"/>
                <w:szCs w:val="16"/>
              </w:rPr>
            </w:pPr>
            <w:r w:rsidRPr="00CD5E17">
              <w:rPr>
                <w:sz w:val="16"/>
                <w:szCs w:val="16"/>
              </w:rPr>
              <w:t>29/10/2015</w:t>
            </w:r>
          </w:p>
        </w:tc>
        <w:tc>
          <w:tcPr>
            <w:tcW w:w="1135" w:type="dxa"/>
            <w:vAlign w:val="bottom"/>
          </w:tcPr>
          <w:p w:rsidR="00971E76" w:rsidRPr="00CD5E17" w:rsidRDefault="00971E76" w:rsidP="006F6BAE">
            <w:pPr>
              <w:pStyle w:val="SVEtablecontent"/>
              <w:rPr>
                <w:sz w:val="16"/>
                <w:szCs w:val="16"/>
              </w:rPr>
            </w:pPr>
            <w:r w:rsidRPr="00CD5E17">
              <w:rPr>
                <w:sz w:val="16"/>
                <w:szCs w:val="16"/>
              </w:rPr>
              <w:t>RWE AG</w:t>
            </w:r>
          </w:p>
        </w:tc>
        <w:tc>
          <w:tcPr>
            <w:tcW w:w="1417" w:type="dxa"/>
            <w:vAlign w:val="bottom"/>
          </w:tcPr>
          <w:p w:rsidR="00971E76" w:rsidRPr="00CD5E17" w:rsidRDefault="00971E76" w:rsidP="006F6BAE">
            <w:pPr>
              <w:pStyle w:val="SVEtablecontent"/>
              <w:rPr>
                <w:sz w:val="16"/>
                <w:szCs w:val="16"/>
              </w:rPr>
            </w:pPr>
            <w:r w:rsidRPr="00CD5E17">
              <w:rPr>
                <w:sz w:val="16"/>
                <w:szCs w:val="16"/>
              </w:rPr>
              <w:t>RWE Innogy Ltd</w:t>
            </w:r>
          </w:p>
        </w:tc>
        <w:tc>
          <w:tcPr>
            <w:tcW w:w="1559" w:type="dxa"/>
            <w:vAlign w:val="bottom"/>
          </w:tcPr>
          <w:p w:rsidR="00971E76" w:rsidRPr="00CD5E17" w:rsidRDefault="00971E76" w:rsidP="006F6BAE">
            <w:pPr>
              <w:ind w:firstLine="0"/>
              <w:jc w:val="left"/>
              <w:rPr>
                <w:rFonts w:ascii="Calibri" w:hAnsi="Calibri" w:cs="Calibri"/>
                <w:color w:val="000000"/>
                <w:sz w:val="16"/>
                <w:szCs w:val="16"/>
              </w:rPr>
            </w:pPr>
            <w:r w:rsidRPr="00CD5E17">
              <w:rPr>
                <w:sz w:val="16"/>
                <w:szCs w:val="16"/>
              </w:rPr>
              <w:t>RWEG.DE</w:t>
            </w:r>
          </w:p>
        </w:tc>
        <w:tc>
          <w:tcPr>
            <w:tcW w:w="1134" w:type="dxa"/>
            <w:vAlign w:val="bottom"/>
          </w:tcPr>
          <w:p w:rsidR="00971E76" w:rsidRPr="00CD5E17" w:rsidRDefault="00971E76" w:rsidP="006F6BAE">
            <w:pPr>
              <w:pStyle w:val="SVEtablecontent"/>
              <w:rPr>
                <w:sz w:val="16"/>
                <w:szCs w:val="16"/>
              </w:rPr>
            </w:pPr>
            <w:r w:rsidRPr="00CD5E17">
              <w:rPr>
                <w:sz w:val="16"/>
                <w:szCs w:val="16"/>
              </w:rPr>
              <w:t>United Kingdom</w:t>
            </w:r>
          </w:p>
        </w:tc>
        <w:tc>
          <w:tcPr>
            <w:tcW w:w="1985" w:type="dxa"/>
            <w:vAlign w:val="bottom"/>
          </w:tcPr>
          <w:p w:rsidR="00971E76" w:rsidRPr="00CD5E17" w:rsidRDefault="00971E76" w:rsidP="006F6BAE">
            <w:pPr>
              <w:pStyle w:val="SVEtablecontent"/>
              <w:rPr>
                <w:sz w:val="16"/>
                <w:szCs w:val="16"/>
              </w:rPr>
            </w:pPr>
            <w:r w:rsidRPr="00CD5E17">
              <w:rPr>
                <w:sz w:val="16"/>
                <w:szCs w:val="16"/>
              </w:rPr>
              <w:t>Galloper Offshore Wind Farm</w:t>
            </w:r>
          </w:p>
        </w:tc>
        <w:tc>
          <w:tcPr>
            <w:tcW w:w="1134" w:type="dxa"/>
            <w:vAlign w:val="bottom"/>
          </w:tcPr>
          <w:p w:rsidR="00971E76" w:rsidRPr="00CD5E17" w:rsidRDefault="00971E76" w:rsidP="006F6BAE">
            <w:pPr>
              <w:pStyle w:val="SVEtablecontent"/>
              <w:rPr>
                <w:sz w:val="16"/>
                <w:szCs w:val="16"/>
              </w:rPr>
            </w:pPr>
            <w:r w:rsidRPr="00CD5E17">
              <w:rPr>
                <w:sz w:val="16"/>
                <w:szCs w:val="16"/>
              </w:rPr>
              <w:t>United Kingdom</w:t>
            </w:r>
          </w:p>
        </w:tc>
        <w:tc>
          <w:tcPr>
            <w:tcW w:w="1843" w:type="dxa"/>
            <w:vAlign w:val="bottom"/>
          </w:tcPr>
          <w:p w:rsidR="00971E76" w:rsidRPr="00CD5E17" w:rsidRDefault="00971E76" w:rsidP="006F6BAE">
            <w:pPr>
              <w:pStyle w:val="SVEtablecontent"/>
              <w:rPr>
                <w:sz w:val="16"/>
                <w:szCs w:val="16"/>
              </w:rPr>
            </w:pPr>
            <w:r w:rsidRPr="00CD5E17">
              <w:rPr>
                <w:sz w:val="16"/>
                <w:szCs w:val="16"/>
              </w:rPr>
              <w:t>Acquisition Of Majority Assets</w:t>
            </w:r>
          </w:p>
        </w:tc>
      </w:tr>
      <w:tr w:rsidR="00971E76" w:rsidRPr="00E25E63" w:rsidTr="001624D5">
        <w:tc>
          <w:tcPr>
            <w:tcW w:w="1418" w:type="dxa"/>
          </w:tcPr>
          <w:p w:rsidR="00971E76" w:rsidRPr="00CD5E17" w:rsidRDefault="00971E76" w:rsidP="006F6BAE">
            <w:pPr>
              <w:pStyle w:val="SVEtablecontent"/>
              <w:rPr>
                <w:sz w:val="16"/>
                <w:szCs w:val="16"/>
              </w:rPr>
            </w:pPr>
            <w:r w:rsidRPr="00CD5E17">
              <w:rPr>
                <w:sz w:val="16"/>
                <w:szCs w:val="16"/>
              </w:rPr>
              <w:lastRenderedPageBreak/>
              <w:t>07/07/2015</w:t>
            </w:r>
          </w:p>
        </w:tc>
        <w:tc>
          <w:tcPr>
            <w:tcW w:w="1135" w:type="dxa"/>
            <w:vAlign w:val="bottom"/>
          </w:tcPr>
          <w:p w:rsidR="00971E76" w:rsidRPr="00CD5E17" w:rsidRDefault="00971E76" w:rsidP="006F6BAE">
            <w:pPr>
              <w:pStyle w:val="SVEtablecontent"/>
              <w:rPr>
                <w:sz w:val="16"/>
                <w:szCs w:val="16"/>
              </w:rPr>
            </w:pPr>
            <w:r w:rsidRPr="00CD5E17">
              <w:rPr>
                <w:sz w:val="16"/>
                <w:szCs w:val="16"/>
              </w:rPr>
              <w:t>Suncor Energy Inc</w:t>
            </w:r>
          </w:p>
        </w:tc>
        <w:tc>
          <w:tcPr>
            <w:tcW w:w="1417" w:type="dxa"/>
            <w:vAlign w:val="bottom"/>
          </w:tcPr>
          <w:p w:rsidR="00971E76" w:rsidRPr="00CD5E17" w:rsidRDefault="00971E76" w:rsidP="006F6BAE">
            <w:pPr>
              <w:pStyle w:val="SVEtablecontent"/>
              <w:rPr>
                <w:sz w:val="16"/>
                <w:szCs w:val="16"/>
              </w:rPr>
            </w:pPr>
            <w:r w:rsidRPr="00CD5E17">
              <w:rPr>
                <w:sz w:val="16"/>
                <w:szCs w:val="16"/>
              </w:rPr>
              <w:t>Suncor Energy Inc</w:t>
            </w:r>
          </w:p>
        </w:tc>
        <w:tc>
          <w:tcPr>
            <w:tcW w:w="1559" w:type="dxa"/>
            <w:vAlign w:val="bottom"/>
          </w:tcPr>
          <w:p w:rsidR="00971E76" w:rsidRPr="00CD5E17" w:rsidRDefault="00971E76" w:rsidP="006F6BAE">
            <w:pPr>
              <w:ind w:firstLine="0"/>
              <w:jc w:val="left"/>
              <w:rPr>
                <w:rFonts w:ascii="Calibri" w:hAnsi="Calibri" w:cs="Calibri"/>
                <w:color w:val="000000"/>
                <w:sz w:val="16"/>
                <w:szCs w:val="16"/>
                <w:lang w:val="en-GB"/>
              </w:rPr>
            </w:pPr>
            <w:r w:rsidRPr="00CD5E17">
              <w:rPr>
                <w:sz w:val="16"/>
                <w:szCs w:val="16"/>
              </w:rPr>
              <w:t>SU.TO</w:t>
            </w:r>
          </w:p>
        </w:tc>
        <w:tc>
          <w:tcPr>
            <w:tcW w:w="1134" w:type="dxa"/>
            <w:vAlign w:val="bottom"/>
          </w:tcPr>
          <w:p w:rsidR="00971E76" w:rsidRPr="00CD5E17" w:rsidRDefault="00971E76" w:rsidP="006F6BAE">
            <w:pPr>
              <w:pStyle w:val="SVEtablecontent"/>
              <w:rPr>
                <w:sz w:val="16"/>
                <w:szCs w:val="16"/>
              </w:rPr>
            </w:pPr>
            <w:r w:rsidRPr="00CD5E17">
              <w:rPr>
                <w:sz w:val="16"/>
                <w:szCs w:val="16"/>
              </w:rPr>
              <w:t>Canada</w:t>
            </w:r>
          </w:p>
        </w:tc>
        <w:tc>
          <w:tcPr>
            <w:tcW w:w="1985" w:type="dxa"/>
            <w:vAlign w:val="bottom"/>
          </w:tcPr>
          <w:p w:rsidR="00971E76" w:rsidRPr="00CD5E17" w:rsidRDefault="00971E76" w:rsidP="006F6BAE">
            <w:pPr>
              <w:pStyle w:val="SVEtablecontent"/>
              <w:rPr>
                <w:sz w:val="16"/>
                <w:szCs w:val="16"/>
              </w:rPr>
            </w:pPr>
            <w:r w:rsidRPr="00CD5E17">
              <w:rPr>
                <w:sz w:val="16"/>
                <w:szCs w:val="16"/>
              </w:rPr>
              <w:t>TransAlta Corp-376 MW Poplar Creek Cogeneration Facility</w:t>
            </w:r>
          </w:p>
        </w:tc>
        <w:tc>
          <w:tcPr>
            <w:tcW w:w="1134" w:type="dxa"/>
            <w:vAlign w:val="bottom"/>
          </w:tcPr>
          <w:p w:rsidR="00971E76" w:rsidRPr="00CD5E17" w:rsidRDefault="00971E76" w:rsidP="006F6BAE">
            <w:pPr>
              <w:pStyle w:val="SVEtablecontent"/>
              <w:rPr>
                <w:sz w:val="16"/>
                <w:szCs w:val="16"/>
              </w:rPr>
            </w:pPr>
            <w:r w:rsidRPr="00CD5E17">
              <w:rPr>
                <w:sz w:val="16"/>
                <w:szCs w:val="16"/>
              </w:rPr>
              <w:t>Canada</w:t>
            </w:r>
          </w:p>
        </w:tc>
        <w:tc>
          <w:tcPr>
            <w:tcW w:w="1843" w:type="dxa"/>
            <w:vAlign w:val="bottom"/>
          </w:tcPr>
          <w:p w:rsidR="00971E76" w:rsidRPr="00CD5E17" w:rsidRDefault="00971E76" w:rsidP="006F6BAE">
            <w:pPr>
              <w:pStyle w:val="SVEtablecontent"/>
              <w:rPr>
                <w:sz w:val="16"/>
                <w:szCs w:val="16"/>
              </w:rPr>
            </w:pPr>
            <w:r w:rsidRPr="00CD5E17">
              <w:rPr>
                <w:sz w:val="16"/>
                <w:szCs w:val="16"/>
              </w:rPr>
              <w:t>Acquisition Of Remaining Interest</w:t>
            </w:r>
          </w:p>
        </w:tc>
      </w:tr>
      <w:tr w:rsidR="00971E76" w:rsidTr="001624D5">
        <w:tc>
          <w:tcPr>
            <w:tcW w:w="1418" w:type="dxa"/>
          </w:tcPr>
          <w:p w:rsidR="00971E76" w:rsidRPr="00CD5E17" w:rsidRDefault="00971E76" w:rsidP="006F6BAE">
            <w:pPr>
              <w:pStyle w:val="SVEtablecontent"/>
              <w:rPr>
                <w:sz w:val="16"/>
                <w:szCs w:val="16"/>
              </w:rPr>
            </w:pPr>
            <w:r w:rsidRPr="00CD5E17">
              <w:rPr>
                <w:sz w:val="16"/>
                <w:szCs w:val="16"/>
              </w:rPr>
              <w:t>22/06/2015</w:t>
            </w:r>
          </w:p>
        </w:tc>
        <w:tc>
          <w:tcPr>
            <w:tcW w:w="1135" w:type="dxa"/>
            <w:vAlign w:val="bottom"/>
          </w:tcPr>
          <w:p w:rsidR="00971E76" w:rsidRPr="00CD5E17" w:rsidRDefault="00971E76" w:rsidP="006F6BAE">
            <w:pPr>
              <w:pStyle w:val="SVEtablecontent"/>
              <w:rPr>
                <w:sz w:val="16"/>
                <w:szCs w:val="16"/>
              </w:rPr>
            </w:pPr>
            <w:r w:rsidRPr="00CD5E17">
              <w:rPr>
                <w:sz w:val="16"/>
                <w:szCs w:val="16"/>
              </w:rPr>
              <w:t>Gas Natural SDG SA</w:t>
            </w:r>
          </w:p>
        </w:tc>
        <w:tc>
          <w:tcPr>
            <w:tcW w:w="1417" w:type="dxa"/>
            <w:vAlign w:val="bottom"/>
          </w:tcPr>
          <w:p w:rsidR="00971E76" w:rsidRPr="00CD5E17" w:rsidRDefault="00971E76" w:rsidP="006F6BAE">
            <w:pPr>
              <w:pStyle w:val="SVEtablecontent"/>
              <w:rPr>
                <w:sz w:val="16"/>
                <w:szCs w:val="16"/>
              </w:rPr>
            </w:pPr>
            <w:r w:rsidRPr="00CD5E17">
              <w:rPr>
                <w:sz w:val="16"/>
                <w:szCs w:val="16"/>
              </w:rPr>
              <w:t>Gas Natural SDG SA</w:t>
            </w:r>
          </w:p>
        </w:tc>
        <w:tc>
          <w:tcPr>
            <w:tcW w:w="1559" w:type="dxa"/>
            <w:vAlign w:val="bottom"/>
          </w:tcPr>
          <w:p w:rsidR="00971E76" w:rsidRPr="00CD5E17" w:rsidRDefault="00971E76" w:rsidP="006F6BAE">
            <w:pPr>
              <w:ind w:firstLine="0"/>
              <w:jc w:val="left"/>
              <w:rPr>
                <w:rFonts w:ascii="Calibri" w:hAnsi="Calibri" w:cs="Calibri"/>
                <w:color w:val="000000"/>
                <w:sz w:val="16"/>
                <w:szCs w:val="16"/>
              </w:rPr>
            </w:pPr>
            <w:r w:rsidRPr="00CD5E17">
              <w:rPr>
                <w:sz w:val="16"/>
                <w:szCs w:val="16"/>
              </w:rPr>
              <w:t>NTGY.MC</w:t>
            </w:r>
          </w:p>
        </w:tc>
        <w:tc>
          <w:tcPr>
            <w:tcW w:w="1134" w:type="dxa"/>
            <w:vAlign w:val="bottom"/>
          </w:tcPr>
          <w:p w:rsidR="00971E76" w:rsidRPr="00CD5E17" w:rsidRDefault="00971E76" w:rsidP="006F6BAE">
            <w:pPr>
              <w:pStyle w:val="SVEtablecontent"/>
              <w:rPr>
                <w:sz w:val="16"/>
                <w:szCs w:val="16"/>
              </w:rPr>
            </w:pPr>
            <w:r w:rsidRPr="00CD5E17">
              <w:rPr>
                <w:sz w:val="16"/>
                <w:szCs w:val="16"/>
              </w:rPr>
              <w:t>Spain</w:t>
            </w:r>
          </w:p>
        </w:tc>
        <w:tc>
          <w:tcPr>
            <w:tcW w:w="1985" w:type="dxa"/>
            <w:vAlign w:val="bottom"/>
          </w:tcPr>
          <w:p w:rsidR="00971E76" w:rsidRPr="00CD5E17" w:rsidRDefault="00971E76" w:rsidP="006F6BAE">
            <w:pPr>
              <w:pStyle w:val="SVEtablecontent"/>
              <w:rPr>
                <w:sz w:val="16"/>
                <w:szCs w:val="16"/>
              </w:rPr>
            </w:pPr>
            <w:r w:rsidRPr="00CD5E17">
              <w:rPr>
                <w:sz w:val="16"/>
                <w:szCs w:val="16"/>
                <w:highlight w:val="cyan"/>
              </w:rPr>
              <w:t>Gecal Renovables SA</w:t>
            </w:r>
          </w:p>
        </w:tc>
        <w:tc>
          <w:tcPr>
            <w:tcW w:w="1134" w:type="dxa"/>
            <w:vAlign w:val="bottom"/>
          </w:tcPr>
          <w:p w:rsidR="00971E76" w:rsidRPr="00CD5E17" w:rsidRDefault="00971E76" w:rsidP="006F6BAE">
            <w:pPr>
              <w:pStyle w:val="SVEtablecontent"/>
              <w:rPr>
                <w:sz w:val="16"/>
                <w:szCs w:val="16"/>
              </w:rPr>
            </w:pPr>
            <w:r w:rsidRPr="00CD5E17">
              <w:rPr>
                <w:sz w:val="16"/>
                <w:szCs w:val="16"/>
              </w:rPr>
              <w:t>Spain</w:t>
            </w:r>
          </w:p>
        </w:tc>
        <w:tc>
          <w:tcPr>
            <w:tcW w:w="1843" w:type="dxa"/>
            <w:vAlign w:val="bottom"/>
          </w:tcPr>
          <w:p w:rsidR="00971E76" w:rsidRPr="00CD5E17" w:rsidRDefault="00971E76" w:rsidP="006F6BAE">
            <w:pPr>
              <w:pStyle w:val="SVEtablecontent"/>
              <w:rPr>
                <w:sz w:val="16"/>
                <w:szCs w:val="16"/>
              </w:rPr>
            </w:pPr>
            <w:r w:rsidRPr="00CD5E17">
              <w:rPr>
                <w:sz w:val="16"/>
                <w:szCs w:val="16"/>
              </w:rPr>
              <w:t>Acquisition Of Assets</w:t>
            </w:r>
          </w:p>
        </w:tc>
      </w:tr>
      <w:tr w:rsidR="00971E76" w:rsidRPr="00E25E63" w:rsidTr="001624D5">
        <w:tc>
          <w:tcPr>
            <w:tcW w:w="1418" w:type="dxa"/>
          </w:tcPr>
          <w:p w:rsidR="00971E76" w:rsidRPr="00CD5E17" w:rsidRDefault="00971E76" w:rsidP="006F6BAE">
            <w:pPr>
              <w:pStyle w:val="SVEtablecontent"/>
              <w:rPr>
                <w:sz w:val="16"/>
                <w:szCs w:val="16"/>
              </w:rPr>
            </w:pPr>
            <w:r w:rsidRPr="00CD5E17">
              <w:rPr>
                <w:sz w:val="16"/>
                <w:szCs w:val="16"/>
              </w:rPr>
              <w:t>29/12/2014</w:t>
            </w:r>
          </w:p>
        </w:tc>
        <w:tc>
          <w:tcPr>
            <w:tcW w:w="1135" w:type="dxa"/>
            <w:vAlign w:val="bottom"/>
          </w:tcPr>
          <w:p w:rsidR="00971E76" w:rsidRPr="00CD5E17" w:rsidRDefault="00971E76" w:rsidP="006F6BAE">
            <w:pPr>
              <w:pStyle w:val="SVEtablecontent"/>
              <w:rPr>
                <w:sz w:val="16"/>
                <w:szCs w:val="16"/>
              </w:rPr>
            </w:pPr>
            <w:r w:rsidRPr="00CD5E17">
              <w:rPr>
                <w:sz w:val="16"/>
                <w:szCs w:val="16"/>
              </w:rPr>
              <w:t>TransCanada Corp</w:t>
            </w:r>
          </w:p>
        </w:tc>
        <w:tc>
          <w:tcPr>
            <w:tcW w:w="1417" w:type="dxa"/>
            <w:vAlign w:val="bottom"/>
          </w:tcPr>
          <w:p w:rsidR="00971E76" w:rsidRPr="00CD5E17" w:rsidRDefault="00971E76" w:rsidP="006F6BAE">
            <w:pPr>
              <w:pStyle w:val="SVEtablecontent"/>
              <w:rPr>
                <w:sz w:val="16"/>
                <w:szCs w:val="16"/>
              </w:rPr>
            </w:pPr>
            <w:r w:rsidRPr="00CD5E17">
              <w:rPr>
                <w:sz w:val="16"/>
                <w:szCs w:val="16"/>
              </w:rPr>
              <w:t>TransCanada Corp</w:t>
            </w:r>
          </w:p>
        </w:tc>
        <w:tc>
          <w:tcPr>
            <w:tcW w:w="1559" w:type="dxa"/>
            <w:vAlign w:val="bottom"/>
          </w:tcPr>
          <w:p w:rsidR="00971E76" w:rsidRPr="00CD5E17" w:rsidRDefault="00971E76" w:rsidP="006F6BAE">
            <w:pPr>
              <w:ind w:firstLine="0"/>
              <w:jc w:val="left"/>
              <w:rPr>
                <w:rFonts w:ascii="Calibri" w:hAnsi="Calibri" w:cs="Calibri"/>
                <w:color w:val="000000"/>
                <w:sz w:val="16"/>
                <w:szCs w:val="16"/>
                <w:lang w:val="en-GB"/>
              </w:rPr>
            </w:pPr>
            <w:r w:rsidRPr="00CD5E17">
              <w:rPr>
                <w:sz w:val="16"/>
                <w:szCs w:val="16"/>
              </w:rPr>
              <w:t>TRP.TO</w:t>
            </w:r>
          </w:p>
        </w:tc>
        <w:tc>
          <w:tcPr>
            <w:tcW w:w="1134" w:type="dxa"/>
            <w:vAlign w:val="bottom"/>
          </w:tcPr>
          <w:p w:rsidR="00971E76" w:rsidRPr="00CD5E17" w:rsidRDefault="00971E76" w:rsidP="006F6BAE">
            <w:pPr>
              <w:pStyle w:val="SVEtablecontent"/>
              <w:rPr>
                <w:sz w:val="16"/>
                <w:szCs w:val="16"/>
              </w:rPr>
            </w:pPr>
            <w:r w:rsidRPr="00CD5E17">
              <w:rPr>
                <w:sz w:val="16"/>
                <w:szCs w:val="16"/>
              </w:rPr>
              <w:t>Canada</w:t>
            </w:r>
          </w:p>
        </w:tc>
        <w:tc>
          <w:tcPr>
            <w:tcW w:w="1985" w:type="dxa"/>
            <w:vAlign w:val="bottom"/>
          </w:tcPr>
          <w:p w:rsidR="00971E76" w:rsidRPr="00CD5E17" w:rsidRDefault="00971E76" w:rsidP="006F6BAE">
            <w:pPr>
              <w:pStyle w:val="SVEtablecontent"/>
              <w:rPr>
                <w:sz w:val="16"/>
                <w:szCs w:val="16"/>
              </w:rPr>
            </w:pPr>
            <w:r w:rsidRPr="00CD5E17">
              <w:rPr>
                <w:sz w:val="16"/>
                <w:szCs w:val="16"/>
                <w:highlight w:val="yellow"/>
              </w:rPr>
              <w:t>Canadian Solar Solutions Inc-Liskeard 1</w:t>
            </w:r>
          </w:p>
        </w:tc>
        <w:tc>
          <w:tcPr>
            <w:tcW w:w="1134" w:type="dxa"/>
            <w:vAlign w:val="bottom"/>
          </w:tcPr>
          <w:p w:rsidR="00971E76" w:rsidRPr="00CD5E17" w:rsidRDefault="00971E76" w:rsidP="006F6BAE">
            <w:pPr>
              <w:pStyle w:val="SVEtablecontent"/>
              <w:rPr>
                <w:sz w:val="16"/>
                <w:szCs w:val="16"/>
              </w:rPr>
            </w:pPr>
            <w:r w:rsidRPr="00CD5E17">
              <w:rPr>
                <w:sz w:val="16"/>
                <w:szCs w:val="16"/>
              </w:rPr>
              <w:t>Canada</w:t>
            </w:r>
          </w:p>
        </w:tc>
        <w:tc>
          <w:tcPr>
            <w:tcW w:w="1843" w:type="dxa"/>
            <w:vAlign w:val="bottom"/>
          </w:tcPr>
          <w:p w:rsidR="00971E76" w:rsidRPr="00CD5E17" w:rsidRDefault="00971E76" w:rsidP="006F6BAE">
            <w:pPr>
              <w:pStyle w:val="SVEtablecontent"/>
              <w:rPr>
                <w:sz w:val="16"/>
                <w:szCs w:val="16"/>
              </w:rPr>
            </w:pPr>
            <w:r w:rsidRPr="00CD5E17">
              <w:rPr>
                <w:sz w:val="16"/>
                <w:szCs w:val="16"/>
              </w:rPr>
              <w:t>Merger</w:t>
            </w:r>
          </w:p>
        </w:tc>
      </w:tr>
      <w:tr w:rsidR="00971E76" w:rsidRPr="00E25E63" w:rsidTr="001624D5">
        <w:tc>
          <w:tcPr>
            <w:tcW w:w="1418" w:type="dxa"/>
          </w:tcPr>
          <w:p w:rsidR="00971E76" w:rsidRPr="00CD5E17" w:rsidRDefault="00971E76" w:rsidP="006F6BAE">
            <w:pPr>
              <w:pStyle w:val="SVEtablecontent"/>
              <w:rPr>
                <w:sz w:val="16"/>
                <w:szCs w:val="16"/>
              </w:rPr>
            </w:pPr>
            <w:r w:rsidRPr="00CD5E17">
              <w:rPr>
                <w:sz w:val="16"/>
                <w:szCs w:val="16"/>
              </w:rPr>
              <w:t>28/06/2013</w:t>
            </w:r>
          </w:p>
        </w:tc>
        <w:tc>
          <w:tcPr>
            <w:tcW w:w="1135" w:type="dxa"/>
            <w:vAlign w:val="bottom"/>
          </w:tcPr>
          <w:p w:rsidR="00971E76" w:rsidRPr="00CD5E17" w:rsidRDefault="00971E76" w:rsidP="006F6BAE">
            <w:pPr>
              <w:pStyle w:val="SVEtablecontent"/>
              <w:rPr>
                <w:sz w:val="16"/>
                <w:szCs w:val="16"/>
              </w:rPr>
            </w:pPr>
            <w:r w:rsidRPr="00CD5E17">
              <w:rPr>
                <w:sz w:val="16"/>
                <w:szCs w:val="16"/>
              </w:rPr>
              <w:t>TransCanada Corp</w:t>
            </w:r>
          </w:p>
        </w:tc>
        <w:tc>
          <w:tcPr>
            <w:tcW w:w="1417" w:type="dxa"/>
            <w:vAlign w:val="bottom"/>
          </w:tcPr>
          <w:p w:rsidR="00971E76" w:rsidRPr="00CD5E17" w:rsidRDefault="00971E76" w:rsidP="006F6BAE">
            <w:pPr>
              <w:pStyle w:val="SVEtablecontent"/>
              <w:rPr>
                <w:sz w:val="16"/>
                <w:szCs w:val="16"/>
              </w:rPr>
            </w:pPr>
            <w:r w:rsidRPr="00CD5E17">
              <w:rPr>
                <w:sz w:val="16"/>
                <w:szCs w:val="16"/>
              </w:rPr>
              <w:t>TransCanada Corp</w:t>
            </w:r>
          </w:p>
        </w:tc>
        <w:tc>
          <w:tcPr>
            <w:tcW w:w="1559" w:type="dxa"/>
            <w:vAlign w:val="bottom"/>
          </w:tcPr>
          <w:p w:rsidR="00971E76" w:rsidRPr="00CD5E17" w:rsidRDefault="00971E76" w:rsidP="006F6BAE">
            <w:pPr>
              <w:ind w:firstLine="0"/>
              <w:rPr>
                <w:rFonts w:ascii="Calibri" w:hAnsi="Calibri" w:cs="Calibri"/>
                <w:color w:val="000000"/>
                <w:sz w:val="16"/>
                <w:szCs w:val="16"/>
                <w:lang w:val="en-GB"/>
              </w:rPr>
            </w:pPr>
            <w:r w:rsidRPr="00CD5E17">
              <w:rPr>
                <w:sz w:val="16"/>
                <w:szCs w:val="16"/>
              </w:rPr>
              <w:t>TRP.TO</w:t>
            </w:r>
          </w:p>
        </w:tc>
        <w:tc>
          <w:tcPr>
            <w:tcW w:w="1134" w:type="dxa"/>
            <w:vAlign w:val="bottom"/>
          </w:tcPr>
          <w:p w:rsidR="00971E76" w:rsidRPr="00CD5E17" w:rsidRDefault="00971E76" w:rsidP="006F6BAE">
            <w:pPr>
              <w:pStyle w:val="SVEtablecontent"/>
              <w:rPr>
                <w:sz w:val="16"/>
                <w:szCs w:val="16"/>
              </w:rPr>
            </w:pPr>
            <w:r w:rsidRPr="00CD5E17">
              <w:rPr>
                <w:sz w:val="16"/>
                <w:szCs w:val="16"/>
              </w:rPr>
              <w:t>Canada</w:t>
            </w:r>
          </w:p>
        </w:tc>
        <w:tc>
          <w:tcPr>
            <w:tcW w:w="1985" w:type="dxa"/>
            <w:vAlign w:val="bottom"/>
          </w:tcPr>
          <w:p w:rsidR="00971E76" w:rsidRPr="00CD5E17" w:rsidRDefault="00971E76" w:rsidP="006F6BAE">
            <w:pPr>
              <w:pStyle w:val="SVEtablecontent"/>
              <w:rPr>
                <w:sz w:val="16"/>
                <w:szCs w:val="16"/>
              </w:rPr>
            </w:pPr>
            <w:r w:rsidRPr="00CD5E17">
              <w:rPr>
                <w:sz w:val="16"/>
                <w:szCs w:val="16"/>
                <w:highlight w:val="yellow"/>
                <w:lang w:val="en-GB"/>
              </w:rPr>
              <w:t>Canadian Solar Solutions Inc- Brockville 1</w:t>
            </w:r>
          </w:p>
        </w:tc>
        <w:tc>
          <w:tcPr>
            <w:tcW w:w="1134" w:type="dxa"/>
            <w:vAlign w:val="bottom"/>
          </w:tcPr>
          <w:p w:rsidR="00971E76" w:rsidRPr="00CD5E17" w:rsidRDefault="00971E76" w:rsidP="006F6BAE">
            <w:pPr>
              <w:pStyle w:val="SVEtablecontent"/>
              <w:rPr>
                <w:sz w:val="16"/>
                <w:szCs w:val="16"/>
              </w:rPr>
            </w:pPr>
            <w:r w:rsidRPr="00CD5E17">
              <w:rPr>
                <w:sz w:val="16"/>
                <w:szCs w:val="16"/>
              </w:rPr>
              <w:t>Canada</w:t>
            </w:r>
          </w:p>
        </w:tc>
        <w:tc>
          <w:tcPr>
            <w:tcW w:w="1843" w:type="dxa"/>
            <w:vAlign w:val="bottom"/>
          </w:tcPr>
          <w:p w:rsidR="00971E76" w:rsidRPr="00CD5E17" w:rsidRDefault="00971E76" w:rsidP="006F6BAE">
            <w:pPr>
              <w:pStyle w:val="SVEtablecontent"/>
              <w:rPr>
                <w:sz w:val="16"/>
                <w:szCs w:val="16"/>
              </w:rPr>
            </w:pPr>
            <w:r w:rsidRPr="00CD5E17">
              <w:rPr>
                <w:sz w:val="16"/>
                <w:szCs w:val="16"/>
              </w:rPr>
              <w:t>Acquisition Of Assets</w:t>
            </w:r>
          </w:p>
        </w:tc>
      </w:tr>
      <w:tr w:rsidR="00971E76" w:rsidRPr="00E25E63" w:rsidTr="001624D5">
        <w:tc>
          <w:tcPr>
            <w:tcW w:w="1418" w:type="dxa"/>
          </w:tcPr>
          <w:p w:rsidR="00971E76" w:rsidRPr="00CD5E17" w:rsidRDefault="00971E76" w:rsidP="006F6BAE">
            <w:pPr>
              <w:pStyle w:val="SVEtablecontent"/>
              <w:rPr>
                <w:sz w:val="16"/>
                <w:szCs w:val="16"/>
              </w:rPr>
            </w:pPr>
            <w:r w:rsidRPr="00CD5E17">
              <w:rPr>
                <w:sz w:val="16"/>
                <w:szCs w:val="16"/>
              </w:rPr>
              <w:t>06/12/2012</w:t>
            </w:r>
          </w:p>
        </w:tc>
        <w:tc>
          <w:tcPr>
            <w:tcW w:w="1135" w:type="dxa"/>
            <w:vAlign w:val="bottom"/>
          </w:tcPr>
          <w:p w:rsidR="00971E76" w:rsidRPr="00CD5E17" w:rsidRDefault="00971E76" w:rsidP="006F6BAE">
            <w:pPr>
              <w:pStyle w:val="SVEtablecontent"/>
              <w:rPr>
                <w:sz w:val="16"/>
                <w:szCs w:val="16"/>
              </w:rPr>
            </w:pPr>
            <w:r w:rsidRPr="00CD5E17">
              <w:rPr>
                <w:sz w:val="16"/>
                <w:szCs w:val="16"/>
              </w:rPr>
              <w:t>Gas Natural SDG SA</w:t>
            </w:r>
          </w:p>
        </w:tc>
        <w:tc>
          <w:tcPr>
            <w:tcW w:w="1417" w:type="dxa"/>
            <w:vAlign w:val="bottom"/>
          </w:tcPr>
          <w:p w:rsidR="00971E76" w:rsidRPr="00CD5E17" w:rsidRDefault="00971E76" w:rsidP="006F6BAE">
            <w:pPr>
              <w:pStyle w:val="SVEtablecontent"/>
              <w:rPr>
                <w:sz w:val="16"/>
                <w:szCs w:val="16"/>
              </w:rPr>
            </w:pPr>
            <w:r w:rsidRPr="00CD5E17">
              <w:rPr>
                <w:sz w:val="16"/>
                <w:szCs w:val="16"/>
              </w:rPr>
              <w:t>Gas Natural SDG SA</w:t>
            </w:r>
          </w:p>
        </w:tc>
        <w:tc>
          <w:tcPr>
            <w:tcW w:w="1559" w:type="dxa"/>
            <w:vAlign w:val="bottom"/>
          </w:tcPr>
          <w:p w:rsidR="00971E76" w:rsidRPr="00CD5E17" w:rsidRDefault="00971E76" w:rsidP="006F6BAE">
            <w:pPr>
              <w:ind w:firstLine="0"/>
              <w:rPr>
                <w:rFonts w:ascii="Calibri" w:hAnsi="Calibri" w:cs="Calibri"/>
                <w:color w:val="000000"/>
                <w:sz w:val="16"/>
                <w:szCs w:val="16"/>
                <w:lang w:val="en-GB"/>
              </w:rPr>
            </w:pPr>
            <w:r w:rsidRPr="00CD5E17">
              <w:rPr>
                <w:sz w:val="16"/>
                <w:szCs w:val="16"/>
              </w:rPr>
              <w:t>NTGY.MC</w:t>
            </w:r>
          </w:p>
        </w:tc>
        <w:tc>
          <w:tcPr>
            <w:tcW w:w="1134" w:type="dxa"/>
            <w:vAlign w:val="bottom"/>
          </w:tcPr>
          <w:p w:rsidR="00971E76" w:rsidRPr="00CD5E17" w:rsidRDefault="00971E76" w:rsidP="006F6BAE">
            <w:pPr>
              <w:pStyle w:val="SVEtablecontent"/>
              <w:rPr>
                <w:sz w:val="16"/>
                <w:szCs w:val="16"/>
              </w:rPr>
            </w:pPr>
            <w:r w:rsidRPr="00CD5E17">
              <w:rPr>
                <w:sz w:val="16"/>
                <w:szCs w:val="16"/>
              </w:rPr>
              <w:t>Spain</w:t>
            </w:r>
          </w:p>
          <w:p w:rsidR="00971E76" w:rsidRPr="00CD5E17" w:rsidRDefault="00971E76" w:rsidP="006F6BAE">
            <w:pPr>
              <w:pStyle w:val="SVEtablecontent"/>
              <w:rPr>
                <w:sz w:val="16"/>
                <w:szCs w:val="16"/>
              </w:rPr>
            </w:pPr>
          </w:p>
        </w:tc>
        <w:tc>
          <w:tcPr>
            <w:tcW w:w="1985" w:type="dxa"/>
            <w:vAlign w:val="bottom"/>
          </w:tcPr>
          <w:p w:rsidR="00971E76" w:rsidRPr="00CD5E17" w:rsidRDefault="00971E76" w:rsidP="006F6BAE">
            <w:pPr>
              <w:pStyle w:val="SVEtablecontent"/>
              <w:rPr>
                <w:sz w:val="16"/>
                <w:szCs w:val="16"/>
              </w:rPr>
            </w:pPr>
            <w:r w:rsidRPr="00CD5E17">
              <w:rPr>
                <w:sz w:val="16"/>
                <w:szCs w:val="16"/>
                <w:highlight w:val="cyan"/>
              </w:rPr>
              <w:t>Vientos del Noroeste SA</w:t>
            </w:r>
            <w:r w:rsidRPr="00CD5E17">
              <w:rPr>
                <w:sz w:val="16"/>
                <w:szCs w:val="16"/>
              </w:rPr>
              <w:t xml:space="preserve"> / </w:t>
            </w:r>
            <w:r w:rsidRPr="00CD5E17">
              <w:rPr>
                <w:sz w:val="16"/>
                <w:szCs w:val="16"/>
                <w:highlight w:val="cyan"/>
              </w:rPr>
              <w:t>Energias Especiales Espina SL</w:t>
            </w:r>
          </w:p>
        </w:tc>
        <w:tc>
          <w:tcPr>
            <w:tcW w:w="1134" w:type="dxa"/>
            <w:vAlign w:val="bottom"/>
          </w:tcPr>
          <w:p w:rsidR="00971E76" w:rsidRPr="00CD5E17" w:rsidRDefault="00971E76" w:rsidP="006F6BAE">
            <w:pPr>
              <w:pStyle w:val="SVEtablecontent"/>
              <w:rPr>
                <w:sz w:val="16"/>
                <w:szCs w:val="16"/>
              </w:rPr>
            </w:pPr>
            <w:r w:rsidRPr="00CD5E17">
              <w:rPr>
                <w:sz w:val="16"/>
                <w:szCs w:val="16"/>
              </w:rPr>
              <w:t>Spain</w:t>
            </w:r>
          </w:p>
        </w:tc>
        <w:tc>
          <w:tcPr>
            <w:tcW w:w="1843" w:type="dxa"/>
            <w:vAlign w:val="bottom"/>
          </w:tcPr>
          <w:p w:rsidR="00971E76" w:rsidRPr="00CD5E17" w:rsidRDefault="00971E76" w:rsidP="006F6BAE">
            <w:pPr>
              <w:pStyle w:val="SVEtablecontent"/>
              <w:rPr>
                <w:sz w:val="16"/>
                <w:szCs w:val="16"/>
              </w:rPr>
            </w:pPr>
            <w:r w:rsidRPr="00CD5E17">
              <w:rPr>
                <w:sz w:val="16"/>
                <w:szCs w:val="16"/>
              </w:rPr>
              <w:t>Acquisition Of Assets</w:t>
            </w:r>
          </w:p>
        </w:tc>
      </w:tr>
      <w:tr w:rsidR="00971E76" w:rsidTr="001624D5">
        <w:tc>
          <w:tcPr>
            <w:tcW w:w="1418" w:type="dxa"/>
          </w:tcPr>
          <w:p w:rsidR="00971E76" w:rsidRPr="00CD5E17" w:rsidRDefault="00971E76" w:rsidP="006F6BAE">
            <w:pPr>
              <w:pStyle w:val="SVEtablecontent"/>
              <w:rPr>
                <w:sz w:val="16"/>
                <w:szCs w:val="16"/>
              </w:rPr>
            </w:pPr>
            <w:r w:rsidRPr="00CD5E17">
              <w:rPr>
                <w:sz w:val="16"/>
                <w:szCs w:val="16"/>
              </w:rPr>
              <w:t>01/07/2011</w:t>
            </w:r>
          </w:p>
        </w:tc>
        <w:tc>
          <w:tcPr>
            <w:tcW w:w="1135" w:type="dxa"/>
            <w:vAlign w:val="bottom"/>
          </w:tcPr>
          <w:p w:rsidR="00971E76" w:rsidRPr="00CD5E17" w:rsidRDefault="00971E76" w:rsidP="006F6BAE">
            <w:pPr>
              <w:pStyle w:val="SVEtablecontent"/>
              <w:rPr>
                <w:sz w:val="16"/>
                <w:szCs w:val="16"/>
              </w:rPr>
            </w:pPr>
            <w:r w:rsidRPr="00CD5E17">
              <w:rPr>
                <w:sz w:val="16"/>
                <w:szCs w:val="16"/>
              </w:rPr>
              <w:t>Gas Natural SDG SA</w:t>
            </w:r>
          </w:p>
        </w:tc>
        <w:tc>
          <w:tcPr>
            <w:tcW w:w="1417" w:type="dxa"/>
            <w:vAlign w:val="bottom"/>
          </w:tcPr>
          <w:p w:rsidR="00971E76" w:rsidRPr="00CD5E17" w:rsidRDefault="00971E76" w:rsidP="006F6BAE">
            <w:pPr>
              <w:pStyle w:val="SVEtablecontent"/>
              <w:rPr>
                <w:sz w:val="16"/>
                <w:szCs w:val="16"/>
              </w:rPr>
            </w:pPr>
            <w:r w:rsidRPr="00CD5E17">
              <w:rPr>
                <w:sz w:val="16"/>
                <w:szCs w:val="16"/>
              </w:rPr>
              <w:t>Gas Natural SDG SA</w:t>
            </w:r>
          </w:p>
        </w:tc>
        <w:tc>
          <w:tcPr>
            <w:tcW w:w="1559" w:type="dxa"/>
            <w:vAlign w:val="bottom"/>
          </w:tcPr>
          <w:p w:rsidR="00971E76" w:rsidRPr="00CD5E17" w:rsidRDefault="00971E76" w:rsidP="006F6BAE">
            <w:pPr>
              <w:ind w:firstLine="0"/>
              <w:rPr>
                <w:rFonts w:ascii="Calibri" w:hAnsi="Calibri" w:cs="Calibri"/>
                <w:color w:val="000000"/>
                <w:sz w:val="16"/>
                <w:szCs w:val="16"/>
              </w:rPr>
            </w:pPr>
            <w:r w:rsidRPr="00CD5E17">
              <w:rPr>
                <w:sz w:val="16"/>
                <w:szCs w:val="16"/>
              </w:rPr>
              <w:t>NTGY.MC</w:t>
            </w:r>
          </w:p>
        </w:tc>
        <w:tc>
          <w:tcPr>
            <w:tcW w:w="1134" w:type="dxa"/>
            <w:vAlign w:val="bottom"/>
          </w:tcPr>
          <w:p w:rsidR="00971E76" w:rsidRPr="00CD5E17" w:rsidRDefault="00971E76" w:rsidP="006F6BAE">
            <w:pPr>
              <w:pStyle w:val="SVEtablecontent"/>
              <w:rPr>
                <w:sz w:val="16"/>
                <w:szCs w:val="16"/>
              </w:rPr>
            </w:pPr>
            <w:r w:rsidRPr="00CD5E17">
              <w:rPr>
                <w:sz w:val="16"/>
                <w:szCs w:val="16"/>
              </w:rPr>
              <w:t>Spain</w:t>
            </w:r>
          </w:p>
        </w:tc>
        <w:tc>
          <w:tcPr>
            <w:tcW w:w="1985" w:type="dxa"/>
            <w:vAlign w:val="bottom"/>
          </w:tcPr>
          <w:p w:rsidR="00971E76" w:rsidRPr="00CD5E17" w:rsidRDefault="00971E76" w:rsidP="006F6BAE">
            <w:pPr>
              <w:pStyle w:val="SVEtablecontent"/>
              <w:rPr>
                <w:sz w:val="16"/>
                <w:szCs w:val="16"/>
              </w:rPr>
            </w:pPr>
            <w:r w:rsidRPr="00CD5E17">
              <w:rPr>
                <w:sz w:val="16"/>
                <w:szCs w:val="16"/>
                <w:highlight w:val="cyan"/>
              </w:rPr>
              <w:t>Actividades de Construccion y Servicios SA{ACS}-Wind Power Assets</w:t>
            </w:r>
          </w:p>
        </w:tc>
        <w:tc>
          <w:tcPr>
            <w:tcW w:w="1134" w:type="dxa"/>
            <w:vAlign w:val="bottom"/>
          </w:tcPr>
          <w:p w:rsidR="00971E76" w:rsidRPr="00CD5E17" w:rsidRDefault="00971E76" w:rsidP="006F6BAE">
            <w:pPr>
              <w:pStyle w:val="SVEtablecontent"/>
              <w:rPr>
                <w:sz w:val="16"/>
                <w:szCs w:val="16"/>
              </w:rPr>
            </w:pPr>
            <w:r w:rsidRPr="00CD5E17">
              <w:rPr>
                <w:sz w:val="16"/>
                <w:szCs w:val="16"/>
              </w:rPr>
              <w:t>Spain</w:t>
            </w:r>
          </w:p>
        </w:tc>
        <w:tc>
          <w:tcPr>
            <w:tcW w:w="1843" w:type="dxa"/>
            <w:vAlign w:val="bottom"/>
          </w:tcPr>
          <w:p w:rsidR="00971E76" w:rsidRPr="00CD5E17" w:rsidRDefault="00971E76" w:rsidP="006F6BAE">
            <w:pPr>
              <w:pStyle w:val="SVEtablecontent"/>
              <w:rPr>
                <w:sz w:val="16"/>
                <w:szCs w:val="16"/>
              </w:rPr>
            </w:pPr>
            <w:r w:rsidRPr="00CD5E17">
              <w:rPr>
                <w:sz w:val="16"/>
                <w:szCs w:val="16"/>
              </w:rPr>
              <w:t>Acquisition Of Assets</w:t>
            </w:r>
          </w:p>
        </w:tc>
      </w:tr>
      <w:tr w:rsidR="00971E76" w:rsidTr="001624D5">
        <w:tc>
          <w:tcPr>
            <w:tcW w:w="1418" w:type="dxa"/>
          </w:tcPr>
          <w:p w:rsidR="00971E76" w:rsidRPr="00CD5E17" w:rsidRDefault="00971E76" w:rsidP="006F6BAE">
            <w:pPr>
              <w:pStyle w:val="SVEtablecontent"/>
              <w:rPr>
                <w:sz w:val="16"/>
                <w:szCs w:val="16"/>
              </w:rPr>
            </w:pPr>
            <w:r w:rsidRPr="00CD5E17">
              <w:rPr>
                <w:sz w:val="16"/>
                <w:szCs w:val="16"/>
              </w:rPr>
              <w:t>14/04/2011</w:t>
            </w:r>
          </w:p>
        </w:tc>
        <w:tc>
          <w:tcPr>
            <w:tcW w:w="1135" w:type="dxa"/>
          </w:tcPr>
          <w:p w:rsidR="00971E76" w:rsidRPr="00CD5E17" w:rsidRDefault="00971E76" w:rsidP="006F6BAE">
            <w:pPr>
              <w:pStyle w:val="SVEtablecontent"/>
              <w:rPr>
                <w:sz w:val="16"/>
                <w:szCs w:val="16"/>
              </w:rPr>
            </w:pPr>
            <w:r w:rsidRPr="00CD5E17">
              <w:rPr>
                <w:sz w:val="16"/>
                <w:szCs w:val="16"/>
              </w:rPr>
              <w:t>Total SA</w:t>
            </w:r>
          </w:p>
        </w:tc>
        <w:tc>
          <w:tcPr>
            <w:tcW w:w="1417" w:type="dxa"/>
            <w:vAlign w:val="bottom"/>
          </w:tcPr>
          <w:p w:rsidR="00971E76" w:rsidRPr="00CD5E17" w:rsidRDefault="00971E76" w:rsidP="006F6BAE">
            <w:pPr>
              <w:pStyle w:val="SVEtablecontent"/>
              <w:rPr>
                <w:sz w:val="16"/>
                <w:szCs w:val="16"/>
              </w:rPr>
            </w:pPr>
            <w:r w:rsidRPr="00CD5E17">
              <w:rPr>
                <w:sz w:val="16"/>
                <w:szCs w:val="16"/>
              </w:rPr>
              <w:t>Total SA</w:t>
            </w:r>
          </w:p>
        </w:tc>
        <w:tc>
          <w:tcPr>
            <w:tcW w:w="1559" w:type="dxa"/>
          </w:tcPr>
          <w:p w:rsidR="00971E76" w:rsidRPr="00CD5E17" w:rsidRDefault="00971E76" w:rsidP="006F6BAE">
            <w:pPr>
              <w:pStyle w:val="SVEtablecontent"/>
              <w:rPr>
                <w:sz w:val="16"/>
                <w:szCs w:val="16"/>
              </w:rPr>
            </w:pPr>
            <w:r w:rsidRPr="00CD5E17">
              <w:rPr>
                <w:sz w:val="16"/>
                <w:szCs w:val="16"/>
              </w:rPr>
              <w:t>TOTF.PA</w:t>
            </w:r>
          </w:p>
        </w:tc>
        <w:tc>
          <w:tcPr>
            <w:tcW w:w="1134" w:type="dxa"/>
            <w:vAlign w:val="bottom"/>
          </w:tcPr>
          <w:p w:rsidR="00971E76" w:rsidRPr="00CD5E17" w:rsidRDefault="00971E76" w:rsidP="006F6BAE">
            <w:pPr>
              <w:pStyle w:val="SVEtablecontent"/>
              <w:rPr>
                <w:sz w:val="16"/>
                <w:szCs w:val="16"/>
              </w:rPr>
            </w:pPr>
            <w:r w:rsidRPr="00CD5E17">
              <w:rPr>
                <w:sz w:val="16"/>
                <w:szCs w:val="16"/>
              </w:rPr>
              <w:t>France</w:t>
            </w:r>
          </w:p>
        </w:tc>
        <w:tc>
          <w:tcPr>
            <w:tcW w:w="1985" w:type="dxa"/>
            <w:vAlign w:val="bottom"/>
          </w:tcPr>
          <w:p w:rsidR="00971E76" w:rsidRPr="00CD5E17" w:rsidRDefault="00971E76" w:rsidP="006F6BAE">
            <w:pPr>
              <w:pStyle w:val="SVEtablecontent"/>
              <w:rPr>
                <w:sz w:val="16"/>
                <w:szCs w:val="16"/>
              </w:rPr>
            </w:pPr>
            <w:r w:rsidRPr="00CD5E17">
              <w:rPr>
                <w:sz w:val="16"/>
                <w:szCs w:val="16"/>
              </w:rPr>
              <w:t>Tenesol SA</w:t>
            </w:r>
          </w:p>
        </w:tc>
        <w:tc>
          <w:tcPr>
            <w:tcW w:w="1134" w:type="dxa"/>
            <w:vAlign w:val="bottom"/>
          </w:tcPr>
          <w:p w:rsidR="00971E76" w:rsidRPr="00CD5E17" w:rsidRDefault="00971E76" w:rsidP="006F6BAE">
            <w:pPr>
              <w:pStyle w:val="SVEtablecontent"/>
              <w:rPr>
                <w:sz w:val="16"/>
                <w:szCs w:val="16"/>
              </w:rPr>
            </w:pPr>
            <w:r w:rsidRPr="00CD5E17">
              <w:rPr>
                <w:sz w:val="16"/>
                <w:szCs w:val="16"/>
              </w:rPr>
              <w:t>France</w:t>
            </w:r>
          </w:p>
        </w:tc>
        <w:tc>
          <w:tcPr>
            <w:tcW w:w="1843" w:type="dxa"/>
            <w:vAlign w:val="bottom"/>
          </w:tcPr>
          <w:p w:rsidR="00971E76" w:rsidRPr="00CD5E17" w:rsidRDefault="00971E76" w:rsidP="006F6BAE">
            <w:pPr>
              <w:pStyle w:val="SVEtablecontent"/>
              <w:rPr>
                <w:sz w:val="16"/>
                <w:szCs w:val="16"/>
              </w:rPr>
            </w:pPr>
            <w:r w:rsidRPr="00CD5E17">
              <w:rPr>
                <w:sz w:val="16"/>
                <w:szCs w:val="16"/>
              </w:rPr>
              <w:t>Acquisition Of Assets</w:t>
            </w:r>
          </w:p>
        </w:tc>
      </w:tr>
      <w:tr w:rsidR="00971E76" w:rsidRPr="00A30F81" w:rsidTr="001624D5">
        <w:tc>
          <w:tcPr>
            <w:tcW w:w="1418" w:type="dxa"/>
          </w:tcPr>
          <w:p w:rsidR="00971E76" w:rsidRPr="00CD5E17" w:rsidRDefault="00971E76" w:rsidP="006F6BAE">
            <w:pPr>
              <w:pStyle w:val="SVEtablecontent"/>
              <w:rPr>
                <w:sz w:val="16"/>
                <w:szCs w:val="16"/>
              </w:rPr>
            </w:pPr>
            <w:r w:rsidRPr="00CD5E17">
              <w:rPr>
                <w:sz w:val="16"/>
                <w:szCs w:val="16"/>
              </w:rPr>
              <w:t>02/11/2010</w:t>
            </w:r>
          </w:p>
        </w:tc>
        <w:tc>
          <w:tcPr>
            <w:tcW w:w="1135" w:type="dxa"/>
            <w:vAlign w:val="bottom"/>
          </w:tcPr>
          <w:p w:rsidR="00971E76" w:rsidRPr="00CD5E17" w:rsidRDefault="00971E76" w:rsidP="006F6BAE">
            <w:pPr>
              <w:pStyle w:val="SVEtablecontent"/>
              <w:rPr>
                <w:sz w:val="16"/>
                <w:szCs w:val="16"/>
              </w:rPr>
            </w:pPr>
            <w:r w:rsidRPr="00CD5E17">
              <w:rPr>
                <w:sz w:val="16"/>
                <w:szCs w:val="16"/>
              </w:rPr>
              <w:t>Suncor Energy Inc</w:t>
            </w:r>
          </w:p>
        </w:tc>
        <w:tc>
          <w:tcPr>
            <w:tcW w:w="1417" w:type="dxa"/>
            <w:vAlign w:val="bottom"/>
          </w:tcPr>
          <w:p w:rsidR="00971E76" w:rsidRPr="00CD5E17" w:rsidRDefault="00971E76" w:rsidP="006F6BAE">
            <w:pPr>
              <w:pStyle w:val="SVEtablecontent"/>
              <w:rPr>
                <w:sz w:val="16"/>
                <w:szCs w:val="16"/>
              </w:rPr>
            </w:pPr>
            <w:r w:rsidRPr="00CD5E17">
              <w:rPr>
                <w:sz w:val="16"/>
                <w:szCs w:val="16"/>
              </w:rPr>
              <w:t>Suncor Energy Inc</w:t>
            </w:r>
          </w:p>
        </w:tc>
        <w:tc>
          <w:tcPr>
            <w:tcW w:w="1559" w:type="dxa"/>
          </w:tcPr>
          <w:p w:rsidR="00971E76" w:rsidRPr="00CD5E17" w:rsidRDefault="00971E76" w:rsidP="006F6BAE">
            <w:pPr>
              <w:pStyle w:val="SVEtablecontent"/>
              <w:rPr>
                <w:sz w:val="16"/>
                <w:szCs w:val="16"/>
              </w:rPr>
            </w:pPr>
            <w:r w:rsidRPr="00CD5E17">
              <w:rPr>
                <w:sz w:val="16"/>
                <w:szCs w:val="16"/>
              </w:rPr>
              <w:t>SU.TO</w:t>
            </w:r>
          </w:p>
        </w:tc>
        <w:tc>
          <w:tcPr>
            <w:tcW w:w="1134" w:type="dxa"/>
            <w:vAlign w:val="bottom"/>
          </w:tcPr>
          <w:p w:rsidR="00971E76" w:rsidRPr="00CD5E17" w:rsidRDefault="00971E76" w:rsidP="006F6BAE">
            <w:pPr>
              <w:pStyle w:val="SVEtablecontent"/>
              <w:rPr>
                <w:sz w:val="16"/>
                <w:szCs w:val="16"/>
              </w:rPr>
            </w:pPr>
            <w:r w:rsidRPr="00CD5E17">
              <w:rPr>
                <w:sz w:val="16"/>
                <w:szCs w:val="16"/>
              </w:rPr>
              <w:t>Canada</w:t>
            </w:r>
          </w:p>
        </w:tc>
        <w:tc>
          <w:tcPr>
            <w:tcW w:w="1985" w:type="dxa"/>
            <w:vAlign w:val="bottom"/>
          </w:tcPr>
          <w:p w:rsidR="00971E76" w:rsidRPr="00CD5E17" w:rsidRDefault="00971E76" w:rsidP="006F6BAE">
            <w:pPr>
              <w:pStyle w:val="SVEtablecontent"/>
              <w:rPr>
                <w:sz w:val="16"/>
                <w:szCs w:val="16"/>
                <w:highlight w:val="cyan"/>
                <w:lang w:val="en-GB"/>
              </w:rPr>
            </w:pPr>
            <w:r w:rsidRPr="00CD5E17">
              <w:rPr>
                <w:sz w:val="16"/>
                <w:szCs w:val="16"/>
                <w:highlight w:val="cyan"/>
                <w:lang w:val="en-GB"/>
              </w:rPr>
              <w:t>General Electric Co-Wind Turbines(55)</w:t>
            </w:r>
          </w:p>
        </w:tc>
        <w:tc>
          <w:tcPr>
            <w:tcW w:w="1134" w:type="dxa"/>
            <w:vAlign w:val="bottom"/>
          </w:tcPr>
          <w:p w:rsidR="00971E76" w:rsidRPr="00CD5E17" w:rsidRDefault="00971E76" w:rsidP="006F6BAE">
            <w:pPr>
              <w:pStyle w:val="SVEtablecontent"/>
              <w:rPr>
                <w:sz w:val="16"/>
                <w:szCs w:val="16"/>
              </w:rPr>
            </w:pPr>
            <w:r w:rsidRPr="00CD5E17">
              <w:rPr>
                <w:sz w:val="16"/>
                <w:szCs w:val="16"/>
              </w:rPr>
              <w:t>Canada</w:t>
            </w:r>
          </w:p>
        </w:tc>
        <w:tc>
          <w:tcPr>
            <w:tcW w:w="1843" w:type="dxa"/>
            <w:vAlign w:val="bottom"/>
          </w:tcPr>
          <w:p w:rsidR="00971E76" w:rsidRPr="00CD5E17" w:rsidRDefault="00971E76" w:rsidP="006F6BAE">
            <w:pPr>
              <w:pStyle w:val="SVEtablecontent"/>
              <w:rPr>
                <w:sz w:val="16"/>
                <w:szCs w:val="16"/>
              </w:rPr>
            </w:pPr>
            <w:r w:rsidRPr="00CD5E17">
              <w:rPr>
                <w:sz w:val="16"/>
                <w:szCs w:val="16"/>
              </w:rPr>
              <w:t>Merger</w:t>
            </w:r>
          </w:p>
        </w:tc>
      </w:tr>
      <w:tr w:rsidR="00971E76" w:rsidRPr="00A30F81" w:rsidTr="001624D5">
        <w:tc>
          <w:tcPr>
            <w:tcW w:w="1418" w:type="dxa"/>
          </w:tcPr>
          <w:p w:rsidR="00971E76" w:rsidRPr="00CD5E17" w:rsidRDefault="00971E76" w:rsidP="006F6BAE">
            <w:pPr>
              <w:pStyle w:val="SVEtablecontent"/>
              <w:rPr>
                <w:sz w:val="16"/>
                <w:szCs w:val="16"/>
              </w:rPr>
            </w:pPr>
            <w:r w:rsidRPr="00CD5E17">
              <w:rPr>
                <w:sz w:val="16"/>
                <w:szCs w:val="16"/>
              </w:rPr>
              <w:t>15/04/2010</w:t>
            </w:r>
          </w:p>
        </w:tc>
        <w:tc>
          <w:tcPr>
            <w:tcW w:w="1135" w:type="dxa"/>
            <w:vAlign w:val="bottom"/>
          </w:tcPr>
          <w:p w:rsidR="00971E76" w:rsidRPr="00CD5E17" w:rsidRDefault="00971E76" w:rsidP="006F6BAE">
            <w:pPr>
              <w:pStyle w:val="SVEtablecontent"/>
              <w:rPr>
                <w:sz w:val="16"/>
                <w:szCs w:val="16"/>
              </w:rPr>
            </w:pPr>
            <w:r w:rsidRPr="00CD5E17">
              <w:rPr>
                <w:sz w:val="16"/>
                <w:szCs w:val="16"/>
              </w:rPr>
              <w:t>OMV AG</w:t>
            </w:r>
          </w:p>
        </w:tc>
        <w:tc>
          <w:tcPr>
            <w:tcW w:w="1417" w:type="dxa"/>
            <w:vAlign w:val="bottom"/>
          </w:tcPr>
          <w:p w:rsidR="00971E76" w:rsidRPr="00CD5E17" w:rsidRDefault="00971E76" w:rsidP="006F6BAE">
            <w:pPr>
              <w:pStyle w:val="SVEtablecontent"/>
              <w:rPr>
                <w:sz w:val="16"/>
                <w:szCs w:val="16"/>
              </w:rPr>
            </w:pPr>
            <w:r w:rsidRPr="00CD5E17">
              <w:rPr>
                <w:sz w:val="16"/>
                <w:szCs w:val="16"/>
              </w:rPr>
              <w:t>OMV Petrom SA</w:t>
            </w:r>
          </w:p>
        </w:tc>
        <w:tc>
          <w:tcPr>
            <w:tcW w:w="1559" w:type="dxa"/>
          </w:tcPr>
          <w:p w:rsidR="00971E76" w:rsidRPr="00CD5E17" w:rsidRDefault="00971E76" w:rsidP="006F6BAE">
            <w:pPr>
              <w:pStyle w:val="SVEtablecontent"/>
              <w:rPr>
                <w:sz w:val="16"/>
                <w:szCs w:val="16"/>
              </w:rPr>
            </w:pPr>
            <w:r w:rsidRPr="00CD5E17">
              <w:rPr>
                <w:sz w:val="16"/>
                <w:szCs w:val="16"/>
              </w:rPr>
              <w:t>ROSNP.BX</w:t>
            </w:r>
          </w:p>
        </w:tc>
        <w:tc>
          <w:tcPr>
            <w:tcW w:w="1134" w:type="dxa"/>
            <w:vAlign w:val="bottom"/>
          </w:tcPr>
          <w:p w:rsidR="00971E76" w:rsidRPr="00CD5E17" w:rsidRDefault="00971E76" w:rsidP="006F6BAE">
            <w:pPr>
              <w:pStyle w:val="SVEtablecontent"/>
              <w:rPr>
                <w:sz w:val="16"/>
                <w:szCs w:val="16"/>
              </w:rPr>
            </w:pPr>
            <w:r w:rsidRPr="00CD5E17">
              <w:rPr>
                <w:sz w:val="16"/>
                <w:szCs w:val="16"/>
              </w:rPr>
              <w:t>Romania</w:t>
            </w:r>
          </w:p>
        </w:tc>
        <w:tc>
          <w:tcPr>
            <w:tcW w:w="1985" w:type="dxa"/>
            <w:vAlign w:val="bottom"/>
          </w:tcPr>
          <w:p w:rsidR="00971E76" w:rsidRPr="00CD5E17" w:rsidRDefault="00971E76" w:rsidP="006F6BAE">
            <w:pPr>
              <w:pStyle w:val="SVEtablecontent"/>
              <w:rPr>
                <w:sz w:val="16"/>
                <w:szCs w:val="16"/>
                <w:highlight w:val="cyan"/>
                <w:lang w:val="en-GB"/>
              </w:rPr>
            </w:pPr>
            <w:r w:rsidRPr="00CD5E17">
              <w:rPr>
                <w:sz w:val="16"/>
                <w:szCs w:val="16"/>
                <w:highlight w:val="cyan"/>
                <w:lang w:val="en-GB"/>
              </w:rPr>
              <w:t>SC Wind Power Park SRL</w:t>
            </w:r>
          </w:p>
        </w:tc>
        <w:tc>
          <w:tcPr>
            <w:tcW w:w="1134" w:type="dxa"/>
            <w:vAlign w:val="bottom"/>
          </w:tcPr>
          <w:p w:rsidR="00971E76" w:rsidRPr="00CD5E17" w:rsidRDefault="00971E76" w:rsidP="006F6BAE">
            <w:pPr>
              <w:pStyle w:val="SVEtablecontent"/>
              <w:rPr>
                <w:sz w:val="16"/>
                <w:szCs w:val="16"/>
              </w:rPr>
            </w:pPr>
            <w:r w:rsidRPr="00CD5E17">
              <w:rPr>
                <w:sz w:val="16"/>
                <w:szCs w:val="16"/>
              </w:rPr>
              <w:t>Romania</w:t>
            </w:r>
          </w:p>
        </w:tc>
        <w:tc>
          <w:tcPr>
            <w:tcW w:w="1843" w:type="dxa"/>
            <w:vAlign w:val="bottom"/>
          </w:tcPr>
          <w:p w:rsidR="00971E76" w:rsidRPr="00CD5E17" w:rsidRDefault="00971E76" w:rsidP="006F6BAE">
            <w:pPr>
              <w:pStyle w:val="SVEtablecontent"/>
              <w:rPr>
                <w:sz w:val="16"/>
                <w:szCs w:val="16"/>
              </w:rPr>
            </w:pPr>
            <w:r w:rsidRPr="00CD5E17">
              <w:rPr>
                <w:sz w:val="16"/>
                <w:szCs w:val="16"/>
              </w:rPr>
              <w:t>Acquisition Of Assets</w:t>
            </w:r>
          </w:p>
        </w:tc>
      </w:tr>
      <w:tr w:rsidR="00971E76" w:rsidTr="001624D5">
        <w:tc>
          <w:tcPr>
            <w:tcW w:w="1418" w:type="dxa"/>
          </w:tcPr>
          <w:p w:rsidR="00971E76" w:rsidRPr="00CD5E17" w:rsidRDefault="00971E76" w:rsidP="006F6BAE">
            <w:pPr>
              <w:pStyle w:val="SVEtablecontent"/>
              <w:rPr>
                <w:sz w:val="16"/>
                <w:szCs w:val="16"/>
              </w:rPr>
            </w:pPr>
            <w:r w:rsidRPr="00CD5E17">
              <w:rPr>
                <w:sz w:val="16"/>
                <w:szCs w:val="16"/>
              </w:rPr>
              <w:t>28/07/2009</w:t>
            </w:r>
          </w:p>
        </w:tc>
        <w:tc>
          <w:tcPr>
            <w:tcW w:w="1135" w:type="dxa"/>
            <w:vAlign w:val="bottom"/>
          </w:tcPr>
          <w:p w:rsidR="00971E76" w:rsidRPr="00CD5E17" w:rsidRDefault="00971E76" w:rsidP="006F6BAE">
            <w:pPr>
              <w:pStyle w:val="SVEtablecontent"/>
              <w:rPr>
                <w:sz w:val="16"/>
                <w:szCs w:val="16"/>
              </w:rPr>
            </w:pPr>
            <w:r w:rsidRPr="00CD5E17">
              <w:rPr>
                <w:sz w:val="16"/>
                <w:szCs w:val="16"/>
              </w:rPr>
              <w:t>BP PLC</w:t>
            </w:r>
          </w:p>
        </w:tc>
        <w:tc>
          <w:tcPr>
            <w:tcW w:w="1417" w:type="dxa"/>
            <w:vAlign w:val="bottom"/>
          </w:tcPr>
          <w:p w:rsidR="00971E76" w:rsidRPr="00CD5E17" w:rsidRDefault="00971E76" w:rsidP="006F6BAE">
            <w:pPr>
              <w:pStyle w:val="SVEtablecontent"/>
              <w:rPr>
                <w:sz w:val="16"/>
                <w:szCs w:val="16"/>
              </w:rPr>
            </w:pPr>
            <w:r w:rsidRPr="00CD5E17">
              <w:rPr>
                <w:sz w:val="16"/>
                <w:szCs w:val="16"/>
              </w:rPr>
              <w:t>BP Solar Espana SAU</w:t>
            </w:r>
          </w:p>
        </w:tc>
        <w:tc>
          <w:tcPr>
            <w:tcW w:w="1559" w:type="dxa"/>
          </w:tcPr>
          <w:p w:rsidR="00971E76" w:rsidRPr="00CD5E17" w:rsidRDefault="00971E76" w:rsidP="006F6BAE">
            <w:pPr>
              <w:pStyle w:val="SVEtablecontent"/>
              <w:rPr>
                <w:sz w:val="16"/>
                <w:szCs w:val="16"/>
              </w:rPr>
            </w:pPr>
            <w:r w:rsidRPr="00CD5E17">
              <w:rPr>
                <w:sz w:val="16"/>
                <w:szCs w:val="16"/>
              </w:rPr>
              <w:t>BP.L</w:t>
            </w:r>
          </w:p>
        </w:tc>
        <w:tc>
          <w:tcPr>
            <w:tcW w:w="1134" w:type="dxa"/>
            <w:vAlign w:val="bottom"/>
          </w:tcPr>
          <w:p w:rsidR="00971E76" w:rsidRPr="00CD5E17" w:rsidRDefault="00971E76" w:rsidP="006F6BAE">
            <w:pPr>
              <w:pStyle w:val="SVEtablecontent"/>
              <w:rPr>
                <w:sz w:val="16"/>
                <w:szCs w:val="16"/>
              </w:rPr>
            </w:pPr>
            <w:r w:rsidRPr="00CD5E17">
              <w:rPr>
                <w:sz w:val="16"/>
                <w:szCs w:val="16"/>
              </w:rPr>
              <w:t>Spain</w:t>
            </w:r>
          </w:p>
        </w:tc>
        <w:tc>
          <w:tcPr>
            <w:tcW w:w="1985" w:type="dxa"/>
            <w:vAlign w:val="bottom"/>
          </w:tcPr>
          <w:p w:rsidR="00971E76" w:rsidRPr="00CD5E17" w:rsidRDefault="00971E76" w:rsidP="006F6BAE">
            <w:pPr>
              <w:pStyle w:val="SVEtablecontent"/>
              <w:rPr>
                <w:sz w:val="16"/>
                <w:szCs w:val="16"/>
              </w:rPr>
            </w:pPr>
            <w:r w:rsidRPr="00CD5E17">
              <w:rPr>
                <w:sz w:val="16"/>
                <w:szCs w:val="16"/>
              </w:rPr>
              <w:t>Orisol Corporacion Energetica SA</w:t>
            </w:r>
          </w:p>
        </w:tc>
        <w:tc>
          <w:tcPr>
            <w:tcW w:w="1134" w:type="dxa"/>
            <w:vAlign w:val="bottom"/>
          </w:tcPr>
          <w:p w:rsidR="00971E76" w:rsidRPr="00CD5E17" w:rsidRDefault="00971E76" w:rsidP="006F6BAE">
            <w:pPr>
              <w:pStyle w:val="SVEtablecontent"/>
              <w:rPr>
                <w:sz w:val="16"/>
                <w:szCs w:val="16"/>
              </w:rPr>
            </w:pPr>
            <w:r w:rsidRPr="00CD5E17">
              <w:rPr>
                <w:sz w:val="16"/>
                <w:szCs w:val="16"/>
              </w:rPr>
              <w:t>Spain</w:t>
            </w:r>
          </w:p>
        </w:tc>
        <w:tc>
          <w:tcPr>
            <w:tcW w:w="1843" w:type="dxa"/>
            <w:vAlign w:val="bottom"/>
          </w:tcPr>
          <w:p w:rsidR="00971E76" w:rsidRPr="00CD5E17" w:rsidRDefault="00971E76" w:rsidP="006F6BAE">
            <w:pPr>
              <w:pStyle w:val="SVEtablecontent"/>
              <w:rPr>
                <w:sz w:val="16"/>
                <w:szCs w:val="16"/>
              </w:rPr>
            </w:pPr>
            <w:r w:rsidRPr="00CD5E17">
              <w:rPr>
                <w:sz w:val="16"/>
                <w:szCs w:val="16"/>
              </w:rPr>
              <w:t>Merger</w:t>
            </w:r>
          </w:p>
        </w:tc>
      </w:tr>
      <w:tr w:rsidR="00971E76" w:rsidTr="001624D5">
        <w:tc>
          <w:tcPr>
            <w:tcW w:w="1418" w:type="dxa"/>
          </w:tcPr>
          <w:p w:rsidR="00971E76" w:rsidRPr="00CD5E17" w:rsidRDefault="00971E76" w:rsidP="006F6BAE">
            <w:pPr>
              <w:pStyle w:val="SVEtablecontent"/>
              <w:rPr>
                <w:sz w:val="16"/>
                <w:szCs w:val="16"/>
              </w:rPr>
            </w:pPr>
            <w:r w:rsidRPr="00CD5E17">
              <w:rPr>
                <w:sz w:val="16"/>
                <w:szCs w:val="16"/>
              </w:rPr>
              <w:t>26/02/2008</w:t>
            </w:r>
          </w:p>
        </w:tc>
        <w:tc>
          <w:tcPr>
            <w:tcW w:w="1135" w:type="dxa"/>
            <w:vAlign w:val="bottom"/>
          </w:tcPr>
          <w:p w:rsidR="00971E76" w:rsidRPr="00CD5E17" w:rsidRDefault="00971E76" w:rsidP="006F6BAE">
            <w:pPr>
              <w:pStyle w:val="SVEtablecontent"/>
              <w:rPr>
                <w:sz w:val="16"/>
                <w:szCs w:val="16"/>
              </w:rPr>
            </w:pPr>
            <w:r w:rsidRPr="00CD5E17">
              <w:rPr>
                <w:sz w:val="16"/>
                <w:szCs w:val="16"/>
              </w:rPr>
              <w:t>Gaz de France SA</w:t>
            </w:r>
          </w:p>
        </w:tc>
        <w:tc>
          <w:tcPr>
            <w:tcW w:w="1417" w:type="dxa"/>
            <w:vAlign w:val="bottom"/>
          </w:tcPr>
          <w:p w:rsidR="00971E76" w:rsidRPr="00CD5E17" w:rsidRDefault="00971E76" w:rsidP="006F6BAE">
            <w:pPr>
              <w:pStyle w:val="SVEtablecontent"/>
              <w:rPr>
                <w:sz w:val="16"/>
                <w:szCs w:val="16"/>
              </w:rPr>
            </w:pPr>
            <w:r w:rsidRPr="00CD5E17">
              <w:rPr>
                <w:sz w:val="16"/>
                <w:szCs w:val="16"/>
              </w:rPr>
              <w:t>Gaz de France SA</w:t>
            </w:r>
          </w:p>
        </w:tc>
        <w:tc>
          <w:tcPr>
            <w:tcW w:w="1559" w:type="dxa"/>
          </w:tcPr>
          <w:p w:rsidR="00971E76" w:rsidRPr="00CD5E17" w:rsidRDefault="00971E76" w:rsidP="006F6BAE">
            <w:pPr>
              <w:pStyle w:val="SVEtablecontent"/>
              <w:rPr>
                <w:sz w:val="16"/>
                <w:szCs w:val="16"/>
              </w:rPr>
            </w:pPr>
            <w:r w:rsidRPr="00CD5E17">
              <w:rPr>
                <w:sz w:val="16"/>
                <w:szCs w:val="16"/>
              </w:rPr>
              <w:t>ENGIE.PA</w:t>
            </w:r>
          </w:p>
        </w:tc>
        <w:tc>
          <w:tcPr>
            <w:tcW w:w="1134" w:type="dxa"/>
            <w:vAlign w:val="bottom"/>
          </w:tcPr>
          <w:p w:rsidR="00971E76" w:rsidRPr="00CD5E17" w:rsidRDefault="00971E76" w:rsidP="006F6BAE">
            <w:pPr>
              <w:pStyle w:val="SVEtablecontent"/>
              <w:rPr>
                <w:sz w:val="16"/>
                <w:szCs w:val="16"/>
              </w:rPr>
            </w:pPr>
            <w:r w:rsidRPr="00CD5E17">
              <w:rPr>
                <w:sz w:val="16"/>
                <w:szCs w:val="16"/>
              </w:rPr>
              <w:t>France</w:t>
            </w:r>
          </w:p>
        </w:tc>
        <w:tc>
          <w:tcPr>
            <w:tcW w:w="1985" w:type="dxa"/>
            <w:vAlign w:val="bottom"/>
          </w:tcPr>
          <w:p w:rsidR="00971E76" w:rsidRPr="00CD5E17" w:rsidRDefault="00971E76" w:rsidP="006F6BAE">
            <w:pPr>
              <w:pStyle w:val="SVEtablecontent"/>
              <w:rPr>
                <w:sz w:val="16"/>
                <w:szCs w:val="16"/>
              </w:rPr>
            </w:pPr>
            <w:r w:rsidRPr="00CD5E17">
              <w:rPr>
                <w:sz w:val="16"/>
                <w:szCs w:val="16"/>
              </w:rPr>
              <w:t>Nass &amp; Wind Technologie SAS</w:t>
            </w:r>
          </w:p>
        </w:tc>
        <w:tc>
          <w:tcPr>
            <w:tcW w:w="1134" w:type="dxa"/>
            <w:vAlign w:val="bottom"/>
          </w:tcPr>
          <w:p w:rsidR="00971E76" w:rsidRPr="00CD5E17" w:rsidRDefault="00971E76" w:rsidP="006F6BAE">
            <w:pPr>
              <w:pStyle w:val="SVEtablecontent"/>
              <w:rPr>
                <w:sz w:val="16"/>
                <w:szCs w:val="16"/>
              </w:rPr>
            </w:pPr>
            <w:r w:rsidRPr="00CD5E17">
              <w:rPr>
                <w:sz w:val="16"/>
                <w:szCs w:val="16"/>
              </w:rPr>
              <w:t>United Kingdom</w:t>
            </w:r>
          </w:p>
        </w:tc>
        <w:tc>
          <w:tcPr>
            <w:tcW w:w="1843" w:type="dxa"/>
            <w:vAlign w:val="bottom"/>
          </w:tcPr>
          <w:p w:rsidR="00971E76" w:rsidRPr="00CD5E17" w:rsidRDefault="00971E76" w:rsidP="006F6BAE">
            <w:pPr>
              <w:pStyle w:val="SVEtablecontent"/>
              <w:rPr>
                <w:sz w:val="16"/>
                <w:szCs w:val="16"/>
              </w:rPr>
            </w:pPr>
            <w:r w:rsidRPr="00CD5E17">
              <w:rPr>
                <w:sz w:val="16"/>
                <w:szCs w:val="16"/>
              </w:rPr>
              <w:t>Acquisition Of Assets</w:t>
            </w:r>
          </w:p>
        </w:tc>
      </w:tr>
      <w:tr w:rsidR="00971E76" w:rsidTr="001624D5">
        <w:tc>
          <w:tcPr>
            <w:tcW w:w="1418" w:type="dxa"/>
          </w:tcPr>
          <w:p w:rsidR="00971E76" w:rsidRPr="00CD5E17" w:rsidRDefault="00971E76" w:rsidP="006F6BAE">
            <w:pPr>
              <w:pStyle w:val="SVEtablecontent"/>
              <w:rPr>
                <w:sz w:val="16"/>
                <w:szCs w:val="16"/>
              </w:rPr>
            </w:pPr>
            <w:r w:rsidRPr="00CD5E17">
              <w:rPr>
                <w:sz w:val="16"/>
                <w:szCs w:val="16"/>
              </w:rPr>
              <w:t>20/04/2005</w:t>
            </w:r>
          </w:p>
        </w:tc>
        <w:tc>
          <w:tcPr>
            <w:tcW w:w="1135" w:type="dxa"/>
            <w:vAlign w:val="bottom"/>
          </w:tcPr>
          <w:p w:rsidR="00971E76" w:rsidRPr="00CD5E17" w:rsidRDefault="00971E76" w:rsidP="006F6BAE">
            <w:pPr>
              <w:pStyle w:val="SVEtablecontent"/>
              <w:rPr>
                <w:sz w:val="16"/>
                <w:szCs w:val="16"/>
              </w:rPr>
            </w:pPr>
            <w:r w:rsidRPr="00CD5E17">
              <w:rPr>
                <w:sz w:val="16"/>
                <w:szCs w:val="16"/>
              </w:rPr>
              <w:t>Gas Natural SDG SA</w:t>
            </w:r>
          </w:p>
        </w:tc>
        <w:tc>
          <w:tcPr>
            <w:tcW w:w="1417" w:type="dxa"/>
            <w:vAlign w:val="bottom"/>
          </w:tcPr>
          <w:p w:rsidR="00971E76" w:rsidRPr="00CD5E17" w:rsidRDefault="00971E76" w:rsidP="006F6BAE">
            <w:pPr>
              <w:pStyle w:val="SVEtablecontent"/>
              <w:rPr>
                <w:sz w:val="16"/>
                <w:szCs w:val="16"/>
              </w:rPr>
            </w:pPr>
            <w:r w:rsidRPr="00CD5E17">
              <w:rPr>
                <w:sz w:val="16"/>
                <w:szCs w:val="16"/>
              </w:rPr>
              <w:t>Gas Natural SDG SA</w:t>
            </w:r>
          </w:p>
        </w:tc>
        <w:tc>
          <w:tcPr>
            <w:tcW w:w="1559" w:type="dxa"/>
          </w:tcPr>
          <w:p w:rsidR="00971E76" w:rsidRPr="00CD5E17" w:rsidRDefault="00971E76" w:rsidP="006F6BAE">
            <w:pPr>
              <w:pStyle w:val="SVEtablecontent"/>
              <w:rPr>
                <w:sz w:val="16"/>
                <w:szCs w:val="16"/>
              </w:rPr>
            </w:pPr>
            <w:r w:rsidRPr="00CD5E17">
              <w:rPr>
                <w:sz w:val="16"/>
                <w:szCs w:val="16"/>
              </w:rPr>
              <w:t>NTGY.MC</w:t>
            </w:r>
          </w:p>
        </w:tc>
        <w:tc>
          <w:tcPr>
            <w:tcW w:w="1134" w:type="dxa"/>
            <w:vAlign w:val="bottom"/>
          </w:tcPr>
          <w:p w:rsidR="00971E76" w:rsidRPr="00CD5E17" w:rsidRDefault="00971E76" w:rsidP="006F6BAE">
            <w:pPr>
              <w:pStyle w:val="SVEtablecontent"/>
              <w:rPr>
                <w:sz w:val="16"/>
                <w:szCs w:val="16"/>
              </w:rPr>
            </w:pPr>
            <w:r w:rsidRPr="00CD5E17">
              <w:rPr>
                <w:sz w:val="16"/>
                <w:szCs w:val="16"/>
              </w:rPr>
              <w:t>Spain</w:t>
            </w:r>
          </w:p>
        </w:tc>
        <w:tc>
          <w:tcPr>
            <w:tcW w:w="1985" w:type="dxa"/>
            <w:vAlign w:val="bottom"/>
          </w:tcPr>
          <w:p w:rsidR="00971E76" w:rsidRPr="00CD5E17" w:rsidRDefault="00971E76" w:rsidP="006F6BAE">
            <w:pPr>
              <w:pStyle w:val="SVEtablecontent"/>
              <w:rPr>
                <w:sz w:val="16"/>
                <w:szCs w:val="16"/>
              </w:rPr>
            </w:pPr>
            <w:r w:rsidRPr="00CD5E17">
              <w:rPr>
                <w:sz w:val="16"/>
                <w:szCs w:val="16"/>
              </w:rPr>
              <w:t>Dersa SA</w:t>
            </w:r>
          </w:p>
        </w:tc>
        <w:tc>
          <w:tcPr>
            <w:tcW w:w="1134" w:type="dxa"/>
            <w:vAlign w:val="bottom"/>
          </w:tcPr>
          <w:p w:rsidR="00971E76" w:rsidRPr="00CD5E17" w:rsidRDefault="00971E76" w:rsidP="006F6BAE">
            <w:pPr>
              <w:pStyle w:val="SVEtablecontent"/>
              <w:rPr>
                <w:sz w:val="16"/>
                <w:szCs w:val="16"/>
              </w:rPr>
            </w:pPr>
            <w:r w:rsidRPr="00CD5E17">
              <w:rPr>
                <w:sz w:val="16"/>
                <w:szCs w:val="16"/>
              </w:rPr>
              <w:t>Spain</w:t>
            </w:r>
          </w:p>
        </w:tc>
        <w:tc>
          <w:tcPr>
            <w:tcW w:w="1843" w:type="dxa"/>
            <w:vAlign w:val="bottom"/>
          </w:tcPr>
          <w:p w:rsidR="00971E76" w:rsidRPr="00CD5E17" w:rsidRDefault="00971E76" w:rsidP="006F6BAE">
            <w:pPr>
              <w:pStyle w:val="SVEtablecontent"/>
              <w:rPr>
                <w:sz w:val="16"/>
                <w:szCs w:val="16"/>
              </w:rPr>
            </w:pPr>
            <w:r w:rsidRPr="00CD5E17">
              <w:rPr>
                <w:sz w:val="16"/>
                <w:szCs w:val="16"/>
              </w:rPr>
              <w:t>Acquisition Of Assets</w:t>
            </w:r>
          </w:p>
        </w:tc>
      </w:tr>
      <w:tr w:rsidR="00971E76" w:rsidRPr="00A30F81" w:rsidTr="001624D5">
        <w:tc>
          <w:tcPr>
            <w:tcW w:w="1418" w:type="dxa"/>
          </w:tcPr>
          <w:p w:rsidR="00971E76" w:rsidRPr="00CD5E17" w:rsidRDefault="00971E76" w:rsidP="006F6BAE">
            <w:pPr>
              <w:pStyle w:val="SVEtablecontent"/>
              <w:rPr>
                <w:sz w:val="16"/>
                <w:szCs w:val="16"/>
              </w:rPr>
            </w:pPr>
            <w:r w:rsidRPr="00CD5E17">
              <w:rPr>
                <w:sz w:val="16"/>
                <w:szCs w:val="16"/>
              </w:rPr>
              <w:t>23/07/2003</w:t>
            </w:r>
          </w:p>
        </w:tc>
        <w:tc>
          <w:tcPr>
            <w:tcW w:w="1135" w:type="dxa"/>
            <w:vAlign w:val="bottom"/>
          </w:tcPr>
          <w:p w:rsidR="00971E76" w:rsidRPr="00CD5E17" w:rsidRDefault="00971E76" w:rsidP="006F6BAE">
            <w:pPr>
              <w:pStyle w:val="SVEtablecontent"/>
              <w:rPr>
                <w:sz w:val="16"/>
                <w:szCs w:val="16"/>
              </w:rPr>
            </w:pPr>
            <w:r w:rsidRPr="00CD5E17">
              <w:rPr>
                <w:sz w:val="16"/>
                <w:szCs w:val="16"/>
              </w:rPr>
              <w:t>Royal Dutch Petroleum Co</w:t>
            </w:r>
          </w:p>
        </w:tc>
        <w:tc>
          <w:tcPr>
            <w:tcW w:w="1417" w:type="dxa"/>
            <w:vAlign w:val="bottom"/>
          </w:tcPr>
          <w:p w:rsidR="00971E76" w:rsidRPr="00CD5E17" w:rsidRDefault="00971E76" w:rsidP="006F6BAE">
            <w:pPr>
              <w:pStyle w:val="SVEtablecontent"/>
              <w:rPr>
                <w:sz w:val="16"/>
                <w:szCs w:val="16"/>
              </w:rPr>
            </w:pPr>
            <w:r w:rsidRPr="00CD5E17">
              <w:rPr>
                <w:sz w:val="16"/>
                <w:szCs w:val="16"/>
              </w:rPr>
              <w:t>Royal Dutch/Shell Group</w:t>
            </w:r>
          </w:p>
        </w:tc>
        <w:tc>
          <w:tcPr>
            <w:tcW w:w="1559" w:type="dxa"/>
          </w:tcPr>
          <w:p w:rsidR="00971E76" w:rsidRPr="00CD5E17" w:rsidRDefault="00971E76" w:rsidP="006F6BAE">
            <w:pPr>
              <w:pStyle w:val="SVEtablecontent"/>
              <w:rPr>
                <w:sz w:val="16"/>
                <w:szCs w:val="16"/>
              </w:rPr>
            </w:pPr>
            <w:r w:rsidRPr="00CD5E17">
              <w:rPr>
                <w:sz w:val="16"/>
                <w:szCs w:val="16"/>
              </w:rPr>
              <w:t>RDSa.AS</w:t>
            </w:r>
          </w:p>
        </w:tc>
        <w:tc>
          <w:tcPr>
            <w:tcW w:w="1134" w:type="dxa"/>
            <w:vAlign w:val="bottom"/>
          </w:tcPr>
          <w:p w:rsidR="00971E76" w:rsidRPr="00CD5E17" w:rsidRDefault="00971E76" w:rsidP="006F6BAE">
            <w:pPr>
              <w:pStyle w:val="SVEtablecontent"/>
              <w:rPr>
                <w:sz w:val="16"/>
                <w:szCs w:val="16"/>
              </w:rPr>
            </w:pPr>
            <w:r w:rsidRPr="00CD5E17">
              <w:rPr>
                <w:sz w:val="16"/>
                <w:szCs w:val="16"/>
              </w:rPr>
              <w:t>Netherlands</w:t>
            </w:r>
          </w:p>
        </w:tc>
        <w:tc>
          <w:tcPr>
            <w:tcW w:w="1985" w:type="dxa"/>
            <w:vAlign w:val="bottom"/>
          </w:tcPr>
          <w:p w:rsidR="00971E76" w:rsidRPr="00CD5E17" w:rsidRDefault="00971E76" w:rsidP="006F6BAE">
            <w:pPr>
              <w:pStyle w:val="SVEtablecontent"/>
              <w:rPr>
                <w:sz w:val="16"/>
                <w:szCs w:val="16"/>
                <w:lang w:val="en-GB"/>
              </w:rPr>
            </w:pPr>
            <w:r w:rsidRPr="00CD5E17">
              <w:rPr>
                <w:sz w:val="16"/>
                <w:szCs w:val="16"/>
                <w:highlight w:val="cyan"/>
                <w:lang w:val="en-GB"/>
              </w:rPr>
              <w:t>La Muela Wind Farms Project</w:t>
            </w:r>
          </w:p>
        </w:tc>
        <w:tc>
          <w:tcPr>
            <w:tcW w:w="1134" w:type="dxa"/>
          </w:tcPr>
          <w:p w:rsidR="00971E76" w:rsidRPr="00CD5E17" w:rsidRDefault="00971E76" w:rsidP="006F6BAE">
            <w:pPr>
              <w:pStyle w:val="SVEtablecontent"/>
              <w:rPr>
                <w:sz w:val="16"/>
                <w:szCs w:val="16"/>
              </w:rPr>
            </w:pPr>
          </w:p>
        </w:tc>
        <w:tc>
          <w:tcPr>
            <w:tcW w:w="1843" w:type="dxa"/>
            <w:vAlign w:val="bottom"/>
          </w:tcPr>
          <w:p w:rsidR="00971E76" w:rsidRPr="00CD5E17" w:rsidRDefault="00971E76" w:rsidP="006F6BAE">
            <w:pPr>
              <w:pStyle w:val="SVEtablecontent"/>
              <w:rPr>
                <w:sz w:val="16"/>
                <w:szCs w:val="16"/>
              </w:rPr>
            </w:pPr>
            <w:r w:rsidRPr="00CD5E17">
              <w:rPr>
                <w:sz w:val="16"/>
                <w:szCs w:val="16"/>
              </w:rPr>
              <w:t>Merger</w:t>
            </w:r>
          </w:p>
        </w:tc>
      </w:tr>
    </w:tbl>
    <w:p w:rsidR="00971E76" w:rsidRDefault="00971E76" w:rsidP="00AF071B">
      <w:pPr>
        <w:rPr>
          <w:lang w:val="en-GB"/>
        </w:rPr>
      </w:pPr>
    </w:p>
    <w:p w:rsidR="00AC306E" w:rsidRDefault="00AC306E" w:rsidP="00AF071B">
      <w:pPr>
        <w:rPr>
          <w:lang w:val="en-GB"/>
        </w:rPr>
      </w:pPr>
      <w:r>
        <w:rPr>
          <w:lang w:val="en-GB"/>
        </w:rPr>
        <w:t xml:space="preserve">The meaning </w:t>
      </w:r>
      <w:proofErr w:type="spellStart"/>
      <w:r>
        <w:rPr>
          <w:lang w:val="en-GB"/>
        </w:rPr>
        <w:t>o</w:t>
      </w:r>
      <w:proofErr w:type="spellEnd"/>
      <w:r>
        <w:rPr>
          <w:lang w:val="en-GB"/>
        </w:rPr>
        <w:t xml:space="preserve"> colour for target companies is the same as it is in the short-term study table.</w:t>
      </w:r>
    </w:p>
    <w:p w:rsidR="00226563" w:rsidRDefault="00226563" w:rsidP="00AF071B">
      <w:pPr>
        <w:rPr>
          <w:lang w:val="en-GB"/>
        </w:rPr>
      </w:pPr>
      <w:r>
        <w:rPr>
          <w:lang w:val="en-GB"/>
        </w:rPr>
        <w:t>I do not provide a descriptive statistic for long-term study as the sample is almost the same to short-term sample, the only difference is that data here is restricted by 2017</w:t>
      </w:r>
      <w:r w:rsidR="0081156F">
        <w:rPr>
          <w:lang w:val="en-GB"/>
        </w:rPr>
        <w:t>. I</w:t>
      </w:r>
      <w:r>
        <w:rPr>
          <w:lang w:val="en-GB"/>
        </w:rPr>
        <w:t>n all other terms both lists are similar.</w:t>
      </w:r>
    </w:p>
    <w:p w:rsidR="0081156F" w:rsidRDefault="000B1A6D" w:rsidP="00504DD1">
      <w:pPr>
        <w:pStyle w:val="SVEtablecaption"/>
      </w:pPr>
      <w:r>
        <w:t>Sample vs control</w:t>
      </w:r>
      <w:r w:rsidR="00AE36A4">
        <w:rPr>
          <w:lang w:val="en-GB"/>
        </w:rPr>
        <w:t>. Source [made by author, data acquired from Thomson Eikon]</w:t>
      </w:r>
    </w:p>
    <w:tbl>
      <w:tblPr>
        <w:tblStyle w:val="a6"/>
        <w:tblW w:w="10915" w:type="dxa"/>
        <w:tblInd w:w="-1139" w:type="dxa"/>
        <w:tblLayout w:type="fixed"/>
        <w:tblLook w:val="04A0" w:firstRow="1" w:lastRow="0" w:firstColumn="1" w:lastColumn="0" w:noHBand="0" w:noVBand="1"/>
      </w:tblPr>
      <w:tblGrid>
        <w:gridCol w:w="1626"/>
        <w:gridCol w:w="1351"/>
        <w:gridCol w:w="1254"/>
        <w:gridCol w:w="1411"/>
        <w:gridCol w:w="1729"/>
        <w:gridCol w:w="1134"/>
        <w:gridCol w:w="1381"/>
        <w:gridCol w:w="1029"/>
      </w:tblGrid>
      <w:tr w:rsidR="00B81E3D" w:rsidTr="00C51065">
        <w:trPr>
          <w:trHeight w:val="434"/>
        </w:trPr>
        <w:tc>
          <w:tcPr>
            <w:tcW w:w="10915" w:type="dxa"/>
            <w:gridSpan w:val="8"/>
          </w:tcPr>
          <w:p w:rsidR="00B81E3D" w:rsidRDefault="00B81E3D" w:rsidP="00B81E3D">
            <w:pPr>
              <w:pStyle w:val="SVEtableheader"/>
            </w:pPr>
            <w:r>
              <w:t>Europe</w:t>
            </w:r>
          </w:p>
        </w:tc>
      </w:tr>
      <w:tr w:rsidR="00B81E3D" w:rsidTr="00C51065">
        <w:trPr>
          <w:trHeight w:val="434"/>
        </w:trPr>
        <w:tc>
          <w:tcPr>
            <w:tcW w:w="5642" w:type="dxa"/>
            <w:gridSpan w:val="4"/>
          </w:tcPr>
          <w:p w:rsidR="00B81E3D" w:rsidRDefault="00B81E3D" w:rsidP="00162B39">
            <w:pPr>
              <w:pStyle w:val="SVEtableheader"/>
            </w:pPr>
            <w:r>
              <w:t>Sample</w:t>
            </w:r>
          </w:p>
        </w:tc>
        <w:tc>
          <w:tcPr>
            <w:tcW w:w="5273" w:type="dxa"/>
            <w:gridSpan w:val="4"/>
          </w:tcPr>
          <w:p w:rsidR="00B81E3D" w:rsidRDefault="00B81E3D" w:rsidP="00504DD1">
            <w:pPr>
              <w:pStyle w:val="SVEtableheader"/>
            </w:pPr>
            <w:r>
              <w:t>Control</w:t>
            </w:r>
          </w:p>
        </w:tc>
      </w:tr>
      <w:tr w:rsidR="00162B39" w:rsidTr="0025744E">
        <w:tc>
          <w:tcPr>
            <w:tcW w:w="1626" w:type="dxa"/>
          </w:tcPr>
          <w:p w:rsidR="00162B39" w:rsidRDefault="00162B39" w:rsidP="00162B39">
            <w:pPr>
              <w:pStyle w:val="SVEtableheader"/>
            </w:pPr>
            <w:r>
              <w:t>Company name</w:t>
            </w:r>
          </w:p>
        </w:tc>
        <w:tc>
          <w:tcPr>
            <w:tcW w:w="1351" w:type="dxa"/>
          </w:tcPr>
          <w:p w:rsidR="00162B39" w:rsidRDefault="00162B39" w:rsidP="00162B39">
            <w:pPr>
              <w:pStyle w:val="SVEtableheader"/>
            </w:pPr>
            <w:r>
              <w:t>RIC</w:t>
            </w:r>
          </w:p>
        </w:tc>
        <w:tc>
          <w:tcPr>
            <w:tcW w:w="1254" w:type="dxa"/>
          </w:tcPr>
          <w:p w:rsidR="00162B39" w:rsidRDefault="00162B39" w:rsidP="00162B39">
            <w:pPr>
              <w:pStyle w:val="SVEtableheader"/>
            </w:pPr>
            <w:r>
              <w:t>mcap</w:t>
            </w:r>
          </w:p>
        </w:tc>
        <w:tc>
          <w:tcPr>
            <w:tcW w:w="1411" w:type="dxa"/>
          </w:tcPr>
          <w:p w:rsidR="00162B39" w:rsidRDefault="00162B39" w:rsidP="00162B39">
            <w:pPr>
              <w:pStyle w:val="SVEtableheader"/>
            </w:pPr>
            <w:r>
              <w:t>BE/ME</w:t>
            </w:r>
          </w:p>
        </w:tc>
        <w:tc>
          <w:tcPr>
            <w:tcW w:w="1729" w:type="dxa"/>
          </w:tcPr>
          <w:p w:rsidR="00162B39" w:rsidRDefault="00162B39" w:rsidP="00162B39">
            <w:pPr>
              <w:pStyle w:val="SVEtableheader"/>
            </w:pPr>
            <w:r>
              <w:t>Company name</w:t>
            </w:r>
          </w:p>
        </w:tc>
        <w:tc>
          <w:tcPr>
            <w:tcW w:w="1134" w:type="dxa"/>
          </w:tcPr>
          <w:p w:rsidR="00162B39" w:rsidRDefault="00162B39" w:rsidP="00162B39">
            <w:pPr>
              <w:pStyle w:val="SVEtableheader"/>
            </w:pPr>
            <w:r>
              <w:t>RIC</w:t>
            </w:r>
          </w:p>
        </w:tc>
        <w:tc>
          <w:tcPr>
            <w:tcW w:w="1381" w:type="dxa"/>
          </w:tcPr>
          <w:p w:rsidR="00162B39" w:rsidRDefault="00162B39" w:rsidP="00162B39">
            <w:pPr>
              <w:pStyle w:val="SVEtableheader"/>
            </w:pPr>
            <w:r>
              <w:t>mcap</w:t>
            </w:r>
          </w:p>
        </w:tc>
        <w:tc>
          <w:tcPr>
            <w:tcW w:w="1029" w:type="dxa"/>
          </w:tcPr>
          <w:p w:rsidR="00162B39" w:rsidRDefault="00162B39" w:rsidP="00162B39">
            <w:pPr>
              <w:pStyle w:val="SVEtableheader"/>
            </w:pPr>
            <w:r>
              <w:t>BE/ME</w:t>
            </w:r>
          </w:p>
        </w:tc>
      </w:tr>
      <w:tr w:rsidR="00BF43D4" w:rsidTr="0025744E">
        <w:tc>
          <w:tcPr>
            <w:tcW w:w="1626" w:type="dxa"/>
          </w:tcPr>
          <w:p w:rsidR="00BF43D4" w:rsidRDefault="00BF43D4" w:rsidP="00BF43D4">
            <w:pPr>
              <w:pStyle w:val="SVEtablecontent"/>
            </w:pPr>
            <w:r w:rsidRPr="00504DD1">
              <w:t>Total SA</w:t>
            </w:r>
          </w:p>
        </w:tc>
        <w:tc>
          <w:tcPr>
            <w:tcW w:w="1351" w:type="dxa"/>
          </w:tcPr>
          <w:p w:rsidR="00BF43D4" w:rsidRDefault="00BF43D4" w:rsidP="00BF43D4">
            <w:pPr>
              <w:pStyle w:val="SVEtablecontent"/>
            </w:pPr>
            <w:r w:rsidRPr="00504DD1">
              <w:t>TOTF.PA</w:t>
            </w:r>
          </w:p>
        </w:tc>
        <w:tc>
          <w:tcPr>
            <w:tcW w:w="1254" w:type="dxa"/>
          </w:tcPr>
          <w:p w:rsidR="00BF43D4" w:rsidRDefault="00BF43D4" w:rsidP="00BF43D4">
            <w:pPr>
              <w:pStyle w:val="SVEtablecontent"/>
            </w:pPr>
            <w:r>
              <w:t>168 bill$</w:t>
            </w:r>
          </w:p>
        </w:tc>
        <w:tc>
          <w:tcPr>
            <w:tcW w:w="1411" w:type="dxa"/>
          </w:tcPr>
          <w:p w:rsidR="00BF43D4" w:rsidRPr="00BF43D4" w:rsidRDefault="00BF43D4" w:rsidP="00BF43D4">
            <w:pPr>
              <w:ind w:firstLine="0"/>
              <w:rPr>
                <w:lang w:val="en-GB"/>
              </w:rPr>
            </w:pPr>
            <w:r>
              <w:rPr>
                <w:lang w:val="en-GB"/>
              </w:rPr>
              <w:t>0.7</w:t>
            </w:r>
          </w:p>
        </w:tc>
        <w:tc>
          <w:tcPr>
            <w:tcW w:w="1729" w:type="dxa"/>
          </w:tcPr>
          <w:p w:rsidR="00BF43D4" w:rsidRDefault="00BF43D4" w:rsidP="00BF43D4">
            <w:r w:rsidRPr="008A761E">
              <w:t>BP PLC</w:t>
            </w:r>
          </w:p>
        </w:tc>
        <w:tc>
          <w:tcPr>
            <w:tcW w:w="1134" w:type="dxa"/>
            <w:vAlign w:val="bottom"/>
          </w:tcPr>
          <w:p w:rsidR="00BF43D4" w:rsidRDefault="00BF43D4" w:rsidP="00BF43D4">
            <w:pPr>
              <w:pStyle w:val="SVEtablecontent"/>
            </w:pPr>
            <w:r w:rsidRPr="006067D0">
              <w:t>BP.L</w:t>
            </w:r>
          </w:p>
        </w:tc>
        <w:tc>
          <w:tcPr>
            <w:tcW w:w="1381" w:type="dxa"/>
          </w:tcPr>
          <w:p w:rsidR="00BF43D4" w:rsidRDefault="00BF43D4" w:rsidP="00BF43D4">
            <w:pPr>
              <w:ind w:firstLine="0"/>
            </w:pPr>
            <w:r>
              <w:rPr>
                <w:lang w:val="en-GB"/>
              </w:rPr>
              <w:t xml:space="preserve">145 </w:t>
            </w:r>
            <w:r w:rsidRPr="00083D85">
              <w:t>bill$</w:t>
            </w:r>
          </w:p>
        </w:tc>
        <w:tc>
          <w:tcPr>
            <w:tcW w:w="1029" w:type="dxa"/>
            <w:vAlign w:val="bottom"/>
          </w:tcPr>
          <w:p w:rsidR="00BF43D4" w:rsidRDefault="00BF43D4" w:rsidP="00BF43D4">
            <w:pPr>
              <w:pStyle w:val="SVEtablecontent"/>
            </w:pPr>
            <w:r>
              <w:t>0.68</w:t>
            </w:r>
          </w:p>
        </w:tc>
      </w:tr>
      <w:tr w:rsidR="00BF43D4" w:rsidTr="0025744E">
        <w:tc>
          <w:tcPr>
            <w:tcW w:w="1626" w:type="dxa"/>
          </w:tcPr>
          <w:p w:rsidR="00BF43D4" w:rsidRDefault="00BF43D4" w:rsidP="00BF43D4">
            <w:pPr>
              <w:pStyle w:val="SVEtablecontent"/>
            </w:pPr>
            <w:r w:rsidRPr="002B4291">
              <w:t>Total SA</w:t>
            </w:r>
          </w:p>
        </w:tc>
        <w:tc>
          <w:tcPr>
            <w:tcW w:w="1351" w:type="dxa"/>
          </w:tcPr>
          <w:p w:rsidR="00BF43D4" w:rsidRDefault="00BF43D4" w:rsidP="00BF43D4">
            <w:pPr>
              <w:pStyle w:val="SVEtablecontent"/>
            </w:pPr>
            <w:r w:rsidRPr="002B4291">
              <w:t>TOTF.PA</w:t>
            </w:r>
          </w:p>
        </w:tc>
        <w:tc>
          <w:tcPr>
            <w:tcW w:w="1254" w:type="dxa"/>
          </w:tcPr>
          <w:p w:rsidR="00BF43D4" w:rsidRDefault="00BF43D4" w:rsidP="00BF43D4">
            <w:pPr>
              <w:ind w:firstLine="0"/>
            </w:pPr>
            <w:r>
              <w:rPr>
                <w:lang w:val="en-GB"/>
              </w:rPr>
              <w:t xml:space="preserve">112 </w:t>
            </w:r>
            <w:r w:rsidRPr="00FC6E56">
              <w:t>bill$</w:t>
            </w:r>
          </w:p>
        </w:tc>
        <w:tc>
          <w:tcPr>
            <w:tcW w:w="1411" w:type="dxa"/>
          </w:tcPr>
          <w:p w:rsidR="00BF43D4" w:rsidRDefault="00BF43D4" w:rsidP="00BF43D4">
            <w:pPr>
              <w:pStyle w:val="SVEtablecontent"/>
            </w:pPr>
            <w:r>
              <w:t>0.8</w:t>
            </w:r>
          </w:p>
        </w:tc>
        <w:tc>
          <w:tcPr>
            <w:tcW w:w="1729" w:type="dxa"/>
            <w:vAlign w:val="bottom"/>
          </w:tcPr>
          <w:p w:rsidR="00BF43D4" w:rsidRDefault="00BF43D4" w:rsidP="00BF43D4">
            <w:pPr>
              <w:pStyle w:val="SVEtablecontent"/>
            </w:pPr>
            <w:r w:rsidRPr="00BF43D4">
              <w:t>Eni SpA</w:t>
            </w:r>
          </w:p>
        </w:tc>
        <w:tc>
          <w:tcPr>
            <w:tcW w:w="1134" w:type="dxa"/>
            <w:vAlign w:val="bottom"/>
          </w:tcPr>
          <w:p w:rsidR="00BF43D4" w:rsidRDefault="00BF43D4" w:rsidP="00BF43D4">
            <w:pPr>
              <w:pStyle w:val="SVEtablecontent"/>
            </w:pPr>
            <w:r w:rsidRPr="00BF43D4">
              <w:t>ENI.MI</w:t>
            </w:r>
          </w:p>
        </w:tc>
        <w:tc>
          <w:tcPr>
            <w:tcW w:w="1381" w:type="dxa"/>
          </w:tcPr>
          <w:p w:rsidR="00BF43D4" w:rsidRDefault="00BF43D4" w:rsidP="00BF43D4">
            <w:pPr>
              <w:ind w:firstLine="0"/>
            </w:pPr>
            <w:r>
              <w:rPr>
                <w:lang w:val="en-GB"/>
              </w:rPr>
              <w:t xml:space="preserve">84 </w:t>
            </w:r>
            <w:r w:rsidRPr="00083D85">
              <w:t>bill$</w:t>
            </w:r>
          </w:p>
        </w:tc>
        <w:tc>
          <w:tcPr>
            <w:tcW w:w="1029" w:type="dxa"/>
            <w:vAlign w:val="bottom"/>
          </w:tcPr>
          <w:p w:rsidR="00BF43D4" w:rsidRDefault="00BF43D4" w:rsidP="00BF43D4">
            <w:pPr>
              <w:pStyle w:val="SVEtablecontent"/>
            </w:pPr>
            <w:r>
              <w:t>0.93</w:t>
            </w:r>
          </w:p>
        </w:tc>
      </w:tr>
      <w:tr w:rsidR="00BF43D4" w:rsidTr="0025744E">
        <w:tc>
          <w:tcPr>
            <w:tcW w:w="1626" w:type="dxa"/>
          </w:tcPr>
          <w:p w:rsidR="00BF43D4" w:rsidRDefault="00BF43D4" w:rsidP="00BF43D4">
            <w:pPr>
              <w:pStyle w:val="SVEtablecontent"/>
            </w:pPr>
            <w:r w:rsidRPr="00B04E60">
              <w:t>Gaz de France SA</w:t>
            </w:r>
          </w:p>
        </w:tc>
        <w:tc>
          <w:tcPr>
            <w:tcW w:w="1351" w:type="dxa"/>
            <w:vAlign w:val="bottom"/>
          </w:tcPr>
          <w:p w:rsidR="00BF43D4" w:rsidRDefault="00BF43D4" w:rsidP="00BF43D4">
            <w:pPr>
              <w:pStyle w:val="SVEtablecontent"/>
            </w:pPr>
            <w:r>
              <w:t>ENGIE.PA</w:t>
            </w:r>
          </w:p>
        </w:tc>
        <w:tc>
          <w:tcPr>
            <w:tcW w:w="1254" w:type="dxa"/>
          </w:tcPr>
          <w:p w:rsidR="00BF43D4" w:rsidRPr="00BF43D4" w:rsidRDefault="00BF43D4" w:rsidP="00BF43D4">
            <w:pPr>
              <w:ind w:firstLine="0"/>
              <w:rPr>
                <w:lang w:val="en-GB"/>
              </w:rPr>
            </w:pPr>
            <w:r>
              <w:rPr>
                <w:lang w:val="en-GB"/>
              </w:rPr>
              <w:t xml:space="preserve">71 </w:t>
            </w:r>
            <w:r w:rsidRPr="00FC6E56">
              <w:t>bill$</w:t>
            </w:r>
          </w:p>
        </w:tc>
        <w:tc>
          <w:tcPr>
            <w:tcW w:w="1411" w:type="dxa"/>
            <w:vAlign w:val="bottom"/>
          </w:tcPr>
          <w:p w:rsidR="00BF43D4" w:rsidRDefault="00BF43D4" w:rsidP="00BF43D4">
            <w:pPr>
              <w:pStyle w:val="SVEtablecontent"/>
            </w:pPr>
            <w:r>
              <w:t>0.81</w:t>
            </w:r>
          </w:p>
        </w:tc>
        <w:tc>
          <w:tcPr>
            <w:tcW w:w="1729" w:type="dxa"/>
            <w:vAlign w:val="bottom"/>
          </w:tcPr>
          <w:p w:rsidR="00BF43D4" w:rsidRDefault="00BF43D4" w:rsidP="00BF43D4">
            <w:pPr>
              <w:pStyle w:val="SVEtablecontent"/>
            </w:pPr>
            <w:r w:rsidRPr="00BF43D4">
              <w:t>Eni SpA</w:t>
            </w:r>
          </w:p>
        </w:tc>
        <w:tc>
          <w:tcPr>
            <w:tcW w:w="1134" w:type="dxa"/>
            <w:vAlign w:val="bottom"/>
          </w:tcPr>
          <w:p w:rsidR="00BF43D4" w:rsidRDefault="00BF43D4" w:rsidP="00BF43D4">
            <w:pPr>
              <w:pStyle w:val="SVEtablecontent"/>
            </w:pPr>
            <w:r w:rsidRPr="00BF43D4">
              <w:t>ENI.MI</w:t>
            </w:r>
          </w:p>
        </w:tc>
        <w:tc>
          <w:tcPr>
            <w:tcW w:w="1381" w:type="dxa"/>
          </w:tcPr>
          <w:p w:rsidR="00BF43D4" w:rsidRPr="00BF43D4" w:rsidRDefault="00BF43D4" w:rsidP="00BF43D4">
            <w:pPr>
              <w:ind w:firstLine="0"/>
              <w:rPr>
                <w:lang w:val="en-GB"/>
              </w:rPr>
            </w:pPr>
            <w:r>
              <w:rPr>
                <w:lang w:val="en-GB"/>
              </w:rPr>
              <w:t>81 bill$</w:t>
            </w:r>
          </w:p>
        </w:tc>
        <w:tc>
          <w:tcPr>
            <w:tcW w:w="1029" w:type="dxa"/>
            <w:vAlign w:val="bottom"/>
          </w:tcPr>
          <w:p w:rsidR="00BF43D4" w:rsidRDefault="00BF43D4" w:rsidP="00BF43D4">
            <w:pPr>
              <w:pStyle w:val="SVEtablecontent"/>
            </w:pPr>
            <w:r>
              <w:t>0.84</w:t>
            </w:r>
          </w:p>
        </w:tc>
      </w:tr>
      <w:tr w:rsidR="00BF43D4" w:rsidTr="0025744E">
        <w:tc>
          <w:tcPr>
            <w:tcW w:w="1626" w:type="dxa"/>
          </w:tcPr>
          <w:p w:rsidR="00BF43D4" w:rsidRDefault="00BF43D4" w:rsidP="00BF43D4">
            <w:pPr>
              <w:pStyle w:val="SVEtablecontent"/>
            </w:pPr>
            <w:r w:rsidRPr="00B04E60">
              <w:lastRenderedPageBreak/>
              <w:t>Statoil ASA</w:t>
            </w:r>
          </w:p>
        </w:tc>
        <w:tc>
          <w:tcPr>
            <w:tcW w:w="1351" w:type="dxa"/>
            <w:vAlign w:val="bottom"/>
          </w:tcPr>
          <w:p w:rsidR="00BF43D4" w:rsidRDefault="00BF43D4" w:rsidP="00BF43D4">
            <w:pPr>
              <w:pStyle w:val="SVEtablecontent"/>
            </w:pPr>
            <w:r>
              <w:t>EQNR.OL</w:t>
            </w:r>
          </w:p>
        </w:tc>
        <w:tc>
          <w:tcPr>
            <w:tcW w:w="1254" w:type="dxa"/>
          </w:tcPr>
          <w:p w:rsidR="00BF43D4" w:rsidRDefault="00BF43D4" w:rsidP="00BF43D4">
            <w:pPr>
              <w:ind w:firstLine="0"/>
            </w:pPr>
            <w:r>
              <w:rPr>
                <w:lang w:val="en-GB"/>
              </w:rPr>
              <w:t xml:space="preserve">53 </w:t>
            </w:r>
            <w:r w:rsidRPr="00FC6E56">
              <w:t>bill$</w:t>
            </w:r>
          </w:p>
        </w:tc>
        <w:tc>
          <w:tcPr>
            <w:tcW w:w="1411" w:type="dxa"/>
            <w:vAlign w:val="bottom"/>
          </w:tcPr>
          <w:p w:rsidR="00BF43D4" w:rsidRDefault="00BF43D4" w:rsidP="00BF43D4">
            <w:pPr>
              <w:pStyle w:val="SVEtablecontent"/>
            </w:pPr>
            <w:r>
              <w:t>0.65</w:t>
            </w:r>
          </w:p>
        </w:tc>
        <w:tc>
          <w:tcPr>
            <w:tcW w:w="1729" w:type="dxa"/>
            <w:vAlign w:val="bottom"/>
          </w:tcPr>
          <w:p w:rsidR="00BF43D4" w:rsidRDefault="00BF43D4" w:rsidP="00BF43D4">
            <w:pPr>
              <w:pStyle w:val="SVEtablecontent"/>
            </w:pPr>
            <w:r w:rsidRPr="00BF43D4">
              <w:t>NK Rosneft' PAO</w:t>
            </w:r>
          </w:p>
        </w:tc>
        <w:tc>
          <w:tcPr>
            <w:tcW w:w="1134" w:type="dxa"/>
            <w:vAlign w:val="bottom"/>
          </w:tcPr>
          <w:p w:rsidR="00BF43D4" w:rsidRDefault="00BF43D4" w:rsidP="00BF43D4">
            <w:pPr>
              <w:pStyle w:val="SVEtablecontent"/>
            </w:pPr>
            <w:r w:rsidRPr="00BF43D4">
              <w:t>ROSNq.L</w:t>
            </w:r>
          </w:p>
        </w:tc>
        <w:tc>
          <w:tcPr>
            <w:tcW w:w="1381" w:type="dxa"/>
          </w:tcPr>
          <w:p w:rsidR="00BF43D4" w:rsidRDefault="00BF43D4" w:rsidP="00BF43D4">
            <w:pPr>
              <w:ind w:firstLine="0"/>
            </w:pPr>
            <w:r>
              <w:rPr>
                <w:lang w:val="en-GB"/>
              </w:rPr>
              <w:t xml:space="preserve">59 </w:t>
            </w:r>
            <w:r w:rsidRPr="00083D85">
              <w:t>bill$</w:t>
            </w:r>
          </w:p>
        </w:tc>
        <w:tc>
          <w:tcPr>
            <w:tcW w:w="1029" w:type="dxa"/>
            <w:vAlign w:val="bottom"/>
          </w:tcPr>
          <w:p w:rsidR="00BF43D4" w:rsidRDefault="00BF43D4" w:rsidP="00BF43D4">
            <w:pPr>
              <w:pStyle w:val="SVEtablecontent"/>
            </w:pPr>
            <w:r>
              <w:t>0.91</w:t>
            </w:r>
          </w:p>
        </w:tc>
      </w:tr>
      <w:tr w:rsidR="00BF43D4" w:rsidTr="0025744E">
        <w:tc>
          <w:tcPr>
            <w:tcW w:w="1626" w:type="dxa"/>
          </w:tcPr>
          <w:p w:rsidR="00BF43D4" w:rsidRDefault="00BF43D4" w:rsidP="00BF43D4">
            <w:pPr>
              <w:pStyle w:val="SVEtablecontent"/>
            </w:pPr>
            <w:r w:rsidRPr="00B04E60">
              <w:t>RWE Innogy Ltd</w:t>
            </w:r>
          </w:p>
        </w:tc>
        <w:tc>
          <w:tcPr>
            <w:tcW w:w="1351" w:type="dxa"/>
            <w:vAlign w:val="bottom"/>
          </w:tcPr>
          <w:p w:rsidR="00BF43D4" w:rsidRDefault="00BF43D4" w:rsidP="00BF43D4">
            <w:pPr>
              <w:pStyle w:val="SVEtablecontent"/>
            </w:pPr>
            <w:r>
              <w:t>RWEG.DE</w:t>
            </w:r>
          </w:p>
        </w:tc>
        <w:tc>
          <w:tcPr>
            <w:tcW w:w="1254" w:type="dxa"/>
          </w:tcPr>
          <w:p w:rsidR="00BF43D4" w:rsidRDefault="0025744E" w:rsidP="0025744E">
            <w:pPr>
              <w:ind w:firstLine="0"/>
            </w:pPr>
            <w:r>
              <w:rPr>
                <w:lang w:val="en-GB"/>
              </w:rPr>
              <w:t xml:space="preserve">9.5 </w:t>
            </w:r>
            <w:r w:rsidR="00BF43D4" w:rsidRPr="00FC6E56">
              <w:t>bill$</w:t>
            </w:r>
          </w:p>
        </w:tc>
        <w:tc>
          <w:tcPr>
            <w:tcW w:w="1411" w:type="dxa"/>
            <w:vAlign w:val="bottom"/>
          </w:tcPr>
          <w:p w:rsidR="00BF43D4" w:rsidRDefault="0025744E" w:rsidP="00BF43D4">
            <w:pPr>
              <w:pStyle w:val="SVEtablecontent"/>
            </w:pPr>
            <w:r>
              <w:t>0.68</w:t>
            </w:r>
          </w:p>
        </w:tc>
        <w:tc>
          <w:tcPr>
            <w:tcW w:w="1729" w:type="dxa"/>
            <w:vAlign w:val="bottom"/>
          </w:tcPr>
          <w:p w:rsidR="00BF43D4" w:rsidRDefault="00BF43D4" w:rsidP="00BF43D4">
            <w:pPr>
              <w:pStyle w:val="SVEtablecontent"/>
            </w:pPr>
            <w:r w:rsidRPr="00BF43D4">
              <w:t>Snam SpA</w:t>
            </w:r>
          </w:p>
        </w:tc>
        <w:tc>
          <w:tcPr>
            <w:tcW w:w="1134" w:type="dxa"/>
            <w:vAlign w:val="bottom"/>
          </w:tcPr>
          <w:p w:rsidR="00BF43D4" w:rsidRDefault="00BF43D4" w:rsidP="00BF43D4">
            <w:pPr>
              <w:pStyle w:val="SVEtablecontent"/>
            </w:pPr>
            <w:r w:rsidRPr="00BF43D4">
              <w:t>SRG.MI</w:t>
            </w:r>
          </w:p>
        </w:tc>
        <w:tc>
          <w:tcPr>
            <w:tcW w:w="1381" w:type="dxa"/>
          </w:tcPr>
          <w:p w:rsidR="00BF43D4" w:rsidRDefault="0025744E" w:rsidP="0025744E">
            <w:pPr>
              <w:ind w:firstLine="0"/>
            </w:pPr>
            <w:r>
              <w:rPr>
                <w:lang w:val="en-GB"/>
              </w:rPr>
              <w:t xml:space="preserve">20 </w:t>
            </w:r>
            <w:r w:rsidR="00BF43D4" w:rsidRPr="00083D85">
              <w:t>bill$</w:t>
            </w:r>
          </w:p>
        </w:tc>
        <w:tc>
          <w:tcPr>
            <w:tcW w:w="1029" w:type="dxa"/>
            <w:vAlign w:val="bottom"/>
          </w:tcPr>
          <w:p w:rsidR="00BF43D4" w:rsidRDefault="0025744E" w:rsidP="00BF43D4">
            <w:pPr>
              <w:pStyle w:val="SVEtablecontent"/>
            </w:pPr>
            <w:r>
              <w:t>0.47</w:t>
            </w:r>
          </w:p>
        </w:tc>
      </w:tr>
      <w:tr w:rsidR="0025744E" w:rsidTr="0025744E">
        <w:tc>
          <w:tcPr>
            <w:tcW w:w="1626" w:type="dxa"/>
          </w:tcPr>
          <w:p w:rsidR="0025744E" w:rsidRDefault="0025744E" w:rsidP="0025744E">
            <w:pPr>
              <w:pStyle w:val="SVEtablecontent"/>
            </w:pPr>
            <w:r w:rsidRPr="00B04E60">
              <w:t>Gas Natural SDG SA</w:t>
            </w:r>
          </w:p>
        </w:tc>
        <w:tc>
          <w:tcPr>
            <w:tcW w:w="1351" w:type="dxa"/>
            <w:vAlign w:val="bottom"/>
          </w:tcPr>
          <w:p w:rsidR="0025744E" w:rsidRPr="007C6026" w:rsidRDefault="0025744E" w:rsidP="0025744E">
            <w:pPr>
              <w:pStyle w:val="SVEtablecontent"/>
            </w:pPr>
            <w:r w:rsidRPr="007C6026">
              <w:t>NTGY.MC</w:t>
            </w:r>
          </w:p>
        </w:tc>
        <w:tc>
          <w:tcPr>
            <w:tcW w:w="1254" w:type="dxa"/>
          </w:tcPr>
          <w:p w:rsidR="0025744E" w:rsidRDefault="0025744E" w:rsidP="0025744E">
            <w:pPr>
              <w:ind w:firstLine="0"/>
            </w:pPr>
            <w:r>
              <w:rPr>
                <w:lang w:val="en-GB"/>
              </w:rPr>
              <w:t xml:space="preserve">19 </w:t>
            </w:r>
            <w:r w:rsidRPr="00FC6E56">
              <w:t>bill$</w:t>
            </w:r>
          </w:p>
        </w:tc>
        <w:tc>
          <w:tcPr>
            <w:tcW w:w="1411" w:type="dxa"/>
            <w:vAlign w:val="bottom"/>
          </w:tcPr>
          <w:p w:rsidR="0025744E" w:rsidRDefault="0025744E" w:rsidP="0025744E">
            <w:pPr>
              <w:pStyle w:val="SVEtablecontent"/>
            </w:pPr>
            <w:r>
              <w:t>0.78</w:t>
            </w:r>
          </w:p>
        </w:tc>
        <w:tc>
          <w:tcPr>
            <w:tcW w:w="1729" w:type="dxa"/>
            <w:vAlign w:val="bottom"/>
          </w:tcPr>
          <w:p w:rsidR="0025744E" w:rsidRDefault="0025744E" w:rsidP="0025744E">
            <w:pPr>
              <w:pStyle w:val="SVEtablecontent"/>
            </w:pPr>
            <w:r w:rsidRPr="00BF43D4">
              <w:t>Snam SpA</w:t>
            </w:r>
          </w:p>
        </w:tc>
        <w:tc>
          <w:tcPr>
            <w:tcW w:w="1134" w:type="dxa"/>
            <w:vAlign w:val="bottom"/>
          </w:tcPr>
          <w:p w:rsidR="0025744E" w:rsidRDefault="0025744E" w:rsidP="0025744E">
            <w:pPr>
              <w:pStyle w:val="SVEtablecontent"/>
            </w:pPr>
            <w:r w:rsidRPr="00BF43D4">
              <w:t>SRG.MI</w:t>
            </w:r>
          </w:p>
        </w:tc>
        <w:tc>
          <w:tcPr>
            <w:tcW w:w="1381" w:type="dxa"/>
          </w:tcPr>
          <w:p w:rsidR="0025744E" w:rsidRDefault="0025744E" w:rsidP="0025744E">
            <w:pPr>
              <w:ind w:firstLine="0"/>
            </w:pPr>
            <w:r>
              <w:rPr>
                <w:lang w:val="en-GB"/>
              </w:rPr>
              <w:t xml:space="preserve">20 </w:t>
            </w:r>
            <w:r w:rsidRPr="00083D85">
              <w:t>bill$</w:t>
            </w:r>
          </w:p>
        </w:tc>
        <w:tc>
          <w:tcPr>
            <w:tcW w:w="1029" w:type="dxa"/>
          </w:tcPr>
          <w:p w:rsidR="0025744E" w:rsidRDefault="0025744E" w:rsidP="0025744E">
            <w:pPr>
              <w:pStyle w:val="SVEtablecontent"/>
            </w:pPr>
            <w:r>
              <w:t>0.49</w:t>
            </w:r>
          </w:p>
        </w:tc>
      </w:tr>
      <w:tr w:rsidR="0025744E" w:rsidTr="0025744E">
        <w:tc>
          <w:tcPr>
            <w:tcW w:w="1626" w:type="dxa"/>
          </w:tcPr>
          <w:p w:rsidR="0025744E" w:rsidRDefault="0025744E" w:rsidP="0025744E">
            <w:pPr>
              <w:pStyle w:val="SVEtablecontent"/>
            </w:pPr>
            <w:r w:rsidRPr="00B04E60">
              <w:t>Gas Natural SDG SA</w:t>
            </w:r>
          </w:p>
        </w:tc>
        <w:tc>
          <w:tcPr>
            <w:tcW w:w="1351" w:type="dxa"/>
            <w:vAlign w:val="bottom"/>
          </w:tcPr>
          <w:p w:rsidR="0025744E" w:rsidRDefault="0025744E" w:rsidP="0025744E">
            <w:pPr>
              <w:pStyle w:val="SVEtablecontent"/>
            </w:pPr>
            <w:r>
              <w:t>NTGY.MC</w:t>
            </w:r>
          </w:p>
        </w:tc>
        <w:tc>
          <w:tcPr>
            <w:tcW w:w="1254" w:type="dxa"/>
          </w:tcPr>
          <w:p w:rsidR="0025744E" w:rsidRDefault="0025744E" w:rsidP="0025744E">
            <w:pPr>
              <w:ind w:firstLine="0"/>
            </w:pPr>
            <w:r>
              <w:rPr>
                <w:lang w:val="en-GB"/>
              </w:rPr>
              <w:t xml:space="preserve">24 </w:t>
            </w:r>
            <w:r w:rsidRPr="00FC6E56">
              <w:t>bill$</w:t>
            </w:r>
          </w:p>
        </w:tc>
        <w:tc>
          <w:tcPr>
            <w:tcW w:w="1411" w:type="dxa"/>
            <w:vAlign w:val="bottom"/>
          </w:tcPr>
          <w:p w:rsidR="0025744E" w:rsidRDefault="0025744E" w:rsidP="0025744E">
            <w:pPr>
              <w:pStyle w:val="SVEtablecontent"/>
            </w:pPr>
            <w:r>
              <w:t>0.72</w:t>
            </w:r>
          </w:p>
        </w:tc>
        <w:tc>
          <w:tcPr>
            <w:tcW w:w="1729" w:type="dxa"/>
            <w:vAlign w:val="bottom"/>
          </w:tcPr>
          <w:p w:rsidR="0025744E" w:rsidRDefault="0025744E" w:rsidP="0025744E">
            <w:pPr>
              <w:pStyle w:val="SVEtablecontent"/>
            </w:pPr>
            <w:r w:rsidRPr="00BF43D4">
              <w:t>Snam SpA</w:t>
            </w:r>
          </w:p>
        </w:tc>
        <w:tc>
          <w:tcPr>
            <w:tcW w:w="1134" w:type="dxa"/>
            <w:vAlign w:val="bottom"/>
          </w:tcPr>
          <w:p w:rsidR="0025744E" w:rsidRDefault="0025744E" w:rsidP="0025744E">
            <w:pPr>
              <w:pStyle w:val="SVEtablecontent"/>
            </w:pPr>
            <w:r w:rsidRPr="00BF43D4">
              <w:t>SRG.MI</w:t>
            </w:r>
          </w:p>
        </w:tc>
        <w:tc>
          <w:tcPr>
            <w:tcW w:w="1381" w:type="dxa"/>
          </w:tcPr>
          <w:p w:rsidR="0025744E" w:rsidRDefault="0025744E" w:rsidP="0025744E">
            <w:pPr>
              <w:ind w:firstLine="0"/>
            </w:pPr>
            <w:r>
              <w:rPr>
                <w:lang w:val="en-GB"/>
              </w:rPr>
              <w:t xml:space="preserve">17 </w:t>
            </w:r>
            <w:r w:rsidRPr="00083D85">
              <w:t>bill$</w:t>
            </w:r>
          </w:p>
        </w:tc>
        <w:tc>
          <w:tcPr>
            <w:tcW w:w="1029" w:type="dxa"/>
          </w:tcPr>
          <w:p w:rsidR="0025744E" w:rsidRDefault="0025744E" w:rsidP="0025744E">
            <w:pPr>
              <w:pStyle w:val="SVEtablecontent"/>
            </w:pPr>
            <w:r>
              <w:t>0.54</w:t>
            </w:r>
          </w:p>
        </w:tc>
      </w:tr>
      <w:tr w:rsidR="00BF43D4" w:rsidTr="0025744E">
        <w:tc>
          <w:tcPr>
            <w:tcW w:w="1626" w:type="dxa"/>
          </w:tcPr>
          <w:p w:rsidR="00BF43D4" w:rsidRDefault="00BF43D4" w:rsidP="00BF43D4">
            <w:pPr>
              <w:pStyle w:val="SVEtablecontent"/>
            </w:pPr>
            <w:r w:rsidRPr="00B04E60">
              <w:t>Gas Natural SDG SA</w:t>
            </w:r>
          </w:p>
        </w:tc>
        <w:tc>
          <w:tcPr>
            <w:tcW w:w="1351" w:type="dxa"/>
            <w:vAlign w:val="bottom"/>
          </w:tcPr>
          <w:p w:rsidR="00BF43D4" w:rsidRDefault="00BF43D4" w:rsidP="00BF43D4">
            <w:pPr>
              <w:pStyle w:val="SVEtablecontent"/>
            </w:pPr>
            <w:r>
              <w:t>NTGY.MC</w:t>
            </w:r>
          </w:p>
        </w:tc>
        <w:tc>
          <w:tcPr>
            <w:tcW w:w="1254" w:type="dxa"/>
          </w:tcPr>
          <w:p w:rsidR="00BF43D4" w:rsidRDefault="0025744E" w:rsidP="0025744E">
            <w:pPr>
              <w:ind w:firstLine="0"/>
            </w:pPr>
            <w:r>
              <w:rPr>
                <w:lang w:val="en-GB"/>
              </w:rPr>
              <w:t xml:space="preserve">12 </w:t>
            </w:r>
            <w:r w:rsidR="00BF43D4" w:rsidRPr="00FC6E56">
              <w:t>bill$</w:t>
            </w:r>
          </w:p>
        </w:tc>
        <w:tc>
          <w:tcPr>
            <w:tcW w:w="1411" w:type="dxa"/>
            <w:vAlign w:val="bottom"/>
          </w:tcPr>
          <w:p w:rsidR="00BF43D4" w:rsidRDefault="0025744E" w:rsidP="00BF43D4">
            <w:pPr>
              <w:pStyle w:val="SVEtablecontent"/>
            </w:pPr>
            <w:r>
              <w:t>1.29</w:t>
            </w:r>
          </w:p>
        </w:tc>
        <w:tc>
          <w:tcPr>
            <w:tcW w:w="1729" w:type="dxa"/>
            <w:vAlign w:val="bottom"/>
          </w:tcPr>
          <w:p w:rsidR="00BF43D4" w:rsidRDefault="0025744E" w:rsidP="00BF43D4">
            <w:pPr>
              <w:pStyle w:val="SVEtablecontent"/>
            </w:pPr>
            <w:r w:rsidRPr="0025744E">
              <w:t>Repsol SA</w:t>
            </w:r>
          </w:p>
        </w:tc>
        <w:tc>
          <w:tcPr>
            <w:tcW w:w="1134" w:type="dxa"/>
            <w:vAlign w:val="bottom"/>
          </w:tcPr>
          <w:p w:rsidR="00BF43D4" w:rsidRDefault="0025744E" w:rsidP="00BF43D4">
            <w:pPr>
              <w:pStyle w:val="SVEtablecontent"/>
            </w:pPr>
            <w:r w:rsidRPr="0025744E">
              <w:t>REP.MC</w:t>
            </w:r>
          </w:p>
        </w:tc>
        <w:tc>
          <w:tcPr>
            <w:tcW w:w="1381" w:type="dxa"/>
          </w:tcPr>
          <w:p w:rsidR="00BF43D4" w:rsidRDefault="0025744E" w:rsidP="0025744E">
            <w:pPr>
              <w:ind w:firstLine="0"/>
            </w:pPr>
            <w:r>
              <w:rPr>
                <w:lang w:val="en-GB"/>
              </w:rPr>
              <w:t xml:space="preserve">19 </w:t>
            </w:r>
            <w:r w:rsidR="00BF43D4" w:rsidRPr="00083D85">
              <w:t>bill$</w:t>
            </w:r>
          </w:p>
        </w:tc>
        <w:tc>
          <w:tcPr>
            <w:tcW w:w="1029" w:type="dxa"/>
          </w:tcPr>
          <w:p w:rsidR="00BF43D4" w:rsidRDefault="0025744E" w:rsidP="00BF43D4">
            <w:pPr>
              <w:pStyle w:val="SVEtablecontent"/>
            </w:pPr>
            <w:r>
              <w:t>1.59</w:t>
            </w:r>
          </w:p>
        </w:tc>
      </w:tr>
      <w:tr w:rsidR="0025744E" w:rsidTr="0025744E">
        <w:tc>
          <w:tcPr>
            <w:tcW w:w="1626" w:type="dxa"/>
          </w:tcPr>
          <w:p w:rsidR="0025744E" w:rsidRDefault="0025744E" w:rsidP="0025744E">
            <w:pPr>
              <w:pStyle w:val="SVEtablecontent"/>
            </w:pPr>
            <w:r w:rsidRPr="00B04E60">
              <w:t>Gas Natural SDG SA</w:t>
            </w:r>
          </w:p>
        </w:tc>
        <w:tc>
          <w:tcPr>
            <w:tcW w:w="1351" w:type="dxa"/>
            <w:vAlign w:val="bottom"/>
          </w:tcPr>
          <w:p w:rsidR="0025744E" w:rsidRDefault="0025744E" w:rsidP="0025744E">
            <w:pPr>
              <w:pStyle w:val="SVEtablecontent"/>
            </w:pPr>
            <w:r>
              <w:t>NTGY.MC</w:t>
            </w:r>
          </w:p>
        </w:tc>
        <w:tc>
          <w:tcPr>
            <w:tcW w:w="1254" w:type="dxa"/>
          </w:tcPr>
          <w:p w:rsidR="0025744E" w:rsidRDefault="0025744E" w:rsidP="0025744E">
            <w:pPr>
              <w:ind w:firstLine="0"/>
              <w:rPr>
                <w:lang w:val="en-GB"/>
              </w:rPr>
            </w:pPr>
            <w:r>
              <w:rPr>
                <w:lang w:val="en-GB"/>
              </w:rPr>
              <w:t>13 bill$</w:t>
            </w:r>
          </w:p>
        </w:tc>
        <w:tc>
          <w:tcPr>
            <w:tcW w:w="1411" w:type="dxa"/>
            <w:vAlign w:val="bottom"/>
          </w:tcPr>
          <w:p w:rsidR="0025744E" w:rsidRDefault="0025744E" w:rsidP="0025744E">
            <w:pPr>
              <w:pStyle w:val="SVEtablecontent"/>
            </w:pPr>
            <w:r>
              <w:t>0.47</w:t>
            </w:r>
          </w:p>
        </w:tc>
        <w:tc>
          <w:tcPr>
            <w:tcW w:w="1729" w:type="dxa"/>
            <w:vAlign w:val="bottom"/>
          </w:tcPr>
          <w:p w:rsidR="0025744E" w:rsidRDefault="0025744E" w:rsidP="0025744E">
            <w:pPr>
              <w:pStyle w:val="SVEtablecontent"/>
            </w:pPr>
            <w:r w:rsidRPr="00BF43D4">
              <w:t>Snam SpA</w:t>
            </w:r>
          </w:p>
        </w:tc>
        <w:tc>
          <w:tcPr>
            <w:tcW w:w="1134" w:type="dxa"/>
            <w:vAlign w:val="bottom"/>
          </w:tcPr>
          <w:p w:rsidR="0025744E" w:rsidRDefault="0025744E" w:rsidP="0025744E">
            <w:pPr>
              <w:pStyle w:val="SVEtablecontent"/>
            </w:pPr>
            <w:r w:rsidRPr="00BF43D4">
              <w:t>SRG.MI</w:t>
            </w:r>
          </w:p>
        </w:tc>
        <w:tc>
          <w:tcPr>
            <w:tcW w:w="1381" w:type="dxa"/>
          </w:tcPr>
          <w:p w:rsidR="0025744E" w:rsidRDefault="0025744E" w:rsidP="0025744E">
            <w:pPr>
              <w:ind w:firstLine="0"/>
              <w:rPr>
                <w:lang w:val="en-GB"/>
              </w:rPr>
            </w:pPr>
            <w:r>
              <w:rPr>
                <w:lang w:val="en-GB"/>
              </w:rPr>
              <w:t>8.7 bill$</w:t>
            </w:r>
          </w:p>
        </w:tc>
        <w:tc>
          <w:tcPr>
            <w:tcW w:w="1029" w:type="dxa"/>
          </w:tcPr>
          <w:p w:rsidR="0025744E" w:rsidRDefault="0025744E" w:rsidP="0025744E">
            <w:pPr>
              <w:pStyle w:val="SVEtablecontent"/>
            </w:pPr>
            <w:r>
              <w:t>0.79</w:t>
            </w:r>
          </w:p>
        </w:tc>
      </w:tr>
      <w:tr w:rsidR="00BF43D4" w:rsidTr="0025744E">
        <w:tc>
          <w:tcPr>
            <w:tcW w:w="1626" w:type="dxa"/>
          </w:tcPr>
          <w:p w:rsidR="00BF43D4" w:rsidRPr="00B04E60" w:rsidRDefault="00BF43D4" w:rsidP="00BF43D4">
            <w:pPr>
              <w:pStyle w:val="SVEtablecontent"/>
            </w:pPr>
            <w:r w:rsidRPr="00B04E60">
              <w:t>OMV Petrom SA</w:t>
            </w:r>
          </w:p>
        </w:tc>
        <w:tc>
          <w:tcPr>
            <w:tcW w:w="1351" w:type="dxa"/>
            <w:vAlign w:val="bottom"/>
          </w:tcPr>
          <w:p w:rsidR="00BF43D4" w:rsidRDefault="00BF43D4" w:rsidP="00BF43D4">
            <w:pPr>
              <w:pStyle w:val="SVEtablecontent"/>
            </w:pPr>
            <w:r>
              <w:t>ROSNP.BX</w:t>
            </w:r>
          </w:p>
        </w:tc>
        <w:tc>
          <w:tcPr>
            <w:tcW w:w="1254" w:type="dxa"/>
          </w:tcPr>
          <w:p w:rsidR="00BF43D4" w:rsidRDefault="00FC45BF" w:rsidP="00FC45BF">
            <w:pPr>
              <w:ind w:firstLine="0"/>
            </w:pPr>
            <w:r>
              <w:rPr>
                <w:lang w:val="en-GB"/>
              </w:rPr>
              <w:t xml:space="preserve">8.55 </w:t>
            </w:r>
            <w:r w:rsidR="00BF43D4" w:rsidRPr="00FC6E56">
              <w:t>bill$</w:t>
            </w:r>
          </w:p>
        </w:tc>
        <w:tc>
          <w:tcPr>
            <w:tcW w:w="1411" w:type="dxa"/>
            <w:vAlign w:val="bottom"/>
          </w:tcPr>
          <w:p w:rsidR="00BF43D4" w:rsidRDefault="00FC45BF" w:rsidP="00BF43D4">
            <w:pPr>
              <w:pStyle w:val="SVEtablecontent"/>
            </w:pPr>
            <w:r>
              <w:t>0.68</w:t>
            </w:r>
          </w:p>
        </w:tc>
        <w:tc>
          <w:tcPr>
            <w:tcW w:w="1729" w:type="dxa"/>
            <w:vAlign w:val="bottom"/>
          </w:tcPr>
          <w:p w:rsidR="00BF43D4" w:rsidRDefault="00FC45BF" w:rsidP="00FC45BF">
            <w:pPr>
              <w:pStyle w:val="SVEtablecontent"/>
            </w:pPr>
            <w:r w:rsidRPr="00FC45BF">
              <w:t xml:space="preserve">Polski Koncern Naftowy Orlen SA </w:t>
            </w:r>
          </w:p>
        </w:tc>
        <w:tc>
          <w:tcPr>
            <w:tcW w:w="1134" w:type="dxa"/>
            <w:vAlign w:val="bottom"/>
          </w:tcPr>
          <w:p w:rsidR="00BF43D4" w:rsidRDefault="00FC45BF" w:rsidP="00BF43D4">
            <w:pPr>
              <w:pStyle w:val="SVEtablecontent"/>
            </w:pPr>
            <w:r w:rsidRPr="00FC45BF">
              <w:t>PKN.WA</w:t>
            </w:r>
          </w:p>
        </w:tc>
        <w:tc>
          <w:tcPr>
            <w:tcW w:w="1381" w:type="dxa"/>
          </w:tcPr>
          <w:p w:rsidR="00BF43D4" w:rsidRDefault="00FC45BF" w:rsidP="00FC45BF">
            <w:pPr>
              <w:ind w:firstLine="0"/>
            </w:pPr>
            <w:r>
              <w:rPr>
                <w:lang w:val="en-GB"/>
              </w:rPr>
              <w:t xml:space="preserve">8.9 </w:t>
            </w:r>
            <w:r w:rsidR="00BF43D4" w:rsidRPr="00083D85">
              <w:t>bill$</w:t>
            </w:r>
          </w:p>
        </w:tc>
        <w:tc>
          <w:tcPr>
            <w:tcW w:w="1029" w:type="dxa"/>
          </w:tcPr>
          <w:p w:rsidR="00BF43D4" w:rsidRDefault="00FC45BF" w:rsidP="00BF43D4">
            <w:pPr>
              <w:pStyle w:val="SVEtablecontent"/>
            </w:pPr>
            <w:r>
              <w:t>0.81</w:t>
            </w:r>
          </w:p>
        </w:tc>
      </w:tr>
      <w:tr w:rsidR="00BF43D4" w:rsidTr="0025744E">
        <w:tc>
          <w:tcPr>
            <w:tcW w:w="1626" w:type="dxa"/>
          </w:tcPr>
          <w:p w:rsidR="00BF43D4" w:rsidRPr="00B04E60" w:rsidRDefault="00BF43D4" w:rsidP="00BF43D4">
            <w:pPr>
              <w:pStyle w:val="SVEtablecontent"/>
            </w:pPr>
            <w:r w:rsidRPr="00B04E60">
              <w:t>BP PLC (BP Solar Espana SAU)</w:t>
            </w:r>
          </w:p>
        </w:tc>
        <w:tc>
          <w:tcPr>
            <w:tcW w:w="1351" w:type="dxa"/>
            <w:vAlign w:val="bottom"/>
          </w:tcPr>
          <w:p w:rsidR="00BF43D4" w:rsidRDefault="00BF43D4" w:rsidP="00BF43D4">
            <w:pPr>
              <w:pStyle w:val="SVEtablecontent"/>
            </w:pPr>
            <w:r>
              <w:t>BP.L</w:t>
            </w:r>
          </w:p>
        </w:tc>
        <w:tc>
          <w:tcPr>
            <w:tcW w:w="1254" w:type="dxa"/>
          </w:tcPr>
          <w:p w:rsidR="00BF43D4" w:rsidRDefault="00FC45BF" w:rsidP="00FC45BF">
            <w:pPr>
              <w:ind w:firstLine="0"/>
            </w:pPr>
            <w:r>
              <w:rPr>
                <w:lang w:val="en-GB"/>
              </w:rPr>
              <w:t xml:space="preserve">117 </w:t>
            </w:r>
            <w:r w:rsidR="00BF43D4" w:rsidRPr="00FC6E56">
              <w:t>bill$</w:t>
            </w:r>
          </w:p>
        </w:tc>
        <w:tc>
          <w:tcPr>
            <w:tcW w:w="1411" w:type="dxa"/>
            <w:vAlign w:val="bottom"/>
          </w:tcPr>
          <w:p w:rsidR="00BF43D4" w:rsidRDefault="00FC45BF" w:rsidP="00BF43D4">
            <w:pPr>
              <w:pStyle w:val="SVEtablecontent"/>
            </w:pPr>
            <w:r>
              <w:t>0.86</w:t>
            </w:r>
          </w:p>
        </w:tc>
        <w:tc>
          <w:tcPr>
            <w:tcW w:w="1729" w:type="dxa"/>
            <w:vAlign w:val="bottom"/>
          </w:tcPr>
          <w:p w:rsidR="00BF43D4" w:rsidRDefault="00EC1EC3" w:rsidP="00BF43D4">
            <w:pPr>
              <w:pStyle w:val="SVEtablecontent"/>
            </w:pPr>
            <w:r w:rsidRPr="00EC1EC3">
              <w:t>Royal Dutch Shell PLC</w:t>
            </w:r>
          </w:p>
        </w:tc>
        <w:tc>
          <w:tcPr>
            <w:tcW w:w="1134" w:type="dxa"/>
            <w:vAlign w:val="bottom"/>
          </w:tcPr>
          <w:p w:rsidR="00BF43D4" w:rsidRDefault="00FC45BF" w:rsidP="00BF43D4">
            <w:pPr>
              <w:pStyle w:val="SVEtablecontent"/>
            </w:pPr>
            <w:r w:rsidRPr="00FC45BF">
              <w:t>RDSb.L</w:t>
            </w:r>
          </w:p>
        </w:tc>
        <w:tc>
          <w:tcPr>
            <w:tcW w:w="1381" w:type="dxa"/>
          </w:tcPr>
          <w:p w:rsidR="00BF43D4" w:rsidRDefault="00FC45BF" w:rsidP="00FC45BF">
            <w:pPr>
              <w:ind w:firstLine="0"/>
            </w:pPr>
            <w:r>
              <w:rPr>
                <w:lang w:val="en-GB"/>
              </w:rPr>
              <w:t xml:space="preserve">170 </w:t>
            </w:r>
            <w:r w:rsidR="00BF43D4" w:rsidRPr="00083D85">
              <w:t>bill$</w:t>
            </w:r>
          </w:p>
        </w:tc>
        <w:tc>
          <w:tcPr>
            <w:tcW w:w="1029" w:type="dxa"/>
          </w:tcPr>
          <w:p w:rsidR="00BF43D4" w:rsidRDefault="00FC45BF" w:rsidP="00BF43D4">
            <w:pPr>
              <w:pStyle w:val="SVEtablecontent"/>
            </w:pPr>
            <w:r>
              <w:t>0.83</w:t>
            </w:r>
          </w:p>
        </w:tc>
      </w:tr>
      <w:tr w:rsidR="00BF43D4" w:rsidTr="0025744E">
        <w:tc>
          <w:tcPr>
            <w:tcW w:w="1626" w:type="dxa"/>
          </w:tcPr>
          <w:p w:rsidR="00BF43D4" w:rsidRPr="00B04E60" w:rsidRDefault="00BF43D4" w:rsidP="00BF43D4">
            <w:pPr>
              <w:pStyle w:val="SVEtablecontent"/>
            </w:pPr>
            <w:r w:rsidRPr="00B04E60">
              <w:t>Royal Dutch Petroleum Co</w:t>
            </w:r>
          </w:p>
        </w:tc>
        <w:tc>
          <w:tcPr>
            <w:tcW w:w="1351" w:type="dxa"/>
            <w:vAlign w:val="bottom"/>
          </w:tcPr>
          <w:p w:rsidR="00BF43D4" w:rsidRDefault="00BF43D4" w:rsidP="00BF43D4">
            <w:pPr>
              <w:pStyle w:val="SVEtablecontent"/>
            </w:pPr>
            <w:r>
              <w:t>RDSa.AS</w:t>
            </w:r>
          </w:p>
        </w:tc>
        <w:tc>
          <w:tcPr>
            <w:tcW w:w="1254" w:type="dxa"/>
          </w:tcPr>
          <w:p w:rsidR="00BF43D4" w:rsidRDefault="00EC1EC3" w:rsidP="00EC1EC3">
            <w:pPr>
              <w:ind w:firstLine="0"/>
            </w:pPr>
            <w:r>
              <w:rPr>
                <w:lang w:val="en-GB"/>
              </w:rPr>
              <w:t xml:space="preserve">68 </w:t>
            </w:r>
            <w:r w:rsidR="00BF43D4" w:rsidRPr="00FC6E56">
              <w:t>bill$</w:t>
            </w:r>
          </w:p>
        </w:tc>
        <w:tc>
          <w:tcPr>
            <w:tcW w:w="1411" w:type="dxa"/>
            <w:vAlign w:val="bottom"/>
          </w:tcPr>
          <w:p w:rsidR="00BF43D4" w:rsidRDefault="00EC1EC3" w:rsidP="00BF43D4">
            <w:pPr>
              <w:pStyle w:val="SVEtablecontent"/>
            </w:pPr>
            <w:r>
              <w:t>0.35</w:t>
            </w:r>
          </w:p>
        </w:tc>
        <w:tc>
          <w:tcPr>
            <w:tcW w:w="1729" w:type="dxa"/>
            <w:vAlign w:val="bottom"/>
          </w:tcPr>
          <w:p w:rsidR="00BF43D4" w:rsidRDefault="00EC1EC3" w:rsidP="00BF43D4">
            <w:pPr>
              <w:pStyle w:val="SVEtablecontent"/>
            </w:pPr>
            <w:r w:rsidRPr="00EC1EC3">
              <w:t>Chevron Corp</w:t>
            </w:r>
          </w:p>
        </w:tc>
        <w:tc>
          <w:tcPr>
            <w:tcW w:w="1134" w:type="dxa"/>
            <w:vAlign w:val="bottom"/>
          </w:tcPr>
          <w:p w:rsidR="00BF43D4" w:rsidRDefault="00EC1EC3" w:rsidP="00BF43D4">
            <w:pPr>
              <w:pStyle w:val="SVEtablecontent"/>
            </w:pPr>
            <w:r w:rsidRPr="00EC1EC3">
              <w:t>CVX.N</w:t>
            </w:r>
          </w:p>
        </w:tc>
        <w:tc>
          <w:tcPr>
            <w:tcW w:w="1381" w:type="dxa"/>
          </w:tcPr>
          <w:p w:rsidR="00BF43D4" w:rsidRDefault="00EC1EC3" w:rsidP="00EC1EC3">
            <w:pPr>
              <w:ind w:firstLine="0"/>
            </w:pPr>
            <w:r>
              <w:rPr>
                <w:lang w:val="en-GB"/>
              </w:rPr>
              <w:t xml:space="preserve">99 </w:t>
            </w:r>
            <w:r w:rsidR="00BF43D4" w:rsidRPr="00083D85">
              <w:t>bill$</w:t>
            </w:r>
          </w:p>
        </w:tc>
        <w:tc>
          <w:tcPr>
            <w:tcW w:w="1029" w:type="dxa"/>
          </w:tcPr>
          <w:p w:rsidR="00BF43D4" w:rsidRDefault="00EC1EC3" w:rsidP="00BF43D4">
            <w:pPr>
              <w:pStyle w:val="SVEtablecontent"/>
            </w:pPr>
            <w:r>
              <w:t>0.36</w:t>
            </w:r>
          </w:p>
        </w:tc>
      </w:tr>
      <w:tr w:rsidR="000B1A6D" w:rsidTr="0025744E">
        <w:tc>
          <w:tcPr>
            <w:tcW w:w="1626" w:type="dxa"/>
          </w:tcPr>
          <w:p w:rsidR="000B1A6D" w:rsidRPr="00B04E60" w:rsidRDefault="000B1A6D" w:rsidP="00BF43D4">
            <w:pPr>
              <w:pStyle w:val="SVEtablecontent"/>
            </w:pPr>
            <w:r w:rsidRPr="000B1A6D">
              <w:t>Suncor Energy Inc</w:t>
            </w:r>
          </w:p>
        </w:tc>
        <w:tc>
          <w:tcPr>
            <w:tcW w:w="1351" w:type="dxa"/>
            <w:vAlign w:val="bottom"/>
          </w:tcPr>
          <w:p w:rsidR="000B1A6D" w:rsidRDefault="000B1A6D" w:rsidP="00BF43D4">
            <w:pPr>
              <w:pStyle w:val="SVEtablecontent"/>
            </w:pPr>
            <w:r w:rsidRPr="000B1A6D">
              <w:t>SU.TO</w:t>
            </w:r>
          </w:p>
        </w:tc>
        <w:tc>
          <w:tcPr>
            <w:tcW w:w="1254" w:type="dxa"/>
          </w:tcPr>
          <w:p w:rsidR="000B1A6D" w:rsidRDefault="000B1A6D" w:rsidP="00EC1EC3">
            <w:pPr>
              <w:ind w:firstLine="0"/>
              <w:rPr>
                <w:lang w:val="en-GB"/>
              </w:rPr>
            </w:pPr>
            <w:r>
              <w:rPr>
                <w:lang w:val="en-GB"/>
              </w:rPr>
              <w:t>46 bill$</w:t>
            </w:r>
          </w:p>
        </w:tc>
        <w:tc>
          <w:tcPr>
            <w:tcW w:w="1411" w:type="dxa"/>
            <w:vAlign w:val="bottom"/>
          </w:tcPr>
          <w:p w:rsidR="000B1A6D" w:rsidRDefault="000B1A6D" w:rsidP="00BF43D4">
            <w:pPr>
              <w:pStyle w:val="SVEtablecontent"/>
            </w:pPr>
            <w:r>
              <w:t>0.70</w:t>
            </w:r>
          </w:p>
        </w:tc>
        <w:tc>
          <w:tcPr>
            <w:tcW w:w="1729" w:type="dxa"/>
            <w:vAlign w:val="bottom"/>
          </w:tcPr>
          <w:p w:rsidR="000B1A6D" w:rsidRPr="00EC1EC3" w:rsidRDefault="000B1A6D" w:rsidP="00BF43D4">
            <w:pPr>
              <w:pStyle w:val="SVEtablecontent"/>
            </w:pPr>
            <w:r w:rsidRPr="000B1A6D">
              <w:t>ConocoPhillips</w:t>
            </w:r>
          </w:p>
        </w:tc>
        <w:tc>
          <w:tcPr>
            <w:tcW w:w="1134" w:type="dxa"/>
            <w:vAlign w:val="bottom"/>
          </w:tcPr>
          <w:p w:rsidR="000B1A6D" w:rsidRPr="00EC1EC3" w:rsidRDefault="000B1A6D" w:rsidP="00BF43D4">
            <w:pPr>
              <w:pStyle w:val="SVEtablecontent"/>
            </w:pPr>
            <w:r w:rsidRPr="000B1A6D">
              <w:t>COP.N</w:t>
            </w:r>
          </w:p>
        </w:tc>
        <w:tc>
          <w:tcPr>
            <w:tcW w:w="1381" w:type="dxa"/>
          </w:tcPr>
          <w:p w:rsidR="000B1A6D" w:rsidRDefault="000B1A6D" w:rsidP="00EC1EC3">
            <w:pPr>
              <w:ind w:firstLine="0"/>
              <w:rPr>
                <w:lang w:val="en-GB"/>
              </w:rPr>
            </w:pPr>
            <w:r>
              <w:rPr>
                <w:lang w:val="en-GB"/>
              </w:rPr>
              <w:t>51 bill$</w:t>
            </w:r>
          </w:p>
        </w:tc>
        <w:tc>
          <w:tcPr>
            <w:tcW w:w="1029" w:type="dxa"/>
          </w:tcPr>
          <w:p w:rsidR="000B1A6D" w:rsidRDefault="000B1A6D" w:rsidP="00BF43D4">
            <w:pPr>
              <w:pStyle w:val="SVEtablecontent"/>
            </w:pPr>
            <w:r>
              <w:t>0.77</w:t>
            </w:r>
          </w:p>
        </w:tc>
      </w:tr>
      <w:tr w:rsidR="000B1A6D" w:rsidTr="0025744E">
        <w:tc>
          <w:tcPr>
            <w:tcW w:w="1626" w:type="dxa"/>
          </w:tcPr>
          <w:p w:rsidR="000B1A6D" w:rsidRPr="00B04E60" w:rsidRDefault="000B1A6D" w:rsidP="000B1A6D">
            <w:pPr>
              <w:pStyle w:val="SVEtablecontent"/>
            </w:pPr>
            <w:r w:rsidRPr="000B1A6D">
              <w:t>Suncor Energy Inc</w:t>
            </w:r>
          </w:p>
        </w:tc>
        <w:tc>
          <w:tcPr>
            <w:tcW w:w="1351" w:type="dxa"/>
            <w:vAlign w:val="bottom"/>
          </w:tcPr>
          <w:p w:rsidR="000B1A6D" w:rsidRDefault="000B1A6D" w:rsidP="000B1A6D">
            <w:pPr>
              <w:pStyle w:val="SVEtablecontent"/>
            </w:pPr>
            <w:r w:rsidRPr="000B1A6D">
              <w:t>SU.TO</w:t>
            </w:r>
          </w:p>
        </w:tc>
        <w:tc>
          <w:tcPr>
            <w:tcW w:w="1254" w:type="dxa"/>
          </w:tcPr>
          <w:p w:rsidR="000B1A6D" w:rsidRDefault="000B1A6D" w:rsidP="000B1A6D">
            <w:pPr>
              <w:ind w:firstLine="0"/>
              <w:rPr>
                <w:lang w:val="en-GB"/>
              </w:rPr>
            </w:pPr>
            <w:r>
              <w:rPr>
                <w:lang w:val="en-GB"/>
              </w:rPr>
              <w:t>63 bill$</w:t>
            </w:r>
          </w:p>
        </w:tc>
        <w:tc>
          <w:tcPr>
            <w:tcW w:w="1411" w:type="dxa"/>
            <w:vAlign w:val="bottom"/>
          </w:tcPr>
          <w:p w:rsidR="000B1A6D" w:rsidRDefault="000B1A6D" w:rsidP="000B1A6D">
            <w:pPr>
              <w:pStyle w:val="SVEtablecontent"/>
            </w:pPr>
            <w:r>
              <w:t>0.53</w:t>
            </w:r>
          </w:p>
        </w:tc>
        <w:tc>
          <w:tcPr>
            <w:tcW w:w="1729" w:type="dxa"/>
            <w:vAlign w:val="bottom"/>
          </w:tcPr>
          <w:p w:rsidR="000B1A6D" w:rsidRPr="00EC1EC3" w:rsidRDefault="000B1A6D" w:rsidP="000B1A6D">
            <w:pPr>
              <w:pStyle w:val="SVEtablecontent"/>
            </w:pPr>
            <w:r w:rsidRPr="000B1A6D">
              <w:t>Occidental Petroleum Corp</w:t>
            </w:r>
          </w:p>
        </w:tc>
        <w:tc>
          <w:tcPr>
            <w:tcW w:w="1134" w:type="dxa"/>
            <w:vAlign w:val="bottom"/>
          </w:tcPr>
          <w:p w:rsidR="000B1A6D" w:rsidRPr="00EC1EC3" w:rsidRDefault="000B1A6D" w:rsidP="000B1A6D">
            <w:pPr>
              <w:pStyle w:val="SVEtablecontent"/>
            </w:pPr>
            <w:r w:rsidRPr="000B1A6D">
              <w:t>OXY.N</w:t>
            </w:r>
          </w:p>
        </w:tc>
        <w:tc>
          <w:tcPr>
            <w:tcW w:w="1381" w:type="dxa"/>
          </w:tcPr>
          <w:p w:rsidR="000B1A6D" w:rsidRDefault="000B1A6D" w:rsidP="000B1A6D">
            <w:pPr>
              <w:ind w:firstLine="0"/>
              <w:rPr>
                <w:lang w:val="en-GB"/>
              </w:rPr>
            </w:pPr>
            <w:r>
              <w:rPr>
                <w:lang w:val="en-GB"/>
              </w:rPr>
              <w:t>81 bill$</w:t>
            </w:r>
          </w:p>
        </w:tc>
        <w:tc>
          <w:tcPr>
            <w:tcW w:w="1029" w:type="dxa"/>
          </w:tcPr>
          <w:p w:rsidR="000B1A6D" w:rsidRDefault="000B1A6D" w:rsidP="000B1A6D">
            <w:pPr>
              <w:pStyle w:val="SVEtablecontent"/>
            </w:pPr>
            <w:r>
              <w:t>0.41</w:t>
            </w:r>
          </w:p>
        </w:tc>
      </w:tr>
      <w:tr w:rsidR="000B1A6D" w:rsidTr="0025744E">
        <w:tc>
          <w:tcPr>
            <w:tcW w:w="1626" w:type="dxa"/>
          </w:tcPr>
          <w:p w:rsidR="000B1A6D" w:rsidRPr="00B04E60" w:rsidRDefault="000B1A6D" w:rsidP="00BF43D4">
            <w:pPr>
              <w:pStyle w:val="SVEtablecontent"/>
            </w:pPr>
            <w:r w:rsidRPr="000B1A6D">
              <w:t>TC Energy Corp</w:t>
            </w:r>
          </w:p>
        </w:tc>
        <w:tc>
          <w:tcPr>
            <w:tcW w:w="1351" w:type="dxa"/>
            <w:vAlign w:val="bottom"/>
          </w:tcPr>
          <w:p w:rsidR="000B1A6D" w:rsidRDefault="000B1A6D" w:rsidP="00BF43D4">
            <w:pPr>
              <w:pStyle w:val="SVEtablecontent"/>
            </w:pPr>
            <w:r w:rsidRPr="000B1A6D">
              <w:t>TRP.TO</w:t>
            </w:r>
          </w:p>
        </w:tc>
        <w:tc>
          <w:tcPr>
            <w:tcW w:w="1254" w:type="dxa"/>
          </w:tcPr>
          <w:p w:rsidR="000B1A6D" w:rsidRDefault="000B1A6D" w:rsidP="00EC1EC3">
            <w:pPr>
              <w:ind w:firstLine="0"/>
              <w:rPr>
                <w:lang w:val="en-GB"/>
              </w:rPr>
            </w:pPr>
            <w:r>
              <w:rPr>
                <w:lang w:val="en-GB"/>
              </w:rPr>
              <w:t>21 bill$</w:t>
            </w:r>
          </w:p>
        </w:tc>
        <w:tc>
          <w:tcPr>
            <w:tcW w:w="1411" w:type="dxa"/>
            <w:vAlign w:val="bottom"/>
          </w:tcPr>
          <w:p w:rsidR="000B1A6D" w:rsidRDefault="000B1A6D" w:rsidP="00BF43D4">
            <w:pPr>
              <w:pStyle w:val="SVEtablecontent"/>
            </w:pPr>
            <w:r>
              <w:t>0.7</w:t>
            </w:r>
          </w:p>
        </w:tc>
        <w:tc>
          <w:tcPr>
            <w:tcW w:w="1729" w:type="dxa"/>
            <w:vAlign w:val="bottom"/>
          </w:tcPr>
          <w:p w:rsidR="000B1A6D" w:rsidRPr="00EC1EC3" w:rsidRDefault="000B1A6D" w:rsidP="00BF43D4">
            <w:pPr>
              <w:pStyle w:val="SVEtablecontent"/>
            </w:pPr>
            <w:r w:rsidRPr="000B1A6D">
              <w:t>Kinder Morgan Inc</w:t>
            </w:r>
          </w:p>
        </w:tc>
        <w:tc>
          <w:tcPr>
            <w:tcW w:w="1134" w:type="dxa"/>
            <w:vAlign w:val="bottom"/>
          </w:tcPr>
          <w:p w:rsidR="000B1A6D" w:rsidRPr="00EC1EC3" w:rsidRDefault="000B1A6D" w:rsidP="00BF43D4">
            <w:pPr>
              <w:pStyle w:val="SVEtablecontent"/>
            </w:pPr>
            <w:r w:rsidRPr="000B1A6D">
              <w:t>KMI.N</w:t>
            </w:r>
          </w:p>
        </w:tc>
        <w:tc>
          <w:tcPr>
            <w:tcW w:w="1381" w:type="dxa"/>
          </w:tcPr>
          <w:p w:rsidR="000B1A6D" w:rsidRDefault="000B1A6D" w:rsidP="00EC1EC3">
            <w:pPr>
              <w:ind w:firstLine="0"/>
              <w:rPr>
                <w:lang w:val="en-GB"/>
              </w:rPr>
            </w:pPr>
            <w:r>
              <w:rPr>
                <w:lang w:val="en-GB"/>
              </w:rPr>
              <w:t>57 bill$</w:t>
            </w:r>
          </w:p>
        </w:tc>
        <w:tc>
          <w:tcPr>
            <w:tcW w:w="1029" w:type="dxa"/>
          </w:tcPr>
          <w:p w:rsidR="000B1A6D" w:rsidRDefault="000B1A6D" w:rsidP="00BF43D4">
            <w:pPr>
              <w:pStyle w:val="SVEtablecontent"/>
            </w:pPr>
            <w:r>
              <w:t>0.4</w:t>
            </w:r>
          </w:p>
        </w:tc>
      </w:tr>
      <w:tr w:rsidR="000B1A6D" w:rsidTr="0025744E">
        <w:tc>
          <w:tcPr>
            <w:tcW w:w="1626" w:type="dxa"/>
          </w:tcPr>
          <w:p w:rsidR="000B1A6D" w:rsidRPr="00B04E60" w:rsidRDefault="000B1A6D" w:rsidP="000B1A6D">
            <w:pPr>
              <w:pStyle w:val="SVEtablecontent"/>
            </w:pPr>
            <w:r w:rsidRPr="000B1A6D">
              <w:t>TC Energy Corp</w:t>
            </w:r>
          </w:p>
        </w:tc>
        <w:tc>
          <w:tcPr>
            <w:tcW w:w="1351" w:type="dxa"/>
            <w:vAlign w:val="bottom"/>
          </w:tcPr>
          <w:p w:rsidR="000B1A6D" w:rsidRDefault="000B1A6D" w:rsidP="000B1A6D">
            <w:pPr>
              <w:pStyle w:val="SVEtablecontent"/>
            </w:pPr>
            <w:r w:rsidRPr="000B1A6D">
              <w:t>TRP.TO</w:t>
            </w:r>
          </w:p>
        </w:tc>
        <w:tc>
          <w:tcPr>
            <w:tcW w:w="1254" w:type="dxa"/>
          </w:tcPr>
          <w:p w:rsidR="000B1A6D" w:rsidRDefault="000B1A6D" w:rsidP="000B1A6D">
            <w:pPr>
              <w:ind w:firstLine="0"/>
              <w:rPr>
                <w:lang w:val="en-GB"/>
              </w:rPr>
            </w:pPr>
            <w:r>
              <w:rPr>
                <w:lang w:val="en-GB"/>
              </w:rPr>
              <w:t>33 bill$</w:t>
            </w:r>
          </w:p>
        </w:tc>
        <w:tc>
          <w:tcPr>
            <w:tcW w:w="1411" w:type="dxa"/>
            <w:vAlign w:val="bottom"/>
          </w:tcPr>
          <w:p w:rsidR="000B1A6D" w:rsidRDefault="000B1A6D" w:rsidP="000B1A6D">
            <w:pPr>
              <w:pStyle w:val="SVEtablecontent"/>
            </w:pPr>
            <w:r>
              <w:t>0.46</w:t>
            </w:r>
          </w:p>
        </w:tc>
        <w:tc>
          <w:tcPr>
            <w:tcW w:w="1729" w:type="dxa"/>
            <w:vAlign w:val="bottom"/>
          </w:tcPr>
          <w:p w:rsidR="000B1A6D" w:rsidRPr="00EC1EC3" w:rsidRDefault="000B1A6D" w:rsidP="000B1A6D">
            <w:pPr>
              <w:pStyle w:val="SVEtablecontent"/>
            </w:pPr>
            <w:r w:rsidRPr="000B1A6D">
              <w:t>Kinder Morgan Inc</w:t>
            </w:r>
          </w:p>
        </w:tc>
        <w:tc>
          <w:tcPr>
            <w:tcW w:w="1134" w:type="dxa"/>
            <w:vAlign w:val="bottom"/>
          </w:tcPr>
          <w:p w:rsidR="000B1A6D" w:rsidRPr="00EC1EC3" w:rsidRDefault="000B1A6D" w:rsidP="000B1A6D">
            <w:pPr>
              <w:pStyle w:val="SVEtablecontent"/>
            </w:pPr>
            <w:r w:rsidRPr="000B1A6D">
              <w:t>KMI.N</w:t>
            </w:r>
          </w:p>
        </w:tc>
        <w:tc>
          <w:tcPr>
            <w:tcW w:w="1381" w:type="dxa"/>
          </w:tcPr>
          <w:p w:rsidR="000B1A6D" w:rsidRDefault="000B1A6D" w:rsidP="000B1A6D">
            <w:pPr>
              <w:ind w:firstLine="0"/>
              <w:rPr>
                <w:lang w:val="en-GB"/>
              </w:rPr>
            </w:pPr>
            <w:r>
              <w:rPr>
                <w:lang w:val="en-GB"/>
              </w:rPr>
              <w:t>37 bill$</w:t>
            </w:r>
          </w:p>
        </w:tc>
        <w:tc>
          <w:tcPr>
            <w:tcW w:w="1029" w:type="dxa"/>
          </w:tcPr>
          <w:p w:rsidR="000B1A6D" w:rsidRDefault="000B1A6D" w:rsidP="000B1A6D">
            <w:pPr>
              <w:pStyle w:val="SVEtablecontent"/>
            </w:pPr>
            <w:r>
              <w:t>0.35</w:t>
            </w:r>
          </w:p>
        </w:tc>
      </w:tr>
    </w:tbl>
    <w:p w:rsidR="003F5A66" w:rsidRDefault="003F5A66" w:rsidP="003F5A66">
      <w:pPr>
        <w:ind w:firstLine="0"/>
        <w:rPr>
          <w:lang w:val="en-GB"/>
        </w:rPr>
      </w:pPr>
    </w:p>
    <w:p w:rsidR="000B1A6D" w:rsidRDefault="000B1A6D" w:rsidP="003F5A66">
      <w:pPr>
        <w:ind w:firstLine="0"/>
        <w:rPr>
          <w:lang w:val="en-GB"/>
        </w:rPr>
      </w:pPr>
    </w:p>
    <w:p w:rsidR="009C399B" w:rsidRDefault="009C399B" w:rsidP="003F5A66">
      <w:pPr>
        <w:rPr>
          <w:lang w:val="en-US"/>
        </w:rPr>
      </w:pPr>
      <w:r>
        <w:rPr>
          <w:lang w:val="en-US"/>
        </w:rPr>
        <w:t xml:space="preserve">The table provides companies from sample and their peers from control benchmark. As </w:t>
      </w:r>
      <w:r w:rsidR="00DF341A">
        <w:rPr>
          <w:lang w:val="en-US"/>
        </w:rPr>
        <w:t>i</w:t>
      </w:r>
      <w:r>
        <w:rPr>
          <w:lang w:val="en-US"/>
        </w:rPr>
        <w:t xml:space="preserve">t was already discussed in the research methodology part, the peers were chosen according to two indicators, size of a firm (market capitalization) and a book-to-market value (BE/ME). </w:t>
      </w:r>
      <w:r w:rsidR="00D901D3">
        <w:rPr>
          <w:lang w:val="en-US"/>
        </w:rPr>
        <w:t xml:space="preserve">These ratios were taken one year after the deal conducted, so being in the middle of event window (e.g. Suncor participated in deal in 2016, so its ratios were accessed in 2017, the event window ended in 2018). </w:t>
      </w:r>
      <w:r w:rsidR="00DF341A">
        <w:rPr>
          <w:lang w:val="en-US"/>
        </w:rPr>
        <w:t xml:space="preserve">Some companies can be repeated as deals were conducted by them at different event days, therefore their mcap and BE/ME differed from year to ear and another control firm was require to </w:t>
      </w:r>
      <w:r w:rsidR="00DF341A">
        <w:rPr>
          <w:lang w:val="en-US"/>
        </w:rPr>
        <w:lastRenderedPageBreak/>
        <w:t xml:space="preserve">suit by these ratios. </w:t>
      </w:r>
      <w:r>
        <w:rPr>
          <w:lang w:val="en-US"/>
        </w:rPr>
        <w:t xml:space="preserve">Additionally, </w:t>
      </w:r>
      <w:r w:rsidR="00D901D3">
        <w:rPr>
          <w:lang w:val="en-US"/>
        </w:rPr>
        <w:t xml:space="preserve">an </w:t>
      </w:r>
      <w:r>
        <w:rPr>
          <w:lang w:val="en-US"/>
        </w:rPr>
        <w:t xml:space="preserve">industry </w:t>
      </w:r>
      <w:r w:rsidR="00D901D3">
        <w:rPr>
          <w:lang w:val="en-US"/>
        </w:rPr>
        <w:t xml:space="preserve">factor for sample and control companies of being from oil&amp;gas was taken into consideration but was not the main criteria, hence, if one company belonged to oil refinery subindustry </w:t>
      </w:r>
      <w:r w:rsidR="00BC4CCD">
        <w:rPr>
          <w:lang w:val="en-US"/>
        </w:rPr>
        <w:t>or other</w:t>
      </w:r>
      <w:r w:rsidR="00D901D3">
        <w:rPr>
          <w:lang w:val="en-US"/>
        </w:rPr>
        <w:t xml:space="preserve"> than this difference was ignored</w:t>
      </w:r>
      <w:r w:rsidR="009F085D">
        <w:rPr>
          <w:lang w:val="en-US"/>
        </w:rPr>
        <w:t>. Also, I did not make any tight to a country of origin, so companies from my list could belong to different countries.</w:t>
      </w:r>
    </w:p>
    <w:p w:rsidR="00BC4CCD" w:rsidRDefault="009537B4" w:rsidP="003F5A66">
      <w:pPr>
        <w:rPr>
          <w:lang w:val="en-US"/>
        </w:rPr>
      </w:pPr>
      <w:r>
        <w:rPr>
          <w:lang w:val="en-US"/>
        </w:rPr>
        <w:t>Moreover, the sample is very small (16 observations), the sample is cross-sectional (all firms are from oil&amp;gas industry) and some event windows are partially overlapped, all these are signs for skewness problem to appear when using BHAR methodology, so ordinary t-test being incorrect in order to reject the null hypothesis, probably the skewness adjusted model will be needed.</w:t>
      </w:r>
    </w:p>
    <w:p w:rsidR="00DD3A8B" w:rsidRDefault="0030656B" w:rsidP="00DD3A8B">
      <w:pPr>
        <w:pStyle w:val="2"/>
        <w:rPr>
          <w:lang w:val="en-US"/>
        </w:rPr>
      </w:pPr>
      <w:bookmarkStart w:id="18" w:name="_Toc73640574"/>
      <w:r>
        <w:rPr>
          <w:lang w:val="en-US"/>
        </w:rPr>
        <w:t xml:space="preserve">2.3.2 </w:t>
      </w:r>
      <w:r w:rsidR="00DD3A8B">
        <w:rPr>
          <w:lang w:val="en-US"/>
        </w:rPr>
        <w:t>Conclusion on the 2</w:t>
      </w:r>
      <w:r w:rsidR="00DD3A8B" w:rsidRPr="00DD3A8B">
        <w:rPr>
          <w:vertAlign w:val="superscript"/>
          <w:lang w:val="en-US"/>
        </w:rPr>
        <w:t>nd</w:t>
      </w:r>
      <w:r w:rsidR="00DD3A8B">
        <w:rPr>
          <w:lang w:val="en-US"/>
        </w:rPr>
        <w:t xml:space="preserve"> chapter</w:t>
      </w:r>
      <w:bookmarkEnd w:id="18"/>
    </w:p>
    <w:p w:rsidR="00DD3A8B" w:rsidRDefault="00DD3A8B" w:rsidP="00DD3A8B">
      <w:pPr>
        <w:rPr>
          <w:lang w:val="en-US"/>
        </w:rPr>
      </w:pPr>
      <w:r>
        <w:rPr>
          <w:lang w:val="en-US"/>
        </w:rPr>
        <w:t>In this chapter</w:t>
      </w:r>
      <w:r w:rsidR="00860056">
        <w:rPr>
          <w:lang w:val="en-US"/>
        </w:rPr>
        <w:t xml:space="preserve"> I have proposed several hypotheses that should respond to the question stated in the goal and clarify the portrait of the most attractive type of acquirer. </w:t>
      </w:r>
      <w:r w:rsidR="0030656B">
        <w:rPr>
          <w:lang w:val="en-US"/>
        </w:rPr>
        <w:t xml:space="preserve">Then the typical research models required for analyzing these hypotheses were provided. Hence, I have to typical models that suit for all event study, including post M&amp;A effects, one for short term estimation another for long-term. After that </w:t>
      </w:r>
      <w:r w:rsidR="00860056">
        <w:rPr>
          <w:lang w:val="en-US"/>
        </w:rPr>
        <w:t xml:space="preserve">the selection criteria </w:t>
      </w:r>
      <w:r w:rsidR="0030656B">
        <w:rPr>
          <w:lang w:val="en-US"/>
        </w:rPr>
        <w:t xml:space="preserve">for data sampling </w:t>
      </w:r>
      <w:r w:rsidR="00860056">
        <w:rPr>
          <w:lang w:val="en-US"/>
        </w:rPr>
        <w:t>were defined, according to which the data was accumulated and then filtered in order to suit to my study. Moreover, I have provided data description, so to clarify the whole picture on M&amp;</w:t>
      </w:r>
      <w:proofErr w:type="gramStart"/>
      <w:r w:rsidR="00860056">
        <w:rPr>
          <w:lang w:val="en-US"/>
        </w:rPr>
        <w:t>As</w:t>
      </w:r>
      <w:proofErr w:type="gramEnd"/>
      <w:r w:rsidR="00860056">
        <w:rPr>
          <w:lang w:val="en-US"/>
        </w:rPr>
        <w:t xml:space="preserve"> between oil&amp;gas companies and their peers from alternative energy industry. Now, when </w:t>
      </w:r>
      <w:r w:rsidR="0030656B">
        <w:rPr>
          <w:lang w:val="en-US"/>
        </w:rPr>
        <w:t>all parts required for research are here I could move to the next chapter Results.</w:t>
      </w:r>
    </w:p>
    <w:p w:rsidR="008C3457" w:rsidRDefault="008C3457" w:rsidP="00DD3A8B">
      <w:pPr>
        <w:rPr>
          <w:lang w:val="en-US"/>
        </w:rPr>
      </w:pPr>
    </w:p>
    <w:p w:rsidR="008C3457" w:rsidRDefault="008C3457" w:rsidP="008C3457">
      <w:pPr>
        <w:pStyle w:val="1"/>
        <w:rPr>
          <w:lang w:val="en-US"/>
        </w:rPr>
      </w:pPr>
      <w:bookmarkStart w:id="19" w:name="_Toc73640575"/>
      <w:r>
        <w:rPr>
          <w:lang w:val="en-US"/>
        </w:rPr>
        <w:lastRenderedPageBreak/>
        <w:t xml:space="preserve">Chapter 3. </w:t>
      </w:r>
      <w:r w:rsidR="00C51065">
        <w:rPr>
          <w:lang w:val="en-US"/>
        </w:rPr>
        <w:t>Event study</w:t>
      </w:r>
      <w:bookmarkEnd w:id="19"/>
    </w:p>
    <w:p w:rsidR="00C51065" w:rsidRPr="00C51065" w:rsidRDefault="00C51065" w:rsidP="00C51065">
      <w:pPr>
        <w:pStyle w:val="2"/>
        <w:rPr>
          <w:lang w:val="en-US"/>
        </w:rPr>
      </w:pPr>
      <w:bookmarkStart w:id="20" w:name="_Toc73640576"/>
      <w:r>
        <w:rPr>
          <w:lang w:val="en-US"/>
        </w:rPr>
        <w:t>3.1 Results discussion</w:t>
      </w:r>
      <w:bookmarkEnd w:id="20"/>
    </w:p>
    <w:p w:rsidR="0068623A" w:rsidRDefault="00C51065" w:rsidP="0068623A">
      <w:pPr>
        <w:rPr>
          <w:lang w:val="en-US"/>
        </w:rPr>
      </w:pPr>
      <w:r>
        <w:rPr>
          <w:lang w:val="en-US"/>
        </w:rPr>
        <w:t xml:space="preserve">The results acquired on the data sample thorough the event study methodologies proposed in the previous chapter are presented in this part. </w:t>
      </w:r>
      <w:r w:rsidR="0068623A">
        <w:rPr>
          <w:lang w:val="en-US"/>
        </w:rPr>
        <w:t xml:space="preserve">To begin with, I will show the results from the event study fist and then discuss it. After the results from the long-term study will be </w:t>
      </w:r>
      <w:r w:rsidR="00801994">
        <w:rPr>
          <w:lang w:val="en-US"/>
        </w:rPr>
        <w:t>provided and discussed as well.</w:t>
      </w:r>
    </w:p>
    <w:p w:rsidR="00801994" w:rsidRDefault="00801994" w:rsidP="0068623A">
      <w:pPr>
        <w:rPr>
          <w:lang w:val="en-US"/>
        </w:rPr>
      </w:pPr>
      <w:r>
        <w:rPr>
          <w:lang w:val="en-US"/>
        </w:rPr>
        <w:t>Before we move to observation of study outcome, it should be taken under account that denomination of significance in the text is made through “*” sign</w:t>
      </w:r>
      <w:r w:rsidR="00F57982">
        <w:rPr>
          <w:lang w:val="en-US"/>
        </w:rPr>
        <w:t>, higher number of * the higher level of significance</w:t>
      </w:r>
      <w:r w:rsidR="00AC7406">
        <w:rPr>
          <w:lang w:val="en-US"/>
        </w:rPr>
        <w:t xml:space="preserve">. To determine either my results are statistically significant </w:t>
      </w:r>
      <w:r w:rsidR="00433394">
        <w:rPr>
          <w:lang w:val="en-US"/>
        </w:rPr>
        <w:t>I am using the t va</w:t>
      </w:r>
      <w:r w:rsidR="00EC1BDB">
        <w:rPr>
          <w:lang w:val="en-US"/>
        </w:rPr>
        <w:t xml:space="preserve">lue table, as it was </w:t>
      </w:r>
      <w:r w:rsidR="00AC7406">
        <w:rPr>
          <w:lang w:val="en-US"/>
        </w:rPr>
        <w:t>proposed</w:t>
      </w:r>
      <w:r w:rsidR="00EC1BDB">
        <w:rPr>
          <w:lang w:val="en-US"/>
        </w:rPr>
        <w:t xml:space="preserve"> in the chapter 2, research methodology. </w:t>
      </w:r>
      <w:r w:rsidR="00AC7406">
        <w:rPr>
          <w:lang w:val="en-US"/>
        </w:rPr>
        <w:t>However, since the study sample is quite small</w:t>
      </w:r>
      <w:r w:rsidR="004078F8">
        <w:rPr>
          <w:lang w:val="en-US"/>
        </w:rPr>
        <w:t xml:space="preserve"> for both event windows</w:t>
      </w:r>
      <w:r w:rsidR="00AC7406">
        <w:rPr>
          <w:lang w:val="en-US"/>
        </w:rPr>
        <w:t>, with 25 observations in short-horizon study and 16 in long-horizon, then the results</w:t>
      </w:r>
      <w:r w:rsidR="004078F8">
        <w:rPr>
          <w:lang w:val="en-US"/>
        </w:rPr>
        <w:t xml:space="preserve"> will be granted as significant with 8</w:t>
      </w:r>
      <w:r w:rsidR="005649AD">
        <w:rPr>
          <w:lang w:val="en-US"/>
        </w:rPr>
        <w:t>5</w:t>
      </w:r>
      <w:r w:rsidR="004078F8">
        <w:rPr>
          <w:lang w:val="en-US"/>
        </w:rPr>
        <w:t>% level of significance at least.</w:t>
      </w:r>
      <w:r w:rsidR="00F57982">
        <w:rPr>
          <w:lang w:val="en-US"/>
        </w:rPr>
        <w:t xml:space="preserve"> For short-horizon study with 25 observations degree of freedoms equals to 24 and for long-horizon equals to 15 (df = N-1).</w:t>
      </w:r>
    </w:p>
    <w:p w:rsidR="008D2DAC" w:rsidRDefault="008D2DAC" w:rsidP="008D2DAC">
      <w:pPr>
        <w:pStyle w:val="3"/>
        <w:rPr>
          <w:lang w:val="en-US"/>
        </w:rPr>
      </w:pPr>
      <w:bookmarkStart w:id="21" w:name="_Toc73640577"/>
      <w:r>
        <w:rPr>
          <w:lang w:val="en-US"/>
        </w:rPr>
        <w:t>3.1.2 Results of short-term study</w:t>
      </w:r>
      <w:bookmarkEnd w:id="21"/>
    </w:p>
    <w:p w:rsidR="0079364B" w:rsidRPr="0079364B" w:rsidRDefault="0079364B" w:rsidP="0079364B">
      <w:pPr>
        <w:rPr>
          <w:lang w:val="en-GB"/>
        </w:rPr>
      </w:pPr>
      <w:r>
        <w:rPr>
          <w:lang w:val="en-GB"/>
        </w:rPr>
        <w:t>All measure for abnormal returns are in %.</w:t>
      </w:r>
    </w:p>
    <w:p w:rsidR="00A45610" w:rsidRDefault="00F57982" w:rsidP="0068623A">
      <w:pPr>
        <w:rPr>
          <w:lang w:val="en-GB"/>
        </w:rPr>
      </w:pPr>
      <w:r>
        <w:rPr>
          <w:lang w:val="en-US"/>
        </w:rPr>
        <w:t>F</w:t>
      </w:r>
      <w:r w:rsidR="00333C06" w:rsidRPr="00333C06">
        <w:rPr>
          <w:lang w:val="en-GB"/>
        </w:rPr>
        <w:t>or further discussion, I</w:t>
      </w:r>
      <w:r w:rsidR="005649AD">
        <w:rPr>
          <w:lang w:val="en-GB"/>
        </w:rPr>
        <w:t>’</w:t>
      </w:r>
      <w:r w:rsidR="00333C06" w:rsidRPr="00333C06">
        <w:rPr>
          <w:lang w:val="en-GB"/>
        </w:rPr>
        <w:t>m going to present</w:t>
      </w:r>
      <w:r w:rsidR="00333C06">
        <w:rPr>
          <w:lang w:val="en-GB"/>
        </w:rPr>
        <w:t xml:space="preserve"> tables with </w:t>
      </w:r>
      <w:r w:rsidR="00D5390D">
        <w:rPr>
          <w:lang w:val="en-GB"/>
        </w:rPr>
        <w:t>average abnormal returns (</w:t>
      </w:r>
      <w:r w:rsidR="00333C06">
        <w:rPr>
          <w:lang w:val="en-GB"/>
        </w:rPr>
        <w:t>AAR</w:t>
      </w:r>
      <w:r w:rsidR="00D5390D">
        <w:rPr>
          <w:lang w:val="en-GB"/>
        </w:rPr>
        <w:t>)</w:t>
      </w:r>
      <w:r w:rsidR="00333C06">
        <w:rPr>
          <w:lang w:val="en-GB"/>
        </w:rPr>
        <w:t xml:space="preserve"> and</w:t>
      </w:r>
      <w:r w:rsidR="00D5390D">
        <w:rPr>
          <w:lang w:val="en-GB"/>
        </w:rPr>
        <w:t xml:space="preserve"> cumulative</w:t>
      </w:r>
      <w:r w:rsidR="00333C06">
        <w:rPr>
          <w:lang w:val="en-GB"/>
        </w:rPr>
        <w:t xml:space="preserve"> </w:t>
      </w:r>
      <w:r w:rsidR="00D5390D">
        <w:rPr>
          <w:lang w:val="en-GB"/>
        </w:rPr>
        <w:t>average abnormal returns (</w:t>
      </w:r>
      <w:r w:rsidR="00333C06">
        <w:rPr>
          <w:lang w:val="en-GB"/>
        </w:rPr>
        <w:t>CAAR</w:t>
      </w:r>
      <w:r w:rsidR="00D5390D">
        <w:rPr>
          <w:lang w:val="en-GB"/>
        </w:rPr>
        <w:t>)</w:t>
      </w:r>
      <w:r w:rsidR="00333C06">
        <w:rPr>
          <w:lang w:val="en-GB"/>
        </w:rPr>
        <w:t xml:space="preserve"> values with a corresponding</w:t>
      </w:r>
      <w:r w:rsidR="00D5390D">
        <w:rPr>
          <w:lang w:val="en-GB"/>
        </w:rPr>
        <w:t xml:space="preserve"> significance</w:t>
      </w:r>
      <w:r w:rsidR="00333C06">
        <w:rPr>
          <w:lang w:val="en-GB"/>
        </w:rPr>
        <w:t xml:space="preserve"> t-tests, firstly for the main hypothesis about positive abnormal returns then for the second hypothesis that is aimed on differentiation between solar and wind alternative solutions and ot</w:t>
      </w:r>
      <w:r>
        <w:rPr>
          <w:lang w:val="en-GB"/>
        </w:rPr>
        <w:t>her types of renewable energy</w:t>
      </w:r>
      <w:r w:rsidR="00333C06">
        <w:rPr>
          <w:lang w:val="en-GB"/>
        </w:rPr>
        <w:t xml:space="preserve">. In relation with each hypotheses a corresponding charts to AAR and CAAR results are presented, so as to </w:t>
      </w:r>
      <w:r w:rsidR="008D2DAC">
        <w:rPr>
          <w:lang w:val="en-GB"/>
        </w:rPr>
        <w:t>provide information in visual and clearer manner.</w:t>
      </w:r>
      <w:r w:rsidR="00333C06">
        <w:rPr>
          <w:lang w:val="en-GB"/>
        </w:rPr>
        <w:t xml:space="preserve"> </w:t>
      </w:r>
      <w:r>
        <w:rPr>
          <w:lang w:val="en-GB"/>
        </w:rPr>
        <w:t>The timeline, as described in research methodology is from three days before and three days after the event day</w:t>
      </w:r>
      <w:r w:rsidR="00D5390D">
        <w:rPr>
          <w:lang w:val="en-GB"/>
        </w:rPr>
        <w:t xml:space="preserve"> 0,</w:t>
      </w:r>
      <w:r>
        <w:rPr>
          <w:lang w:val="en-GB"/>
        </w:rPr>
        <w:t xml:space="preserve"> [-3;+3], so seven days in total</w:t>
      </w:r>
      <w:r w:rsidR="00D5390D">
        <w:rPr>
          <w:lang w:val="en-GB"/>
        </w:rPr>
        <w:t xml:space="preserve">. </w:t>
      </w:r>
    </w:p>
    <w:p w:rsidR="00265712" w:rsidRDefault="00D5390D" w:rsidP="0068623A">
      <w:pPr>
        <w:rPr>
          <w:lang w:val="en-GB"/>
        </w:rPr>
      </w:pPr>
      <w:r>
        <w:rPr>
          <w:lang w:val="en-GB"/>
        </w:rPr>
        <w:t>The first table below and tow corresponding line charts will show any abnormal reaction of the market on the event of M&amp;A, according to the first hypothesis:</w:t>
      </w:r>
    </w:p>
    <w:p w:rsidR="00D5390D" w:rsidRDefault="00D5390D" w:rsidP="0068623A">
      <w:pPr>
        <w:rPr>
          <w:lang w:val="en-GB"/>
        </w:rPr>
      </w:pPr>
      <w:r w:rsidRPr="009F1583">
        <w:rPr>
          <w:b/>
          <w:i/>
          <w:lang w:val="en-GB"/>
        </w:rPr>
        <w:t>H1</w:t>
      </w:r>
      <w:r w:rsidRPr="00E90B08">
        <w:rPr>
          <w:i/>
          <w:lang w:val="en-GB"/>
        </w:rPr>
        <w:t xml:space="preserve">: Abnormal positive stock returns for bidder firms (O&amp;G companies) are observed after M&amp;A deal between oil and gas companies and </w:t>
      </w:r>
      <w:r>
        <w:rPr>
          <w:i/>
          <w:lang w:val="en-GB"/>
        </w:rPr>
        <w:t>alternative</w:t>
      </w:r>
      <w:r w:rsidRPr="00E90B08">
        <w:rPr>
          <w:i/>
          <w:lang w:val="en-GB"/>
        </w:rPr>
        <w:t xml:space="preserve"> energy </w:t>
      </w:r>
      <w:r>
        <w:rPr>
          <w:i/>
          <w:lang w:val="en-GB"/>
        </w:rPr>
        <w:t xml:space="preserve">solution </w:t>
      </w:r>
      <w:r w:rsidRPr="00E90B08">
        <w:rPr>
          <w:i/>
          <w:lang w:val="en-GB"/>
        </w:rPr>
        <w:t>companies</w:t>
      </w:r>
      <w:r>
        <w:rPr>
          <w:i/>
          <w:lang w:val="en-GB"/>
        </w:rPr>
        <w:t>.</w:t>
      </w:r>
    </w:p>
    <w:p w:rsidR="00525109" w:rsidRDefault="00525109" w:rsidP="00525109">
      <w:pPr>
        <w:pStyle w:val="SVEtablecaption"/>
      </w:pPr>
      <w:r>
        <w:lastRenderedPageBreak/>
        <w:t>Abnormal returns in short event window</w:t>
      </w:r>
    </w:p>
    <w:tbl>
      <w:tblPr>
        <w:tblStyle w:val="a6"/>
        <w:tblW w:w="0" w:type="auto"/>
        <w:tblLook w:val="04A0" w:firstRow="1" w:lastRow="0" w:firstColumn="1" w:lastColumn="0" w:noHBand="0" w:noVBand="1"/>
      </w:tblPr>
      <w:tblGrid>
        <w:gridCol w:w="1133"/>
        <w:gridCol w:w="2604"/>
        <w:gridCol w:w="1869"/>
        <w:gridCol w:w="1869"/>
        <w:gridCol w:w="1869"/>
      </w:tblGrid>
      <w:tr w:rsidR="00525109" w:rsidTr="00A61662">
        <w:tc>
          <w:tcPr>
            <w:tcW w:w="1134" w:type="dxa"/>
          </w:tcPr>
          <w:p w:rsidR="00525109" w:rsidRPr="00A61662" w:rsidRDefault="00525109" w:rsidP="00525109">
            <w:pPr>
              <w:pStyle w:val="SVEtableheader"/>
            </w:pPr>
            <w:r w:rsidRPr="00A61662">
              <w:t>Day, t</w:t>
            </w:r>
          </w:p>
        </w:tc>
        <w:tc>
          <w:tcPr>
            <w:tcW w:w="2604" w:type="dxa"/>
          </w:tcPr>
          <w:p w:rsidR="00525109" w:rsidRPr="00A61662" w:rsidRDefault="00525109" w:rsidP="00525109">
            <w:pPr>
              <w:pStyle w:val="SVEtableheader"/>
            </w:pPr>
            <w:r w:rsidRPr="00A61662">
              <w:t>AAR</w:t>
            </w:r>
          </w:p>
        </w:tc>
        <w:tc>
          <w:tcPr>
            <w:tcW w:w="1869" w:type="dxa"/>
          </w:tcPr>
          <w:p w:rsidR="00525109" w:rsidRPr="00525109" w:rsidRDefault="008E3922" w:rsidP="00525109">
            <w:pPr>
              <w:pStyle w:val="SVEtableheader"/>
              <w:rPr>
                <w:b w:val="0"/>
              </w:rPr>
            </w:pPr>
            <m:oMathPara>
              <m:oMath>
                <m:sSub>
                  <m:sSubPr>
                    <m:ctrlPr>
                      <w:rPr>
                        <w:rFonts w:ascii="Cambria Math" w:hAnsi="Cambria Math"/>
                        <w:b w:val="0"/>
                        <w:i/>
                        <w:sz w:val="24"/>
                      </w:rPr>
                    </m:ctrlPr>
                  </m:sSubPr>
                  <m:e>
                    <m:r>
                      <m:rPr>
                        <m:sty m:val="bi"/>
                      </m:rPr>
                      <w:rPr>
                        <w:rFonts w:ascii="Cambria Math" w:hAnsi="Cambria Math"/>
                      </w:rPr>
                      <m:t>t</m:t>
                    </m:r>
                  </m:e>
                  <m:sub>
                    <m:r>
                      <m:rPr>
                        <m:sty m:val="bi"/>
                      </m:rPr>
                      <w:rPr>
                        <w:rFonts w:ascii="Cambria Math" w:hAnsi="Cambria Math"/>
                      </w:rPr>
                      <m:t>AAR</m:t>
                    </m:r>
                  </m:sub>
                </m:sSub>
              </m:oMath>
            </m:oMathPara>
          </w:p>
        </w:tc>
        <w:tc>
          <w:tcPr>
            <w:tcW w:w="1869" w:type="dxa"/>
          </w:tcPr>
          <w:p w:rsidR="00525109" w:rsidRPr="00A61662" w:rsidRDefault="00525109" w:rsidP="00525109">
            <w:pPr>
              <w:pStyle w:val="SVEtableheader"/>
            </w:pPr>
            <w:r w:rsidRPr="00A61662">
              <w:t>CAAR</w:t>
            </w:r>
          </w:p>
        </w:tc>
        <w:tc>
          <w:tcPr>
            <w:tcW w:w="1869" w:type="dxa"/>
          </w:tcPr>
          <w:p w:rsidR="00525109" w:rsidRPr="00525109" w:rsidRDefault="008E3922" w:rsidP="00525109">
            <w:pPr>
              <w:pStyle w:val="SVEtableheader"/>
              <w:rPr>
                <w:b w:val="0"/>
              </w:rPr>
            </w:pPr>
            <m:oMathPara>
              <m:oMath>
                <m:sSub>
                  <m:sSubPr>
                    <m:ctrlPr>
                      <w:rPr>
                        <w:rFonts w:ascii="Cambria Math" w:hAnsi="Cambria Math"/>
                        <w:b w:val="0"/>
                        <w:i/>
                        <w:sz w:val="24"/>
                      </w:rPr>
                    </m:ctrlPr>
                  </m:sSubPr>
                  <m:e>
                    <m:r>
                      <m:rPr>
                        <m:sty m:val="bi"/>
                      </m:rPr>
                      <w:rPr>
                        <w:rFonts w:ascii="Cambria Math" w:hAnsi="Cambria Math"/>
                      </w:rPr>
                      <m:t>t</m:t>
                    </m:r>
                  </m:e>
                  <m:sub>
                    <m:r>
                      <m:rPr>
                        <m:sty m:val="bi"/>
                      </m:rPr>
                      <w:rPr>
                        <w:rFonts w:ascii="Cambria Math" w:hAnsi="Cambria Math"/>
                      </w:rPr>
                      <m:t>CAAR</m:t>
                    </m:r>
                  </m:sub>
                </m:sSub>
              </m:oMath>
            </m:oMathPara>
          </w:p>
        </w:tc>
      </w:tr>
      <w:tr w:rsidR="00525109" w:rsidTr="00A61662">
        <w:tc>
          <w:tcPr>
            <w:tcW w:w="1134" w:type="dxa"/>
          </w:tcPr>
          <w:p w:rsidR="00525109" w:rsidRPr="00525109" w:rsidRDefault="00525109" w:rsidP="00525109">
            <w:pPr>
              <w:pStyle w:val="SVEtableheader"/>
              <w:rPr>
                <w:b w:val="0"/>
              </w:rPr>
            </w:pPr>
            <w:r w:rsidRPr="00525109">
              <w:rPr>
                <w:b w:val="0"/>
              </w:rPr>
              <w:t>3</w:t>
            </w:r>
          </w:p>
        </w:tc>
        <w:tc>
          <w:tcPr>
            <w:tcW w:w="2604" w:type="dxa"/>
          </w:tcPr>
          <w:p w:rsidR="00525109" w:rsidRPr="006420E0" w:rsidRDefault="00525109" w:rsidP="00525109">
            <w:pPr>
              <w:pStyle w:val="SVEtablecontent"/>
            </w:pPr>
            <w:r w:rsidRPr="006420E0">
              <w:t>+0.08%</w:t>
            </w:r>
          </w:p>
        </w:tc>
        <w:tc>
          <w:tcPr>
            <w:tcW w:w="1869" w:type="dxa"/>
          </w:tcPr>
          <w:p w:rsidR="00525109" w:rsidRPr="00525109" w:rsidRDefault="00525109" w:rsidP="00525109">
            <w:pPr>
              <w:pStyle w:val="SVEtablecontent"/>
            </w:pPr>
            <w:r w:rsidRPr="00525109">
              <w:t>0.36</w:t>
            </w:r>
          </w:p>
        </w:tc>
        <w:tc>
          <w:tcPr>
            <w:tcW w:w="1869" w:type="dxa"/>
          </w:tcPr>
          <w:p w:rsidR="00525109" w:rsidRPr="006420E0" w:rsidRDefault="00525109" w:rsidP="00525109">
            <w:pPr>
              <w:pStyle w:val="SVEtablecontent"/>
              <w:rPr>
                <w:bCs/>
              </w:rPr>
            </w:pPr>
            <w:r w:rsidRPr="006420E0">
              <w:rPr>
                <w:bCs/>
              </w:rPr>
              <w:t>+0.26%</w:t>
            </w:r>
          </w:p>
        </w:tc>
        <w:tc>
          <w:tcPr>
            <w:tcW w:w="1869" w:type="dxa"/>
          </w:tcPr>
          <w:p w:rsidR="00525109" w:rsidRPr="00BA28B5" w:rsidRDefault="00525109" w:rsidP="00525109">
            <w:pPr>
              <w:pStyle w:val="SVEtablecontent"/>
            </w:pPr>
            <w:r w:rsidRPr="00BA28B5">
              <w:t>1.169</w:t>
            </w:r>
            <w:r w:rsidR="005649AD" w:rsidRPr="00BA28B5">
              <w:t>*</w:t>
            </w:r>
          </w:p>
        </w:tc>
      </w:tr>
      <w:tr w:rsidR="00525109" w:rsidTr="00A61662">
        <w:tc>
          <w:tcPr>
            <w:tcW w:w="1134" w:type="dxa"/>
          </w:tcPr>
          <w:p w:rsidR="00525109" w:rsidRPr="00525109" w:rsidRDefault="00525109" w:rsidP="00525109">
            <w:pPr>
              <w:pStyle w:val="SVEtableheader"/>
              <w:rPr>
                <w:b w:val="0"/>
              </w:rPr>
            </w:pPr>
            <w:r w:rsidRPr="00525109">
              <w:rPr>
                <w:b w:val="0"/>
              </w:rPr>
              <w:t>2</w:t>
            </w:r>
          </w:p>
        </w:tc>
        <w:tc>
          <w:tcPr>
            <w:tcW w:w="2604" w:type="dxa"/>
          </w:tcPr>
          <w:p w:rsidR="00525109" w:rsidRPr="006420E0" w:rsidRDefault="00525109" w:rsidP="00525109">
            <w:pPr>
              <w:pStyle w:val="SVEtablecontent"/>
            </w:pPr>
            <w:r w:rsidRPr="006420E0">
              <w:t>+0.18%</w:t>
            </w:r>
          </w:p>
        </w:tc>
        <w:tc>
          <w:tcPr>
            <w:tcW w:w="1869" w:type="dxa"/>
          </w:tcPr>
          <w:p w:rsidR="00525109" w:rsidRPr="00525109" w:rsidRDefault="00525109" w:rsidP="00525109">
            <w:pPr>
              <w:pStyle w:val="SVEtablecontent"/>
            </w:pPr>
            <w:r w:rsidRPr="00525109">
              <w:t>0.77</w:t>
            </w:r>
          </w:p>
        </w:tc>
        <w:tc>
          <w:tcPr>
            <w:tcW w:w="1869" w:type="dxa"/>
          </w:tcPr>
          <w:p w:rsidR="00525109" w:rsidRPr="006420E0" w:rsidRDefault="00525109" w:rsidP="00525109">
            <w:pPr>
              <w:pStyle w:val="SVEtablecontent"/>
            </w:pPr>
            <w:r w:rsidRPr="006420E0">
              <w:t>+0.17%</w:t>
            </w:r>
          </w:p>
        </w:tc>
        <w:tc>
          <w:tcPr>
            <w:tcW w:w="1869" w:type="dxa"/>
          </w:tcPr>
          <w:p w:rsidR="00525109" w:rsidRPr="00525109" w:rsidRDefault="00525109" w:rsidP="00525109">
            <w:pPr>
              <w:pStyle w:val="SVEtablecontent"/>
            </w:pPr>
            <w:r w:rsidRPr="00525109">
              <w:t>0.796</w:t>
            </w:r>
          </w:p>
        </w:tc>
      </w:tr>
      <w:tr w:rsidR="00525109" w:rsidTr="00A61662">
        <w:tc>
          <w:tcPr>
            <w:tcW w:w="1134" w:type="dxa"/>
          </w:tcPr>
          <w:p w:rsidR="00525109" w:rsidRPr="00525109" w:rsidRDefault="00525109" w:rsidP="00525109">
            <w:pPr>
              <w:pStyle w:val="SVEtableheader"/>
              <w:rPr>
                <w:b w:val="0"/>
              </w:rPr>
            </w:pPr>
            <w:r w:rsidRPr="00525109">
              <w:rPr>
                <w:b w:val="0"/>
              </w:rPr>
              <w:t>1</w:t>
            </w:r>
          </w:p>
        </w:tc>
        <w:tc>
          <w:tcPr>
            <w:tcW w:w="2604" w:type="dxa"/>
          </w:tcPr>
          <w:p w:rsidR="00525109" w:rsidRPr="006420E0" w:rsidRDefault="00525109" w:rsidP="00525109">
            <w:pPr>
              <w:pStyle w:val="SVEtablecontent"/>
              <w:rPr>
                <w:bCs/>
              </w:rPr>
            </w:pPr>
            <w:r w:rsidRPr="006420E0">
              <w:rPr>
                <w:bCs/>
              </w:rPr>
              <w:t>+0.26%</w:t>
            </w:r>
          </w:p>
        </w:tc>
        <w:tc>
          <w:tcPr>
            <w:tcW w:w="1869" w:type="dxa"/>
          </w:tcPr>
          <w:p w:rsidR="00525109" w:rsidRPr="00A61662" w:rsidRDefault="00525109" w:rsidP="00525109">
            <w:pPr>
              <w:pStyle w:val="SVEtablecontent"/>
            </w:pPr>
            <w:r w:rsidRPr="00A61662">
              <w:t>1.15</w:t>
            </w:r>
          </w:p>
        </w:tc>
        <w:tc>
          <w:tcPr>
            <w:tcW w:w="1869" w:type="dxa"/>
          </w:tcPr>
          <w:p w:rsidR="00525109" w:rsidRPr="006420E0" w:rsidRDefault="00525109" w:rsidP="00525109">
            <w:pPr>
              <w:pStyle w:val="SVEtablecontent"/>
            </w:pPr>
            <w:r w:rsidRPr="006420E0">
              <w:t>-0.00%</w:t>
            </w:r>
          </w:p>
        </w:tc>
        <w:tc>
          <w:tcPr>
            <w:tcW w:w="1869" w:type="dxa"/>
          </w:tcPr>
          <w:p w:rsidR="00525109" w:rsidRPr="00525109" w:rsidRDefault="00525109" w:rsidP="00525109">
            <w:pPr>
              <w:pStyle w:val="SVEtablecontent"/>
            </w:pPr>
            <w:r w:rsidRPr="00525109">
              <w:t>-0.001</w:t>
            </w:r>
          </w:p>
        </w:tc>
      </w:tr>
      <w:tr w:rsidR="00525109" w:rsidTr="00A61662">
        <w:tc>
          <w:tcPr>
            <w:tcW w:w="1134" w:type="dxa"/>
          </w:tcPr>
          <w:p w:rsidR="00525109" w:rsidRPr="00525109" w:rsidRDefault="00525109" w:rsidP="00525109">
            <w:pPr>
              <w:pStyle w:val="SVEtableheader"/>
              <w:rPr>
                <w:b w:val="0"/>
              </w:rPr>
            </w:pPr>
            <w:r w:rsidRPr="00525109">
              <w:rPr>
                <w:b w:val="0"/>
              </w:rPr>
              <w:t>0</w:t>
            </w:r>
          </w:p>
        </w:tc>
        <w:tc>
          <w:tcPr>
            <w:tcW w:w="2604" w:type="dxa"/>
          </w:tcPr>
          <w:p w:rsidR="00525109" w:rsidRPr="00A61662" w:rsidRDefault="00525109" w:rsidP="00525109">
            <w:pPr>
              <w:pStyle w:val="SVEtablecontent"/>
              <w:rPr>
                <w:b/>
                <w:bCs/>
              </w:rPr>
            </w:pPr>
            <w:r w:rsidRPr="00A61662">
              <w:rPr>
                <w:b/>
                <w:bCs/>
              </w:rPr>
              <w:t>-0.32%</w:t>
            </w:r>
            <w:r w:rsidR="00A61662">
              <w:rPr>
                <w:b/>
                <w:bCs/>
              </w:rPr>
              <w:t>**</w:t>
            </w:r>
          </w:p>
        </w:tc>
        <w:tc>
          <w:tcPr>
            <w:tcW w:w="1869" w:type="dxa"/>
          </w:tcPr>
          <w:p w:rsidR="00525109" w:rsidRPr="00A61662" w:rsidRDefault="00525109" w:rsidP="00525109">
            <w:pPr>
              <w:pStyle w:val="SVEtablecontent"/>
              <w:rPr>
                <w:b/>
              </w:rPr>
            </w:pPr>
            <w:r w:rsidRPr="00A61662">
              <w:rPr>
                <w:b/>
              </w:rPr>
              <w:t>-1.39</w:t>
            </w:r>
          </w:p>
        </w:tc>
        <w:tc>
          <w:tcPr>
            <w:tcW w:w="1869" w:type="dxa"/>
          </w:tcPr>
          <w:p w:rsidR="00525109" w:rsidRPr="006420E0" w:rsidRDefault="00525109" w:rsidP="00525109">
            <w:pPr>
              <w:pStyle w:val="SVEtablecontent"/>
              <w:rPr>
                <w:bCs/>
              </w:rPr>
            </w:pPr>
            <w:r w:rsidRPr="006420E0">
              <w:rPr>
                <w:bCs/>
              </w:rPr>
              <w:t>-0.26%</w:t>
            </w:r>
          </w:p>
        </w:tc>
        <w:tc>
          <w:tcPr>
            <w:tcW w:w="1869" w:type="dxa"/>
          </w:tcPr>
          <w:p w:rsidR="00525109" w:rsidRPr="00BA28B5" w:rsidRDefault="00270B71" w:rsidP="00525109">
            <w:pPr>
              <w:pStyle w:val="SVEtablecontent"/>
            </w:pPr>
            <w:r w:rsidRPr="00BA28B5">
              <w:t>-1.2*</w:t>
            </w:r>
          </w:p>
        </w:tc>
      </w:tr>
      <w:tr w:rsidR="00525109" w:rsidTr="00A61662">
        <w:tc>
          <w:tcPr>
            <w:tcW w:w="1134" w:type="dxa"/>
          </w:tcPr>
          <w:p w:rsidR="00525109" w:rsidRPr="00525109" w:rsidRDefault="00525109" w:rsidP="00525109">
            <w:pPr>
              <w:pStyle w:val="SVEtableheader"/>
              <w:rPr>
                <w:b w:val="0"/>
              </w:rPr>
            </w:pPr>
            <w:r w:rsidRPr="00525109">
              <w:rPr>
                <w:b w:val="0"/>
              </w:rPr>
              <w:t>-1</w:t>
            </w:r>
          </w:p>
        </w:tc>
        <w:tc>
          <w:tcPr>
            <w:tcW w:w="2604" w:type="dxa"/>
          </w:tcPr>
          <w:p w:rsidR="00525109" w:rsidRPr="00A61662" w:rsidRDefault="00525109" w:rsidP="00525109">
            <w:pPr>
              <w:pStyle w:val="SVEtablecontent"/>
              <w:rPr>
                <w:b/>
                <w:bCs/>
              </w:rPr>
            </w:pPr>
            <w:r w:rsidRPr="00A61662">
              <w:rPr>
                <w:b/>
                <w:bCs/>
              </w:rPr>
              <w:t>+0.38%</w:t>
            </w:r>
            <w:r w:rsidR="00A61662">
              <w:rPr>
                <w:b/>
                <w:bCs/>
              </w:rPr>
              <w:t>**</w:t>
            </w:r>
          </w:p>
        </w:tc>
        <w:tc>
          <w:tcPr>
            <w:tcW w:w="1869" w:type="dxa"/>
          </w:tcPr>
          <w:p w:rsidR="00525109" w:rsidRPr="00A61662" w:rsidRDefault="00525109" w:rsidP="00525109">
            <w:pPr>
              <w:pStyle w:val="SVEtablecontent"/>
              <w:rPr>
                <w:b/>
              </w:rPr>
            </w:pPr>
            <w:r w:rsidRPr="00A61662">
              <w:rPr>
                <w:b/>
              </w:rPr>
              <w:t>1.65</w:t>
            </w:r>
          </w:p>
        </w:tc>
        <w:tc>
          <w:tcPr>
            <w:tcW w:w="1869" w:type="dxa"/>
          </w:tcPr>
          <w:p w:rsidR="00525109" w:rsidRPr="006420E0" w:rsidRDefault="00525109" w:rsidP="00525109">
            <w:pPr>
              <w:pStyle w:val="SVEtablecontent"/>
            </w:pPr>
            <w:r w:rsidRPr="006420E0">
              <w:t>+0.05%</w:t>
            </w:r>
          </w:p>
        </w:tc>
        <w:tc>
          <w:tcPr>
            <w:tcW w:w="1869" w:type="dxa"/>
          </w:tcPr>
          <w:p w:rsidR="00525109" w:rsidRPr="00525109" w:rsidRDefault="00525109" w:rsidP="00525109">
            <w:pPr>
              <w:pStyle w:val="SVEtablecontent"/>
            </w:pPr>
            <w:r w:rsidRPr="00525109">
              <w:t>0.247</w:t>
            </w:r>
          </w:p>
        </w:tc>
      </w:tr>
      <w:tr w:rsidR="00525109" w:rsidTr="00A61662">
        <w:tc>
          <w:tcPr>
            <w:tcW w:w="1134" w:type="dxa"/>
          </w:tcPr>
          <w:p w:rsidR="00525109" w:rsidRPr="00525109" w:rsidRDefault="00525109" w:rsidP="00525109">
            <w:pPr>
              <w:pStyle w:val="SVEtableheader"/>
              <w:rPr>
                <w:b w:val="0"/>
              </w:rPr>
            </w:pPr>
            <w:r w:rsidRPr="00525109">
              <w:rPr>
                <w:b w:val="0"/>
              </w:rPr>
              <w:t>-2</w:t>
            </w:r>
          </w:p>
        </w:tc>
        <w:tc>
          <w:tcPr>
            <w:tcW w:w="2604" w:type="dxa"/>
          </w:tcPr>
          <w:p w:rsidR="00525109" w:rsidRPr="00A61662" w:rsidRDefault="00525109" w:rsidP="00525109">
            <w:pPr>
              <w:pStyle w:val="SVEtablecontent"/>
              <w:rPr>
                <w:b/>
                <w:bCs/>
                <w:iCs/>
              </w:rPr>
            </w:pPr>
            <w:r w:rsidRPr="00A61662">
              <w:rPr>
                <w:b/>
                <w:bCs/>
                <w:iCs/>
              </w:rPr>
              <w:t>-0.45%</w:t>
            </w:r>
            <w:r w:rsidR="00A61662">
              <w:rPr>
                <w:b/>
                <w:bCs/>
                <w:iCs/>
              </w:rPr>
              <w:t>***</w:t>
            </w:r>
          </w:p>
        </w:tc>
        <w:tc>
          <w:tcPr>
            <w:tcW w:w="1869" w:type="dxa"/>
          </w:tcPr>
          <w:p w:rsidR="00525109" w:rsidRPr="00A61662" w:rsidRDefault="00525109" w:rsidP="00525109">
            <w:pPr>
              <w:pStyle w:val="SVEtablecontent"/>
              <w:rPr>
                <w:b/>
              </w:rPr>
            </w:pPr>
            <w:r w:rsidRPr="00A61662">
              <w:rPr>
                <w:b/>
              </w:rPr>
              <w:t>-1.98</w:t>
            </w:r>
          </w:p>
        </w:tc>
        <w:tc>
          <w:tcPr>
            <w:tcW w:w="1869" w:type="dxa"/>
          </w:tcPr>
          <w:p w:rsidR="00525109" w:rsidRPr="006420E0" w:rsidRDefault="00525109" w:rsidP="00525109">
            <w:pPr>
              <w:pStyle w:val="SVEtablecontent"/>
              <w:rPr>
                <w:bCs/>
                <w:iCs/>
              </w:rPr>
            </w:pPr>
            <w:r w:rsidRPr="006420E0">
              <w:rPr>
                <w:bCs/>
                <w:iCs/>
              </w:rPr>
              <w:t>-0.32%</w:t>
            </w:r>
          </w:p>
        </w:tc>
        <w:tc>
          <w:tcPr>
            <w:tcW w:w="1869" w:type="dxa"/>
          </w:tcPr>
          <w:p w:rsidR="00525109" w:rsidRPr="00270B71" w:rsidRDefault="00525109" w:rsidP="00525109">
            <w:pPr>
              <w:pStyle w:val="SVEtablecontent"/>
              <w:rPr>
                <w:b/>
              </w:rPr>
            </w:pPr>
            <w:r w:rsidRPr="00270B71">
              <w:rPr>
                <w:b/>
              </w:rPr>
              <w:t>-1.472</w:t>
            </w:r>
            <w:r w:rsidR="00270B71">
              <w:rPr>
                <w:b/>
              </w:rPr>
              <w:t>**</w:t>
            </w:r>
          </w:p>
        </w:tc>
      </w:tr>
      <w:tr w:rsidR="00525109" w:rsidTr="00A61662">
        <w:tc>
          <w:tcPr>
            <w:tcW w:w="1134" w:type="dxa"/>
          </w:tcPr>
          <w:p w:rsidR="00525109" w:rsidRPr="00525109" w:rsidRDefault="00525109" w:rsidP="00525109">
            <w:pPr>
              <w:pStyle w:val="SVEtableheader"/>
              <w:rPr>
                <w:b w:val="0"/>
              </w:rPr>
            </w:pPr>
            <w:r w:rsidRPr="00525109">
              <w:rPr>
                <w:b w:val="0"/>
              </w:rPr>
              <w:t>-3</w:t>
            </w:r>
          </w:p>
        </w:tc>
        <w:tc>
          <w:tcPr>
            <w:tcW w:w="2604" w:type="dxa"/>
          </w:tcPr>
          <w:p w:rsidR="00525109" w:rsidRPr="006420E0" w:rsidRDefault="00525109" w:rsidP="00525109">
            <w:pPr>
              <w:pStyle w:val="SVEtablecontent"/>
            </w:pPr>
            <w:r w:rsidRPr="006420E0">
              <w:t>+0.13%</w:t>
            </w:r>
          </w:p>
        </w:tc>
        <w:tc>
          <w:tcPr>
            <w:tcW w:w="1869" w:type="dxa"/>
          </w:tcPr>
          <w:p w:rsidR="00525109" w:rsidRPr="00525109" w:rsidRDefault="00525109" w:rsidP="00525109">
            <w:pPr>
              <w:pStyle w:val="SVEtablecontent"/>
            </w:pPr>
            <w:r w:rsidRPr="00525109">
              <w:t>0.56</w:t>
            </w:r>
          </w:p>
        </w:tc>
        <w:tc>
          <w:tcPr>
            <w:tcW w:w="1869" w:type="dxa"/>
          </w:tcPr>
          <w:p w:rsidR="00525109" w:rsidRPr="006420E0" w:rsidRDefault="00525109" w:rsidP="00525109">
            <w:pPr>
              <w:pStyle w:val="SVEtablecontent"/>
            </w:pPr>
            <w:r w:rsidRPr="006420E0">
              <w:t>+0.13%</w:t>
            </w:r>
          </w:p>
        </w:tc>
        <w:tc>
          <w:tcPr>
            <w:tcW w:w="1869" w:type="dxa"/>
          </w:tcPr>
          <w:p w:rsidR="00525109" w:rsidRPr="00525109" w:rsidRDefault="00525109" w:rsidP="00525109">
            <w:pPr>
              <w:pStyle w:val="SVEtablecontent"/>
            </w:pPr>
            <w:r w:rsidRPr="00525109">
              <w:t>0.587</w:t>
            </w:r>
          </w:p>
        </w:tc>
      </w:tr>
    </w:tbl>
    <w:p w:rsidR="006420E0" w:rsidRPr="000D4E94" w:rsidRDefault="00A61662" w:rsidP="006420E0">
      <w:pPr>
        <w:rPr>
          <w:i/>
          <w:lang w:val="en-GB"/>
        </w:rPr>
      </w:pPr>
      <w:r w:rsidRPr="000D4E94">
        <w:rPr>
          <w:i/>
          <w:lang w:val="en-GB"/>
        </w:rPr>
        <w:t>*</w:t>
      </w:r>
      <w:r w:rsidR="00270B71" w:rsidRPr="000D4E94">
        <w:rPr>
          <w:i/>
          <w:lang w:val="en-GB"/>
        </w:rPr>
        <w:t xml:space="preserve"> Signi</w:t>
      </w:r>
      <w:r w:rsidR="005649AD" w:rsidRPr="000D4E94">
        <w:rPr>
          <w:i/>
          <w:lang w:val="en-GB"/>
        </w:rPr>
        <w:t>ficant at 85</w:t>
      </w:r>
      <w:r w:rsidR="00270B71" w:rsidRPr="000D4E94">
        <w:rPr>
          <w:i/>
          <w:lang w:val="en-GB"/>
        </w:rPr>
        <w:t>% (</w:t>
      </w:r>
      <w:r w:rsidR="00204023" w:rsidRPr="000D4E94">
        <w:rPr>
          <w:i/>
          <w:lang w:val="en-GB"/>
        </w:rPr>
        <w:t>p&lt;0.15</w:t>
      </w:r>
      <w:r w:rsidR="00270B71" w:rsidRPr="000D4E94">
        <w:rPr>
          <w:i/>
          <w:lang w:val="en-GB"/>
        </w:rPr>
        <w:t>)</w:t>
      </w:r>
    </w:p>
    <w:p w:rsidR="00A61662" w:rsidRPr="000D4E94" w:rsidRDefault="00A61662" w:rsidP="006420E0">
      <w:pPr>
        <w:rPr>
          <w:i/>
          <w:lang w:val="en-GB"/>
        </w:rPr>
      </w:pPr>
      <w:r w:rsidRPr="000D4E94">
        <w:rPr>
          <w:i/>
          <w:lang w:val="en-GB"/>
        </w:rPr>
        <w:t>** Significant at 90% (p&lt;0.1)</w:t>
      </w:r>
    </w:p>
    <w:p w:rsidR="00A61662" w:rsidRPr="000D4E94" w:rsidRDefault="00A61662" w:rsidP="006420E0">
      <w:pPr>
        <w:rPr>
          <w:i/>
          <w:lang w:val="en-GB"/>
        </w:rPr>
      </w:pPr>
      <w:r w:rsidRPr="000D4E94">
        <w:rPr>
          <w:i/>
          <w:lang w:val="en-GB"/>
        </w:rPr>
        <w:t>*** Significant at 95% (p&lt;0.05)</w:t>
      </w:r>
    </w:p>
    <w:p w:rsidR="00270B71" w:rsidRPr="000D4E94" w:rsidRDefault="00270B71" w:rsidP="006420E0">
      <w:pPr>
        <w:rPr>
          <w:i/>
          <w:lang w:val="en-GB"/>
        </w:rPr>
      </w:pPr>
      <w:r w:rsidRPr="000D4E94">
        <w:rPr>
          <w:i/>
          <w:lang w:val="en-GB"/>
        </w:rPr>
        <w:t xml:space="preserve">For CAR at day 0 the significance level is significant at level of 88%, what is almost 90% (p&lt;0.1), what can be granted as trustworthy result for small sample. </w:t>
      </w:r>
      <w:r w:rsidR="005649AD" w:rsidRPr="000D4E94">
        <w:rPr>
          <w:i/>
          <w:lang w:val="en-GB"/>
        </w:rPr>
        <w:t>Similarly on day 3 after the event the CAAR has significance level at 88% as well.</w:t>
      </w:r>
    </w:p>
    <w:p w:rsidR="00265712" w:rsidRDefault="00265712" w:rsidP="006420E0">
      <w:pPr>
        <w:rPr>
          <w:lang w:val="en-GB"/>
        </w:rPr>
      </w:pPr>
      <w:r>
        <w:rPr>
          <w:lang w:val="en-GB"/>
        </w:rPr>
        <w:t xml:space="preserve">The estimated results in the table above, depict the stocks market reaction at the end of the day, as closing prices were used, to the announcement on the event. As far as it can be observed the first market reaction at event day [0] is slightly negative that simply means that investors considered this event as something </w:t>
      </w:r>
      <w:r w:rsidR="008A0CFA">
        <w:rPr>
          <w:lang w:val="en-GB"/>
        </w:rPr>
        <w:t xml:space="preserve">worsening the position of stocks in the portfolio. At this day the AAR has the value of </w:t>
      </w:r>
      <w:r w:rsidR="008A0CFA" w:rsidRPr="008A0CFA">
        <w:rPr>
          <w:bCs/>
          <w:lang w:val="en-GB"/>
        </w:rPr>
        <w:t>-0.32%</w:t>
      </w:r>
      <w:r w:rsidR="008A0CFA">
        <w:rPr>
          <w:bCs/>
          <w:lang w:val="en-GB"/>
        </w:rPr>
        <w:t xml:space="preserve">, with the t-test = -1.39, which the significance of 90% </w:t>
      </w:r>
      <w:r w:rsidR="008A0CFA">
        <w:rPr>
          <w:lang w:val="en-GB"/>
        </w:rPr>
        <w:t>(p&lt;0.1)</w:t>
      </w:r>
      <w:r w:rsidR="008A0CFA">
        <w:rPr>
          <w:bCs/>
          <w:lang w:val="en-GB"/>
        </w:rPr>
        <w:t xml:space="preserve">, what is statistically significant result and it can be explained by the event and not by the random. The significance still holds for two previous days t= -1 with the significance level of 90% </w:t>
      </w:r>
      <w:r w:rsidR="008A0CFA">
        <w:rPr>
          <w:lang w:val="en-GB"/>
        </w:rPr>
        <w:t>(p&lt;0.1)</w:t>
      </w:r>
      <w:r w:rsidR="008A0CFA">
        <w:rPr>
          <w:bCs/>
          <w:lang w:val="en-GB"/>
        </w:rPr>
        <w:t xml:space="preserve"> and t = -2, with a significance of 95% </w:t>
      </w:r>
      <w:r w:rsidR="008A0CFA">
        <w:rPr>
          <w:lang w:val="en-GB"/>
        </w:rPr>
        <w:t>(p&lt;0.05). To sum up, the abnormal dynamic returns over three days [-2;0] can be granted as significant and then the null hypothesis can be rejected and the stock market reaction can be tighten to the announcement of M&amp;A deal.</w:t>
      </w:r>
      <w:r w:rsidR="00AC0C49">
        <w:rPr>
          <w:lang w:val="en-GB"/>
        </w:rPr>
        <w:t xml:space="preserve"> The three following days after the event [1;3] have much lower level of significance, thus the results are not fully explained by the event itself and that it is not enough to reject the 0 hypothesis. </w:t>
      </w:r>
    </w:p>
    <w:p w:rsidR="00016B0F" w:rsidRPr="008A0CFA" w:rsidRDefault="00AC0C49" w:rsidP="006420E0">
      <w:pPr>
        <w:rPr>
          <w:lang w:val="en-GB"/>
        </w:rPr>
      </w:pPr>
      <w:r>
        <w:rPr>
          <w:lang w:val="en-GB"/>
        </w:rPr>
        <w:t>According to the results acquired on cumulative average abnormal return, on the event day the CAAR is logically negative at day t=0, however the significance level at this day</w:t>
      </w:r>
      <w:r w:rsidR="000D4E94">
        <w:rPr>
          <w:lang w:val="en-GB"/>
        </w:rPr>
        <w:t xml:space="preserve"> is 88% what is not enough for a standard statics study, however, as I have a small sample size in comparison with a typical event study on M&amp;A, and the firms are cross-related (belong to the same industry), then this result of CAAR with a significance level of 88%  can be still explained by the event.</w:t>
      </w:r>
    </w:p>
    <w:p w:rsidR="00525109" w:rsidRDefault="00525109" w:rsidP="00525109">
      <w:pPr>
        <w:pStyle w:val="SVEfigure"/>
        <w:rPr>
          <w:lang w:val="en-GB"/>
        </w:rPr>
      </w:pPr>
      <w:r>
        <w:rPr>
          <w:noProof/>
          <w:lang w:val="ru-RU" w:eastAsia="ru-RU"/>
        </w:rPr>
        <w:lastRenderedPageBreak/>
        <w:drawing>
          <wp:inline distT="0" distB="0" distL="0" distR="0" wp14:anchorId="44D9B9B3" wp14:editId="0655E2B1">
            <wp:extent cx="4938706" cy="2264081"/>
            <wp:effectExtent l="0" t="0" r="14605" b="3175"/>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525109" w:rsidRDefault="00525109" w:rsidP="00525109">
      <w:pPr>
        <w:pStyle w:val="SVEfigurecaption"/>
        <w:rPr>
          <w:lang w:val="en-GB"/>
        </w:rPr>
      </w:pPr>
      <w:r>
        <w:rPr>
          <w:lang w:val="en-GB"/>
        </w:rPr>
        <w:t>Abnormal average return</w:t>
      </w:r>
      <w:r w:rsidR="00BC30EA">
        <w:rPr>
          <w:lang w:val="en-GB"/>
        </w:rPr>
        <w:t xml:space="preserve"> </w:t>
      </w:r>
      <w:r w:rsidR="00A33500">
        <w:rPr>
          <w:lang w:val="en-GB"/>
        </w:rPr>
        <w:t>dynamic</w:t>
      </w:r>
    </w:p>
    <w:p w:rsidR="006420E0" w:rsidRPr="006420E0" w:rsidRDefault="00637454" w:rsidP="006420E0">
      <w:pPr>
        <w:rPr>
          <w:lang w:val="en-GB"/>
        </w:rPr>
      </w:pPr>
      <w:r>
        <w:rPr>
          <w:lang w:val="en-GB"/>
        </w:rPr>
        <w:t>The chart above visually presents the dynamic of AAR for the event window. The behaviour of the line show the V shape from day -1 to day +1, with the value under the 0% at the event day. What leads us to conclusion that the market players reacted negatively to the announcement of M&amp;A deal</w:t>
      </w:r>
      <w:r w:rsidR="00DE2720">
        <w:rPr>
          <w:lang w:val="en-GB"/>
        </w:rPr>
        <w:t>. The following returns increase can be explained as market recovery after the event.</w:t>
      </w:r>
    </w:p>
    <w:p w:rsidR="00525109" w:rsidRDefault="00525109" w:rsidP="00525109">
      <w:pPr>
        <w:pStyle w:val="SVEfigure"/>
        <w:rPr>
          <w:lang w:val="en-GB"/>
        </w:rPr>
      </w:pPr>
      <w:r>
        <w:rPr>
          <w:noProof/>
          <w:lang w:val="ru-RU" w:eastAsia="ru-RU"/>
        </w:rPr>
        <w:drawing>
          <wp:inline distT="0" distB="0" distL="0" distR="0" wp14:anchorId="2D2EA4B1" wp14:editId="7E89FD2A">
            <wp:extent cx="4945770" cy="2304248"/>
            <wp:effectExtent l="0" t="0" r="7620" b="127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525109" w:rsidRDefault="00525109" w:rsidP="00525109">
      <w:pPr>
        <w:pStyle w:val="SVEfigurecaption"/>
        <w:rPr>
          <w:lang w:val="en-GB"/>
        </w:rPr>
      </w:pPr>
      <w:r>
        <w:rPr>
          <w:lang w:val="en-GB"/>
        </w:rPr>
        <w:t>Cumulative average abnormal return</w:t>
      </w:r>
      <w:r w:rsidR="00BC30EA">
        <w:rPr>
          <w:lang w:val="en-GB"/>
        </w:rPr>
        <w:t xml:space="preserve"> </w:t>
      </w:r>
      <w:r w:rsidR="00A33500">
        <w:rPr>
          <w:lang w:val="en-GB"/>
        </w:rPr>
        <w:t>dynamic</w:t>
      </w:r>
    </w:p>
    <w:p w:rsidR="00DE2720" w:rsidRDefault="00412E88" w:rsidP="00DE2720">
      <w:pPr>
        <w:rPr>
          <w:lang w:val="en-GB"/>
        </w:rPr>
      </w:pPr>
      <w:r>
        <w:rPr>
          <w:lang w:val="en-GB"/>
        </w:rPr>
        <w:t>For the figure above, even though the whole trend on CAAR is rising over the event window, at the day t=0 investors could expect their returns to slightly decrease.</w:t>
      </w:r>
    </w:p>
    <w:p w:rsidR="00D321FD" w:rsidRDefault="00D321FD" w:rsidP="00D321FD">
      <w:pPr>
        <w:rPr>
          <w:lang w:val="en-GB"/>
        </w:rPr>
      </w:pPr>
      <w:r>
        <w:rPr>
          <w:lang w:val="en-GB"/>
        </w:rPr>
        <w:t xml:space="preserve">To conclude, my first hypothesis </w:t>
      </w:r>
      <w:r w:rsidRPr="009F1583">
        <w:rPr>
          <w:b/>
          <w:i/>
          <w:lang w:val="en-GB"/>
        </w:rPr>
        <w:t>H1</w:t>
      </w:r>
      <w:r w:rsidRPr="00E90B08">
        <w:rPr>
          <w:i/>
          <w:lang w:val="en-GB"/>
        </w:rPr>
        <w:t xml:space="preserve">: Abnormal positive stock returns for bidder firms (O&amp;G companies) are observed after M&amp;A deal between oil and gas companies and </w:t>
      </w:r>
      <w:r>
        <w:rPr>
          <w:i/>
          <w:lang w:val="en-GB"/>
        </w:rPr>
        <w:t>alternative</w:t>
      </w:r>
      <w:r w:rsidRPr="00E90B08">
        <w:rPr>
          <w:i/>
          <w:lang w:val="en-GB"/>
        </w:rPr>
        <w:t xml:space="preserve"> energy </w:t>
      </w:r>
      <w:r>
        <w:rPr>
          <w:i/>
          <w:lang w:val="en-GB"/>
        </w:rPr>
        <w:t xml:space="preserve">solution </w:t>
      </w:r>
      <w:r w:rsidRPr="00E90B08">
        <w:rPr>
          <w:i/>
          <w:lang w:val="en-GB"/>
        </w:rPr>
        <w:t>companies</w:t>
      </w:r>
      <w:r>
        <w:rPr>
          <w:i/>
          <w:lang w:val="en-GB"/>
        </w:rPr>
        <w:t xml:space="preserve">, </w:t>
      </w:r>
      <w:r>
        <w:rPr>
          <w:lang w:val="en-GB"/>
        </w:rPr>
        <w:t>has not been proved and the reverse result has been acquired.</w:t>
      </w:r>
    </w:p>
    <w:p w:rsidR="00C6393E" w:rsidRPr="00D321FD" w:rsidRDefault="00C6393E" w:rsidP="00D321FD">
      <w:pPr>
        <w:rPr>
          <w:lang w:val="en-GB"/>
        </w:rPr>
      </w:pPr>
    </w:p>
    <w:p w:rsidR="00C6393E" w:rsidRDefault="00C6393E" w:rsidP="00C6393E">
      <w:pPr>
        <w:rPr>
          <w:i/>
          <w:lang w:val="en-GB"/>
        </w:rPr>
      </w:pPr>
      <w:r>
        <w:rPr>
          <w:lang w:val="en-GB"/>
        </w:rPr>
        <w:t xml:space="preserve">After the discussion of the results on H1, we can move forward to the consideration of results on the sub hypothesis that should reveal the relation between the stock prices reaction and type of target business: </w:t>
      </w:r>
      <w:r w:rsidRPr="009F1583">
        <w:rPr>
          <w:b/>
          <w:i/>
          <w:lang w:val="en-GB"/>
        </w:rPr>
        <w:t>H1.1</w:t>
      </w:r>
      <w:r>
        <w:rPr>
          <w:i/>
          <w:lang w:val="en-GB"/>
        </w:rPr>
        <w:t>: M&amp;</w:t>
      </w:r>
      <w:proofErr w:type="gramStart"/>
      <w:r>
        <w:rPr>
          <w:i/>
          <w:lang w:val="en-GB"/>
        </w:rPr>
        <w:t>As</w:t>
      </w:r>
      <w:proofErr w:type="gramEnd"/>
      <w:r>
        <w:rPr>
          <w:i/>
          <w:lang w:val="en-GB"/>
        </w:rPr>
        <w:t xml:space="preserve"> with solar and wind companies brings higher returns.</w:t>
      </w:r>
    </w:p>
    <w:p w:rsidR="00D321FD" w:rsidRPr="00DE2720" w:rsidRDefault="00D321FD" w:rsidP="00DE2720">
      <w:pPr>
        <w:rPr>
          <w:lang w:val="en-GB"/>
        </w:rPr>
      </w:pPr>
    </w:p>
    <w:p w:rsidR="006C6347" w:rsidRPr="006C6347" w:rsidRDefault="006C6347" w:rsidP="006C6347">
      <w:pPr>
        <w:rPr>
          <w:lang w:val="en-GB"/>
        </w:rPr>
      </w:pPr>
      <w:r>
        <w:rPr>
          <w:lang w:val="en-GB"/>
        </w:rPr>
        <w:t xml:space="preserve">For </w:t>
      </w:r>
      <w:r w:rsidR="00C6393E">
        <w:rPr>
          <w:lang w:val="en-GB"/>
        </w:rPr>
        <w:t>this</w:t>
      </w:r>
      <w:r>
        <w:rPr>
          <w:lang w:val="en-GB"/>
        </w:rPr>
        <w:t xml:space="preserve"> sub </w:t>
      </w:r>
      <w:r w:rsidR="00C6393E">
        <w:rPr>
          <w:lang w:val="en-GB"/>
        </w:rPr>
        <w:t>hypothesis,</w:t>
      </w:r>
      <w:r>
        <w:rPr>
          <w:lang w:val="en-GB"/>
        </w:rPr>
        <w:t xml:space="preserve"> there are 13 observations of M&amp;</w:t>
      </w:r>
      <w:proofErr w:type="gramStart"/>
      <w:r>
        <w:rPr>
          <w:lang w:val="en-GB"/>
        </w:rPr>
        <w:t>As</w:t>
      </w:r>
      <w:proofErr w:type="gramEnd"/>
      <w:r>
        <w:rPr>
          <w:lang w:val="en-GB"/>
        </w:rPr>
        <w:t xml:space="preserve"> between oil&amp;gas companies and alternative energy companies participating only in wind and solar; and 12 </w:t>
      </w:r>
      <w:r w:rsidR="00B91273">
        <w:rPr>
          <w:lang w:val="en-GB"/>
        </w:rPr>
        <w:t>observations for M&amp;As</w:t>
      </w:r>
      <w:r>
        <w:rPr>
          <w:lang w:val="en-GB"/>
        </w:rPr>
        <w:t>, where the target firms belong to other categories of renewable energy solutions.</w:t>
      </w:r>
      <w:r w:rsidR="00B91273">
        <w:rPr>
          <w:lang w:val="en-GB"/>
        </w:rPr>
        <w:t xml:space="preserve"> Therefore, for “other” category 11 degrees of freedom </w:t>
      </w:r>
      <w:r w:rsidR="00C6393E">
        <w:rPr>
          <w:lang w:val="en-GB"/>
        </w:rPr>
        <w:t xml:space="preserve">to </w:t>
      </w:r>
      <w:r w:rsidR="00B91273">
        <w:rPr>
          <w:lang w:val="en-GB"/>
        </w:rPr>
        <w:t>apply, while 12 for wind and solar type of observations.</w:t>
      </w:r>
    </w:p>
    <w:p w:rsidR="00323959" w:rsidRPr="00323959" w:rsidRDefault="00323959" w:rsidP="00323959">
      <w:pPr>
        <w:rPr>
          <w:lang w:val="en-GB"/>
        </w:rPr>
      </w:pPr>
    </w:p>
    <w:p w:rsidR="006420E0" w:rsidRPr="006420E0" w:rsidRDefault="00776612" w:rsidP="006420E0">
      <w:pPr>
        <w:pStyle w:val="SVEtablecaption"/>
      </w:pPr>
      <w:r>
        <w:t xml:space="preserve">Abnormal returns of M&amp;A between other alternative energy solutions and solar&amp;wind alternative energy </w:t>
      </w:r>
    </w:p>
    <w:tbl>
      <w:tblPr>
        <w:tblStyle w:val="a6"/>
        <w:tblW w:w="10632" w:type="dxa"/>
        <w:tblInd w:w="-998" w:type="dxa"/>
        <w:tblLayout w:type="fixed"/>
        <w:tblLook w:val="04A0" w:firstRow="1" w:lastRow="0" w:firstColumn="1" w:lastColumn="0" w:noHBand="0" w:noVBand="1"/>
      </w:tblPr>
      <w:tblGrid>
        <w:gridCol w:w="1277"/>
        <w:gridCol w:w="1559"/>
        <w:gridCol w:w="851"/>
        <w:gridCol w:w="1417"/>
        <w:gridCol w:w="851"/>
        <w:gridCol w:w="1559"/>
        <w:gridCol w:w="709"/>
        <w:gridCol w:w="1417"/>
        <w:gridCol w:w="992"/>
      </w:tblGrid>
      <w:tr w:rsidR="00695D3F" w:rsidRPr="008E3922" w:rsidTr="00EA19E9">
        <w:tc>
          <w:tcPr>
            <w:tcW w:w="1277" w:type="dxa"/>
          </w:tcPr>
          <w:p w:rsidR="00695D3F" w:rsidRDefault="00695D3F" w:rsidP="006420E0">
            <w:pPr>
              <w:pStyle w:val="SVEtableheader"/>
            </w:pPr>
          </w:p>
        </w:tc>
        <w:tc>
          <w:tcPr>
            <w:tcW w:w="4678" w:type="dxa"/>
            <w:gridSpan w:val="4"/>
          </w:tcPr>
          <w:p w:rsidR="00695D3F" w:rsidRDefault="00695D3F" w:rsidP="006420E0">
            <w:pPr>
              <w:pStyle w:val="SVEtableheader"/>
            </w:pPr>
            <w:r>
              <w:t>Other alternative energy solutions</w:t>
            </w:r>
          </w:p>
        </w:tc>
        <w:tc>
          <w:tcPr>
            <w:tcW w:w="4677" w:type="dxa"/>
            <w:gridSpan w:val="4"/>
          </w:tcPr>
          <w:p w:rsidR="00695D3F" w:rsidRDefault="00695D3F" w:rsidP="006420E0">
            <w:pPr>
              <w:pStyle w:val="SVEtableheader"/>
            </w:pPr>
            <w:r>
              <w:t>Solar and wind alternative energy</w:t>
            </w:r>
          </w:p>
        </w:tc>
      </w:tr>
      <w:tr w:rsidR="00695D3F" w:rsidTr="00EC3D89">
        <w:tc>
          <w:tcPr>
            <w:tcW w:w="1277" w:type="dxa"/>
          </w:tcPr>
          <w:p w:rsidR="00695D3F" w:rsidRPr="00525109" w:rsidRDefault="00695D3F" w:rsidP="006420E0">
            <w:pPr>
              <w:pStyle w:val="SVEtableheader"/>
              <w:rPr>
                <w:b w:val="0"/>
              </w:rPr>
            </w:pPr>
            <w:r>
              <w:rPr>
                <w:b w:val="0"/>
              </w:rPr>
              <w:t>Day, t</w:t>
            </w:r>
          </w:p>
        </w:tc>
        <w:tc>
          <w:tcPr>
            <w:tcW w:w="1559" w:type="dxa"/>
          </w:tcPr>
          <w:p w:rsidR="00695D3F" w:rsidRPr="005649AD" w:rsidRDefault="00695D3F" w:rsidP="006420E0">
            <w:pPr>
              <w:pStyle w:val="SVEtableheader"/>
              <w:rPr>
                <w:b w:val="0"/>
                <w:vertAlign w:val="subscript"/>
              </w:rPr>
            </w:pPr>
            <w:r w:rsidRPr="00525109">
              <w:rPr>
                <w:b w:val="0"/>
              </w:rPr>
              <w:t>AAR</w:t>
            </w:r>
            <w:r w:rsidR="005649AD">
              <w:rPr>
                <w:b w:val="0"/>
                <w:vertAlign w:val="subscript"/>
              </w:rPr>
              <w:t>oth</w:t>
            </w:r>
          </w:p>
        </w:tc>
        <w:tc>
          <w:tcPr>
            <w:tcW w:w="851" w:type="dxa"/>
          </w:tcPr>
          <w:p w:rsidR="00695D3F" w:rsidRPr="00525109" w:rsidRDefault="008E3922" w:rsidP="006420E0">
            <w:pPr>
              <w:pStyle w:val="SVEtableheader"/>
              <w:rPr>
                <w:b w:val="0"/>
              </w:rPr>
            </w:pPr>
            <m:oMathPara>
              <m:oMath>
                <m:sSub>
                  <m:sSubPr>
                    <m:ctrlPr>
                      <w:rPr>
                        <w:rFonts w:ascii="Cambria Math" w:hAnsi="Cambria Math"/>
                        <w:b w:val="0"/>
                        <w:i/>
                        <w:sz w:val="24"/>
                      </w:rPr>
                    </m:ctrlPr>
                  </m:sSubPr>
                  <m:e>
                    <m:r>
                      <m:rPr>
                        <m:sty m:val="bi"/>
                      </m:rPr>
                      <w:rPr>
                        <w:rFonts w:ascii="Cambria Math" w:hAnsi="Cambria Math"/>
                      </w:rPr>
                      <m:t>t</m:t>
                    </m:r>
                  </m:e>
                  <m:sub>
                    <m:r>
                      <m:rPr>
                        <m:sty m:val="bi"/>
                      </m:rPr>
                      <w:rPr>
                        <w:rFonts w:ascii="Cambria Math" w:hAnsi="Cambria Math"/>
                      </w:rPr>
                      <m:t>AAR</m:t>
                    </m:r>
                  </m:sub>
                </m:sSub>
              </m:oMath>
            </m:oMathPara>
          </w:p>
        </w:tc>
        <w:tc>
          <w:tcPr>
            <w:tcW w:w="1417" w:type="dxa"/>
          </w:tcPr>
          <w:p w:rsidR="00695D3F" w:rsidRPr="005649AD" w:rsidRDefault="00695D3F" w:rsidP="006420E0">
            <w:pPr>
              <w:pStyle w:val="SVEtableheader"/>
              <w:rPr>
                <w:b w:val="0"/>
                <w:vertAlign w:val="subscript"/>
              </w:rPr>
            </w:pPr>
            <w:r w:rsidRPr="00525109">
              <w:rPr>
                <w:b w:val="0"/>
              </w:rPr>
              <w:t>CAAR</w:t>
            </w:r>
            <w:r w:rsidR="005649AD">
              <w:rPr>
                <w:b w:val="0"/>
                <w:vertAlign w:val="subscript"/>
              </w:rPr>
              <w:t>oth</w:t>
            </w:r>
          </w:p>
        </w:tc>
        <w:tc>
          <w:tcPr>
            <w:tcW w:w="851" w:type="dxa"/>
          </w:tcPr>
          <w:p w:rsidR="00695D3F" w:rsidRPr="00525109" w:rsidRDefault="008E3922" w:rsidP="006420E0">
            <w:pPr>
              <w:pStyle w:val="SVEtableheader"/>
              <w:rPr>
                <w:b w:val="0"/>
              </w:rPr>
            </w:pPr>
            <m:oMathPara>
              <m:oMath>
                <m:sSub>
                  <m:sSubPr>
                    <m:ctrlPr>
                      <w:rPr>
                        <w:rFonts w:ascii="Cambria Math" w:hAnsi="Cambria Math"/>
                        <w:b w:val="0"/>
                        <w:i/>
                        <w:sz w:val="24"/>
                      </w:rPr>
                    </m:ctrlPr>
                  </m:sSubPr>
                  <m:e>
                    <m:r>
                      <m:rPr>
                        <m:sty m:val="bi"/>
                      </m:rPr>
                      <w:rPr>
                        <w:rFonts w:ascii="Cambria Math" w:hAnsi="Cambria Math"/>
                      </w:rPr>
                      <m:t>t</m:t>
                    </m:r>
                  </m:e>
                  <m:sub>
                    <m:r>
                      <m:rPr>
                        <m:sty m:val="bi"/>
                      </m:rPr>
                      <w:rPr>
                        <w:rFonts w:ascii="Cambria Math" w:hAnsi="Cambria Math"/>
                      </w:rPr>
                      <m:t>CAAR</m:t>
                    </m:r>
                  </m:sub>
                </m:sSub>
              </m:oMath>
            </m:oMathPara>
          </w:p>
        </w:tc>
        <w:tc>
          <w:tcPr>
            <w:tcW w:w="1559" w:type="dxa"/>
          </w:tcPr>
          <w:p w:rsidR="00695D3F" w:rsidRPr="005649AD" w:rsidRDefault="00695D3F" w:rsidP="006420E0">
            <w:pPr>
              <w:pStyle w:val="SVEtableheader"/>
              <w:rPr>
                <w:b w:val="0"/>
                <w:vertAlign w:val="subscript"/>
              </w:rPr>
            </w:pPr>
            <w:r w:rsidRPr="00525109">
              <w:rPr>
                <w:b w:val="0"/>
              </w:rPr>
              <w:t>AAR</w:t>
            </w:r>
            <w:r w:rsidR="005649AD">
              <w:rPr>
                <w:b w:val="0"/>
                <w:vertAlign w:val="subscript"/>
              </w:rPr>
              <w:t>s+w</w:t>
            </w:r>
          </w:p>
        </w:tc>
        <w:tc>
          <w:tcPr>
            <w:tcW w:w="709" w:type="dxa"/>
          </w:tcPr>
          <w:p w:rsidR="00695D3F" w:rsidRPr="00525109" w:rsidRDefault="008E3922" w:rsidP="006420E0">
            <w:pPr>
              <w:pStyle w:val="SVEtableheader"/>
              <w:rPr>
                <w:b w:val="0"/>
              </w:rPr>
            </w:pPr>
            <m:oMathPara>
              <m:oMath>
                <m:sSub>
                  <m:sSubPr>
                    <m:ctrlPr>
                      <w:rPr>
                        <w:rFonts w:ascii="Cambria Math" w:hAnsi="Cambria Math"/>
                        <w:b w:val="0"/>
                        <w:i/>
                        <w:sz w:val="24"/>
                      </w:rPr>
                    </m:ctrlPr>
                  </m:sSubPr>
                  <m:e>
                    <m:r>
                      <m:rPr>
                        <m:sty m:val="bi"/>
                      </m:rPr>
                      <w:rPr>
                        <w:rFonts w:ascii="Cambria Math" w:hAnsi="Cambria Math"/>
                      </w:rPr>
                      <m:t>t</m:t>
                    </m:r>
                  </m:e>
                  <m:sub>
                    <m:r>
                      <m:rPr>
                        <m:sty m:val="bi"/>
                      </m:rPr>
                      <w:rPr>
                        <w:rFonts w:ascii="Cambria Math" w:hAnsi="Cambria Math"/>
                      </w:rPr>
                      <m:t>AAR</m:t>
                    </m:r>
                  </m:sub>
                </m:sSub>
              </m:oMath>
            </m:oMathPara>
          </w:p>
        </w:tc>
        <w:tc>
          <w:tcPr>
            <w:tcW w:w="1417" w:type="dxa"/>
          </w:tcPr>
          <w:p w:rsidR="00695D3F" w:rsidRPr="005649AD" w:rsidRDefault="00695D3F" w:rsidP="006420E0">
            <w:pPr>
              <w:pStyle w:val="SVEtableheader"/>
              <w:rPr>
                <w:b w:val="0"/>
                <w:vertAlign w:val="subscript"/>
              </w:rPr>
            </w:pPr>
            <w:r w:rsidRPr="00525109">
              <w:rPr>
                <w:b w:val="0"/>
              </w:rPr>
              <w:t>CAAR</w:t>
            </w:r>
            <w:r w:rsidR="005649AD">
              <w:rPr>
                <w:b w:val="0"/>
                <w:vertAlign w:val="subscript"/>
              </w:rPr>
              <w:t>s+w</w:t>
            </w:r>
          </w:p>
        </w:tc>
        <w:tc>
          <w:tcPr>
            <w:tcW w:w="992" w:type="dxa"/>
          </w:tcPr>
          <w:p w:rsidR="00695D3F" w:rsidRPr="00525109" w:rsidRDefault="008E3922" w:rsidP="006420E0">
            <w:pPr>
              <w:pStyle w:val="SVEtableheader"/>
              <w:rPr>
                <w:b w:val="0"/>
              </w:rPr>
            </w:pPr>
            <m:oMathPara>
              <m:oMath>
                <m:sSub>
                  <m:sSubPr>
                    <m:ctrlPr>
                      <w:rPr>
                        <w:rFonts w:ascii="Cambria Math" w:hAnsi="Cambria Math"/>
                        <w:b w:val="0"/>
                        <w:i/>
                        <w:sz w:val="24"/>
                      </w:rPr>
                    </m:ctrlPr>
                  </m:sSubPr>
                  <m:e>
                    <m:r>
                      <m:rPr>
                        <m:sty m:val="bi"/>
                      </m:rPr>
                      <w:rPr>
                        <w:rFonts w:ascii="Cambria Math" w:hAnsi="Cambria Math"/>
                      </w:rPr>
                      <m:t>t</m:t>
                    </m:r>
                  </m:e>
                  <m:sub>
                    <m:r>
                      <m:rPr>
                        <m:sty m:val="bi"/>
                      </m:rPr>
                      <w:rPr>
                        <w:rFonts w:ascii="Cambria Math" w:hAnsi="Cambria Math"/>
                      </w:rPr>
                      <m:t>CAAR</m:t>
                    </m:r>
                  </m:sub>
                </m:sSub>
              </m:oMath>
            </m:oMathPara>
          </w:p>
        </w:tc>
      </w:tr>
      <w:tr w:rsidR="00695D3F" w:rsidTr="00EC3D89">
        <w:tc>
          <w:tcPr>
            <w:tcW w:w="1277" w:type="dxa"/>
          </w:tcPr>
          <w:p w:rsidR="00695D3F" w:rsidRPr="00525109" w:rsidRDefault="00695D3F" w:rsidP="00695D3F">
            <w:pPr>
              <w:pStyle w:val="SVEtableheader"/>
              <w:rPr>
                <w:b w:val="0"/>
              </w:rPr>
            </w:pPr>
            <w:r w:rsidRPr="00525109">
              <w:rPr>
                <w:b w:val="0"/>
              </w:rPr>
              <w:t>3</w:t>
            </w:r>
          </w:p>
        </w:tc>
        <w:tc>
          <w:tcPr>
            <w:tcW w:w="1559" w:type="dxa"/>
            <w:vAlign w:val="bottom"/>
          </w:tcPr>
          <w:p w:rsidR="00695D3F" w:rsidRPr="006420E0" w:rsidRDefault="00695D3F" w:rsidP="00695D3F">
            <w:pPr>
              <w:pStyle w:val="SVEtablecontent"/>
            </w:pPr>
            <w:r w:rsidRPr="006420E0">
              <w:t>+0.12%</w:t>
            </w:r>
          </w:p>
        </w:tc>
        <w:tc>
          <w:tcPr>
            <w:tcW w:w="851" w:type="dxa"/>
            <w:vAlign w:val="bottom"/>
          </w:tcPr>
          <w:p w:rsidR="00695D3F" w:rsidRPr="006420E0" w:rsidRDefault="00695D3F" w:rsidP="00695D3F">
            <w:pPr>
              <w:pStyle w:val="SVEtablecontent"/>
            </w:pPr>
            <w:r w:rsidRPr="006420E0">
              <w:t>0.29</w:t>
            </w:r>
          </w:p>
        </w:tc>
        <w:tc>
          <w:tcPr>
            <w:tcW w:w="1417" w:type="dxa"/>
            <w:vAlign w:val="bottom"/>
          </w:tcPr>
          <w:p w:rsidR="00695D3F" w:rsidRPr="006420E0" w:rsidRDefault="00695D3F" w:rsidP="00695D3F">
            <w:pPr>
              <w:pStyle w:val="SVEtablecontent"/>
            </w:pPr>
            <w:r w:rsidRPr="006420E0">
              <w:t>-0.35%</w:t>
            </w:r>
          </w:p>
        </w:tc>
        <w:tc>
          <w:tcPr>
            <w:tcW w:w="851" w:type="dxa"/>
            <w:vAlign w:val="bottom"/>
          </w:tcPr>
          <w:p w:rsidR="00695D3F" w:rsidRPr="006420E0" w:rsidRDefault="00695D3F" w:rsidP="00695D3F">
            <w:pPr>
              <w:pStyle w:val="SVEtablecontent"/>
            </w:pPr>
            <w:r w:rsidRPr="006420E0">
              <w:t>-0.87</w:t>
            </w:r>
          </w:p>
        </w:tc>
        <w:tc>
          <w:tcPr>
            <w:tcW w:w="1559" w:type="dxa"/>
            <w:vAlign w:val="bottom"/>
          </w:tcPr>
          <w:p w:rsidR="00695D3F" w:rsidRPr="006420E0" w:rsidRDefault="00695D3F" w:rsidP="00695D3F">
            <w:pPr>
              <w:pStyle w:val="SVEtablecontent"/>
            </w:pPr>
            <w:r w:rsidRPr="006420E0">
              <w:t>+0.05%</w:t>
            </w:r>
          </w:p>
        </w:tc>
        <w:tc>
          <w:tcPr>
            <w:tcW w:w="709" w:type="dxa"/>
            <w:vAlign w:val="bottom"/>
          </w:tcPr>
          <w:p w:rsidR="00695D3F" w:rsidRPr="006420E0" w:rsidRDefault="00695D3F" w:rsidP="00695D3F">
            <w:pPr>
              <w:pStyle w:val="SVEtablecontent"/>
            </w:pPr>
            <w:r w:rsidRPr="006420E0">
              <w:t>0.20</w:t>
            </w:r>
          </w:p>
        </w:tc>
        <w:tc>
          <w:tcPr>
            <w:tcW w:w="1417" w:type="dxa"/>
            <w:vAlign w:val="bottom"/>
          </w:tcPr>
          <w:p w:rsidR="00695D3F" w:rsidRPr="00EF7C04" w:rsidRDefault="00695D3F" w:rsidP="00695D3F">
            <w:pPr>
              <w:pStyle w:val="SVEtablecontent"/>
              <w:rPr>
                <w:b/>
              </w:rPr>
            </w:pPr>
            <w:r w:rsidRPr="00EF7C04">
              <w:rPr>
                <w:b/>
              </w:rPr>
              <w:t>+0.81%</w:t>
            </w:r>
            <w:r w:rsidR="00EF7C04">
              <w:rPr>
                <w:b/>
                <w:vertAlign w:val="superscript"/>
              </w:rPr>
              <w:t>4</w:t>
            </w:r>
            <w:r w:rsidR="00EF7C04">
              <w:rPr>
                <w:b/>
              </w:rPr>
              <w:t>*</w:t>
            </w:r>
          </w:p>
        </w:tc>
        <w:tc>
          <w:tcPr>
            <w:tcW w:w="992" w:type="dxa"/>
            <w:vAlign w:val="bottom"/>
          </w:tcPr>
          <w:p w:rsidR="00695D3F" w:rsidRPr="00EF7C04" w:rsidRDefault="00695D3F" w:rsidP="00695D3F">
            <w:pPr>
              <w:pStyle w:val="SVEtablecontent"/>
              <w:rPr>
                <w:b/>
              </w:rPr>
            </w:pPr>
            <w:r w:rsidRPr="00EF7C04">
              <w:rPr>
                <w:b/>
              </w:rPr>
              <w:t>2.69</w:t>
            </w:r>
          </w:p>
        </w:tc>
      </w:tr>
      <w:tr w:rsidR="00695D3F" w:rsidTr="00EC3D89">
        <w:tc>
          <w:tcPr>
            <w:tcW w:w="1277" w:type="dxa"/>
          </w:tcPr>
          <w:p w:rsidR="00695D3F" w:rsidRPr="00525109" w:rsidRDefault="00695D3F" w:rsidP="00695D3F">
            <w:pPr>
              <w:pStyle w:val="SVEtableheader"/>
              <w:rPr>
                <w:b w:val="0"/>
              </w:rPr>
            </w:pPr>
            <w:r w:rsidRPr="00525109">
              <w:rPr>
                <w:b w:val="0"/>
              </w:rPr>
              <w:t>2</w:t>
            </w:r>
          </w:p>
        </w:tc>
        <w:tc>
          <w:tcPr>
            <w:tcW w:w="1559" w:type="dxa"/>
            <w:vAlign w:val="bottom"/>
          </w:tcPr>
          <w:p w:rsidR="00695D3F" w:rsidRPr="006420E0" w:rsidRDefault="00695D3F" w:rsidP="00695D3F">
            <w:pPr>
              <w:pStyle w:val="SVEtablecontent"/>
            </w:pPr>
            <w:r w:rsidRPr="006420E0">
              <w:t>-0.06%</w:t>
            </w:r>
          </w:p>
        </w:tc>
        <w:tc>
          <w:tcPr>
            <w:tcW w:w="851" w:type="dxa"/>
            <w:vAlign w:val="bottom"/>
          </w:tcPr>
          <w:p w:rsidR="00695D3F" w:rsidRPr="006420E0" w:rsidRDefault="00695D3F" w:rsidP="00695D3F">
            <w:pPr>
              <w:pStyle w:val="SVEtablecontent"/>
            </w:pPr>
            <w:r w:rsidRPr="006420E0">
              <w:t>-0.14</w:t>
            </w:r>
          </w:p>
        </w:tc>
        <w:tc>
          <w:tcPr>
            <w:tcW w:w="1417" w:type="dxa"/>
            <w:vAlign w:val="bottom"/>
          </w:tcPr>
          <w:p w:rsidR="00695D3F" w:rsidRPr="00BA28B5" w:rsidRDefault="00695D3F" w:rsidP="00695D3F">
            <w:pPr>
              <w:pStyle w:val="SVEtablecontent"/>
            </w:pPr>
            <w:r w:rsidRPr="00BA28B5">
              <w:t>-0.46%</w:t>
            </w:r>
            <w:r w:rsidR="00204023" w:rsidRPr="00BA28B5">
              <w:t>*</w:t>
            </w:r>
          </w:p>
        </w:tc>
        <w:tc>
          <w:tcPr>
            <w:tcW w:w="851" w:type="dxa"/>
            <w:vAlign w:val="bottom"/>
          </w:tcPr>
          <w:p w:rsidR="00695D3F" w:rsidRPr="005649AD" w:rsidRDefault="00695D3F" w:rsidP="00204023">
            <w:pPr>
              <w:pStyle w:val="SVEtablecontent"/>
              <w:rPr>
                <w:b/>
              </w:rPr>
            </w:pPr>
            <w:r w:rsidRPr="005649AD">
              <w:rPr>
                <w:b/>
              </w:rPr>
              <w:t>-1.16</w:t>
            </w:r>
          </w:p>
        </w:tc>
        <w:tc>
          <w:tcPr>
            <w:tcW w:w="1559" w:type="dxa"/>
            <w:vAlign w:val="bottom"/>
          </w:tcPr>
          <w:p w:rsidR="00695D3F" w:rsidRPr="00EA19E9" w:rsidRDefault="00695D3F" w:rsidP="00695D3F">
            <w:pPr>
              <w:pStyle w:val="SVEtablecontent"/>
              <w:rPr>
                <w:b/>
              </w:rPr>
            </w:pPr>
            <w:r w:rsidRPr="00EA19E9">
              <w:rPr>
                <w:b/>
              </w:rPr>
              <w:t>+0.39%</w:t>
            </w:r>
            <w:r w:rsidR="00EA19E9">
              <w:rPr>
                <w:b/>
              </w:rPr>
              <w:t>**</w:t>
            </w:r>
          </w:p>
        </w:tc>
        <w:tc>
          <w:tcPr>
            <w:tcW w:w="709" w:type="dxa"/>
            <w:vAlign w:val="bottom"/>
          </w:tcPr>
          <w:p w:rsidR="00695D3F" w:rsidRPr="00EA19E9" w:rsidRDefault="00695D3F" w:rsidP="00695D3F">
            <w:pPr>
              <w:pStyle w:val="SVEtablecontent"/>
              <w:rPr>
                <w:b/>
              </w:rPr>
            </w:pPr>
            <w:r w:rsidRPr="00EA19E9">
              <w:rPr>
                <w:b/>
              </w:rPr>
              <w:t>1.58</w:t>
            </w:r>
          </w:p>
        </w:tc>
        <w:tc>
          <w:tcPr>
            <w:tcW w:w="1417" w:type="dxa"/>
            <w:vAlign w:val="bottom"/>
          </w:tcPr>
          <w:p w:rsidR="00695D3F" w:rsidRPr="00EC3D89" w:rsidRDefault="00695D3F" w:rsidP="00695D3F">
            <w:pPr>
              <w:pStyle w:val="SVEtablecontent"/>
              <w:rPr>
                <w:b/>
              </w:rPr>
            </w:pPr>
            <w:r w:rsidRPr="00EC3D89">
              <w:rPr>
                <w:b/>
              </w:rPr>
              <w:t>+0.76%</w:t>
            </w:r>
            <w:r w:rsidR="00EC3D89">
              <w:rPr>
                <w:b/>
              </w:rPr>
              <w:t>***</w:t>
            </w:r>
          </w:p>
        </w:tc>
        <w:tc>
          <w:tcPr>
            <w:tcW w:w="992" w:type="dxa"/>
            <w:vAlign w:val="bottom"/>
          </w:tcPr>
          <w:p w:rsidR="00695D3F" w:rsidRPr="00EC3D89" w:rsidRDefault="00695D3F" w:rsidP="00695D3F">
            <w:pPr>
              <w:pStyle w:val="SVEtablecontent"/>
              <w:rPr>
                <w:b/>
              </w:rPr>
            </w:pPr>
            <w:r w:rsidRPr="00EC3D89">
              <w:rPr>
                <w:b/>
              </w:rPr>
              <w:t>2.53</w:t>
            </w:r>
          </w:p>
        </w:tc>
      </w:tr>
      <w:tr w:rsidR="00695D3F" w:rsidTr="00EC3D89">
        <w:tc>
          <w:tcPr>
            <w:tcW w:w="1277" w:type="dxa"/>
          </w:tcPr>
          <w:p w:rsidR="00695D3F" w:rsidRPr="00525109" w:rsidRDefault="00695D3F" w:rsidP="00695D3F">
            <w:pPr>
              <w:pStyle w:val="SVEtableheader"/>
              <w:rPr>
                <w:b w:val="0"/>
              </w:rPr>
            </w:pPr>
            <w:r w:rsidRPr="00525109">
              <w:rPr>
                <w:b w:val="0"/>
              </w:rPr>
              <w:t>1</w:t>
            </w:r>
          </w:p>
        </w:tc>
        <w:tc>
          <w:tcPr>
            <w:tcW w:w="1559" w:type="dxa"/>
            <w:vAlign w:val="bottom"/>
          </w:tcPr>
          <w:p w:rsidR="00695D3F" w:rsidRPr="00204023" w:rsidRDefault="00695D3F" w:rsidP="00695D3F">
            <w:pPr>
              <w:pStyle w:val="SVEtablecontent"/>
              <w:rPr>
                <w:b/>
              </w:rPr>
            </w:pPr>
            <w:r w:rsidRPr="00204023">
              <w:rPr>
                <w:b/>
              </w:rPr>
              <w:t>+0.66%</w:t>
            </w:r>
            <w:r w:rsidR="00204023" w:rsidRPr="00204023">
              <w:rPr>
                <w:b/>
              </w:rPr>
              <w:t>**</w:t>
            </w:r>
          </w:p>
        </w:tc>
        <w:tc>
          <w:tcPr>
            <w:tcW w:w="851" w:type="dxa"/>
            <w:vAlign w:val="bottom"/>
          </w:tcPr>
          <w:p w:rsidR="00695D3F" w:rsidRPr="005649AD" w:rsidRDefault="00695D3F" w:rsidP="00695D3F">
            <w:pPr>
              <w:pStyle w:val="SVEtablecontent"/>
              <w:rPr>
                <w:b/>
              </w:rPr>
            </w:pPr>
            <w:r w:rsidRPr="005649AD">
              <w:rPr>
                <w:b/>
              </w:rPr>
              <w:t>1.62</w:t>
            </w:r>
          </w:p>
        </w:tc>
        <w:tc>
          <w:tcPr>
            <w:tcW w:w="1417" w:type="dxa"/>
            <w:vAlign w:val="bottom"/>
          </w:tcPr>
          <w:p w:rsidR="00695D3F" w:rsidRPr="006420E0" w:rsidRDefault="00695D3F" w:rsidP="00695D3F">
            <w:pPr>
              <w:pStyle w:val="SVEtablecontent"/>
            </w:pPr>
            <w:r w:rsidRPr="006420E0">
              <w:t>-0.40%</w:t>
            </w:r>
          </w:p>
        </w:tc>
        <w:tc>
          <w:tcPr>
            <w:tcW w:w="851" w:type="dxa"/>
            <w:vAlign w:val="bottom"/>
          </w:tcPr>
          <w:p w:rsidR="00695D3F" w:rsidRPr="006420E0" w:rsidRDefault="00695D3F" w:rsidP="00695D3F">
            <w:pPr>
              <w:pStyle w:val="SVEtablecontent"/>
            </w:pPr>
            <w:r w:rsidRPr="006420E0">
              <w:t>-1.01</w:t>
            </w:r>
          </w:p>
        </w:tc>
        <w:tc>
          <w:tcPr>
            <w:tcW w:w="1559" w:type="dxa"/>
            <w:vAlign w:val="bottom"/>
          </w:tcPr>
          <w:p w:rsidR="00695D3F" w:rsidRPr="006420E0" w:rsidRDefault="00695D3F" w:rsidP="00695D3F">
            <w:pPr>
              <w:pStyle w:val="SVEtablecontent"/>
            </w:pPr>
            <w:r w:rsidRPr="006420E0">
              <w:t>-0.10%</w:t>
            </w:r>
          </w:p>
        </w:tc>
        <w:tc>
          <w:tcPr>
            <w:tcW w:w="709" w:type="dxa"/>
            <w:vAlign w:val="bottom"/>
          </w:tcPr>
          <w:p w:rsidR="00695D3F" w:rsidRPr="006420E0" w:rsidRDefault="00695D3F" w:rsidP="00695D3F">
            <w:pPr>
              <w:pStyle w:val="SVEtablecontent"/>
            </w:pPr>
            <w:r w:rsidRPr="006420E0">
              <w:t>-0.40</w:t>
            </w:r>
          </w:p>
        </w:tc>
        <w:tc>
          <w:tcPr>
            <w:tcW w:w="1417" w:type="dxa"/>
            <w:vAlign w:val="bottom"/>
          </w:tcPr>
          <w:p w:rsidR="00695D3F" w:rsidRPr="00BA28B5" w:rsidRDefault="00695D3F" w:rsidP="00695D3F">
            <w:pPr>
              <w:pStyle w:val="SVEtablecontent"/>
            </w:pPr>
            <w:r w:rsidRPr="00BA28B5">
              <w:t>+0.37%</w:t>
            </w:r>
            <w:r w:rsidR="00EC3D89" w:rsidRPr="00BA28B5">
              <w:t>*</w:t>
            </w:r>
          </w:p>
        </w:tc>
        <w:tc>
          <w:tcPr>
            <w:tcW w:w="992" w:type="dxa"/>
            <w:vAlign w:val="bottom"/>
          </w:tcPr>
          <w:p w:rsidR="00695D3F" w:rsidRPr="00E02994" w:rsidRDefault="00695D3F" w:rsidP="00695D3F">
            <w:pPr>
              <w:pStyle w:val="SVEtablecontent"/>
            </w:pPr>
            <w:r w:rsidRPr="00E02994">
              <w:t>1.23</w:t>
            </w:r>
          </w:p>
        </w:tc>
      </w:tr>
      <w:tr w:rsidR="00695D3F" w:rsidTr="00EC3D89">
        <w:tc>
          <w:tcPr>
            <w:tcW w:w="1277" w:type="dxa"/>
          </w:tcPr>
          <w:p w:rsidR="00695D3F" w:rsidRPr="00525109" w:rsidRDefault="00695D3F" w:rsidP="00695D3F">
            <w:pPr>
              <w:pStyle w:val="SVEtableheader"/>
              <w:rPr>
                <w:b w:val="0"/>
              </w:rPr>
            </w:pPr>
            <w:r w:rsidRPr="00525109">
              <w:rPr>
                <w:b w:val="0"/>
              </w:rPr>
              <w:t>0</w:t>
            </w:r>
          </w:p>
        </w:tc>
        <w:tc>
          <w:tcPr>
            <w:tcW w:w="1559" w:type="dxa"/>
            <w:vAlign w:val="bottom"/>
          </w:tcPr>
          <w:p w:rsidR="00695D3F" w:rsidRPr="006420E0" w:rsidRDefault="00695D3F" w:rsidP="00695D3F">
            <w:pPr>
              <w:pStyle w:val="SVEtablecontent"/>
            </w:pPr>
            <w:r w:rsidRPr="006420E0">
              <w:t>-</w:t>
            </w:r>
            <w:r w:rsidRPr="00204023">
              <w:rPr>
                <w:b/>
              </w:rPr>
              <w:t>0.56%</w:t>
            </w:r>
            <w:r w:rsidR="00204023" w:rsidRPr="00204023">
              <w:rPr>
                <w:b/>
              </w:rPr>
              <w:t>**</w:t>
            </w:r>
          </w:p>
        </w:tc>
        <w:tc>
          <w:tcPr>
            <w:tcW w:w="851" w:type="dxa"/>
            <w:vAlign w:val="bottom"/>
          </w:tcPr>
          <w:p w:rsidR="00695D3F" w:rsidRPr="005649AD" w:rsidRDefault="00695D3F" w:rsidP="00204023">
            <w:pPr>
              <w:pStyle w:val="SVEtablecontent"/>
              <w:rPr>
                <w:b/>
              </w:rPr>
            </w:pPr>
            <w:r w:rsidRPr="005649AD">
              <w:rPr>
                <w:b/>
              </w:rPr>
              <w:t>-1.38</w:t>
            </w:r>
          </w:p>
        </w:tc>
        <w:tc>
          <w:tcPr>
            <w:tcW w:w="1417" w:type="dxa"/>
            <w:vAlign w:val="bottom"/>
          </w:tcPr>
          <w:p w:rsidR="00695D3F" w:rsidRPr="00204023" w:rsidRDefault="00695D3F" w:rsidP="00695D3F">
            <w:pPr>
              <w:pStyle w:val="SVEtablecontent"/>
              <w:rPr>
                <w:b/>
              </w:rPr>
            </w:pPr>
            <w:r w:rsidRPr="00204023">
              <w:rPr>
                <w:b/>
              </w:rPr>
              <w:t>-1.06%</w:t>
            </w:r>
            <w:r w:rsidR="00204023">
              <w:rPr>
                <w:b/>
              </w:rPr>
              <w:t>***</w:t>
            </w:r>
          </w:p>
        </w:tc>
        <w:tc>
          <w:tcPr>
            <w:tcW w:w="851" w:type="dxa"/>
            <w:vAlign w:val="bottom"/>
          </w:tcPr>
          <w:p w:rsidR="00695D3F" w:rsidRPr="00204023" w:rsidRDefault="00695D3F" w:rsidP="00204023">
            <w:pPr>
              <w:pStyle w:val="SVEtablecontent"/>
              <w:rPr>
                <w:b/>
              </w:rPr>
            </w:pPr>
            <w:r w:rsidRPr="00204023">
              <w:rPr>
                <w:b/>
              </w:rPr>
              <w:t>-2.65</w:t>
            </w:r>
          </w:p>
        </w:tc>
        <w:tc>
          <w:tcPr>
            <w:tcW w:w="1559" w:type="dxa"/>
            <w:vAlign w:val="bottom"/>
          </w:tcPr>
          <w:p w:rsidR="00695D3F" w:rsidRPr="006420E0" w:rsidRDefault="00695D3F" w:rsidP="00695D3F">
            <w:pPr>
              <w:pStyle w:val="SVEtablecontent"/>
            </w:pPr>
            <w:r w:rsidRPr="006420E0">
              <w:t>-0.09%</w:t>
            </w:r>
          </w:p>
        </w:tc>
        <w:tc>
          <w:tcPr>
            <w:tcW w:w="709" w:type="dxa"/>
            <w:vAlign w:val="bottom"/>
          </w:tcPr>
          <w:p w:rsidR="00695D3F" w:rsidRPr="006420E0" w:rsidRDefault="00695D3F" w:rsidP="00695D3F">
            <w:pPr>
              <w:pStyle w:val="SVEtablecontent"/>
            </w:pPr>
            <w:r w:rsidRPr="006420E0">
              <w:t>-0.38</w:t>
            </w:r>
          </w:p>
        </w:tc>
        <w:tc>
          <w:tcPr>
            <w:tcW w:w="1417" w:type="dxa"/>
            <w:vAlign w:val="bottom"/>
          </w:tcPr>
          <w:p w:rsidR="00695D3F" w:rsidRPr="00EC3D89" w:rsidRDefault="00695D3F" w:rsidP="00695D3F">
            <w:pPr>
              <w:pStyle w:val="SVEtablecontent"/>
              <w:rPr>
                <w:b/>
              </w:rPr>
            </w:pPr>
            <w:r w:rsidRPr="00EC3D89">
              <w:rPr>
                <w:b/>
              </w:rPr>
              <w:t>+0.47%</w:t>
            </w:r>
            <w:r w:rsidR="00EC3D89">
              <w:rPr>
                <w:b/>
              </w:rPr>
              <w:t>**</w:t>
            </w:r>
          </w:p>
        </w:tc>
        <w:tc>
          <w:tcPr>
            <w:tcW w:w="992" w:type="dxa"/>
            <w:vAlign w:val="bottom"/>
          </w:tcPr>
          <w:p w:rsidR="00695D3F" w:rsidRPr="00EC3D89" w:rsidRDefault="00695D3F" w:rsidP="00695D3F">
            <w:pPr>
              <w:pStyle w:val="SVEtablecontent"/>
              <w:rPr>
                <w:b/>
              </w:rPr>
            </w:pPr>
            <w:r w:rsidRPr="00EC3D89">
              <w:rPr>
                <w:b/>
              </w:rPr>
              <w:t>1.57</w:t>
            </w:r>
          </w:p>
        </w:tc>
      </w:tr>
      <w:tr w:rsidR="00695D3F" w:rsidTr="00EC3D89">
        <w:tc>
          <w:tcPr>
            <w:tcW w:w="1277" w:type="dxa"/>
          </w:tcPr>
          <w:p w:rsidR="00695D3F" w:rsidRPr="00525109" w:rsidRDefault="00695D3F" w:rsidP="00695D3F">
            <w:pPr>
              <w:pStyle w:val="SVEtableheader"/>
              <w:rPr>
                <w:b w:val="0"/>
              </w:rPr>
            </w:pPr>
            <w:r w:rsidRPr="00525109">
              <w:rPr>
                <w:b w:val="0"/>
              </w:rPr>
              <w:t>-1</w:t>
            </w:r>
          </w:p>
        </w:tc>
        <w:tc>
          <w:tcPr>
            <w:tcW w:w="1559" w:type="dxa"/>
            <w:vAlign w:val="bottom"/>
          </w:tcPr>
          <w:p w:rsidR="00695D3F" w:rsidRPr="006420E0" w:rsidRDefault="00695D3F" w:rsidP="00695D3F">
            <w:pPr>
              <w:pStyle w:val="SVEtablecontent"/>
            </w:pPr>
            <w:r w:rsidRPr="006420E0">
              <w:t>+0.28%</w:t>
            </w:r>
          </w:p>
        </w:tc>
        <w:tc>
          <w:tcPr>
            <w:tcW w:w="851" w:type="dxa"/>
            <w:vAlign w:val="bottom"/>
          </w:tcPr>
          <w:p w:rsidR="00695D3F" w:rsidRPr="006420E0" w:rsidRDefault="00695D3F" w:rsidP="00695D3F">
            <w:pPr>
              <w:pStyle w:val="SVEtablecontent"/>
            </w:pPr>
            <w:r w:rsidRPr="006420E0">
              <w:t>0.69</w:t>
            </w:r>
          </w:p>
        </w:tc>
        <w:tc>
          <w:tcPr>
            <w:tcW w:w="1417" w:type="dxa"/>
            <w:vAlign w:val="bottom"/>
          </w:tcPr>
          <w:p w:rsidR="00695D3F" w:rsidRPr="00204023" w:rsidRDefault="00695D3F" w:rsidP="00695D3F">
            <w:pPr>
              <w:pStyle w:val="SVEtablecontent"/>
              <w:rPr>
                <w:b/>
              </w:rPr>
            </w:pPr>
            <w:r w:rsidRPr="00204023">
              <w:rPr>
                <w:b/>
              </w:rPr>
              <w:t>-</w:t>
            </w:r>
            <w:r w:rsidRPr="00BA28B5">
              <w:t>0.50%</w:t>
            </w:r>
            <w:r w:rsidR="00204023" w:rsidRPr="00BA28B5">
              <w:t>*</w:t>
            </w:r>
          </w:p>
        </w:tc>
        <w:tc>
          <w:tcPr>
            <w:tcW w:w="851" w:type="dxa"/>
            <w:vAlign w:val="bottom"/>
          </w:tcPr>
          <w:p w:rsidR="00695D3F" w:rsidRPr="006420E0" w:rsidRDefault="00695D3F" w:rsidP="00695D3F">
            <w:pPr>
              <w:pStyle w:val="SVEtablecontent"/>
            </w:pPr>
            <w:r w:rsidRPr="006420E0">
              <w:t>-</w:t>
            </w:r>
            <w:r w:rsidRPr="00204023">
              <w:rPr>
                <w:b/>
              </w:rPr>
              <w:t>1.26</w:t>
            </w:r>
          </w:p>
        </w:tc>
        <w:tc>
          <w:tcPr>
            <w:tcW w:w="1559" w:type="dxa"/>
            <w:vAlign w:val="bottom"/>
          </w:tcPr>
          <w:p w:rsidR="00695D3F" w:rsidRPr="00EA19E9" w:rsidRDefault="00695D3F" w:rsidP="00695D3F">
            <w:pPr>
              <w:pStyle w:val="SVEtablecontent"/>
              <w:rPr>
                <w:b/>
              </w:rPr>
            </w:pPr>
            <w:r w:rsidRPr="00EA19E9">
              <w:rPr>
                <w:b/>
              </w:rPr>
              <w:t>+0.47%</w:t>
            </w:r>
            <w:r w:rsidR="00EA19E9">
              <w:rPr>
                <w:b/>
              </w:rPr>
              <w:t>***</w:t>
            </w:r>
          </w:p>
        </w:tc>
        <w:tc>
          <w:tcPr>
            <w:tcW w:w="709" w:type="dxa"/>
            <w:vAlign w:val="bottom"/>
          </w:tcPr>
          <w:p w:rsidR="00695D3F" w:rsidRPr="00EA19E9" w:rsidRDefault="00695D3F" w:rsidP="00695D3F">
            <w:pPr>
              <w:pStyle w:val="SVEtablecontent"/>
              <w:rPr>
                <w:b/>
              </w:rPr>
            </w:pPr>
            <w:r w:rsidRPr="00EA19E9">
              <w:rPr>
                <w:b/>
              </w:rPr>
              <w:t>1.90</w:t>
            </w:r>
          </w:p>
        </w:tc>
        <w:tc>
          <w:tcPr>
            <w:tcW w:w="1417" w:type="dxa"/>
            <w:vAlign w:val="bottom"/>
          </w:tcPr>
          <w:p w:rsidR="00695D3F" w:rsidRPr="00EC3D89" w:rsidRDefault="00695D3F" w:rsidP="00695D3F">
            <w:pPr>
              <w:pStyle w:val="SVEtablecontent"/>
              <w:rPr>
                <w:b/>
              </w:rPr>
            </w:pPr>
            <w:r w:rsidRPr="00EC3D89">
              <w:rPr>
                <w:b/>
              </w:rPr>
              <w:t>+0.57%</w:t>
            </w:r>
            <w:r w:rsidR="00EC3D89">
              <w:rPr>
                <w:b/>
              </w:rPr>
              <w:t>***</w:t>
            </w:r>
          </w:p>
        </w:tc>
        <w:tc>
          <w:tcPr>
            <w:tcW w:w="992" w:type="dxa"/>
            <w:vAlign w:val="bottom"/>
          </w:tcPr>
          <w:p w:rsidR="00695D3F" w:rsidRPr="00EC3D89" w:rsidRDefault="00695D3F" w:rsidP="00695D3F">
            <w:pPr>
              <w:pStyle w:val="SVEtablecontent"/>
              <w:rPr>
                <w:b/>
              </w:rPr>
            </w:pPr>
            <w:r w:rsidRPr="00EC3D89">
              <w:rPr>
                <w:b/>
              </w:rPr>
              <w:t>1.88</w:t>
            </w:r>
          </w:p>
        </w:tc>
      </w:tr>
      <w:tr w:rsidR="00695D3F" w:rsidTr="00EC3D89">
        <w:tc>
          <w:tcPr>
            <w:tcW w:w="1277" w:type="dxa"/>
          </w:tcPr>
          <w:p w:rsidR="00695D3F" w:rsidRPr="00525109" w:rsidRDefault="00695D3F" w:rsidP="00695D3F">
            <w:pPr>
              <w:pStyle w:val="SVEtableheader"/>
              <w:rPr>
                <w:b w:val="0"/>
              </w:rPr>
            </w:pPr>
            <w:r w:rsidRPr="00525109">
              <w:rPr>
                <w:b w:val="0"/>
              </w:rPr>
              <w:t>-2</w:t>
            </w:r>
          </w:p>
        </w:tc>
        <w:tc>
          <w:tcPr>
            <w:tcW w:w="1559" w:type="dxa"/>
            <w:vAlign w:val="bottom"/>
          </w:tcPr>
          <w:p w:rsidR="00695D3F" w:rsidRPr="00204023" w:rsidRDefault="00695D3F" w:rsidP="00695D3F">
            <w:pPr>
              <w:pStyle w:val="SVEtablecontent"/>
              <w:rPr>
                <w:b/>
              </w:rPr>
            </w:pPr>
            <w:r w:rsidRPr="00204023">
              <w:rPr>
                <w:b/>
              </w:rPr>
              <w:t>-1.01%</w:t>
            </w:r>
            <w:r w:rsidR="00204023" w:rsidRPr="00204023">
              <w:rPr>
                <w:b/>
              </w:rPr>
              <w:t>**</w:t>
            </w:r>
          </w:p>
        </w:tc>
        <w:tc>
          <w:tcPr>
            <w:tcW w:w="851" w:type="dxa"/>
            <w:vAlign w:val="bottom"/>
          </w:tcPr>
          <w:p w:rsidR="00695D3F" w:rsidRPr="005649AD" w:rsidRDefault="00695D3F" w:rsidP="00695D3F">
            <w:pPr>
              <w:pStyle w:val="SVEtablecontent"/>
              <w:rPr>
                <w:b/>
              </w:rPr>
            </w:pPr>
            <w:r w:rsidRPr="005649AD">
              <w:rPr>
                <w:b/>
              </w:rPr>
              <w:t>-2.50</w:t>
            </w:r>
          </w:p>
        </w:tc>
        <w:tc>
          <w:tcPr>
            <w:tcW w:w="1417" w:type="dxa"/>
            <w:vAlign w:val="bottom"/>
          </w:tcPr>
          <w:p w:rsidR="00695D3F" w:rsidRPr="00E10BCC" w:rsidRDefault="00695D3F" w:rsidP="00695D3F">
            <w:pPr>
              <w:pStyle w:val="SVEtablecontent"/>
              <w:rPr>
                <w:b/>
              </w:rPr>
            </w:pPr>
            <w:r w:rsidRPr="00E10BCC">
              <w:rPr>
                <w:b/>
              </w:rPr>
              <w:t>-0.78%</w:t>
            </w:r>
            <w:r w:rsidR="00EA19E9" w:rsidRPr="00E10BCC">
              <w:rPr>
                <w:b/>
              </w:rPr>
              <w:t>***</w:t>
            </w:r>
          </w:p>
        </w:tc>
        <w:tc>
          <w:tcPr>
            <w:tcW w:w="851" w:type="dxa"/>
            <w:vAlign w:val="bottom"/>
          </w:tcPr>
          <w:p w:rsidR="00695D3F" w:rsidRPr="00EA19E9" w:rsidRDefault="00695D3F" w:rsidP="00695D3F">
            <w:pPr>
              <w:pStyle w:val="SVEtablecontent"/>
              <w:rPr>
                <w:b/>
              </w:rPr>
            </w:pPr>
            <w:r w:rsidRPr="00EA19E9">
              <w:rPr>
                <w:b/>
              </w:rPr>
              <w:t>-1.95</w:t>
            </w:r>
          </w:p>
        </w:tc>
        <w:tc>
          <w:tcPr>
            <w:tcW w:w="1559" w:type="dxa"/>
            <w:vAlign w:val="bottom"/>
          </w:tcPr>
          <w:p w:rsidR="00695D3F" w:rsidRPr="006420E0" w:rsidRDefault="00695D3F" w:rsidP="00695D3F">
            <w:pPr>
              <w:pStyle w:val="SVEtablecontent"/>
            </w:pPr>
            <w:r w:rsidRPr="006420E0">
              <w:t>+0.06%</w:t>
            </w:r>
          </w:p>
        </w:tc>
        <w:tc>
          <w:tcPr>
            <w:tcW w:w="709" w:type="dxa"/>
            <w:vAlign w:val="bottom"/>
          </w:tcPr>
          <w:p w:rsidR="00695D3F" w:rsidRPr="006420E0" w:rsidRDefault="00695D3F" w:rsidP="00695D3F">
            <w:pPr>
              <w:pStyle w:val="SVEtablecontent"/>
            </w:pPr>
            <w:r w:rsidRPr="006420E0">
              <w:t>0.25</w:t>
            </w:r>
          </w:p>
        </w:tc>
        <w:tc>
          <w:tcPr>
            <w:tcW w:w="1417" w:type="dxa"/>
            <w:vAlign w:val="bottom"/>
          </w:tcPr>
          <w:p w:rsidR="00695D3F" w:rsidRPr="006420E0" w:rsidRDefault="00695D3F" w:rsidP="00695D3F">
            <w:pPr>
              <w:pStyle w:val="SVEtablecontent"/>
            </w:pPr>
            <w:r w:rsidRPr="006420E0">
              <w:t>+0.10%</w:t>
            </w:r>
          </w:p>
        </w:tc>
        <w:tc>
          <w:tcPr>
            <w:tcW w:w="992" w:type="dxa"/>
            <w:vAlign w:val="bottom"/>
          </w:tcPr>
          <w:p w:rsidR="00695D3F" w:rsidRPr="006420E0" w:rsidRDefault="00695D3F" w:rsidP="00695D3F">
            <w:pPr>
              <w:pStyle w:val="SVEtablecontent"/>
            </w:pPr>
            <w:r w:rsidRPr="006420E0">
              <w:t>0.32</w:t>
            </w:r>
          </w:p>
        </w:tc>
      </w:tr>
      <w:tr w:rsidR="00695D3F" w:rsidTr="00EC3D89">
        <w:tc>
          <w:tcPr>
            <w:tcW w:w="1277" w:type="dxa"/>
          </w:tcPr>
          <w:p w:rsidR="00695D3F" w:rsidRPr="00525109" w:rsidRDefault="00695D3F" w:rsidP="00695D3F">
            <w:pPr>
              <w:pStyle w:val="SVEtableheader"/>
              <w:rPr>
                <w:b w:val="0"/>
              </w:rPr>
            </w:pPr>
            <w:r w:rsidRPr="00525109">
              <w:rPr>
                <w:b w:val="0"/>
              </w:rPr>
              <w:t>-3</w:t>
            </w:r>
          </w:p>
        </w:tc>
        <w:tc>
          <w:tcPr>
            <w:tcW w:w="1559" w:type="dxa"/>
            <w:vAlign w:val="bottom"/>
          </w:tcPr>
          <w:p w:rsidR="00695D3F" w:rsidRPr="006420E0" w:rsidRDefault="00695D3F" w:rsidP="00695D3F">
            <w:pPr>
              <w:pStyle w:val="SVEtablecontent"/>
            </w:pPr>
            <w:r w:rsidRPr="006420E0">
              <w:t>+0.23%</w:t>
            </w:r>
          </w:p>
        </w:tc>
        <w:tc>
          <w:tcPr>
            <w:tcW w:w="851" w:type="dxa"/>
            <w:vAlign w:val="bottom"/>
          </w:tcPr>
          <w:p w:rsidR="00695D3F" w:rsidRPr="006420E0" w:rsidRDefault="00695D3F" w:rsidP="00695D3F">
            <w:pPr>
              <w:pStyle w:val="SVEtablecontent"/>
            </w:pPr>
            <w:r w:rsidRPr="006420E0">
              <w:t>0.57</w:t>
            </w:r>
          </w:p>
        </w:tc>
        <w:tc>
          <w:tcPr>
            <w:tcW w:w="1417" w:type="dxa"/>
            <w:vAlign w:val="bottom"/>
          </w:tcPr>
          <w:p w:rsidR="00695D3F" w:rsidRPr="006420E0" w:rsidRDefault="00695D3F" w:rsidP="00695D3F">
            <w:pPr>
              <w:pStyle w:val="SVEtablecontent"/>
            </w:pPr>
            <w:r w:rsidRPr="006420E0">
              <w:t>+0.23%</w:t>
            </w:r>
          </w:p>
        </w:tc>
        <w:tc>
          <w:tcPr>
            <w:tcW w:w="851" w:type="dxa"/>
            <w:vAlign w:val="bottom"/>
          </w:tcPr>
          <w:p w:rsidR="00695D3F" w:rsidRPr="006420E0" w:rsidRDefault="00695D3F" w:rsidP="00695D3F">
            <w:pPr>
              <w:pStyle w:val="SVEtablecontent"/>
            </w:pPr>
            <w:r w:rsidRPr="006420E0">
              <w:t>0.58</w:t>
            </w:r>
          </w:p>
        </w:tc>
        <w:tc>
          <w:tcPr>
            <w:tcW w:w="1559" w:type="dxa"/>
            <w:vAlign w:val="bottom"/>
          </w:tcPr>
          <w:p w:rsidR="00695D3F" w:rsidRPr="006420E0" w:rsidRDefault="00695D3F" w:rsidP="00695D3F">
            <w:pPr>
              <w:pStyle w:val="SVEtablecontent"/>
            </w:pPr>
            <w:r w:rsidRPr="006420E0">
              <w:t>+0.03%</w:t>
            </w:r>
          </w:p>
        </w:tc>
        <w:tc>
          <w:tcPr>
            <w:tcW w:w="709" w:type="dxa"/>
          </w:tcPr>
          <w:p w:rsidR="00695D3F" w:rsidRPr="006420E0" w:rsidRDefault="00695D3F" w:rsidP="00695D3F">
            <w:pPr>
              <w:pStyle w:val="SVEtablecontent"/>
            </w:pPr>
            <w:r w:rsidRPr="006420E0">
              <w:t>0.14</w:t>
            </w:r>
          </w:p>
        </w:tc>
        <w:tc>
          <w:tcPr>
            <w:tcW w:w="1417" w:type="dxa"/>
            <w:vAlign w:val="bottom"/>
          </w:tcPr>
          <w:p w:rsidR="00695D3F" w:rsidRPr="006420E0" w:rsidRDefault="00695D3F" w:rsidP="00695D3F">
            <w:pPr>
              <w:pStyle w:val="SVEtablecontent"/>
            </w:pPr>
            <w:r w:rsidRPr="006420E0">
              <w:t>+0.03%</w:t>
            </w:r>
          </w:p>
        </w:tc>
        <w:tc>
          <w:tcPr>
            <w:tcW w:w="992" w:type="dxa"/>
          </w:tcPr>
          <w:p w:rsidR="00695D3F" w:rsidRPr="006420E0" w:rsidRDefault="00695D3F" w:rsidP="00695D3F">
            <w:pPr>
              <w:pStyle w:val="SVEtablecontent"/>
            </w:pPr>
            <w:r w:rsidRPr="006420E0">
              <w:t>0.11</w:t>
            </w:r>
          </w:p>
        </w:tc>
      </w:tr>
    </w:tbl>
    <w:p w:rsidR="005649AD" w:rsidRPr="00D321FD" w:rsidRDefault="005649AD" w:rsidP="005649AD">
      <w:pPr>
        <w:rPr>
          <w:i/>
          <w:lang w:val="en-GB"/>
        </w:rPr>
      </w:pPr>
      <w:r w:rsidRPr="00D321FD">
        <w:rPr>
          <w:i/>
          <w:lang w:val="en-GB"/>
        </w:rPr>
        <w:t>* Significant at 85% (</w:t>
      </w:r>
      <w:r w:rsidR="00204023" w:rsidRPr="00D321FD">
        <w:rPr>
          <w:i/>
          <w:lang w:val="en-GB"/>
        </w:rPr>
        <w:t>p&lt;0.15</w:t>
      </w:r>
      <w:r w:rsidRPr="00D321FD">
        <w:rPr>
          <w:i/>
          <w:lang w:val="en-GB"/>
        </w:rPr>
        <w:t>)</w:t>
      </w:r>
    </w:p>
    <w:p w:rsidR="005649AD" w:rsidRPr="00D321FD" w:rsidRDefault="005649AD" w:rsidP="005649AD">
      <w:pPr>
        <w:rPr>
          <w:i/>
          <w:lang w:val="en-GB"/>
        </w:rPr>
      </w:pPr>
      <w:r w:rsidRPr="00D321FD">
        <w:rPr>
          <w:i/>
          <w:lang w:val="en-GB"/>
        </w:rPr>
        <w:t>** Significant at 90% (p&lt;0.1)</w:t>
      </w:r>
    </w:p>
    <w:p w:rsidR="005649AD" w:rsidRPr="00D321FD" w:rsidRDefault="005649AD" w:rsidP="005649AD">
      <w:pPr>
        <w:rPr>
          <w:i/>
          <w:lang w:val="en-GB"/>
        </w:rPr>
      </w:pPr>
      <w:r w:rsidRPr="00D321FD">
        <w:rPr>
          <w:i/>
          <w:lang w:val="en-GB"/>
        </w:rPr>
        <w:t>*** Significant at 95% (p&lt;0.05)</w:t>
      </w:r>
    </w:p>
    <w:p w:rsidR="00EF7C04" w:rsidRPr="00D321FD" w:rsidRDefault="00EF7C04" w:rsidP="005649AD">
      <w:pPr>
        <w:rPr>
          <w:i/>
          <w:lang w:val="en-GB"/>
        </w:rPr>
      </w:pPr>
      <w:r w:rsidRPr="00D321FD">
        <w:rPr>
          <w:i/>
          <w:lang w:val="en-GB"/>
        </w:rPr>
        <w:t>4* Significant at 99% (p&lt;0.01)</w:t>
      </w:r>
    </w:p>
    <w:p w:rsidR="006420E0" w:rsidRDefault="005649AD" w:rsidP="006420E0">
      <w:pPr>
        <w:rPr>
          <w:i/>
          <w:lang w:val="en-GB"/>
        </w:rPr>
      </w:pPr>
      <w:r w:rsidRPr="00D321FD">
        <w:rPr>
          <w:i/>
          <w:lang w:val="en-GB"/>
        </w:rPr>
        <w:t xml:space="preserve">CAAR (oth) at day 2 after the event has a significance level of 87%. </w:t>
      </w:r>
      <w:r w:rsidR="00204023" w:rsidRPr="00D321FD">
        <w:rPr>
          <w:i/>
          <w:lang w:val="en-GB"/>
        </w:rPr>
        <w:t xml:space="preserve"> At day -1 (1 day before the event), CAAR </w:t>
      </w:r>
      <w:r w:rsidR="006F0C2F" w:rsidRPr="00D321FD">
        <w:rPr>
          <w:i/>
          <w:lang w:val="en-GB"/>
        </w:rPr>
        <w:t xml:space="preserve">(oth) </w:t>
      </w:r>
      <w:r w:rsidR="00204023" w:rsidRPr="00D321FD">
        <w:rPr>
          <w:i/>
          <w:lang w:val="en-GB"/>
        </w:rPr>
        <w:t xml:space="preserve">had 89% level of significance. </w:t>
      </w:r>
      <w:r w:rsidR="00EC3D89" w:rsidRPr="00D321FD">
        <w:rPr>
          <w:i/>
          <w:lang w:val="en-GB"/>
        </w:rPr>
        <w:t>For CAAR (s+w) has significance level of 88%</w:t>
      </w:r>
    </w:p>
    <w:p w:rsidR="00C6393E" w:rsidRDefault="00C6393E" w:rsidP="006420E0">
      <w:pPr>
        <w:rPr>
          <w:lang w:val="en-GB"/>
        </w:rPr>
      </w:pPr>
      <w:r>
        <w:rPr>
          <w:lang w:val="en-GB"/>
        </w:rPr>
        <w:t xml:space="preserve">The notion (s+w) in the table stands for target firms that work in solar and wind energy sectors, whereas the term (oth) logically means other types </w:t>
      </w:r>
      <w:r w:rsidR="005D11DD">
        <w:rPr>
          <w:lang w:val="en-GB"/>
        </w:rPr>
        <w:t xml:space="preserve">of alternative energy solutions. The results on separately arranged short-term studies depending on targets’ business operations will be discussed under the charts, and now the explanation of both part of the table will be provided. </w:t>
      </w:r>
    </w:p>
    <w:p w:rsidR="00AD7FE4" w:rsidRDefault="00AD7FE4" w:rsidP="006420E0">
      <w:pPr>
        <w:rPr>
          <w:lang w:val="en-GB"/>
        </w:rPr>
      </w:pPr>
      <w:r>
        <w:rPr>
          <w:lang w:val="en-GB"/>
        </w:rPr>
        <w:t xml:space="preserve">At day t=0 the average abnormal return for other type of targets has shown a negative result </w:t>
      </w:r>
      <w:r w:rsidR="00E10BCC" w:rsidRPr="00AD7FE4">
        <w:rPr>
          <w:lang w:val="en-GB"/>
        </w:rPr>
        <w:t>AAR</w:t>
      </w:r>
      <w:r w:rsidR="00E10BCC">
        <w:rPr>
          <w:lang w:val="en-GB"/>
        </w:rPr>
        <w:t xml:space="preserve"> (</w:t>
      </w:r>
      <w:r w:rsidRPr="00AD7FE4">
        <w:rPr>
          <w:lang w:val="en-GB"/>
        </w:rPr>
        <w:t>oth</w:t>
      </w:r>
      <w:r>
        <w:rPr>
          <w:lang w:val="en-GB"/>
        </w:rPr>
        <w:t>) = -0.56%</w:t>
      </w:r>
      <w:r w:rsidR="00E10BCC">
        <w:rPr>
          <w:lang w:val="en-GB"/>
        </w:rPr>
        <w:t>, with the significance level of 90% (p&gt;0.1), then at day t=1 the AAR (oth) has become positive (+0.66%) with the significance level at 90% as well (p&gt;0.1). These finding on AAR (oth) show that fluctuations in stock prices have been influenced by the event</w:t>
      </w:r>
      <w:r w:rsidR="007011B1">
        <w:rPr>
          <w:lang w:val="en-GB"/>
        </w:rPr>
        <w:t>, so the null hypothesis can be rejected</w:t>
      </w:r>
      <w:r w:rsidR="00E10BCC">
        <w:rPr>
          <w:lang w:val="en-GB"/>
        </w:rPr>
        <w:t xml:space="preserve">. </w:t>
      </w:r>
      <w:r w:rsidR="007011B1">
        <w:rPr>
          <w:lang w:val="en-GB"/>
        </w:rPr>
        <w:t xml:space="preserve">The similar conclusion can be applied the cumulative abnormal results as well, at day t=0, CAAR (oth) = -1.06%, with a high significance level of 95% </w:t>
      </w:r>
      <w:r w:rsidR="007011B1" w:rsidRPr="007011B1">
        <w:rPr>
          <w:lang w:val="en-GB"/>
        </w:rPr>
        <w:t>(p&lt;0.05)</w:t>
      </w:r>
      <w:r w:rsidR="007011B1">
        <w:rPr>
          <w:lang w:val="en-GB"/>
        </w:rPr>
        <w:t xml:space="preserve">, so the </w:t>
      </w:r>
      <w:r w:rsidR="007011B1">
        <w:rPr>
          <w:lang w:val="en-GB"/>
        </w:rPr>
        <w:lastRenderedPageBreak/>
        <w:t>negative reaction can be explained by the</w:t>
      </w:r>
      <w:r w:rsidR="00C6482F">
        <w:rPr>
          <w:lang w:val="en-GB"/>
        </w:rPr>
        <w:t xml:space="preserve"> M&amp;A event as well. By the end of the event window</w:t>
      </w:r>
      <w:r w:rsidR="00F6469F">
        <w:rPr>
          <w:lang w:val="en-GB"/>
        </w:rPr>
        <w:t xml:space="preserve"> the CAAR still remained negative with a -0.35% at day t=3, however the more or less an acceptable level of significance CAAR has at day t=2 (CAAR=-0.46) with 87%, which is can be still used considering the size of my sample for this hypothesis.</w:t>
      </w:r>
    </w:p>
    <w:p w:rsidR="00302512" w:rsidRDefault="00302512" w:rsidP="006420E0">
      <w:pPr>
        <w:rPr>
          <w:lang w:val="en-GB"/>
        </w:rPr>
      </w:pPr>
      <w:r>
        <w:rPr>
          <w:lang w:val="en-GB"/>
        </w:rPr>
        <w:t>For solar and wind types of M&amp;A the market reaction has been more positive</w:t>
      </w:r>
      <w:r w:rsidR="00E934ED">
        <w:rPr>
          <w:lang w:val="en-GB"/>
        </w:rPr>
        <w:t>. Average abnormal returns at the event day is -0.09%, however, the significance level for this day is too low in order to make reject H(0), and it is probable that the market reaction has been not due to the event. However, the return on day t=2 is significant at level 90% (p&lt;0.1), so this return is related to the event. Considering the CAAR (s+w) results at day t=0 stocks enjoyed positive abnormal return CAAR (w+s) = +0.47%, being significant at 90% (p&lt;0.1), what tell us to consider this reaction in relation to the M&amp;A deal. The positive returns in days 2 (95%, p&lt;0.05) and 3 (99%, p&lt;0.01) have even higher level of significance according to the used t-test.</w:t>
      </w:r>
    </w:p>
    <w:p w:rsidR="00C6482F" w:rsidRPr="00AD7FE4" w:rsidRDefault="00C6482F" w:rsidP="006420E0">
      <w:pPr>
        <w:rPr>
          <w:lang w:val="en-GB"/>
        </w:rPr>
      </w:pPr>
    </w:p>
    <w:p w:rsidR="00695D3F" w:rsidRDefault="00695D3F" w:rsidP="00695D3F">
      <w:pPr>
        <w:pStyle w:val="SVEfigure"/>
        <w:rPr>
          <w:lang w:val="en-GB"/>
        </w:rPr>
      </w:pPr>
      <w:r>
        <w:rPr>
          <w:noProof/>
          <w:lang w:val="ru-RU" w:eastAsia="ru-RU"/>
        </w:rPr>
        <w:drawing>
          <wp:inline distT="0" distB="0" distL="0" distR="0" wp14:anchorId="7CE85349" wp14:editId="03B256D3">
            <wp:extent cx="4572000" cy="274320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95D3F" w:rsidRDefault="00695D3F" w:rsidP="00695D3F">
      <w:pPr>
        <w:pStyle w:val="SVEfigurecaption"/>
        <w:rPr>
          <w:lang w:val="en-GB"/>
        </w:rPr>
      </w:pPr>
      <w:r>
        <w:rPr>
          <w:lang w:val="en-GB"/>
        </w:rPr>
        <w:t>Comparison on average abnormal return</w:t>
      </w:r>
    </w:p>
    <w:p w:rsidR="00695D3F" w:rsidRDefault="00D610E1" w:rsidP="00695D3F">
      <w:pPr>
        <w:rPr>
          <w:lang w:val="en-GB"/>
        </w:rPr>
      </w:pPr>
      <w:r>
        <w:rPr>
          <w:lang w:val="en-GB"/>
        </w:rPr>
        <w:t xml:space="preserve">The chart above shows the dynamic of average abnormal returns for both types of target firms. According to this figure we could observe a negative market reaction for both types of deal, but for wind and solar companies slightly better. </w:t>
      </w:r>
      <w:r w:rsidR="00E02994">
        <w:rPr>
          <w:lang w:val="en-GB"/>
        </w:rPr>
        <w:t>The further market reaction in following days after the event [+1;+3] is a bit confusing and difficult to interpret. At day 1 the AAR (oth) is significant and is higher than AAR (w+s), but at this day AAR (w+s) is not significant, so the low return might not be explained by the fact of M&amp;A deal be the previous day. The similar situation holds for the second day after the event, when the AAR (w+s) become higher and statistically significant, while AAR (oth) lower and insignificant.</w:t>
      </w:r>
      <w:r w:rsidR="00DC4F41">
        <w:rPr>
          <w:lang w:val="en-GB"/>
        </w:rPr>
        <w:t xml:space="preserve"> Therefore, the average abnormal chart is </w:t>
      </w:r>
      <w:r w:rsidR="00DC4F41">
        <w:rPr>
          <w:lang w:val="en-GB"/>
        </w:rPr>
        <w:lastRenderedPageBreak/>
        <w:t>simply not enough to assess which companies are doing better, so we move forward to observation of cumulative average abnormal returns.</w:t>
      </w:r>
    </w:p>
    <w:p w:rsidR="00695D3F" w:rsidRDefault="00695D3F" w:rsidP="00695D3F">
      <w:pPr>
        <w:pStyle w:val="SVEfigure"/>
        <w:rPr>
          <w:lang w:val="en-GB"/>
        </w:rPr>
      </w:pPr>
      <w:r>
        <w:rPr>
          <w:noProof/>
          <w:lang w:val="ru-RU" w:eastAsia="ru-RU"/>
        </w:rPr>
        <w:drawing>
          <wp:inline distT="0" distB="0" distL="0" distR="0" wp14:anchorId="48CD9CF8" wp14:editId="3FE55277">
            <wp:extent cx="4572000" cy="27432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95D3F" w:rsidRDefault="00695D3F" w:rsidP="00695D3F">
      <w:pPr>
        <w:pStyle w:val="SVEfigurecaption"/>
        <w:rPr>
          <w:lang w:val="en-GB"/>
        </w:rPr>
      </w:pPr>
      <w:r>
        <w:rPr>
          <w:lang w:val="en-GB"/>
        </w:rPr>
        <w:t xml:space="preserve">Comparison </w:t>
      </w:r>
      <w:r w:rsidR="00BC30EA">
        <w:rPr>
          <w:lang w:val="en-GB"/>
        </w:rPr>
        <w:t xml:space="preserve">on </w:t>
      </w:r>
      <w:r>
        <w:rPr>
          <w:lang w:val="en-GB"/>
        </w:rPr>
        <w:t>cumulative abnormal average return</w:t>
      </w:r>
    </w:p>
    <w:p w:rsidR="00695D3F" w:rsidRPr="00233156" w:rsidRDefault="006C73A8" w:rsidP="00695D3F">
      <w:pPr>
        <w:rPr>
          <w:lang w:val="en-GB"/>
        </w:rPr>
      </w:pPr>
      <w:r>
        <w:rPr>
          <w:lang w:val="en-GB"/>
        </w:rPr>
        <w:t>According to the chart above, the CAAR is substantially higher</w:t>
      </w:r>
      <w:r w:rsidR="00233156">
        <w:rPr>
          <w:lang w:val="en-GB"/>
        </w:rPr>
        <w:t xml:space="preserve"> (and even positive)</w:t>
      </w:r>
      <w:r>
        <w:rPr>
          <w:lang w:val="en-GB"/>
        </w:rPr>
        <w:t xml:space="preserve"> for wind and solar category of targets</w:t>
      </w:r>
      <w:r w:rsidR="00233156">
        <w:rPr>
          <w:lang w:val="en-GB"/>
        </w:rPr>
        <w:t xml:space="preserve"> and its results are statistically significant</w:t>
      </w:r>
      <w:r>
        <w:rPr>
          <w:lang w:val="en-GB"/>
        </w:rPr>
        <w:t xml:space="preserve">. </w:t>
      </w:r>
      <w:r w:rsidR="00233156">
        <w:rPr>
          <w:lang w:val="en-GB"/>
        </w:rPr>
        <w:t xml:space="preserve">Moreover, the trend line on (w+s) shows a positive increase, while for (oth) a negative one. Therefore, according to the chart of cumulative average returns we can come to a conclusion that markets have better attitude to M&amp;A with wind and solar energy firms. That tells that the </w:t>
      </w:r>
      <w:r w:rsidR="00233156" w:rsidRPr="009F1583">
        <w:rPr>
          <w:b/>
          <w:i/>
          <w:lang w:val="en-GB"/>
        </w:rPr>
        <w:t>H1.1</w:t>
      </w:r>
      <w:r w:rsidR="00233156">
        <w:rPr>
          <w:i/>
          <w:lang w:val="en-GB"/>
        </w:rPr>
        <w:t xml:space="preserve">: M&amp;As with solar and wind companies brings higher returns, </w:t>
      </w:r>
      <w:r w:rsidR="00233156">
        <w:rPr>
          <w:lang w:val="en-GB"/>
        </w:rPr>
        <w:t>holds.</w:t>
      </w:r>
    </w:p>
    <w:p w:rsidR="008D2DAC" w:rsidRDefault="008D2DAC" w:rsidP="008D2DAC">
      <w:pPr>
        <w:pStyle w:val="3"/>
        <w:rPr>
          <w:lang w:val="en-GB"/>
        </w:rPr>
      </w:pPr>
      <w:bookmarkStart w:id="22" w:name="_Toc73640578"/>
      <w:r>
        <w:rPr>
          <w:lang w:val="en-GB"/>
        </w:rPr>
        <w:t>3.1.3 Results for long-term study</w:t>
      </w:r>
      <w:bookmarkEnd w:id="22"/>
    </w:p>
    <w:p w:rsidR="0079364B" w:rsidRDefault="0079364B" w:rsidP="0079364B">
      <w:pPr>
        <w:rPr>
          <w:lang w:val="en-GB"/>
        </w:rPr>
      </w:pPr>
      <w:r>
        <w:rPr>
          <w:lang w:val="en-GB"/>
        </w:rPr>
        <w:t>All measure for abnormal returns are in %.</w:t>
      </w:r>
    </w:p>
    <w:p w:rsidR="006A5EBD" w:rsidRPr="0079364B" w:rsidRDefault="006A5EBD" w:rsidP="0079364B">
      <w:pPr>
        <w:rPr>
          <w:lang w:val="en-GB"/>
        </w:rPr>
      </w:pPr>
      <w:r>
        <w:rPr>
          <w:lang w:val="en-GB"/>
        </w:rPr>
        <w:t>The ABHARs have been calculated according to the model and benchmark of peers companies with a similar market capitalisation and book-to-market value proposed in the research methodology part.</w:t>
      </w:r>
    </w:p>
    <w:p w:rsidR="008D2DAC" w:rsidRDefault="00CC231D" w:rsidP="008D2DAC">
      <w:pPr>
        <w:rPr>
          <w:lang w:val="en-GB"/>
        </w:rPr>
      </w:pPr>
      <w:r>
        <w:rPr>
          <w:lang w:val="en-GB"/>
        </w:rPr>
        <w:t>Now, as we have discussed all results acquired in short-term event window, the discussion can move forwar</w:t>
      </w:r>
      <w:r w:rsidR="0063538C">
        <w:rPr>
          <w:lang w:val="en-GB"/>
        </w:rPr>
        <w:t>d to the next part o</w:t>
      </w:r>
      <w:r>
        <w:rPr>
          <w:lang w:val="en-GB"/>
        </w:rPr>
        <w:t>f long-term study.</w:t>
      </w:r>
      <w:r w:rsidR="007D2636">
        <w:rPr>
          <w:lang w:val="en-GB"/>
        </w:rPr>
        <w:t xml:space="preserve"> </w:t>
      </w:r>
      <w:r w:rsidR="00595FC7">
        <w:rPr>
          <w:lang w:val="en-GB"/>
        </w:rPr>
        <w:t>The length of the study includes 25 month with counting a 0 month, when the deal was made</w:t>
      </w:r>
      <w:r w:rsidR="0063538C">
        <w:rPr>
          <w:lang w:val="en-GB"/>
        </w:rPr>
        <w:t>:</w:t>
      </w:r>
      <w:r w:rsidR="00505A23">
        <w:rPr>
          <w:lang w:val="en-GB"/>
        </w:rPr>
        <w:t xml:space="preserve"> [0</w:t>
      </w:r>
      <w:proofErr w:type="gramStart"/>
      <w:r w:rsidR="00505A23">
        <w:rPr>
          <w:lang w:val="en-GB"/>
        </w:rPr>
        <w:t>;24</w:t>
      </w:r>
      <w:proofErr w:type="gramEnd"/>
      <w:r w:rsidR="00595FC7">
        <w:rPr>
          <w:lang w:val="en-GB"/>
        </w:rPr>
        <w:t>]</w:t>
      </w:r>
      <w:r w:rsidR="00505A23">
        <w:rPr>
          <w:lang w:val="en-GB"/>
        </w:rPr>
        <w:t>, so 2 years in total</w:t>
      </w:r>
      <w:r w:rsidR="00595FC7">
        <w:rPr>
          <w:lang w:val="en-GB"/>
        </w:rPr>
        <w:t xml:space="preserve">. </w:t>
      </w:r>
      <w:r w:rsidR="007D2636">
        <w:rPr>
          <w:lang w:val="en-GB"/>
        </w:rPr>
        <w:t xml:space="preserve">The sample of long-term study has 16 observations, hence 15 degrees of freedom that will be </w:t>
      </w:r>
      <w:r w:rsidR="009B6408">
        <w:rPr>
          <w:lang w:val="en-GB"/>
        </w:rPr>
        <w:t xml:space="preserve">used in further calculation of level of </w:t>
      </w:r>
      <w:r w:rsidR="00C812B4">
        <w:rPr>
          <w:lang w:val="en-GB"/>
        </w:rPr>
        <w:t>significance</w:t>
      </w:r>
      <w:r w:rsidR="009B6408">
        <w:rPr>
          <w:lang w:val="en-GB"/>
        </w:rPr>
        <w:t>.</w:t>
      </w:r>
      <w:r w:rsidR="0063538C">
        <w:rPr>
          <w:lang w:val="en-GB"/>
        </w:rPr>
        <w:t xml:space="preserve"> Also, in the case when the skewness appeared, the skewness t-adjusted test was used, in order to get more accurate results.</w:t>
      </w:r>
    </w:p>
    <w:p w:rsidR="006C6149" w:rsidRDefault="006C6149" w:rsidP="006C6149">
      <w:pPr>
        <w:pStyle w:val="SVEtablecaption"/>
      </w:pPr>
      <w:r>
        <w:lastRenderedPageBreak/>
        <w:t>Abnormal returns for long-term study</w:t>
      </w:r>
    </w:p>
    <w:tbl>
      <w:tblPr>
        <w:tblStyle w:val="a6"/>
        <w:tblW w:w="0" w:type="auto"/>
        <w:tblLook w:val="04A0" w:firstRow="1" w:lastRow="0" w:firstColumn="1" w:lastColumn="0" w:noHBand="0" w:noVBand="1"/>
      </w:tblPr>
      <w:tblGrid>
        <w:gridCol w:w="2121"/>
        <w:gridCol w:w="3543"/>
        <w:gridCol w:w="3680"/>
      </w:tblGrid>
      <w:tr w:rsidR="00323959" w:rsidTr="006C6149">
        <w:tc>
          <w:tcPr>
            <w:tcW w:w="2122" w:type="dxa"/>
          </w:tcPr>
          <w:p w:rsidR="00323959" w:rsidRDefault="00323959" w:rsidP="006C6149">
            <w:pPr>
              <w:pStyle w:val="SVEtableheader"/>
            </w:pPr>
            <w:r>
              <w:t xml:space="preserve">Months, </w:t>
            </w:r>
            <m:oMath>
              <m:r>
                <m:rPr>
                  <m:sty m:val="bi"/>
                </m:rPr>
                <w:rPr>
                  <w:rFonts w:ascii="Cambria Math" w:eastAsiaTheme="minorEastAsia" w:hAnsi="Cambria Math"/>
                </w:rPr>
                <m:t>τ</m:t>
              </m:r>
            </m:oMath>
          </w:p>
        </w:tc>
        <w:tc>
          <w:tcPr>
            <w:tcW w:w="3543" w:type="dxa"/>
          </w:tcPr>
          <w:p w:rsidR="00323959" w:rsidRPr="006C6149" w:rsidRDefault="008E3922" w:rsidP="006C6149">
            <w:pPr>
              <w:pStyle w:val="SVEtableheader"/>
            </w:pPr>
            <m:oMathPara>
              <m:oMath>
                <m:sSub>
                  <m:sSubPr>
                    <m:ctrlPr>
                      <w:rPr>
                        <w:rFonts w:ascii="Cambria Math" w:hAnsi="Cambria Math"/>
                      </w:rPr>
                    </m:ctrlPr>
                  </m:sSubPr>
                  <m:e>
                    <m:r>
                      <m:rPr>
                        <m:sty m:val="bi"/>
                      </m:rPr>
                      <w:rPr>
                        <w:rFonts w:ascii="Cambria Math" w:hAnsi="Cambria Math"/>
                      </w:rPr>
                      <m:t>ABHAR</m:t>
                    </m:r>
                  </m:e>
                  <m:sub>
                    <m:r>
                      <m:rPr>
                        <m:sty m:val="b"/>
                      </m:rPr>
                      <w:rPr>
                        <w:rFonts w:ascii="Cambria Math" w:hAnsi="Cambria Math"/>
                      </w:rPr>
                      <m:t>τ</m:t>
                    </m:r>
                  </m:sub>
                </m:sSub>
              </m:oMath>
            </m:oMathPara>
          </w:p>
        </w:tc>
        <w:tc>
          <w:tcPr>
            <w:tcW w:w="3680" w:type="dxa"/>
          </w:tcPr>
          <w:p w:rsidR="00323959" w:rsidRPr="006C6149" w:rsidRDefault="008E3922" w:rsidP="004A4E9D">
            <w:pPr>
              <w:pStyle w:val="SVEtableheader"/>
            </w:pPr>
            <m:oMathPara>
              <m:oMath>
                <m:sSub>
                  <m:sSubPr>
                    <m:ctrlPr>
                      <w:rPr>
                        <w:rFonts w:ascii="Cambria Math" w:hAnsi="Cambria Math"/>
                      </w:rPr>
                    </m:ctrlPr>
                  </m:sSubPr>
                  <m:e>
                    <m:r>
                      <m:rPr>
                        <m:sty m:val="bi"/>
                      </m:rPr>
                      <w:rPr>
                        <w:rFonts w:ascii="Cambria Math" w:hAnsi="Cambria Math"/>
                      </w:rPr>
                      <m:t>t</m:t>
                    </m:r>
                  </m:e>
                  <m:sub>
                    <m:r>
                      <m:rPr>
                        <m:sty m:val="bi"/>
                      </m:rPr>
                      <w:rPr>
                        <w:rFonts w:ascii="Cambria Math" w:hAnsi="Cambria Math"/>
                      </w:rPr>
                      <m:t>bharsa</m:t>
                    </m:r>
                  </m:sub>
                </m:sSub>
              </m:oMath>
            </m:oMathPara>
          </w:p>
        </w:tc>
      </w:tr>
      <w:tr w:rsidR="006C6149" w:rsidTr="00DB5C1B">
        <w:tc>
          <w:tcPr>
            <w:tcW w:w="2122" w:type="dxa"/>
          </w:tcPr>
          <w:p w:rsidR="006C6149" w:rsidRDefault="006C6149" w:rsidP="006C6149">
            <w:pPr>
              <w:ind w:firstLine="0"/>
              <w:rPr>
                <w:lang w:val="en-GB"/>
              </w:rPr>
            </w:pPr>
            <w:r>
              <w:rPr>
                <w:lang w:val="en-GB"/>
              </w:rPr>
              <w:t>24</w:t>
            </w:r>
          </w:p>
        </w:tc>
        <w:tc>
          <w:tcPr>
            <w:tcW w:w="3543" w:type="dxa"/>
            <w:vAlign w:val="bottom"/>
          </w:tcPr>
          <w:p w:rsidR="006C6149" w:rsidRPr="004A4E9D" w:rsidRDefault="006C6149" w:rsidP="006C6149">
            <w:pPr>
              <w:pStyle w:val="SVEtablecontent"/>
              <w:rPr>
                <w:b/>
              </w:rPr>
            </w:pPr>
            <w:r w:rsidRPr="004A4E9D">
              <w:rPr>
                <w:b/>
              </w:rPr>
              <w:t>+14.344%</w:t>
            </w:r>
            <w:r w:rsidR="004A4E9D">
              <w:rPr>
                <w:b/>
                <w:vertAlign w:val="superscript"/>
              </w:rPr>
              <w:t>4</w:t>
            </w:r>
            <w:r w:rsidR="004A4E9D">
              <w:rPr>
                <w:b/>
              </w:rPr>
              <w:t>*</w:t>
            </w:r>
          </w:p>
        </w:tc>
        <w:tc>
          <w:tcPr>
            <w:tcW w:w="3680" w:type="dxa"/>
            <w:vAlign w:val="bottom"/>
          </w:tcPr>
          <w:p w:rsidR="006C6149" w:rsidRPr="004A4E9D" w:rsidRDefault="006C6149" w:rsidP="006C6149">
            <w:pPr>
              <w:pStyle w:val="SVEtablecontent"/>
              <w:rPr>
                <w:b/>
              </w:rPr>
            </w:pPr>
            <w:r w:rsidRPr="004A4E9D">
              <w:rPr>
                <w:b/>
              </w:rPr>
              <w:t>2.86</w:t>
            </w:r>
          </w:p>
        </w:tc>
      </w:tr>
      <w:tr w:rsidR="006C6149" w:rsidTr="00DB5C1B">
        <w:tc>
          <w:tcPr>
            <w:tcW w:w="2122" w:type="dxa"/>
          </w:tcPr>
          <w:p w:rsidR="006C6149" w:rsidRDefault="006C6149" w:rsidP="006C6149">
            <w:pPr>
              <w:ind w:firstLine="0"/>
              <w:rPr>
                <w:lang w:val="en-GB"/>
              </w:rPr>
            </w:pPr>
            <w:r>
              <w:rPr>
                <w:lang w:val="en-GB"/>
              </w:rPr>
              <w:t>23</w:t>
            </w:r>
          </w:p>
        </w:tc>
        <w:tc>
          <w:tcPr>
            <w:tcW w:w="3543" w:type="dxa"/>
            <w:vAlign w:val="bottom"/>
          </w:tcPr>
          <w:p w:rsidR="006C6149" w:rsidRPr="004A4E9D" w:rsidRDefault="006C6149" w:rsidP="006C6149">
            <w:pPr>
              <w:pStyle w:val="SVEtablecontent"/>
              <w:rPr>
                <w:b/>
              </w:rPr>
            </w:pPr>
            <w:r w:rsidRPr="004A4E9D">
              <w:rPr>
                <w:b/>
              </w:rPr>
              <w:t>+14.280%</w:t>
            </w:r>
            <w:r w:rsidR="004A4E9D">
              <w:rPr>
                <w:b/>
                <w:vertAlign w:val="superscript"/>
              </w:rPr>
              <w:t>4</w:t>
            </w:r>
            <w:r w:rsidR="004A4E9D">
              <w:rPr>
                <w:b/>
              </w:rPr>
              <w:t>*</w:t>
            </w:r>
          </w:p>
        </w:tc>
        <w:tc>
          <w:tcPr>
            <w:tcW w:w="3680" w:type="dxa"/>
            <w:vAlign w:val="bottom"/>
          </w:tcPr>
          <w:p w:rsidR="006C6149" w:rsidRPr="004A4E9D" w:rsidRDefault="006C6149" w:rsidP="006C6149">
            <w:pPr>
              <w:pStyle w:val="SVEtablecontent"/>
              <w:rPr>
                <w:b/>
              </w:rPr>
            </w:pPr>
            <w:r w:rsidRPr="004A4E9D">
              <w:rPr>
                <w:b/>
              </w:rPr>
              <w:t>2.84</w:t>
            </w:r>
          </w:p>
        </w:tc>
      </w:tr>
      <w:tr w:rsidR="006C6149" w:rsidTr="00DB5C1B">
        <w:tc>
          <w:tcPr>
            <w:tcW w:w="2122" w:type="dxa"/>
          </w:tcPr>
          <w:p w:rsidR="006C6149" w:rsidRDefault="006C6149" w:rsidP="006C6149">
            <w:pPr>
              <w:ind w:firstLine="0"/>
              <w:rPr>
                <w:lang w:val="en-GB"/>
              </w:rPr>
            </w:pPr>
            <w:r>
              <w:rPr>
                <w:lang w:val="en-GB"/>
              </w:rPr>
              <w:t>22</w:t>
            </w:r>
          </w:p>
        </w:tc>
        <w:tc>
          <w:tcPr>
            <w:tcW w:w="3543" w:type="dxa"/>
            <w:vAlign w:val="bottom"/>
          </w:tcPr>
          <w:p w:rsidR="006C6149" w:rsidRPr="004A4E9D" w:rsidRDefault="006C6149" w:rsidP="006C6149">
            <w:pPr>
              <w:pStyle w:val="SVEtablecontent"/>
              <w:rPr>
                <w:b/>
              </w:rPr>
            </w:pPr>
            <w:r w:rsidRPr="004A4E9D">
              <w:rPr>
                <w:b/>
              </w:rPr>
              <w:t>+14.088%</w:t>
            </w:r>
            <w:r w:rsidR="004A4E9D">
              <w:rPr>
                <w:b/>
                <w:vertAlign w:val="superscript"/>
              </w:rPr>
              <w:t>4</w:t>
            </w:r>
            <w:r w:rsidR="004A4E9D">
              <w:rPr>
                <w:b/>
              </w:rPr>
              <w:t>*</w:t>
            </w:r>
          </w:p>
        </w:tc>
        <w:tc>
          <w:tcPr>
            <w:tcW w:w="3680" w:type="dxa"/>
            <w:vAlign w:val="bottom"/>
          </w:tcPr>
          <w:p w:rsidR="006C6149" w:rsidRPr="004A4E9D" w:rsidRDefault="006C6149" w:rsidP="006C6149">
            <w:pPr>
              <w:pStyle w:val="SVEtablecontent"/>
              <w:rPr>
                <w:b/>
              </w:rPr>
            </w:pPr>
            <w:r w:rsidRPr="004A4E9D">
              <w:rPr>
                <w:b/>
              </w:rPr>
              <w:t>2.80</w:t>
            </w:r>
          </w:p>
        </w:tc>
      </w:tr>
      <w:tr w:rsidR="006C6149" w:rsidTr="00DB5C1B">
        <w:tc>
          <w:tcPr>
            <w:tcW w:w="2122" w:type="dxa"/>
          </w:tcPr>
          <w:p w:rsidR="006C6149" w:rsidRDefault="006C6149" w:rsidP="006C6149">
            <w:pPr>
              <w:ind w:firstLine="0"/>
              <w:rPr>
                <w:lang w:val="en-GB"/>
              </w:rPr>
            </w:pPr>
            <w:r>
              <w:rPr>
                <w:lang w:val="en-GB"/>
              </w:rPr>
              <w:t>21</w:t>
            </w:r>
          </w:p>
        </w:tc>
        <w:tc>
          <w:tcPr>
            <w:tcW w:w="3543" w:type="dxa"/>
            <w:vAlign w:val="bottom"/>
          </w:tcPr>
          <w:p w:rsidR="006C6149" w:rsidRPr="004A4E9D" w:rsidRDefault="006C6149" w:rsidP="006C6149">
            <w:pPr>
              <w:pStyle w:val="SVEtablecontent"/>
              <w:rPr>
                <w:b/>
              </w:rPr>
            </w:pPr>
            <w:r w:rsidRPr="004A4E9D">
              <w:rPr>
                <w:b/>
              </w:rPr>
              <w:t>+8.574%</w:t>
            </w:r>
            <w:r w:rsidR="004A4E9D">
              <w:rPr>
                <w:b/>
              </w:rPr>
              <w:t>**</w:t>
            </w:r>
          </w:p>
        </w:tc>
        <w:tc>
          <w:tcPr>
            <w:tcW w:w="3680" w:type="dxa"/>
            <w:vAlign w:val="bottom"/>
          </w:tcPr>
          <w:p w:rsidR="006C6149" w:rsidRPr="004A4E9D" w:rsidRDefault="006C6149" w:rsidP="006C6149">
            <w:pPr>
              <w:pStyle w:val="SVEtablecontent"/>
              <w:rPr>
                <w:b/>
              </w:rPr>
            </w:pPr>
            <w:r w:rsidRPr="004A4E9D">
              <w:rPr>
                <w:b/>
              </w:rPr>
              <w:t>1.62</w:t>
            </w:r>
          </w:p>
        </w:tc>
      </w:tr>
      <w:tr w:rsidR="006C6149" w:rsidTr="00DB5C1B">
        <w:tc>
          <w:tcPr>
            <w:tcW w:w="2122" w:type="dxa"/>
          </w:tcPr>
          <w:p w:rsidR="006C6149" w:rsidRDefault="006C6149" w:rsidP="006C6149">
            <w:pPr>
              <w:ind w:firstLine="0"/>
              <w:rPr>
                <w:lang w:val="en-GB"/>
              </w:rPr>
            </w:pPr>
            <w:r>
              <w:rPr>
                <w:lang w:val="en-GB"/>
              </w:rPr>
              <w:t>20</w:t>
            </w:r>
          </w:p>
        </w:tc>
        <w:tc>
          <w:tcPr>
            <w:tcW w:w="3543" w:type="dxa"/>
            <w:vAlign w:val="bottom"/>
          </w:tcPr>
          <w:p w:rsidR="006C6149" w:rsidRPr="004A4E9D" w:rsidRDefault="006C6149" w:rsidP="006C6149">
            <w:pPr>
              <w:pStyle w:val="SVEtablecontent"/>
              <w:rPr>
                <w:b/>
              </w:rPr>
            </w:pPr>
            <w:r w:rsidRPr="004A4E9D">
              <w:rPr>
                <w:b/>
              </w:rPr>
              <w:t>+7.599%</w:t>
            </w:r>
            <w:r w:rsidR="004A4E9D">
              <w:rPr>
                <w:b/>
              </w:rPr>
              <w:t>**</w:t>
            </w:r>
          </w:p>
        </w:tc>
        <w:tc>
          <w:tcPr>
            <w:tcW w:w="3680" w:type="dxa"/>
            <w:vAlign w:val="bottom"/>
          </w:tcPr>
          <w:p w:rsidR="006C6149" w:rsidRPr="004A4E9D" w:rsidRDefault="006C6149" w:rsidP="006C6149">
            <w:pPr>
              <w:pStyle w:val="SVEtablecontent"/>
              <w:rPr>
                <w:b/>
              </w:rPr>
            </w:pPr>
            <w:r w:rsidRPr="004A4E9D">
              <w:rPr>
                <w:b/>
              </w:rPr>
              <w:t>1.43</w:t>
            </w:r>
          </w:p>
        </w:tc>
      </w:tr>
      <w:tr w:rsidR="006C6149" w:rsidTr="00DB5C1B">
        <w:tc>
          <w:tcPr>
            <w:tcW w:w="2122" w:type="dxa"/>
          </w:tcPr>
          <w:p w:rsidR="006C6149" w:rsidRDefault="006C6149" w:rsidP="006C6149">
            <w:pPr>
              <w:ind w:firstLine="0"/>
              <w:rPr>
                <w:lang w:val="en-GB"/>
              </w:rPr>
            </w:pPr>
            <w:r>
              <w:rPr>
                <w:lang w:val="en-GB"/>
              </w:rPr>
              <w:t>19</w:t>
            </w:r>
          </w:p>
        </w:tc>
        <w:tc>
          <w:tcPr>
            <w:tcW w:w="3543" w:type="dxa"/>
            <w:vAlign w:val="bottom"/>
          </w:tcPr>
          <w:p w:rsidR="006C6149" w:rsidRPr="004A4E9D" w:rsidRDefault="006C6149" w:rsidP="006C6149">
            <w:pPr>
              <w:pStyle w:val="SVEtablecontent"/>
              <w:rPr>
                <w:b/>
              </w:rPr>
            </w:pPr>
            <w:r w:rsidRPr="004A4E9D">
              <w:rPr>
                <w:b/>
              </w:rPr>
              <w:t>+8.562%</w:t>
            </w:r>
            <w:r w:rsidR="004A4E9D">
              <w:rPr>
                <w:b/>
              </w:rPr>
              <w:t>**</w:t>
            </w:r>
          </w:p>
        </w:tc>
        <w:tc>
          <w:tcPr>
            <w:tcW w:w="3680" w:type="dxa"/>
            <w:vAlign w:val="bottom"/>
          </w:tcPr>
          <w:p w:rsidR="006C6149" w:rsidRPr="004A4E9D" w:rsidRDefault="006C6149" w:rsidP="006C6149">
            <w:pPr>
              <w:pStyle w:val="SVEtablecontent"/>
              <w:rPr>
                <w:b/>
              </w:rPr>
            </w:pPr>
            <w:r w:rsidRPr="004A4E9D">
              <w:rPr>
                <w:b/>
              </w:rPr>
              <w:t>1.62</w:t>
            </w:r>
          </w:p>
        </w:tc>
      </w:tr>
      <w:tr w:rsidR="006C6149" w:rsidTr="00DB5C1B">
        <w:tc>
          <w:tcPr>
            <w:tcW w:w="2122" w:type="dxa"/>
          </w:tcPr>
          <w:p w:rsidR="006C6149" w:rsidRDefault="006C6149" w:rsidP="006C6149">
            <w:pPr>
              <w:ind w:firstLine="0"/>
              <w:rPr>
                <w:lang w:val="en-GB"/>
              </w:rPr>
            </w:pPr>
            <w:r>
              <w:rPr>
                <w:lang w:val="en-GB"/>
              </w:rPr>
              <w:t>18</w:t>
            </w:r>
          </w:p>
        </w:tc>
        <w:tc>
          <w:tcPr>
            <w:tcW w:w="3543" w:type="dxa"/>
            <w:vAlign w:val="bottom"/>
          </w:tcPr>
          <w:p w:rsidR="006C6149" w:rsidRPr="004A4E9D" w:rsidRDefault="006C6149" w:rsidP="006C6149">
            <w:pPr>
              <w:pStyle w:val="SVEtablecontent"/>
              <w:rPr>
                <w:b/>
              </w:rPr>
            </w:pPr>
            <w:r w:rsidRPr="004A4E9D">
              <w:rPr>
                <w:b/>
              </w:rPr>
              <w:t>+7.565%</w:t>
            </w:r>
            <w:r w:rsidR="004A4E9D">
              <w:rPr>
                <w:b/>
              </w:rPr>
              <w:t>**</w:t>
            </w:r>
          </w:p>
        </w:tc>
        <w:tc>
          <w:tcPr>
            <w:tcW w:w="3680" w:type="dxa"/>
            <w:vAlign w:val="bottom"/>
          </w:tcPr>
          <w:p w:rsidR="006C6149" w:rsidRPr="004A4E9D" w:rsidRDefault="006C6149" w:rsidP="006C6149">
            <w:pPr>
              <w:pStyle w:val="SVEtablecontent"/>
              <w:rPr>
                <w:b/>
              </w:rPr>
            </w:pPr>
            <w:r w:rsidRPr="004A4E9D">
              <w:rPr>
                <w:b/>
              </w:rPr>
              <w:t>1.42</w:t>
            </w:r>
          </w:p>
        </w:tc>
      </w:tr>
      <w:tr w:rsidR="006C6149" w:rsidTr="00DB5C1B">
        <w:tc>
          <w:tcPr>
            <w:tcW w:w="2122" w:type="dxa"/>
          </w:tcPr>
          <w:p w:rsidR="006C6149" w:rsidRDefault="006C6149" w:rsidP="006C6149">
            <w:pPr>
              <w:ind w:firstLine="0"/>
              <w:rPr>
                <w:lang w:val="en-GB"/>
              </w:rPr>
            </w:pPr>
            <w:r>
              <w:rPr>
                <w:lang w:val="en-GB"/>
              </w:rPr>
              <w:t>17</w:t>
            </w:r>
          </w:p>
        </w:tc>
        <w:tc>
          <w:tcPr>
            <w:tcW w:w="3543" w:type="dxa"/>
            <w:vAlign w:val="bottom"/>
          </w:tcPr>
          <w:p w:rsidR="006C6149" w:rsidRPr="006C6149" w:rsidRDefault="006C6149" w:rsidP="006C6149">
            <w:pPr>
              <w:pStyle w:val="SVEtablecontent"/>
            </w:pPr>
            <w:r w:rsidRPr="006C6149">
              <w:t>+6.438%</w:t>
            </w:r>
            <w:r w:rsidR="004A4E9D">
              <w:t>*</w:t>
            </w:r>
          </w:p>
        </w:tc>
        <w:tc>
          <w:tcPr>
            <w:tcW w:w="3680" w:type="dxa"/>
            <w:vAlign w:val="bottom"/>
          </w:tcPr>
          <w:p w:rsidR="006C6149" w:rsidRDefault="006C6149" w:rsidP="006C6149">
            <w:pPr>
              <w:pStyle w:val="SVEtablecontent"/>
            </w:pPr>
            <w:r>
              <w:t>1.20</w:t>
            </w:r>
          </w:p>
        </w:tc>
      </w:tr>
      <w:tr w:rsidR="006C6149" w:rsidTr="00DB5C1B">
        <w:tc>
          <w:tcPr>
            <w:tcW w:w="2122" w:type="dxa"/>
          </w:tcPr>
          <w:p w:rsidR="006C6149" w:rsidRDefault="006C6149" w:rsidP="006C6149">
            <w:pPr>
              <w:ind w:firstLine="0"/>
              <w:rPr>
                <w:lang w:val="en-GB"/>
              </w:rPr>
            </w:pPr>
            <w:r>
              <w:rPr>
                <w:lang w:val="en-GB"/>
              </w:rPr>
              <w:t>16</w:t>
            </w:r>
          </w:p>
        </w:tc>
        <w:tc>
          <w:tcPr>
            <w:tcW w:w="3543" w:type="dxa"/>
            <w:vAlign w:val="bottom"/>
          </w:tcPr>
          <w:p w:rsidR="006C6149" w:rsidRPr="006C6149" w:rsidRDefault="006C6149" w:rsidP="006C6149">
            <w:pPr>
              <w:pStyle w:val="SVEtablecontent"/>
            </w:pPr>
            <w:r w:rsidRPr="006C6149">
              <w:t>+4.422%</w:t>
            </w:r>
          </w:p>
        </w:tc>
        <w:tc>
          <w:tcPr>
            <w:tcW w:w="3680" w:type="dxa"/>
            <w:vAlign w:val="bottom"/>
          </w:tcPr>
          <w:p w:rsidR="006C6149" w:rsidRDefault="006C6149" w:rsidP="006C6149">
            <w:pPr>
              <w:pStyle w:val="SVEtablecontent"/>
            </w:pPr>
            <w:r>
              <w:t>0.82</w:t>
            </w:r>
          </w:p>
        </w:tc>
      </w:tr>
      <w:tr w:rsidR="006C6149" w:rsidTr="00DB5C1B">
        <w:tc>
          <w:tcPr>
            <w:tcW w:w="2122" w:type="dxa"/>
          </w:tcPr>
          <w:p w:rsidR="006C6149" w:rsidRDefault="006C6149" w:rsidP="006C6149">
            <w:pPr>
              <w:ind w:firstLine="0"/>
              <w:rPr>
                <w:lang w:val="en-GB"/>
              </w:rPr>
            </w:pPr>
            <w:r>
              <w:rPr>
                <w:lang w:val="en-GB"/>
              </w:rPr>
              <w:t>15</w:t>
            </w:r>
          </w:p>
        </w:tc>
        <w:tc>
          <w:tcPr>
            <w:tcW w:w="3543" w:type="dxa"/>
            <w:vAlign w:val="bottom"/>
          </w:tcPr>
          <w:p w:rsidR="006C6149" w:rsidRPr="006C6149" w:rsidRDefault="006C6149" w:rsidP="006C6149">
            <w:pPr>
              <w:pStyle w:val="SVEtablecontent"/>
            </w:pPr>
            <w:r w:rsidRPr="006C6149">
              <w:t>+3.359%</w:t>
            </w:r>
          </w:p>
        </w:tc>
        <w:tc>
          <w:tcPr>
            <w:tcW w:w="3680" w:type="dxa"/>
            <w:vAlign w:val="bottom"/>
          </w:tcPr>
          <w:p w:rsidR="006C6149" w:rsidRDefault="006C6149" w:rsidP="006C6149">
            <w:pPr>
              <w:pStyle w:val="SVEtablecontent"/>
            </w:pPr>
            <w:r>
              <w:t>0.62</w:t>
            </w:r>
          </w:p>
        </w:tc>
      </w:tr>
      <w:tr w:rsidR="006C6149" w:rsidTr="00DB5C1B">
        <w:tc>
          <w:tcPr>
            <w:tcW w:w="2122" w:type="dxa"/>
          </w:tcPr>
          <w:p w:rsidR="006C6149" w:rsidRDefault="006C6149" w:rsidP="006C6149">
            <w:pPr>
              <w:ind w:firstLine="0"/>
              <w:rPr>
                <w:lang w:val="en-GB"/>
              </w:rPr>
            </w:pPr>
            <w:r>
              <w:rPr>
                <w:lang w:val="en-GB"/>
              </w:rPr>
              <w:t>14</w:t>
            </w:r>
          </w:p>
        </w:tc>
        <w:tc>
          <w:tcPr>
            <w:tcW w:w="3543" w:type="dxa"/>
            <w:vAlign w:val="bottom"/>
          </w:tcPr>
          <w:p w:rsidR="006C6149" w:rsidRPr="006C6149" w:rsidRDefault="006C6149" w:rsidP="006C6149">
            <w:pPr>
              <w:pStyle w:val="SVEtablecontent"/>
            </w:pPr>
            <w:r w:rsidRPr="006C6149">
              <w:t>-1.562%</w:t>
            </w:r>
          </w:p>
        </w:tc>
        <w:tc>
          <w:tcPr>
            <w:tcW w:w="3680" w:type="dxa"/>
            <w:vAlign w:val="bottom"/>
          </w:tcPr>
          <w:p w:rsidR="006C6149" w:rsidRDefault="006C6149" w:rsidP="006C6149">
            <w:pPr>
              <w:pStyle w:val="SVEtablecontent"/>
            </w:pPr>
            <w:r>
              <w:t>-0.22</w:t>
            </w:r>
          </w:p>
        </w:tc>
      </w:tr>
      <w:tr w:rsidR="006C6149" w:rsidTr="00DB5C1B">
        <w:tc>
          <w:tcPr>
            <w:tcW w:w="2122" w:type="dxa"/>
          </w:tcPr>
          <w:p w:rsidR="006C6149" w:rsidRDefault="006C6149" w:rsidP="006C6149">
            <w:pPr>
              <w:ind w:firstLine="0"/>
              <w:rPr>
                <w:lang w:val="en-GB"/>
              </w:rPr>
            </w:pPr>
            <w:r>
              <w:rPr>
                <w:lang w:val="en-GB"/>
              </w:rPr>
              <w:t>13</w:t>
            </w:r>
          </w:p>
        </w:tc>
        <w:tc>
          <w:tcPr>
            <w:tcW w:w="3543" w:type="dxa"/>
            <w:vAlign w:val="bottom"/>
          </w:tcPr>
          <w:p w:rsidR="006C6149" w:rsidRPr="006C6149" w:rsidRDefault="006C6149" w:rsidP="006C6149">
            <w:pPr>
              <w:pStyle w:val="SVEtablecontent"/>
            </w:pPr>
            <w:r w:rsidRPr="006C6149">
              <w:t>-0.396%</w:t>
            </w:r>
          </w:p>
        </w:tc>
        <w:tc>
          <w:tcPr>
            <w:tcW w:w="3680" w:type="dxa"/>
            <w:vAlign w:val="bottom"/>
          </w:tcPr>
          <w:p w:rsidR="006C6149" w:rsidRDefault="006C6149" w:rsidP="006C6149">
            <w:pPr>
              <w:pStyle w:val="SVEtablecontent"/>
            </w:pPr>
            <w:r>
              <w:t>-0.03</w:t>
            </w:r>
          </w:p>
        </w:tc>
      </w:tr>
      <w:tr w:rsidR="006C6149" w:rsidTr="00DB5C1B">
        <w:tc>
          <w:tcPr>
            <w:tcW w:w="2122" w:type="dxa"/>
          </w:tcPr>
          <w:p w:rsidR="006C6149" w:rsidRDefault="006C6149" w:rsidP="006C6149">
            <w:pPr>
              <w:ind w:firstLine="0"/>
              <w:rPr>
                <w:lang w:val="en-GB"/>
              </w:rPr>
            </w:pPr>
            <w:r>
              <w:rPr>
                <w:lang w:val="en-GB"/>
              </w:rPr>
              <w:t>12</w:t>
            </w:r>
          </w:p>
        </w:tc>
        <w:tc>
          <w:tcPr>
            <w:tcW w:w="3543" w:type="dxa"/>
            <w:vAlign w:val="bottom"/>
          </w:tcPr>
          <w:p w:rsidR="006C6149" w:rsidRPr="006C6149" w:rsidRDefault="006C6149" w:rsidP="006C6149">
            <w:pPr>
              <w:pStyle w:val="SVEtablecontent"/>
            </w:pPr>
            <w:r w:rsidRPr="006C6149">
              <w:t>+0.096%</w:t>
            </w:r>
          </w:p>
        </w:tc>
        <w:tc>
          <w:tcPr>
            <w:tcW w:w="3680" w:type="dxa"/>
            <w:vAlign w:val="bottom"/>
          </w:tcPr>
          <w:p w:rsidR="006C6149" w:rsidRDefault="006C6149" w:rsidP="006C6149">
            <w:pPr>
              <w:pStyle w:val="SVEtablecontent"/>
            </w:pPr>
            <w:r>
              <w:t>0.05</w:t>
            </w:r>
          </w:p>
        </w:tc>
      </w:tr>
      <w:tr w:rsidR="006C6149" w:rsidTr="00DB5C1B">
        <w:tc>
          <w:tcPr>
            <w:tcW w:w="2122" w:type="dxa"/>
          </w:tcPr>
          <w:p w:rsidR="006C6149" w:rsidRDefault="006C6149" w:rsidP="006C6149">
            <w:pPr>
              <w:ind w:firstLine="0"/>
              <w:rPr>
                <w:lang w:val="en-GB"/>
              </w:rPr>
            </w:pPr>
            <w:r>
              <w:rPr>
                <w:lang w:val="en-GB"/>
              </w:rPr>
              <w:t>11</w:t>
            </w:r>
          </w:p>
        </w:tc>
        <w:tc>
          <w:tcPr>
            <w:tcW w:w="3543" w:type="dxa"/>
            <w:vAlign w:val="bottom"/>
          </w:tcPr>
          <w:p w:rsidR="006C6149" w:rsidRPr="006C6149" w:rsidRDefault="006C6149" w:rsidP="006C6149">
            <w:pPr>
              <w:pStyle w:val="SVEtablecontent"/>
            </w:pPr>
            <w:r w:rsidRPr="006C6149">
              <w:t>+0.880%</w:t>
            </w:r>
          </w:p>
        </w:tc>
        <w:tc>
          <w:tcPr>
            <w:tcW w:w="3680" w:type="dxa"/>
            <w:vAlign w:val="bottom"/>
          </w:tcPr>
          <w:p w:rsidR="006C6149" w:rsidRDefault="006C6149" w:rsidP="006C6149">
            <w:pPr>
              <w:pStyle w:val="SVEtablecontent"/>
            </w:pPr>
            <w:r>
              <w:t>0.19</w:t>
            </w:r>
          </w:p>
        </w:tc>
      </w:tr>
      <w:tr w:rsidR="006C6149" w:rsidTr="00DB5C1B">
        <w:tc>
          <w:tcPr>
            <w:tcW w:w="2122" w:type="dxa"/>
          </w:tcPr>
          <w:p w:rsidR="006C6149" w:rsidRDefault="006C6149" w:rsidP="006C6149">
            <w:pPr>
              <w:ind w:firstLine="0"/>
              <w:rPr>
                <w:lang w:val="en-GB"/>
              </w:rPr>
            </w:pPr>
            <w:r>
              <w:rPr>
                <w:lang w:val="en-GB"/>
              </w:rPr>
              <w:t>10</w:t>
            </w:r>
          </w:p>
        </w:tc>
        <w:tc>
          <w:tcPr>
            <w:tcW w:w="3543" w:type="dxa"/>
            <w:vAlign w:val="bottom"/>
          </w:tcPr>
          <w:p w:rsidR="006C6149" w:rsidRPr="006C6149" w:rsidRDefault="006C6149" w:rsidP="006C6149">
            <w:pPr>
              <w:pStyle w:val="SVEtablecontent"/>
            </w:pPr>
            <w:r w:rsidRPr="006C6149">
              <w:t>+4.222%</w:t>
            </w:r>
          </w:p>
        </w:tc>
        <w:tc>
          <w:tcPr>
            <w:tcW w:w="3680" w:type="dxa"/>
            <w:vAlign w:val="bottom"/>
          </w:tcPr>
          <w:p w:rsidR="006C6149" w:rsidRDefault="006C6149" w:rsidP="006C6149">
            <w:pPr>
              <w:pStyle w:val="SVEtablecontent"/>
            </w:pPr>
            <w:r>
              <w:t>0.78</w:t>
            </w:r>
          </w:p>
        </w:tc>
      </w:tr>
      <w:tr w:rsidR="006C6149" w:rsidTr="00DB5C1B">
        <w:tc>
          <w:tcPr>
            <w:tcW w:w="2122" w:type="dxa"/>
          </w:tcPr>
          <w:p w:rsidR="006C6149" w:rsidRDefault="006C6149" w:rsidP="006C6149">
            <w:pPr>
              <w:ind w:firstLine="0"/>
              <w:rPr>
                <w:lang w:val="en-GB"/>
              </w:rPr>
            </w:pPr>
            <w:r>
              <w:rPr>
                <w:lang w:val="en-GB"/>
              </w:rPr>
              <w:t>9</w:t>
            </w:r>
          </w:p>
        </w:tc>
        <w:tc>
          <w:tcPr>
            <w:tcW w:w="3543" w:type="dxa"/>
            <w:vAlign w:val="bottom"/>
          </w:tcPr>
          <w:p w:rsidR="006C6149" w:rsidRPr="006C6149" w:rsidRDefault="006C6149" w:rsidP="006C6149">
            <w:pPr>
              <w:pStyle w:val="SVEtablecontent"/>
            </w:pPr>
            <w:r w:rsidRPr="006C6149">
              <w:t>-0.931%</w:t>
            </w:r>
          </w:p>
        </w:tc>
        <w:tc>
          <w:tcPr>
            <w:tcW w:w="3680" w:type="dxa"/>
            <w:vAlign w:val="bottom"/>
          </w:tcPr>
          <w:p w:rsidR="006C6149" w:rsidRDefault="006C6149" w:rsidP="006C6149">
            <w:pPr>
              <w:pStyle w:val="SVEtablecontent"/>
            </w:pPr>
            <w:r>
              <w:t>-0.12</w:t>
            </w:r>
          </w:p>
        </w:tc>
      </w:tr>
      <w:tr w:rsidR="006C6149" w:rsidTr="00DB5C1B">
        <w:tc>
          <w:tcPr>
            <w:tcW w:w="2122" w:type="dxa"/>
          </w:tcPr>
          <w:p w:rsidR="006C6149" w:rsidRDefault="006C6149" w:rsidP="006C6149">
            <w:pPr>
              <w:ind w:firstLine="0"/>
              <w:rPr>
                <w:lang w:val="en-GB"/>
              </w:rPr>
            </w:pPr>
            <w:r>
              <w:rPr>
                <w:lang w:val="en-GB"/>
              </w:rPr>
              <w:t>8</w:t>
            </w:r>
          </w:p>
        </w:tc>
        <w:tc>
          <w:tcPr>
            <w:tcW w:w="3543" w:type="dxa"/>
            <w:vAlign w:val="bottom"/>
          </w:tcPr>
          <w:p w:rsidR="006C6149" w:rsidRPr="006C6149" w:rsidRDefault="006C6149" w:rsidP="006C6149">
            <w:pPr>
              <w:pStyle w:val="SVEtablecontent"/>
            </w:pPr>
            <w:r w:rsidRPr="006C6149">
              <w:t>+0.044%</w:t>
            </w:r>
          </w:p>
        </w:tc>
        <w:tc>
          <w:tcPr>
            <w:tcW w:w="3680" w:type="dxa"/>
            <w:vAlign w:val="bottom"/>
          </w:tcPr>
          <w:p w:rsidR="006C6149" w:rsidRDefault="006C6149" w:rsidP="006C6149">
            <w:pPr>
              <w:pStyle w:val="SVEtablecontent"/>
            </w:pPr>
            <w:r>
              <w:t>0.04</w:t>
            </w:r>
          </w:p>
        </w:tc>
      </w:tr>
      <w:tr w:rsidR="006C6149" w:rsidTr="00DB5C1B">
        <w:tc>
          <w:tcPr>
            <w:tcW w:w="2122" w:type="dxa"/>
          </w:tcPr>
          <w:p w:rsidR="006C6149" w:rsidRDefault="006C6149" w:rsidP="006C6149">
            <w:pPr>
              <w:ind w:firstLine="0"/>
              <w:rPr>
                <w:lang w:val="en-GB"/>
              </w:rPr>
            </w:pPr>
            <w:r>
              <w:rPr>
                <w:lang w:val="en-GB"/>
              </w:rPr>
              <w:t>7</w:t>
            </w:r>
          </w:p>
        </w:tc>
        <w:tc>
          <w:tcPr>
            <w:tcW w:w="3543" w:type="dxa"/>
            <w:vAlign w:val="bottom"/>
          </w:tcPr>
          <w:p w:rsidR="006C6149" w:rsidRPr="006C6149" w:rsidRDefault="006C6149" w:rsidP="006C6149">
            <w:pPr>
              <w:pStyle w:val="SVEtablecontent"/>
            </w:pPr>
            <w:r w:rsidRPr="006C6149">
              <w:t>+0.896%</w:t>
            </w:r>
          </w:p>
        </w:tc>
        <w:tc>
          <w:tcPr>
            <w:tcW w:w="3680" w:type="dxa"/>
            <w:vAlign w:val="bottom"/>
          </w:tcPr>
          <w:p w:rsidR="006C6149" w:rsidRDefault="006C6149" w:rsidP="006C6149">
            <w:pPr>
              <w:pStyle w:val="SVEtablecontent"/>
            </w:pPr>
            <w:r>
              <w:t>0.19</w:t>
            </w:r>
          </w:p>
        </w:tc>
      </w:tr>
      <w:tr w:rsidR="006C6149" w:rsidTr="00DB5C1B">
        <w:tc>
          <w:tcPr>
            <w:tcW w:w="2122" w:type="dxa"/>
          </w:tcPr>
          <w:p w:rsidR="006C6149" w:rsidRDefault="006C6149" w:rsidP="006C6149">
            <w:pPr>
              <w:ind w:firstLine="0"/>
              <w:rPr>
                <w:lang w:val="en-GB"/>
              </w:rPr>
            </w:pPr>
            <w:r>
              <w:rPr>
                <w:lang w:val="en-GB"/>
              </w:rPr>
              <w:t>6</w:t>
            </w:r>
          </w:p>
        </w:tc>
        <w:tc>
          <w:tcPr>
            <w:tcW w:w="3543" w:type="dxa"/>
            <w:vAlign w:val="bottom"/>
          </w:tcPr>
          <w:p w:rsidR="006C6149" w:rsidRPr="006C6149" w:rsidRDefault="006C6149" w:rsidP="006C6149">
            <w:pPr>
              <w:pStyle w:val="SVEtablecontent"/>
            </w:pPr>
            <w:r w:rsidRPr="006C6149">
              <w:t>-0.115%</w:t>
            </w:r>
          </w:p>
        </w:tc>
        <w:tc>
          <w:tcPr>
            <w:tcW w:w="3680" w:type="dxa"/>
            <w:vAlign w:val="bottom"/>
          </w:tcPr>
          <w:p w:rsidR="006C6149" w:rsidRDefault="006C6149" w:rsidP="006C6149">
            <w:pPr>
              <w:pStyle w:val="SVEtablecontent"/>
            </w:pPr>
            <w:r>
              <w:t>0.02</w:t>
            </w:r>
          </w:p>
        </w:tc>
      </w:tr>
      <w:tr w:rsidR="006C6149" w:rsidTr="00DB5C1B">
        <w:tc>
          <w:tcPr>
            <w:tcW w:w="2122" w:type="dxa"/>
          </w:tcPr>
          <w:p w:rsidR="006C6149" w:rsidRDefault="006C6149" w:rsidP="006C6149">
            <w:pPr>
              <w:ind w:firstLine="0"/>
              <w:rPr>
                <w:lang w:val="en-GB"/>
              </w:rPr>
            </w:pPr>
            <w:r>
              <w:rPr>
                <w:lang w:val="en-GB"/>
              </w:rPr>
              <w:t>5</w:t>
            </w:r>
          </w:p>
        </w:tc>
        <w:tc>
          <w:tcPr>
            <w:tcW w:w="3543" w:type="dxa"/>
            <w:vAlign w:val="bottom"/>
          </w:tcPr>
          <w:p w:rsidR="006C6149" w:rsidRPr="006C6149" w:rsidRDefault="006C6149" w:rsidP="006C6149">
            <w:pPr>
              <w:pStyle w:val="SVEtablecontent"/>
            </w:pPr>
            <w:r w:rsidRPr="006C6149">
              <w:t>-0.031%</w:t>
            </w:r>
          </w:p>
        </w:tc>
        <w:tc>
          <w:tcPr>
            <w:tcW w:w="3680" w:type="dxa"/>
            <w:vAlign w:val="bottom"/>
          </w:tcPr>
          <w:p w:rsidR="006C6149" w:rsidRDefault="006C6149" w:rsidP="006C6149">
            <w:pPr>
              <w:pStyle w:val="SVEtablecontent"/>
            </w:pPr>
            <w:r>
              <w:t>0.03</w:t>
            </w:r>
          </w:p>
        </w:tc>
      </w:tr>
      <w:tr w:rsidR="006C6149" w:rsidTr="00DB5C1B">
        <w:tc>
          <w:tcPr>
            <w:tcW w:w="2122" w:type="dxa"/>
          </w:tcPr>
          <w:p w:rsidR="006C6149" w:rsidRDefault="006C6149" w:rsidP="006C6149">
            <w:pPr>
              <w:ind w:firstLine="0"/>
              <w:rPr>
                <w:lang w:val="en-GB"/>
              </w:rPr>
            </w:pPr>
            <w:r>
              <w:rPr>
                <w:lang w:val="en-GB"/>
              </w:rPr>
              <w:t>4</w:t>
            </w:r>
          </w:p>
        </w:tc>
        <w:tc>
          <w:tcPr>
            <w:tcW w:w="3543" w:type="dxa"/>
            <w:vAlign w:val="bottom"/>
          </w:tcPr>
          <w:p w:rsidR="006C6149" w:rsidRPr="006C6149" w:rsidRDefault="006C6149" w:rsidP="006C6149">
            <w:pPr>
              <w:pStyle w:val="SVEtablecontent"/>
            </w:pPr>
            <w:r w:rsidRPr="006C6149">
              <w:t>-0.349%</w:t>
            </w:r>
          </w:p>
        </w:tc>
        <w:tc>
          <w:tcPr>
            <w:tcW w:w="3680" w:type="dxa"/>
            <w:vAlign w:val="bottom"/>
          </w:tcPr>
          <w:p w:rsidR="006C6149" w:rsidRDefault="006C6149" w:rsidP="006C6149">
            <w:pPr>
              <w:pStyle w:val="SVEtablecontent"/>
            </w:pPr>
            <w:r>
              <w:t>-0.02</w:t>
            </w:r>
          </w:p>
        </w:tc>
      </w:tr>
      <w:tr w:rsidR="006C6149" w:rsidTr="00DB5C1B">
        <w:tc>
          <w:tcPr>
            <w:tcW w:w="2122" w:type="dxa"/>
          </w:tcPr>
          <w:p w:rsidR="006C6149" w:rsidRDefault="006C6149" w:rsidP="006C6149">
            <w:pPr>
              <w:ind w:firstLine="0"/>
              <w:rPr>
                <w:lang w:val="en-GB"/>
              </w:rPr>
            </w:pPr>
            <w:r>
              <w:rPr>
                <w:lang w:val="en-GB"/>
              </w:rPr>
              <w:t>3</w:t>
            </w:r>
          </w:p>
        </w:tc>
        <w:tc>
          <w:tcPr>
            <w:tcW w:w="3543" w:type="dxa"/>
            <w:vAlign w:val="bottom"/>
          </w:tcPr>
          <w:p w:rsidR="006C6149" w:rsidRPr="006C6149" w:rsidRDefault="006C6149" w:rsidP="006C6149">
            <w:pPr>
              <w:pStyle w:val="SVEtablecontent"/>
            </w:pPr>
            <w:r w:rsidRPr="006C6149">
              <w:t>+0.259%</w:t>
            </w:r>
          </w:p>
        </w:tc>
        <w:tc>
          <w:tcPr>
            <w:tcW w:w="3680" w:type="dxa"/>
            <w:vAlign w:val="bottom"/>
          </w:tcPr>
          <w:p w:rsidR="006C6149" w:rsidRDefault="006C6149" w:rsidP="006C6149">
            <w:pPr>
              <w:pStyle w:val="SVEtablecontent"/>
            </w:pPr>
            <w:r>
              <w:t>0.08</w:t>
            </w:r>
          </w:p>
        </w:tc>
      </w:tr>
      <w:tr w:rsidR="006C6149" w:rsidTr="00DB5C1B">
        <w:tc>
          <w:tcPr>
            <w:tcW w:w="2122" w:type="dxa"/>
          </w:tcPr>
          <w:p w:rsidR="006C6149" w:rsidRDefault="006C6149" w:rsidP="006C6149">
            <w:pPr>
              <w:ind w:firstLine="0"/>
              <w:rPr>
                <w:lang w:val="en-GB"/>
              </w:rPr>
            </w:pPr>
            <w:r>
              <w:rPr>
                <w:lang w:val="en-GB"/>
              </w:rPr>
              <w:t>2</w:t>
            </w:r>
          </w:p>
        </w:tc>
        <w:tc>
          <w:tcPr>
            <w:tcW w:w="3543" w:type="dxa"/>
            <w:vAlign w:val="bottom"/>
          </w:tcPr>
          <w:p w:rsidR="006C6149" w:rsidRPr="006C6149" w:rsidRDefault="006C6149" w:rsidP="006C6149">
            <w:pPr>
              <w:pStyle w:val="SVEtablecontent"/>
            </w:pPr>
            <w:r w:rsidRPr="006C6149">
              <w:t>+2.047%</w:t>
            </w:r>
          </w:p>
        </w:tc>
        <w:tc>
          <w:tcPr>
            <w:tcW w:w="3680" w:type="dxa"/>
            <w:vAlign w:val="bottom"/>
          </w:tcPr>
          <w:p w:rsidR="006C6149" w:rsidRDefault="006C6149" w:rsidP="006C6149">
            <w:pPr>
              <w:pStyle w:val="SVEtablecontent"/>
            </w:pPr>
            <w:r>
              <w:t>0.39</w:t>
            </w:r>
          </w:p>
        </w:tc>
      </w:tr>
      <w:tr w:rsidR="006C6149" w:rsidTr="00DB5C1B">
        <w:tc>
          <w:tcPr>
            <w:tcW w:w="2122" w:type="dxa"/>
          </w:tcPr>
          <w:p w:rsidR="006C6149" w:rsidRDefault="006C6149" w:rsidP="006C6149">
            <w:pPr>
              <w:ind w:firstLine="0"/>
              <w:rPr>
                <w:lang w:val="en-GB"/>
              </w:rPr>
            </w:pPr>
            <w:r>
              <w:rPr>
                <w:lang w:val="en-GB"/>
              </w:rPr>
              <w:t>1</w:t>
            </w:r>
          </w:p>
        </w:tc>
        <w:tc>
          <w:tcPr>
            <w:tcW w:w="3543" w:type="dxa"/>
            <w:vAlign w:val="bottom"/>
          </w:tcPr>
          <w:p w:rsidR="006C6149" w:rsidRPr="006C6149" w:rsidRDefault="006C6149" w:rsidP="006C6149">
            <w:pPr>
              <w:pStyle w:val="SVEtablecontent"/>
            </w:pPr>
            <w:r w:rsidRPr="006C6149">
              <w:t>+0.166%</w:t>
            </w:r>
          </w:p>
        </w:tc>
        <w:tc>
          <w:tcPr>
            <w:tcW w:w="3680" w:type="dxa"/>
            <w:vAlign w:val="bottom"/>
          </w:tcPr>
          <w:p w:rsidR="006C6149" w:rsidRDefault="006C6149" w:rsidP="006C6149">
            <w:pPr>
              <w:pStyle w:val="SVEtablecontent"/>
            </w:pPr>
            <w:r>
              <w:t>0.06</w:t>
            </w:r>
          </w:p>
        </w:tc>
      </w:tr>
      <w:tr w:rsidR="006C6149" w:rsidTr="00DB5C1B">
        <w:tc>
          <w:tcPr>
            <w:tcW w:w="2122" w:type="dxa"/>
          </w:tcPr>
          <w:p w:rsidR="006C6149" w:rsidRDefault="006C6149" w:rsidP="006C6149">
            <w:pPr>
              <w:ind w:firstLine="0"/>
              <w:rPr>
                <w:lang w:val="en-GB"/>
              </w:rPr>
            </w:pPr>
            <w:r>
              <w:rPr>
                <w:lang w:val="en-GB"/>
              </w:rPr>
              <w:t>0</w:t>
            </w:r>
          </w:p>
        </w:tc>
        <w:tc>
          <w:tcPr>
            <w:tcW w:w="3543" w:type="dxa"/>
            <w:vAlign w:val="bottom"/>
          </w:tcPr>
          <w:p w:rsidR="006C6149" w:rsidRPr="006C6149" w:rsidRDefault="006C6149" w:rsidP="006C6149">
            <w:pPr>
              <w:pStyle w:val="SVEtablecontent"/>
            </w:pPr>
            <w:r w:rsidRPr="006C6149">
              <w:t>+0.735%</w:t>
            </w:r>
          </w:p>
        </w:tc>
        <w:tc>
          <w:tcPr>
            <w:tcW w:w="3680" w:type="dxa"/>
            <w:vAlign w:val="bottom"/>
          </w:tcPr>
          <w:p w:rsidR="006C6149" w:rsidRDefault="006C6149" w:rsidP="006C6149">
            <w:pPr>
              <w:pStyle w:val="SVEtablecontent"/>
            </w:pPr>
            <w:r>
              <w:t>0.16</w:t>
            </w:r>
          </w:p>
        </w:tc>
      </w:tr>
    </w:tbl>
    <w:p w:rsidR="000B5DC6" w:rsidRPr="00D321FD" w:rsidRDefault="000B5DC6" w:rsidP="000B5DC6">
      <w:pPr>
        <w:rPr>
          <w:i/>
          <w:lang w:val="en-GB"/>
        </w:rPr>
      </w:pPr>
      <w:r w:rsidRPr="00D321FD">
        <w:rPr>
          <w:i/>
          <w:lang w:val="en-GB"/>
        </w:rPr>
        <w:t>* Significant at 85% (p&lt;0.15)</w:t>
      </w:r>
    </w:p>
    <w:p w:rsidR="000B5DC6" w:rsidRPr="00D321FD" w:rsidRDefault="000B5DC6" w:rsidP="000B5DC6">
      <w:pPr>
        <w:rPr>
          <w:i/>
          <w:lang w:val="en-GB"/>
        </w:rPr>
      </w:pPr>
      <w:r w:rsidRPr="00D321FD">
        <w:rPr>
          <w:i/>
          <w:lang w:val="en-GB"/>
        </w:rPr>
        <w:t>** Significant at 90% (p&lt;0.1)</w:t>
      </w:r>
    </w:p>
    <w:p w:rsidR="000B5DC6" w:rsidRPr="00D321FD" w:rsidRDefault="000B5DC6" w:rsidP="000B5DC6">
      <w:pPr>
        <w:rPr>
          <w:i/>
          <w:lang w:val="en-GB"/>
        </w:rPr>
      </w:pPr>
      <w:r w:rsidRPr="00D321FD">
        <w:rPr>
          <w:i/>
          <w:lang w:val="en-GB"/>
        </w:rPr>
        <w:t>*** Significant at 95% (p&lt;0.05)</w:t>
      </w:r>
    </w:p>
    <w:p w:rsidR="000B5DC6" w:rsidRPr="00D321FD" w:rsidRDefault="000B5DC6" w:rsidP="000B5DC6">
      <w:pPr>
        <w:rPr>
          <w:i/>
          <w:lang w:val="en-GB"/>
        </w:rPr>
      </w:pPr>
      <w:r w:rsidRPr="00D321FD">
        <w:rPr>
          <w:i/>
          <w:lang w:val="en-GB"/>
        </w:rPr>
        <w:t>4* Significant at 99% (p&lt;0.01)</w:t>
      </w:r>
    </w:p>
    <w:p w:rsidR="00323959" w:rsidRDefault="00C812B4" w:rsidP="00323959">
      <w:pPr>
        <w:ind w:firstLine="0"/>
        <w:rPr>
          <w:i/>
          <w:lang w:val="en-GB"/>
        </w:rPr>
      </w:pPr>
      <w:r w:rsidRPr="00D321FD">
        <w:rPr>
          <w:i/>
          <w:lang w:val="en-GB"/>
        </w:rPr>
        <w:t xml:space="preserve">The level of significance at month 17 is 88%. </w:t>
      </w:r>
    </w:p>
    <w:p w:rsidR="0063538C" w:rsidRPr="00505A23" w:rsidRDefault="0063538C" w:rsidP="0063538C">
      <w:pPr>
        <w:rPr>
          <w:lang w:val="en-GB"/>
        </w:rPr>
      </w:pPr>
      <w:r>
        <w:rPr>
          <w:lang w:val="en-GB"/>
        </w:rPr>
        <w:t xml:space="preserve">Like in the previous part I start the discussion with the analysing the first hypothesis, </w:t>
      </w:r>
      <w:r w:rsidRPr="009F1583">
        <w:rPr>
          <w:b/>
          <w:i/>
          <w:lang w:val="en-GB"/>
        </w:rPr>
        <w:t>H1</w:t>
      </w:r>
      <w:r w:rsidRPr="00E90B08">
        <w:rPr>
          <w:i/>
          <w:lang w:val="en-GB"/>
        </w:rPr>
        <w:t xml:space="preserve">: Abnormal positive stock returns for bidder firms (O&amp;G companies) are observed after M&amp;A deal </w:t>
      </w:r>
      <w:r w:rsidRPr="00E90B08">
        <w:rPr>
          <w:i/>
          <w:lang w:val="en-GB"/>
        </w:rPr>
        <w:lastRenderedPageBreak/>
        <w:t xml:space="preserve">between oil and gas companies and </w:t>
      </w:r>
      <w:r>
        <w:rPr>
          <w:i/>
          <w:lang w:val="en-GB"/>
        </w:rPr>
        <w:t>alternative</w:t>
      </w:r>
      <w:r w:rsidRPr="00E90B08">
        <w:rPr>
          <w:i/>
          <w:lang w:val="en-GB"/>
        </w:rPr>
        <w:t xml:space="preserve"> energy </w:t>
      </w:r>
      <w:r>
        <w:rPr>
          <w:i/>
          <w:lang w:val="en-GB"/>
        </w:rPr>
        <w:t xml:space="preserve">solution </w:t>
      </w:r>
      <w:r w:rsidRPr="00E90B08">
        <w:rPr>
          <w:i/>
          <w:lang w:val="en-GB"/>
        </w:rPr>
        <w:t>companies</w:t>
      </w:r>
      <w:r>
        <w:rPr>
          <w:lang w:val="en-GB"/>
        </w:rPr>
        <w:t xml:space="preserve">, but from the long-horizon approach. The BHAR methodology has been used for this type of event of study as described </w:t>
      </w:r>
      <w:r w:rsidR="00505A23">
        <w:rPr>
          <w:lang w:val="en-GB"/>
        </w:rPr>
        <w:t>in the second</w:t>
      </w:r>
      <w:r>
        <w:rPr>
          <w:lang w:val="en-GB"/>
        </w:rPr>
        <w:t xml:space="preserve"> chapter. </w:t>
      </w:r>
      <w:r w:rsidR="00505A23">
        <w:rPr>
          <w:lang w:val="en-GB"/>
        </w:rPr>
        <w:t>Observing the returns estimated by t model, the portfolio enjoyed a high positive abnormal returns, by the end period</w:t>
      </w:r>
      <w:r w:rsidR="00505A23">
        <w:rPr>
          <w:rFonts w:eastAsiaTheme="minorEastAsia"/>
          <w:lang w:val="en-GB"/>
        </w:rPr>
        <w:t xml:space="preserve"> </w:t>
      </w:r>
      <w:r w:rsidR="00505A23">
        <w:rPr>
          <w:rFonts w:eastAsiaTheme="minorEastAsia" w:cs="Times New Roman"/>
          <w:lang w:val="en-GB"/>
        </w:rPr>
        <w:t>τ</w:t>
      </w:r>
      <w:r w:rsidR="00505A23">
        <w:rPr>
          <w:rFonts w:eastAsiaTheme="minorEastAsia"/>
          <w:lang w:val="en-GB"/>
        </w:rPr>
        <w:t xml:space="preserve"> = 24, the ABHAR = </w:t>
      </w:r>
      <w:r w:rsidR="00505A23" w:rsidRPr="00505A23">
        <w:rPr>
          <w:rFonts w:eastAsiaTheme="minorEastAsia"/>
          <w:lang w:val="en-GB"/>
        </w:rPr>
        <w:t>+14.344%</w:t>
      </w:r>
      <w:r w:rsidR="00505A23">
        <w:rPr>
          <w:rFonts w:eastAsiaTheme="minorEastAsia"/>
          <w:lang w:val="en-GB"/>
        </w:rPr>
        <w:t xml:space="preserve">, with a very high level of significance of 99% (p&lt;0.01), the approximately same abnormal returns in previous two months </w:t>
      </w:r>
      <w:r w:rsidR="00505A23">
        <w:rPr>
          <w:rFonts w:eastAsiaTheme="minorEastAsia" w:cs="Times New Roman"/>
          <w:lang w:val="en-GB"/>
        </w:rPr>
        <w:t xml:space="preserve">τ = [22; 23], the skewness adjusted t-test has shown the same level of significance at level of 99% </w:t>
      </w:r>
      <w:r w:rsidR="00505A23">
        <w:rPr>
          <w:rFonts w:eastAsiaTheme="minorEastAsia"/>
          <w:lang w:val="en-GB"/>
        </w:rPr>
        <w:t>(p&lt;0.01)</w:t>
      </w:r>
      <w:r w:rsidR="005D0E78">
        <w:rPr>
          <w:rFonts w:eastAsiaTheme="minorEastAsia"/>
          <w:lang w:val="en-GB"/>
        </w:rPr>
        <w:t xml:space="preserve">. So we can for sure reject the null hypothesis for these months. Also, during the period </w:t>
      </w:r>
      <w:r w:rsidR="005D0E78">
        <w:rPr>
          <w:rFonts w:eastAsiaTheme="minorEastAsia" w:cs="Times New Roman"/>
          <w:lang w:val="en-GB"/>
        </w:rPr>
        <w:t xml:space="preserve">τ = [18;21] results have been positive and significant al level of 90% (p&lt;0.1). Therefore, these positive returns can be explained by </w:t>
      </w:r>
      <w:r w:rsidR="004A4320">
        <w:rPr>
          <w:rFonts w:eastAsiaTheme="minorEastAsia" w:cs="Times New Roman"/>
          <w:lang w:val="en-GB"/>
        </w:rPr>
        <w:t xml:space="preserve">the </w:t>
      </w:r>
      <w:r w:rsidR="005D0E78">
        <w:rPr>
          <w:rFonts w:eastAsiaTheme="minorEastAsia" w:cs="Times New Roman"/>
          <w:lang w:val="en-GB"/>
        </w:rPr>
        <w:t>event. Making an assumption that lower level of significance is acceptable, given into account the size of sample and its cross-correlation, the abnormal return on 17</w:t>
      </w:r>
      <w:r w:rsidR="005D0E78" w:rsidRPr="005D0E78">
        <w:rPr>
          <w:rFonts w:eastAsiaTheme="minorEastAsia" w:cs="Times New Roman"/>
          <w:vertAlign w:val="superscript"/>
          <w:lang w:val="en-GB"/>
        </w:rPr>
        <w:t>th</w:t>
      </w:r>
      <w:r w:rsidR="005D0E78">
        <w:rPr>
          <w:rFonts w:eastAsiaTheme="minorEastAsia" w:cs="Times New Roman"/>
          <w:lang w:val="en-GB"/>
        </w:rPr>
        <w:t xml:space="preserve"> month with significance of 88% might be granted some confidence. </w:t>
      </w:r>
    </w:p>
    <w:p w:rsidR="00BC30EA" w:rsidRDefault="00BC30EA" w:rsidP="00BC30EA">
      <w:pPr>
        <w:pStyle w:val="SVEfigure"/>
        <w:rPr>
          <w:lang w:val="en-GB"/>
        </w:rPr>
      </w:pPr>
      <w:r>
        <w:rPr>
          <w:noProof/>
          <w:lang w:val="ru-RU" w:eastAsia="ru-RU"/>
        </w:rPr>
        <w:drawing>
          <wp:inline distT="0" distB="0" distL="0" distR="0" wp14:anchorId="110426A2" wp14:editId="773C8EFD">
            <wp:extent cx="5940425" cy="2143125"/>
            <wp:effectExtent l="0" t="0" r="3175"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BC30EA" w:rsidRDefault="00BC30EA" w:rsidP="00BC30EA">
      <w:pPr>
        <w:pStyle w:val="SVEfigurecaption"/>
        <w:rPr>
          <w:lang w:val="en-GB"/>
        </w:rPr>
      </w:pPr>
      <w:r>
        <w:rPr>
          <w:lang w:val="en-GB"/>
        </w:rPr>
        <w:t>Average buy-hold abnormal returns dynamic</w:t>
      </w:r>
    </w:p>
    <w:p w:rsidR="004A4320" w:rsidRPr="00505A23" w:rsidRDefault="004A4320" w:rsidP="004A4320">
      <w:pPr>
        <w:rPr>
          <w:lang w:val="en-GB"/>
        </w:rPr>
      </w:pPr>
      <w:r>
        <w:rPr>
          <w:lang w:val="en-GB"/>
        </w:rPr>
        <w:t xml:space="preserve">The chart on ABHAR shows </w:t>
      </w:r>
      <w:r>
        <w:rPr>
          <w:rFonts w:eastAsiaTheme="minorEastAsia" w:cs="Times New Roman"/>
          <w:lang w:val="en-GB"/>
        </w:rPr>
        <w:t>the abnormal returns starting from the 0 month and up to 14</w:t>
      </w:r>
      <w:r w:rsidRPr="005D0E78">
        <w:rPr>
          <w:rFonts w:eastAsiaTheme="minorEastAsia" w:cs="Times New Roman"/>
          <w:vertAlign w:val="superscript"/>
          <w:lang w:val="en-GB"/>
        </w:rPr>
        <w:t>th</w:t>
      </w:r>
      <w:r>
        <w:rPr>
          <w:rFonts w:eastAsiaTheme="minorEastAsia" w:cs="Times New Roman"/>
          <w:lang w:val="en-GB"/>
        </w:rPr>
        <w:t xml:space="preserve"> month were around zero, but starting with the 15</w:t>
      </w:r>
      <w:r w:rsidRPr="004A4320">
        <w:rPr>
          <w:rFonts w:eastAsiaTheme="minorEastAsia" w:cs="Times New Roman"/>
          <w:vertAlign w:val="superscript"/>
          <w:lang w:val="en-GB"/>
        </w:rPr>
        <w:t>th</w:t>
      </w:r>
      <w:r>
        <w:rPr>
          <w:rFonts w:eastAsiaTheme="minorEastAsia" w:cs="Times New Roman"/>
          <w:lang w:val="en-GB"/>
        </w:rPr>
        <w:t xml:space="preserve"> month the trend has change on positive. So, it can be suggested that it took more than a year for oil&amp;gas companies to incorporate new assets of alternative energy and then it had a positive effect on their operations and resulted in positive abnormal returns. The overall, trend is positive. In addition, the shape of this chart tells us about its right-wing skewness, as it was supposed in the research methodology part (skewness for this chart is γ=0.877)</w:t>
      </w:r>
      <w:r w:rsidR="00FF2718">
        <w:rPr>
          <w:rFonts w:eastAsiaTheme="minorEastAsia" w:cs="Times New Roman"/>
          <w:lang w:val="en-GB"/>
        </w:rPr>
        <w:t>, thus</w:t>
      </w:r>
      <w:r w:rsidR="00114E01">
        <w:rPr>
          <w:rFonts w:eastAsiaTheme="minorEastAsia" w:cs="Times New Roman"/>
          <w:lang w:val="en-GB"/>
        </w:rPr>
        <w:t xml:space="preserve"> the skewness-adjusted has shown better results for significance.</w:t>
      </w:r>
    </w:p>
    <w:p w:rsidR="00FF2718" w:rsidRDefault="00FF2718" w:rsidP="004A4320">
      <w:pPr>
        <w:rPr>
          <w:lang w:val="en-GB"/>
        </w:rPr>
      </w:pPr>
      <w:r>
        <w:rPr>
          <w:lang w:val="en-GB"/>
        </w:rPr>
        <w:t xml:space="preserve">To sum up the discussion on the long-run returns, the main hypothesis </w:t>
      </w:r>
      <w:r w:rsidRPr="009F1583">
        <w:rPr>
          <w:b/>
          <w:i/>
          <w:lang w:val="en-GB"/>
        </w:rPr>
        <w:t>H1</w:t>
      </w:r>
      <w:r w:rsidRPr="00E90B08">
        <w:rPr>
          <w:i/>
          <w:lang w:val="en-GB"/>
        </w:rPr>
        <w:t xml:space="preserve">: Abnormal positive stock returns for bidder firms (O&amp;G companies) are observed after M&amp;A deal between oil and gas companies and </w:t>
      </w:r>
      <w:r>
        <w:rPr>
          <w:i/>
          <w:lang w:val="en-GB"/>
        </w:rPr>
        <w:t>alternative</w:t>
      </w:r>
      <w:r w:rsidRPr="00E90B08">
        <w:rPr>
          <w:i/>
          <w:lang w:val="en-GB"/>
        </w:rPr>
        <w:t xml:space="preserve"> energy </w:t>
      </w:r>
      <w:r>
        <w:rPr>
          <w:i/>
          <w:lang w:val="en-GB"/>
        </w:rPr>
        <w:t xml:space="preserve">solution </w:t>
      </w:r>
      <w:r w:rsidRPr="00E90B08">
        <w:rPr>
          <w:i/>
          <w:lang w:val="en-GB"/>
        </w:rPr>
        <w:t>companies</w:t>
      </w:r>
      <w:r>
        <w:rPr>
          <w:i/>
          <w:lang w:val="en-GB"/>
        </w:rPr>
        <w:t>,</w:t>
      </w:r>
      <w:r>
        <w:rPr>
          <w:lang w:val="en-GB"/>
        </w:rPr>
        <w:t xml:space="preserve"> has been verified.</w:t>
      </w:r>
    </w:p>
    <w:p w:rsidR="00FF2718" w:rsidRDefault="00FF2718" w:rsidP="004A4320">
      <w:pPr>
        <w:rPr>
          <w:lang w:val="en-GB"/>
        </w:rPr>
      </w:pPr>
    </w:p>
    <w:p w:rsidR="004A4320" w:rsidRPr="004A4320" w:rsidRDefault="00FF2718" w:rsidP="004A4320">
      <w:pPr>
        <w:rPr>
          <w:lang w:val="en-GB"/>
        </w:rPr>
      </w:pPr>
      <w:r>
        <w:rPr>
          <w:lang w:val="en-GB"/>
        </w:rPr>
        <w:lastRenderedPageBreak/>
        <w:t xml:space="preserve"> Now, then the first hypothesis has been confirmed, we can separate observation into to subsamples according to the type of target firms, like it was done in the short-horizon study and test the sub hypothesis, </w:t>
      </w:r>
      <w:r w:rsidRPr="009F1583">
        <w:rPr>
          <w:b/>
          <w:i/>
          <w:lang w:val="en-GB"/>
        </w:rPr>
        <w:t>H1.1</w:t>
      </w:r>
      <w:r>
        <w:rPr>
          <w:i/>
          <w:lang w:val="en-GB"/>
        </w:rPr>
        <w:t>: M&amp;As with solar and wind companies brings higher returns.</w:t>
      </w:r>
    </w:p>
    <w:p w:rsidR="00A75CF1" w:rsidRPr="00A75CF1" w:rsidRDefault="00A75CF1" w:rsidP="00A75CF1">
      <w:pPr>
        <w:rPr>
          <w:lang w:val="en-GB"/>
        </w:rPr>
      </w:pPr>
      <w:r>
        <w:rPr>
          <w:lang w:val="en-GB"/>
        </w:rPr>
        <w:t>In long-horizon study, the sample of solar and wind energy has 8 degrees of freedom and for other types of energy 6.</w:t>
      </w:r>
    </w:p>
    <w:p w:rsidR="00A13050" w:rsidRPr="00A13050" w:rsidRDefault="00A13050" w:rsidP="00A13050">
      <w:pPr>
        <w:pStyle w:val="SVEtablecaption"/>
      </w:pPr>
      <w:r>
        <w:t>Abnormal returns of M&amp;A between other alternative energy solutions and solar&amp;wind alternative energy</w:t>
      </w:r>
    </w:p>
    <w:tbl>
      <w:tblPr>
        <w:tblStyle w:val="a6"/>
        <w:tblW w:w="0" w:type="auto"/>
        <w:tblLook w:val="04A0" w:firstRow="1" w:lastRow="0" w:firstColumn="1" w:lastColumn="0" w:noHBand="0" w:noVBand="1"/>
      </w:tblPr>
      <w:tblGrid>
        <w:gridCol w:w="1762"/>
        <w:gridCol w:w="1771"/>
        <w:gridCol w:w="1746"/>
        <w:gridCol w:w="2401"/>
        <w:gridCol w:w="1664"/>
      </w:tblGrid>
      <w:tr w:rsidR="00A47F49" w:rsidRPr="008E3922" w:rsidTr="00DB5C1B">
        <w:tc>
          <w:tcPr>
            <w:tcW w:w="1763" w:type="dxa"/>
          </w:tcPr>
          <w:p w:rsidR="00A47F49" w:rsidRDefault="00A47F49" w:rsidP="00896AF5">
            <w:pPr>
              <w:ind w:firstLine="0"/>
              <w:rPr>
                <w:lang w:val="en-GB"/>
              </w:rPr>
            </w:pPr>
          </w:p>
        </w:tc>
        <w:tc>
          <w:tcPr>
            <w:tcW w:w="3517" w:type="dxa"/>
            <w:gridSpan w:val="2"/>
          </w:tcPr>
          <w:p w:rsidR="00A47F49" w:rsidRPr="006C6149" w:rsidRDefault="00A47F49" w:rsidP="00896AF5">
            <w:pPr>
              <w:pStyle w:val="SVEtableheader"/>
            </w:pPr>
            <w:r>
              <w:t>Other alternative energy solutions</w:t>
            </w:r>
          </w:p>
        </w:tc>
        <w:tc>
          <w:tcPr>
            <w:tcW w:w="4065" w:type="dxa"/>
            <w:gridSpan w:val="2"/>
          </w:tcPr>
          <w:p w:rsidR="00A47F49" w:rsidRDefault="00A47F49" w:rsidP="00896AF5">
            <w:pPr>
              <w:ind w:firstLine="0"/>
              <w:rPr>
                <w:lang w:val="en-GB"/>
              </w:rPr>
            </w:pPr>
            <w:r>
              <w:rPr>
                <w:lang w:val="en-GB"/>
              </w:rPr>
              <w:t>Solar and wind alternative energy</w:t>
            </w:r>
          </w:p>
        </w:tc>
      </w:tr>
      <w:tr w:rsidR="00A47F49" w:rsidTr="00A47F49">
        <w:tc>
          <w:tcPr>
            <w:tcW w:w="1763" w:type="dxa"/>
          </w:tcPr>
          <w:p w:rsidR="00A47F49" w:rsidRDefault="00A47F49" w:rsidP="00A47F49">
            <w:pPr>
              <w:pStyle w:val="SVEtableheader"/>
              <w:rPr>
                <w:lang w:val="en-GB"/>
              </w:rPr>
            </w:pPr>
            <w:r>
              <w:t xml:space="preserve">Months, </w:t>
            </w:r>
            <m:oMath>
              <m:r>
                <m:rPr>
                  <m:sty m:val="bi"/>
                </m:rPr>
                <w:rPr>
                  <w:rFonts w:ascii="Cambria Math" w:eastAsiaTheme="minorEastAsia" w:hAnsi="Cambria Math"/>
                </w:rPr>
                <m:t>τ</m:t>
              </m:r>
            </m:oMath>
          </w:p>
        </w:tc>
        <w:tc>
          <w:tcPr>
            <w:tcW w:w="1771" w:type="dxa"/>
          </w:tcPr>
          <w:p w:rsidR="00A47F49" w:rsidRPr="006C6149" w:rsidRDefault="008E3922" w:rsidP="00A47F49">
            <w:pPr>
              <w:pStyle w:val="SVEtableheader"/>
            </w:pPr>
            <m:oMath>
              <m:sSub>
                <m:sSubPr>
                  <m:ctrlPr>
                    <w:rPr>
                      <w:rFonts w:ascii="Cambria Math" w:hAnsi="Cambria Math"/>
                    </w:rPr>
                  </m:ctrlPr>
                </m:sSubPr>
                <m:e>
                  <m:r>
                    <m:rPr>
                      <m:sty m:val="bi"/>
                    </m:rPr>
                    <w:rPr>
                      <w:rFonts w:ascii="Cambria Math" w:hAnsi="Cambria Math"/>
                    </w:rPr>
                    <m:t>ABHAR</m:t>
                  </m:r>
                </m:e>
                <m:sub>
                  <m:r>
                    <m:rPr>
                      <m:sty m:val="b"/>
                    </m:rPr>
                    <w:rPr>
                      <w:rFonts w:ascii="Cambria Math" w:hAnsi="Cambria Math"/>
                    </w:rPr>
                    <m:t>τ</m:t>
                  </m:r>
                </m:sub>
              </m:sSub>
            </m:oMath>
            <w:r w:rsidR="00A47F49">
              <w:rPr>
                <w:rFonts w:eastAsiaTheme="minorEastAsia"/>
              </w:rPr>
              <w:t xml:space="preserve"> (other)</w:t>
            </w:r>
          </w:p>
        </w:tc>
        <w:tc>
          <w:tcPr>
            <w:tcW w:w="1746" w:type="dxa"/>
          </w:tcPr>
          <w:p w:rsidR="00A47F49" w:rsidRPr="006C6149" w:rsidRDefault="008E3922" w:rsidP="00A47F49">
            <w:pPr>
              <w:pStyle w:val="SVEtableheader"/>
            </w:pPr>
            <m:oMathPara>
              <m:oMath>
                <m:sSub>
                  <m:sSubPr>
                    <m:ctrlPr>
                      <w:rPr>
                        <w:rFonts w:ascii="Cambria Math" w:hAnsi="Cambria Math"/>
                      </w:rPr>
                    </m:ctrlPr>
                  </m:sSubPr>
                  <m:e>
                    <m:r>
                      <m:rPr>
                        <m:sty m:val="bi"/>
                      </m:rPr>
                      <w:rPr>
                        <w:rFonts w:ascii="Cambria Math" w:hAnsi="Cambria Math"/>
                      </w:rPr>
                      <m:t>t</m:t>
                    </m:r>
                  </m:e>
                  <m:sub>
                    <m:r>
                      <m:rPr>
                        <m:sty m:val="bi"/>
                      </m:rPr>
                      <w:rPr>
                        <w:rFonts w:ascii="Cambria Math" w:hAnsi="Cambria Math"/>
                      </w:rPr>
                      <m:t>bharsa</m:t>
                    </m:r>
                  </m:sub>
                </m:sSub>
              </m:oMath>
            </m:oMathPara>
          </w:p>
        </w:tc>
        <w:tc>
          <w:tcPr>
            <w:tcW w:w="2401" w:type="dxa"/>
          </w:tcPr>
          <w:p w:rsidR="00A47F49" w:rsidRPr="00A47F49" w:rsidRDefault="008E3922" w:rsidP="00A47F49">
            <w:pPr>
              <w:pStyle w:val="SVEtableheader"/>
              <w:rPr>
                <w:lang w:val="en-GB"/>
              </w:rPr>
            </w:pPr>
            <m:oMath>
              <m:sSub>
                <m:sSubPr>
                  <m:ctrlPr>
                    <w:rPr>
                      <w:rFonts w:ascii="Cambria Math" w:hAnsi="Cambria Math"/>
                    </w:rPr>
                  </m:ctrlPr>
                </m:sSubPr>
                <m:e>
                  <m:r>
                    <m:rPr>
                      <m:sty m:val="bi"/>
                    </m:rPr>
                    <w:rPr>
                      <w:rFonts w:ascii="Cambria Math" w:hAnsi="Cambria Math"/>
                    </w:rPr>
                    <m:t>ABHAR</m:t>
                  </m:r>
                </m:e>
                <m:sub>
                  <m:r>
                    <m:rPr>
                      <m:sty m:val="b"/>
                    </m:rPr>
                    <w:rPr>
                      <w:rFonts w:ascii="Cambria Math" w:hAnsi="Cambria Math"/>
                    </w:rPr>
                    <m:t>τ</m:t>
                  </m:r>
                </m:sub>
              </m:sSub>
            </m:oMath>
            <w:r w:rsidR="00A47F49">
              <w:rPr>
                <w:rFonts w:eastAsiaTheme="minorEastAsia"/>
                <w:lang w:val="en-GB"/>
              </w:rPr>
              <w:t>(solar+wind)</w:t>
            </w:r>
          </w:p>
        </w:tc>
        <w:tc>
          <w:tcPr>
            <w:tcW w:w="1664" w:type="dxa"/>
          </w:tcPr>
          <w:p w:rsidR="00A47F49" w:rsidRDefault="008E3922" w:rsidP="00A47F49">
            <w:pPr>
              <w:pStyle w:val="SVEtableheader"/>
              <w:rPr>
                <w:lang w:val="en-GB"/>
              </w:rPr>
            </w:pPr>
            <m:oMathPara>
              <m:oMath>
                <m:sSub>
                  <m:sSubPr>
                    <m:ctrlPr>
                      <w:rPr>
                        <w:rFonts w:ascii="Cambria Math" w:hAnsi="Cambria Math"/>
                        <w:i/>
                        <w:lang w:val="en-GB"/>
                      </w:rPr>
                    </m:ctrlPr>
                  </m:sSubPr>
                  <m:e>
                    <m:r>
                      <m:rPr>
                        <m:sty m:val="bi"/>
                      </m:rPr>
                      <w:rPr>
                        <w:rFonts w:ascii="Cambria Math" w:hAnsi="Cambria Math"/>
                        <w:lang w:val="en-GB"/>
                      </w:rPr>
                      <m:t>t</m:t>
                    </m:r>
                  </m:e>
                  <m:sub>
                    <m:r>
                      <m:rPr>
                        <m:sty m:val="bi"/>
                      </m:rPr>
                      <w:rPr>
                        <w:rFonts w:ascii="Cambria Math" w:hAnsi="Cambria Math"/>
                        <w:lang w:val="en-GB"/>
                      </w:rPr>
                      <m:t>ABHAR</m:t>
                    </m:r>
                  </m:sub>
                </m:sSub>
              </m:oMath>
            </m:oMathPara>
          </w:p>
        </w:tc>
      </w:tr>
      <w:tr w:rsidR="00A47F49" w:rsidTr="00DB5C1B">
        <w:tc>
          <w:tcPr>
            <w:tcW w:w="1763" w:type="dxa"/>
          </w:tcPr>
          <w:p w:rsidR="00A47F49" w:rsidRDefault="00A47F49" w:rsidP="00A47F49">
            <w:pPr>
              <w:ind w:firstLine="0"/>
              <w:rPr>
                <w:lang w:val="en-GB"/>
              </w:rPr>
            </w:pPr>
            <w:r>
              <w:rPr>
                <w:lang w:val="en-GB"/>
              </w:rPr>
              <w:t>24</w:t>
            </w:r>
          </w:p>
        </w:tc>
        <w:tc>
          <w:tcPr>
            <w:tcW w:w="1771" w:type="dxa"/>
            <w:vAlign w:val="bottom"/>
          </w:tcPr>
          <w:p w:rsidR="00A47F49" w:rsidRPr="000B5DC6" w:rsidRDefault="00A47F49" w:rsidP="00A47F49">
            <w:pPr>
              <w:pStyle w:val="SVEtablecontent"/>
              <w:rPr>
                <w:b/>
              </w:rPr>
            </w:pPr>
            <w:r w:rsidRPr="000B5DC6">
              <w:rPr>
                <w:b/>
              </w:rPr>
              <w:t>+15.503%</w:t>
            </w:r>
            <w:r w:rsidR="000B5DC6">
              <w:rPr>
                <w:b/>
              </w:rPr>
              <w:t>**</w:t>
            </w:r>
          </w:p>
        </w:tc>
        <w:tc>
          <w:tcPr>
            <w:tcW w:w="1746" w:type="dxa"/>
            <w:vAlign w:val="bottom"/>
          </w:tcPr>
          <w:p w:rsidR="00A47F49" w:rsidRPr="000B5DC6" w:rsidRDefault="00A47F49" w:rsidP="00A47F49">
            <w:pPr>
              <w:pStyle w:val="SVEtablecontent"/>
              <w:rPr>
                <w:b/>
              </w:rPr>
            </w:pPr>
            <w:r w:rsidRPr="000B5DC6">
              <w:rPr>
                <w:b/>
              </w:rPr>
              <w:t>1.79</w:t>
            </w:r>
          </w:p>
        </w:tc>
        <w:tc>
          <w:tcPr>
            <w:tcW w:w="2401" w:type="dxa"/>
            <w:vAlign w:val="bottom"/>
          </w:tcPr>
          <w:p w:rsidR="00A47F49" w:rsidRPr="000B5DC6" w:rsidRDefault="00A47F49" w:rsidP="00A47F49">
            <w:pPr>
              <w:pStyle w:val="SVEtablecontent"/>
              <w:rPr>
                <w:b/>
              </w:rPr>
            </w:pPr>
            <w:r w:rsidRPr="000B5DC6">
              <w:rPr>
                <w:b/>
              </w:rPr>
              <w:t>+15.554%</w:t>
            </w:r>
            <w:r w:rsidR="000B5DC6">
              <w:rPr>
                <w:b/>
              </w:rPr>
              <w:t>**</w:t>
            </w:r>
          </w:p>
        </w:tc>
        <w:tc>
          <w:tcPr>
            <w:tcW w:w="1664" w:type="dxa"/>
            <w:vAlign w:val="bottom"/>
          </w:tcPr>
          <w:p w:rsidR="00A47F49" w:rsidRPr="000B5DC6" w:rsidRDefault="00A47F49" w:rsidP="00A47F49">
            <w:pPr>
              <w:pStyle w:val="SVEtablecontent"/>
              <w:rPr>
                <w:b/>
              </w:rPr>
            </w:pPr>
            <w:r w:rsidRPr="000B5DC6">
              <w:rPr>
                <w:b/>
              </w:rPr>
              <w:t>1.77</w:t>
            </w:r>
          </w:p>
        </w:tc>
      </w:tr>
      <w:tr w:rsidR="00A47F49" w:rsidTr="00DB5C1B">
        <w:tc>
          <w:tcPr>
            <w:tcW w:w="1763" w:type="dxa"/>
          </w:tcPr>
          <w:p w:rsidR="00A47F49" w:rsidRDefault="00A47F49" w:rsidP="00A47F49">
            <w:pPr>
              <w:ind w:firstLine="0"/>
              <w:rPr>
                <w:lang w:val="en-GB"/>
              </w:rPr>
            </w:pPr>
            <w:r>
              <w:rPr>
                <w:lang w:val="en-GB"/>
              </w:rPr>
              <w:t>23</w:t>
            </w:r>
          </w:p>
        </w:tc>
        <w:tc>
          <w:tcPr>
            <w:tcW w:w="1771" w:type="dxa"/>
            <w:vAlign w:val="bottom"/>
          </w:tcPr>
          <w:p w:rsidR="00A47F49" w:rsidRDefault="00A47F49" w:rsidP="00A47F49">
            <w:pPr>
              <w:pStyle w:val="SVEtablecontent"/>
            </w:pPr>
            <w:r>
              <w:t>+10.988%</w:t>
            </w:r>
            <w:r w:rsidR="000B5DC6">
              <w:t>*</w:t>
            </w:r>
          </w:p>
        </w:tc>
        <w:tc>
          <w:tcPr>
            <w:tcW w:w="1746" w:type="dxa"/>
            <w:vAlign w:val="bottom"/>
          </w:tcPr>
          <w:p w:rsidR="00A47F49" w:rsidRPr="00A47F49" w:rsidRDefault="00A47F49" w:rsidP="00A47F49">
            <w:pPr>
              <w:pStyle w:val="SVEtablecontent"/>
            </w:pPr>
            <w:r w:rsidRPr="00A47F49">
              <w:t>1.29</w:t>
            </w:r>
          </w:p>
        </w:tc>
        <w:tc>
          <w:tcPr>
            <w:tcW w:w="2401" w:type="dxa"/>
            <w:vAlign w:val="bottom"/>
          </w:tcPr>
          <w:p w:rsidR="00A47F49" w:rsidRPr="000B5DC6" w:rsidRDefault="00A47F49" w:rsidP="00A47F49">
            <w:pPr>
              <w:pStyle w:val="SVEtablecontent"/>
              <w:rPr>
                <w:b/>
              </w:rPr>
            </w:pPr>
            <w:r w:rsidRPr="000B5DC6">
              <w:rPr>
                <w:b/>
              </w:rPr>
              <w:t>+20.043%</w:t>
            </w:r>
            <w:r w:rsidR="000B5DC6">
              <w:rPr>
                <w:b/>
              </w:rPr>
              <w:t>***</w:t>
            </w:r>
          </w:p>
        </w:tc>
        <w:tc>
          <w:tcPr>
            <w:tcW w:w="1664" w:type="dxa"/>
            <w:vAlign w:val="bottom"/>
          </w:tcPr>
          <w:p w:rsidR="00A47F49" w:rsidRPr="000B5DC6" w:rsidRDefault="00A47F49" w:rsidP="00A47F49">
            <w:pPr>
              <w:pStyle w:val="SVEtablecontent"/>
              <w:rPr>
                <w:b/>
              </w:rPr>
            </w:pPr>
            <w:r w:rsidRPr="000B5DC6">
              <w:rPr>
                <w:b/>
              </w:rPr>
              <w:t>2.29</w:t>
            </w:r>
          </w:p>
        </w:tc>
      </w:tr>
      <w:tr w:rsidR="00A47F49" w:rsidTr="00DB5C1B">
        <w:tc>
          <w:tcPr>
            <w:tcW w:w="1763" w:type="dxa"/>
          </w:tcPr>
          <w:p w:rsidR="00A47F49" w:rsidRDefault="00A47F49" w:rsidP="00A47F49">
            <w:pPr>
              <w:ind w:firstLine="0"/>
              <w:rPr>
                <w:lang w:val="en-GB"/>
              </w:rPr>
            </w:pPr>
            <w:r>
              <w:rPr>
                <w:lang w:val="en-GB"/>
              </w:rPr>
              <w:t>22</w:t>
            </w:r>
          </w:p>
        </w:tc>
        <w:tc>
          <w:tcPr>
            <w:tcW w:w="1771" w:type="dxa"/>
            <w:vAlign w:val="bottom"/>
          </w:tcPr>
          <w:p w:rsidR="00A47F49" w:rsidRPr="000B5DC6" w:rsidRDefault="00A47F49" w:rsidP="00A47F49">
            <w:pPr>
              <w:pStyle w:val="SVEtablecontent"/>
              <w:rPr>
                <w:b/>
              </w:rPr>
            </w:pPr>
            <w:r w:rsidRPr="000B5DC6">
              <w:rPr>
                <w:b/>
              </w:rPr>
              <w:t>+14.199%</w:t>
            </w:r>
            <w:r w:rsidR="000B5DC6">
              <w:rPr>
                <w:b/>
              </w:rPr>
              <w:t>**</w:t>
            </w:r>
          </w:p>
        </w:tc>
        <w:tc>
          <w:tcPr>
            <w:tcW w:w="1746" w:type="dxa"/>
            <w:vAlign w:val="bottom"/>
          </w:tcPr>
          <w:p w:rsidR="00A47F49" w:rsidRPr="000B5DC6" w:rsidRDefault="00A47F49" w:rsidP="00A47F49">
            <w:pPr>
              <w:pStyle w:val="SVEtablecontent"/>
              <w:rPr>
                <w:b/>
              </w:rPr>
            </w:pPr>
            <w:r w:rsidRPr="000B5DC6">
              <w:rPr>
                <w:b/>
              </w:rPr>
              <w:t>1.65</w:t>
            </w:r>
          </w:p>
        </w:tc>
        <w:tc>
          <w:tcPr>
            <w:tcW w:w="2401" w:type="dxa"/>
            <w:vAlign w:val="bottom"/>
          </w:tcPr>
          <w:p w:rsidR="00A47F49" w:rsidRPr="000B5DC6" w:rsidRDefault="00A47F49" w:rsidP="00A47F49">
            <w:pPr>
              <w:pStyle w:val="SVEtablecontent"/>
              <w:rPr>
                <w:b/>
              </w:rPr>
            </w:pPr>
            <w:r w:rsidRPr="000B5DC6">
              <w:rPr>
                <w:b/>
              </w:rPr>
              <w:t>+18.258%</w:t>
            </w:r>
            <w:r w:rsidR="000B5DC6">
              <w:rPr>
                <w:b/>
              </w:rPr>
              <w:t>***</w:t>
            </w:r>
          </w:p>
        </w:tc>
        <w:tc>
          <w:tcPr>
            <w:tcW w:w="1664" w:type="dxa"/>
            <w:vAlign w:val="bottom"/>
          </w:tcPr>
          <w:p w:rsidR="00A47F49" w:rsidRPr="000B5DC6" w:rsidRDefault="00A47F49" w:rsidP="00A47F49">
            <w:pPr>
              <w:pStyle w:val="SVEtablecontent"/>
              <w:rPr>
                <w:b/>
              </w:rPr>
            </w:pPr>
            <w:r w:rsidRPr="000B5DC6">
              <w:rPr>
                <w:b/>
              </w:rPr>
              <w:t>2.08</w:t>
            </w:r>
          </w:p>
        </w:tc>
      </w:tr>
      <w:tr w:rsidR="00A47F49" w:rsidTr="00DB5C1B">
        <w:tc>
          <w:tcPr>
            <w:tcW w:w="1763" w:type="dxa"/>
          </w:tcPr>
          <w:p w:rsidR="00A47F49" w:rsidRDefault="00A47F49" w:rsidP="00A47F49">
            <w:pPr>
              <w:ind w:firstLine="0"/>
              <w:rPr>
                <w:lang w:val="en-GB"/>
              </w:rPr>
            </w:pPr>
            <w:r>
              <w:rPr>
                <w:lang w:val="en-GB"/>
              </w:rPr>
              <w:t>21</w:t>
            </w:r>
          </w:p>
        </w:tc>
        <w:tc>
          <w:tcPr>
            <w:tcW w:w="1771" w:type="dxa"/>
            <w:vAlign w:val="bottom"/>
          </w:tcPr>
          <w:p w:rsidR="00A47F49" w:rsidRDefault="00A47F49" w:rsidP="00A47F49">
            <w:pPr>
              <w:pStyle w:val="SVEtablecontent"/>
            </w:pPr>
            <w:r>
              <w:t>+6.299%</w:t>
            </w:r>
          </w:p>
        </w:tc>
        <w:tc>
          <w:tcPr>
            <w:tcW w:w="1746" w:type="dxa"/>
            <w:vAlign w:val="bottom"/>
          </w:tcPr>
          <w:p w:rsidR="00A47F49" w:rsidRPr="00A47F49" w:rsidRDefault="00A47F49" w:rsidP="00A47F49">
            <w:pPr>
              <w:pStyle w:val="SVEtablecontent"/>
            </w:pPr>
            <w:r w:rsidRPr="00A47F49">
              <w:t>0.78</w:t>
            </w:r>
          </w:p>
        </w:tc>
        <w:tc>
          <w:tcPr>
            <w:tcW w:w="2401" w:type="dxa"/>
            <w:vAlign w:val="bottom"/>
          </w:tcPr>
          <w:p w:rsidR="00A47F49" w:rsidRPr="000B5DC6" w:rsidRDefault="00A47F49" w:rsidP="00A47F49">
            <w:pPr>
              <w:pStyle w:val="SVEtablecontent"/>
              <w:rPr>
                <w:b/>
              </w:rPr>
            </w:pPr>
            <w:r w:rsidRPr="000B5DC6">
              <w:rPr>
                <w:b/>
              </w:rPr>
              <w:t>+15.784%</w:t>
            </w:r>
            <w:r w:rsidR="000B5DC6">
              <w:rPr>
                <w:b/>
              </w:rPr>
              <w:t>**</w:t>
            </w:r>
          </w:p>
        </w:tc>
        <w:tc>
          <w:tcPr>
            <w:tcW w:w="1664" w:type="dxa"/>
            <w:vAlign w:val="bottom"/>
          </w:tcPr>
          <w:p w:rsidR="00A47F49" w:rsidRPr="000B5DC6" w:rsidRDefault="00A47F49" w:rsidP="00A47F49">
            <w:pPr>
              <w:pStyle w:val="SVEtablecontent"/>
              <w:rPr>
                <w:b/>
              </w:rPr>
            </w:pPr>
            <w:r w:rsidRPr="000B5DC6">
              <w:rPr>
                <w:b/>
              </w:rPr>
              <w:t>1.80</w:t>
            </w:r>
          </w:p>
        </w:tc>
      </w:tr>
      <w:tr w:rsidR="00A47F49" w:rsidTr="00DB5C1B">
        <w:tc>
          <w:tcPr>
            <w:tcW w:w="1763" w:type="dxa"/>
          </w:tcPr>
          <w:p w:rsidR="00A47F49" w:rsidRDefault="00A47F49" w:rsidP="00A47F49">
            <w:pPr>
              <w:ind w:firstLine="0"/>
              <w:rPr>
                <w:lang w:val="en-GB"/>
              </w:rPr>
            </w:pPr>
            <w:r>
              <w:rPr>
                <w:lang w:val="en-GB"/>
              </w:rPr>
              <w:t>20</w:t>
            </w:r>
          </w:p>
        </w:tc>
        <w:tc>
          <w:tcPr>
            <w:tcW w:w="1771" w:type="dxa"/>
            <w:vAlign w:val="bottom"/>
          </w:tcPr>
          <w:p w:rsidR="00A47F49" w:rsidRDefault="00A47F49" w:rsidP="00A47F49">
            <w:pPr>
              <w:pStyle w:val="SVEtablecontent"/>
            </w:pPr>
            <w:r>
              <w:t>+5.569%</w:t>
            </w:r>
          </w:p>
        </w:tc>
        <w:tc>
          <w:tcPr>
            <w:tcW w:w="1746" w:type="dxa"/>
            <w:vAlign w:val="bottom"/>
          </w:tcPr>
          <w:p w:rsidR="00A47F49" w:rsidRPr="00A47F49" w:rsidRDefault="00A47F49" w:rsidP="00A47F49">
            <w:pPr>
              <w:pStyle w:val="SVEtablecontent"/>
            </w:pPr>
            <w:r w:rsidRPr="00A47F49">
              <w:t>0.69</w:t>
            </w:r>
          </w:p>
        </w:tc>
        <w:tc>
          <w:tcPr>
            <w:tcW w:w="2401" w:type="dxa"/>
            <w:vAlign w:val="bottom"/>
          </w:tcPr>
          <w:p w:rsidR="00A47F49" w:rsidRPr="000B5DC6" w:rsidRDefault="00A47F49" w:rsidP="00A47F49">
            <w:pPr>
              <w:pStyle w:val="SVEtablecontent"/>
              <w:rPr>
                <w:b/>
              </w:rPr>
            </w:pPr>
            <w:r w:rsidRPr="000B5DC6">
              <w:rPr>
                <w:b/>
              </w:rPr>
              <w:t>+15.073%</w:t>
            </w:r>
            <w:r w:rsidR="000B5DC6">
              <w:rPr>
                <w:b/>
              </w:rPr>
              <w:t>**</w:t>
            </w:r>
          </w:p>
        </w:tc>
        <w:tc>
          <w:tcPr>
            <w:tcW w:w="1664" w:type="dxa"/>
            <w:vAlign w:val="bottom"/>
          </w:tcPr>
          <w:p w:rsidR="00A47F49" w:rsidRPr="000B5DC6" w:rsidRDefault="00A47F49" w:rsidP="00A47F49">
            <w:pPr>
              <w:pStyle w:val="SVEtablecontent"/>
              <w:rPr>
                <w:b/>
              </w:rPr>
            </w:pPr>
            <w:r w:rsidRPr="000B5DC6">
              <w:rPr>
                <w:b/>
              </w:rPr>
              <w:t>1.72</w:t>
            </w:r>
          </w:p>
        </w:tc>
      </w:tr>
      <w:tr w:rsidR="00A47F49" w:rsidTr="00DB5C1B">
        <w:tc>
          <w:tcPr>
            <w:tcW w:w="1763" w:type="dxa"/>
          </w:tcPr>
          <w:p w:rsidR="00A47F49" w:rsidRDefault="00A47F49" w:rsidP="00A47F49">
            <w:pPr>
              <w:ind w:firstLine="0"/>
              <w:rPr>
                <w:lang w:val="en-GB"/>
              </w:rPr>
            </w:pPr>
            <w:r>
              <w:rPr>
                <w:lang w:val="en-GB"/>
              </w:rPr>
              <w:t>19</w:t>
            </w:r>
          </w:p>
        </w:tc>
        <w:tc>
          <w:tcPr>
            <w:tcW w:w="1771" w:type="dxa"/>
            <w:vAlign w:val="bottom"/>
          </w:tcPr>
          <w:p w:rsidR="00A47F49" w:rsidRDefault="00A47F49" w:rsidP="00A47F49">
            <w:pPr>
              <w:pStyle w:val="SVEtablecontent"/>
            </w:pPr>
            <w:r>
              <w:t>+9.331%</w:t>
            </w:r>
          </w:p>
        </w:tc>
        <w:tc>
          <w:tcPr>
            <w:tcW w:w="1746" w:type="dxa"/>
            <w:vAlign w:val="bottom"/>
          </w:tcPr>
          <w:p w:rsidR="00A47F49" w:rsidRPr="00A47F49" w:rsidRDefault="00A47F49" w:rsidP="00A47F49">
            <w:pPr>
              <w:pStyle w:val="SVEtablecontent"/>
            </w:pPr>
            <w:r w:rsidRPr="00A47F49">
              <w:t>1.11</w:t>
            </w:r>
          </w:p>
        </w:tc>
        <w:tc>
          <w:tcPr>
            <w:tcW w:w="2401" w:type="dxa"/>
            <w:vAlign w:val="bottom"/>
          </w:tcPr>
          <w:p w:rsidR="00A47F49" w:rsidRPr="000B5DC6" w:rsidRDefault="00A47F49" w:rsidP="00A47F49">
            <w:pPr>
              <w:pStyle w:val="SVEtablecontent"/>
              <w:rPr>
                <w:b/>
              </w:rPr>
            </w:pPr>
            <w:r w:rsidRPr="000B5DC6">
              <w:rPr>
                <w:b/>
              </w:rPr>
              <w:t>+13.528%</w:t>
            </w:r>
            <w:r w:rsidR="000B5DC6">
              <w:rPr>
                <w:b/>
              </w:rPr>
              <w:t>**</w:t>
            </w:r>
          </w:p>
        </w:tc>
        <w:tc>
          <w:tcPr>
            <w:tcW w:w="1664" w:type="dxa"/>
            <w:vAlign w:val="bottom"/>
          </w:tcPr>
          <w:p w:rsidR="00A47F49" w:rsidRPr="000B5DC6" w:rsidRDefault="00A47F49" w:rsidP="00A47F49">
            <w:pPr>
              <w:pStyle w:val="SVEtablecontent"/>
              <w:rPr>
                <w:b/>
              </w:rPr>
            </w:pPr>
            <w:r w:rsidRPr="000B5DC6">
              <w:rPr>
                <w:b/>
              </w:rPr>
              <w:t>1.54</w:t>
            </w:r>
          </w:p>
        </w:tc>
      </w:tr>
      <w:tr w:rsidR="00A47F49" w:rsidTr="00DB5C1B">
        <w:tc>
          <w:tcPr>
            <w:tcW w:w="1763" w:type="dxa"/>
          </w:tcPr>
          <w:p w:rsidR="00A47F49" w:rsidRDefault="00A47F49" w:rsidP="00A47F49">
            <w:pPr>
              <w:ind w:firstLine="0"/>
              <w:rPr>
                <w:lang w:val="en-GB"/>
              </w:rPr>
            </w:pPr>
            <w:r>
              <w:rPr>
                <w:lang w:val="en-GB"/>
              </w:rPr>
              <w:t>18</w:t>
            </w:r>
          </w:p>
        </w:tc>
        <w:tc>
          <w:tcPr>
            <w:tcW w:w="1771" w:type="dxa"/>
            <w:vAlign w:val="bottom"/>
          </w:tcPr>
          <w:p w:rsidR="00A47F49" w:rsidRDefault="00A47F49" w:rsidP="00A47F49">
            <w:pPr>
              <w:pStyle w:val="SVEtablecontent"/>
            </w:pPr>
            <w:r>
              <w:t>+6.188%</w:t>
            </w:r>
          </w:p>
        </w:tc>
        <w:tc>
          <w:tcPr>
            <w:tcW w:w="1746" w:type="dxa"/>
            <w:vAlign w:val="bottom"/>
          </w:tcPr>
          <w:p w:rsidR="00A47F49" w:rsidRPr="00A47F49" w:rsidRDefault="00A47F49" w:rsidP="00A47F49">
            <w:pPr>
              <w:pStyle w:val="SVEtablecontent"/>
            </w:pPr>
            <w:r w:rsidRPr="00A47F49">
              <w:t>0.76</w:t>
            </w:r>
          </w:p>
        </w:tc>
        <w:tc>
          <w:tcPr>
            <w:tcW w:w="2401" w:type="dxa"/>
            <w:vAlign w:val="bottom"/>
          </w:tcPr>
          <w:p w:rsidR="00A47F49" w:rsidRPr="000B5DC6" w:rsidRDefault="00A47F49" w:rsidP="00A47F49">
            <w:pPr>
              <w:pStyle w:val="SVEtablecontent"/>
              <w:rPr>
                <w:b/>
              </w:rPr>
            </w:pPr>
            <w:r w:rsidRPr="000B5DC6">
              <w:rPr>
                <w:b/>
              </w:rPr>
              <w:t>+16.472%</w:t>
            </w:r>
            <w:r w:rsidR="000B5DC6">
              <w:rPr>
                <w:b/>
              </w:rPr>
              <w:t>***</w:t>
            </w:r>
          </w:p>
        </w:tc>
        <w:tc>
          <w:tcPr>
            <w:tcW w:w="1664" w:type="dxa"/>
            <w:vAlign w:val="bottom"/>
          </w:tcPr>
          <w:p w:rsidR="00A47F49" w:rsidRPr="000B5DC6" w:rsidRDefault="00A47F49" w:rsidP="00A47F49">
            <w:pPr>
              <w:pStyle w:val="SVEtablecontent"/>
              <w:rPr>
                <w:b/>
              </w:rPr>
            </w:pPr>
            <w:r w:rsidRPr="000B5DC6">
              <w:rPr>
                <w:b/>
              </w:rPr>
              <w:t>1.88</w:t>
            </w:r>
          </w:p>
        </w:tc>
      </w:tr>
      <w:tr w:rsidR="00A47F49" w:rsidTr="00DB5C1B">
        <w:tc>
          <w:tcPr>
            <w:tcW w:w="1763" w:type="dxa"/>
          </w:tcPr>
          <w:p w:rsidR="00A47F49" w:rsidRDefault="00A47F49" w:rsidP="00A47F49">
            <w:pPr>
              <w:ind w:firstLine="0"/>
              <w:rPr>
                <w:lang w:val="en-GB"/>
              </w:rPr>
            </w:pPr>
            <w:r>
              <w:rPr>
                <w:lang w:val="en-GB"/>
              </w:rPr>
              <w:t>17</w:t>
            </w:r>
          </w:p>
        </w:tc>
        <w:tc>
          <w:tcPr>
            <w:tcW w:w="1771" w:type="dxa"/>
            <w:vAlign w:val="bottom"/>
          </w:tcPr>
          <w:p w:rsidR="00A47F49" w:rsidRDefault="00A47F49" w:rsidP="00A47F49">
            <w:pPr>
              <w:pStyle w:val="SVEtablecontent"/>
            </w:pPr>
            <w:r>
              <w:t>+6.674%</w:t>
            </w:r>
          </w:p>
        </w:tc>
        <w:tc>
          <w:tcPr>
            <w:tcW w:w="1746" w:type="dxa"/>
            <w:vAlign w:val="bottom"/>
          </w:tcPr>
          <w:p w:rsidR="00A47F49" w:rsidRPr="00A47F49" w:rsidRDefault="00A47F49" w:rsidP="00A47F49">
            <w:pPr>
              <w:pStyle w:val="SVEtablecontent"/>
            </w:pPr>
            <w:r w:rsidRPr="00A47F49">
              <w:t>0.82</w:t>
            </w:r>
          </w:p>
        </w:tc>
        <w:tc>
          <w:tcPr>
            <w:tcW w:w="2401" w:type="dxa"/>
            <w:vAlign w:val="bottom"/>
          </w:tcPr>
          <w:p w:rsidR="00A47F49" w:rsidRPr="000B5DC6" w:rsidRDefault="00A47F49" w:rsidP="00A47F49">
            <w:pPr>
              <w:pStyle w:val="SVEtablecontent"/>
              <w:rPr>
                <w:b/>
              </w:rPr>
            </w:pPr>
            <w:r w:rsidRPr="000B5DC6">
              <w:rPr>
                <w:b/>
              </w:rPr>
              <w:t>+13.718%</w:t>
            </w:r>
            <w:r w:rsidR="000B5DC6">
              <w:rPr>
                <w:b/>
              </w:rPr>
              <w:t>**</w:t>
            </w:r>
          </w:p>
        </w:tc>
        <w:tc>
          <w:tcPr>
            <w:tcW w:w="1664" w:type="dxa"/>
            <w:vAlign w:val="bottom"/>
          </w:tcPr>
          <w:p w:rsidR="00A47F49" w:rsidRPr="000B5DC6" w:rsidRDefault="00A47F49" w:rsidP="00A47F49">
            <w:pPr>
              <w:pStyle w:val="SVEtablecontent"/>
              <w:rPr>
                <w:b/>
              </w:rPr>
            </w:pPr>
            <w:r w:rsidRPr="000B5DC6">
              <w:rPr>
                <w:b/>
              </w:rPr>
              <w:t>1.56</w:t>
            </w:r>
          </w:p>
        </w:tc>
      </w:tr>
      <w:tr w:rsidR="00A47F49" w:rsidTr="00DB5C1B">
        <w:tc>
          <w:tcPr>
            <w:tcW w:w="1763" w:type="dxa"/>
          </w:tcPr>
          <w:p w:rsidR="00A47F49" w:rsidRDefault="00A47F49" w:rsidP="00A47F49">
            <w:pPr>
              <w:ind w:firstLine="0"/>
              <w:rPr>
                <w:lang w:val="en-GB"/>
              </w:rPr>
            </w:pPr>
            <w:r>
              <w:rPr>
                <w:lang w:val="en-GB"/>
              </w:rPr>
              <w:t>16</w:t>
            </w:r>
          </w:p>
        </w:tc>
        <w:tc>
          <w:tcPr>
            <w:tcW w:w="1771" w:type="dxa"/>
            <w:vAlign w:val="bottom"/>
          </w:tcPr>
          <w:p w:rsidR="00A47F49" w:rsidRDefault="00A47F49" w:rsidP="00A47F49">
            <w:pPr>
              <w:pStyle w:val="SVEtablecontent"/>
            </w:pPr>
            <w:r>
              <w:t>+4.190%</w:t>
            </w:r>
          </w:p>
        </w:tc>
        <w:tc>
          <w:tcPr>
            <w:tcW w:w="1746" w:type="dxa"/>
            <w:vAlign w:val="bottom"/>
          </w:tcPr>
          <w:p w:rsidR="00A47F49" w:rsidRPr="00A47F49" w:rsidRDefault="00A47F49" w:rsidP="00A47F49">
            <w:pPr>
              <w:pStyle w:val="SVEtablecontent"/>
            </w:pPr>
            <w:r w:rsidRPr="00A47F49">
              <w:t>0.54</w:t>
            </w:r>
          </w:p>
        </w:tc>
        <w:tc>
          <w:tcPr>
            <w:tcW w:w="2401" w:type="dxa"/>
            <w:vAlign w:val="bottom"/>
          </w:tcPr>
          <w:p w:rsidR="00A47F49" w:rsidRPr="000B5DC6" w:rsidRDefault="00A47F49" w:rsidP="00A47F49">
            <w:pPr>
              <w:pStyle w:val="SVEtablecontent"/>
              <w:rPr>
                <w:b/>
              </w:rPr>
            </w:pPr>
            <w:r w:rsidRPr="000B5DC6">
              <w:rPr>
                <w:b/>
              </w:rPr>
              <w:t>+11.332%</w:t>
            </w:r>
            <w:r w:rsidR="000B5DC6" w:rsidRPr="000B5DC6">
              <w:rPr>
                <w:b/>
              </w:rPr>
              <w:t>**</w:t>
            </w:r>
          </w:p>
        </w:tc>
        <w:tc>
          <w:tcPr>
            <w:tcW w:w="1664" w:type="dxa"/>
            <w:vAlign w:val="bottom"/>
          </w:tcPr>
          <w:p w:rsidR="00A47F49" w:rsidRPr="000B5DC6" w:rsidRDefault="00A47F49" w:rsidP="00A47F49">
            <w:pPr>
              <w:pStyle w:val="SVEtablecontent"/>
              <w:rPr>
                <w:b/>
              </w:rPr>
            </w:pPr>
            <w:r w:rsidRPr="000B5DC6">
              <w:rPr>
                <w:b/>
              </w:rPr>
              <w:t>1.29</w:t>
            </w:r>
          </w:p>
        </w:tc>
      </w:tr>
      <w:tr w:rsidR="00A47F49" w:rsidTr="00DB5C1B">
        <w:tc>
          <w:tcPr>
            <w:tcW w:w="1763" w:type="dxa"/>
          </w:tcPr>
          <w:p w:rsidR="00A47F49" w:rsidRDefault="00A47F49" w:rsidP="00A47F49">
            <w:pPr>
              <w:ind w:firstLine="0"/>
              <w:rPr>
                <w:lang w:val="en-GB"/>
              </w:rPr>
            </w:pPr>
            <w:r>
              <w:rPr>
                <w:lang w:val="en-GB"/>
              </w:rPr>
              <w:t>15</w:t>
            </w:r>
          </w:p>
        </w:tc>
        <w:tc>
          <w:tcPr>
            <w:tcW w:w="1771" w:type="dxa"/>
            <w:vAlign w:val="bottom"/>
          </w:tcPr>
          <w:p w:rsidR="00A47F49" w:rsidRDefault="00A47F49" w:rsidP="00A47F49">
            <w:pPr>
              <w:pStyle w:val="SVEtablecontent"/>
            </w:pPr>
            <w:r>
              <w:t>+3.309%</w:t>
            </w:r>
          </w:p>
        </w:tc>
        <w:tc>
          <w:tcPr>
            <w:tcW w:w="1746" w:type="dxa"/>
            <w:vAlign w:val="bottom"/>
          </w:tcPr>
          <w:p w:rsidR="00A47F49" w:rsidRPr="00A47F49" w:rsidRDefault="00A47F49" w:rsidP="00A47F49">
            <w:pPr>
              <w:pStyle w:val="SVEtablecontent"/>
            </w:pPr>
            <w:r w:rsidRPr="00A47F49">
              <w:t>0.44</w:t>
            </w:r>
          </w:p>
        </w:tc>
        <w:tc>
          <w:tcPr>
            <w:tcW w:w="2401" w:type="dxa"/>
            <w:vAlign w:val="bottom"/>
          </w:tcPr>
          <w:p w:rsidR="00A47F49" w:rsidRDefault="00A47F49" w:rsidP="00A47F49">
            <w:pPr>
              <w:pStyle w:val="SVEtablecontent"/>
            </w:pPr>
            <w:r>
              <w:t>+10.187%</w:t>
            </w:r>
            <w:r w:rsidR="000B5DC6">
              <w:t>*</w:t>
            </w:r>
          </w:p>
        </w:tc>
        <w:tc>
          <w:tcPr>
            <w:tcW w:w="1664" w:type="dxa"/>
            <w:vAlign w:val="bottom"/>
          </w:tcPr>
          <w:p w:rsidR="00A47F49" w:rsidRPr="00A47F49" w:rsidRDefault="00A47F49" w:rsidP="00A47F49">
            <w:pPr>
              <w:pStyle w:val="SVEtablecontent"/>
            </w:pPr>
            <w:r w:rsidRPr="00A47F49">
              <w:t>1.16</w:t>
            </w:r>
          </w:p>
        </w:tc>
      </w:tr>
      <w:tr w:rsidR="00A47F49" w:rsidTr="00DB5C1B">
        <w:tc>
          <w:tcPr>
            <w:tcW w:w="1763" w:type="dxa"/>
          </w:tcPr>
          <w:p w:rsidR="00A47F49" w:rsidRDefault="00A47F49" w:rsidP="00A47F49">
            <w:pPr>
              <w:ind w:firstLine="0"/>
              <w:rPr>
                <w:lang w:val="en-GB"/>
              </w:rPr>
            </w:pPr>
            <w:r>
              <w:rPr>
                <w:lang w:val="en-GB"/>
              </w:rPr>
              <w:t>14</w:t>
            </w:r>
          </w:p>
        </w:tc>
        <w:tc>
          <w:tcPr>
            <w:tcW w:w="1771" w:type="dxa"/>
            <w:vAlign w:val="bottom"/>
          </w:tcPr>
          <w:p w:rsidR="00A47F49" w:rsidRDefault="00A47F49" w:rsidP="00A47F49">
            <w:pPr>
              <w:pStyle w:val="SVEtablecontent"/>
            </w:pPr>
            <w:r>
              <w:t>+0.974%</w:t>
            </w:r>
          </w:p>
        </w:tc>
        <w:tc>
          <w:tcPr>
            <w:tcW w:w="1746" w:type="dxa"/>
            <w:vAlign w:val="bottom"/>
          </w:tcPr>
          <w:p w:rsidR="00A47F49" w:rsidRPr="00A47F49" w:rsidRDefault="00A47F49" w:rsidP="00A47F49">
            <w:pPr>
              <w:pStyle w:val="SVEtablecontent"/>
            </w:pPr>
            <w:r w:rsidRPr="00A47F49">
              <w:t>0.19</w:t>
            </w:r>
          </w:p>
        </w:tc>
        <w:tc>
          <w:tcPr>
            <w:tcW w:w="2401" w:type="dxa"/>
            <w:vAlign w:val="bottom"/>
          </w:tcPr>
          <w:p w:rsidR="00A47F49" w:rsidRDefault="00A47F49" w:rsidP="00A47F49">
            <w:pPr>
              <w:pStyle w:val="SVEtablecontent"/>
            </w:pPr>
            <w:r>
              <w:t>+2.169%</w:t>
            </w:r>
          </w:p>
        </w:tc>
        <w:tc>
          <w:tcPr>
            <w:tcW w:w="1664" w:type="dxa"/>
            <w:vAlign w:val="bottom"/>
          </w:tcPr>
          <w:p w:rsidR="00A47F49" w:rsidRPr="00A47F49" w:rsidRDefault="00A47F49" w:rsidP="00A47F49">
            <w:pPr>
              <w:pStyle w:val="SVEtablecontent"/>
            </w:pPr>
            <w:r w:rsidRPr="00A47F49">
              <w:t>0.25</w:t>
            </w:r>
          </w:p>
        </w:tc>
      </w:tr>
      <w:tr w:rsidR="00A47F49" w:rsidTr="00DB5C1B">
        <w:tc>
          <w:tcPr>
            <w:tcW w:w="1763" w:type="dxa"/>
          </w:tcPr>
          <w:p w:rsidR="00A47F49" w:rsidRDefault="00A47F49" w:rsidP="00A47F49">
            <w:pPr>
              <w:ind w:firstLine="0"/>
              <w:rPr>
                <w:lang w:val="en-GB"/>
              </w:rPr>
            </w:pPr>
            <w:r>
              <w:rPr>
                <w:lang w:val="en-GB"/>
              </w:rPr>
              <w:t>13</w:t>
            </w:r>
          </w:p>
        </w:tc>
        <w:tc>
          <w:tcPr>
            <w:tcW w:w="1771" w:type="dxa"/>
            <w:vAlign w:val="bottom"/>
          </w:tcPr>
          <w:p w:rsidR="00A47F49" w:rsidRDefault="00A47F49" w:rsidP="00A47F49">
            <w:pPr>
              <w:pStyle w:val="SVEtablecontent"/>
            </w:pPr>
            <w:r>
              <w:t>+3.065%</w:t>
            </w:r>
          </w:p>
        </w:tc>
        <w:tc>
          <w:tcPr>
            <w:tcW w:w="1746" w:type="dxa"/>
            <w:vAlign w:val="bottom"/>
          </w:tcPr>
          <w:p w:rsidR="00A47F49" w:rsidRPr="00A47F49" w:rsidRDefault="00A47F49" w:rsidP="00A47F49">
            <w:pPr>
              <w:pStyle w:val="SVEtablecontent"/>
            </w:pPr>
            <w:r w:rsidRPr="00A47F49">
              <w:t>0.42</w:t>
            </w:r>
          </w:p>
        </w:tc>
        <w:tc>
          <w:tcPr>
            <w:tcW w:w="2401" w:type="dxa"/>
            <w:vAlign w:val="bottom"/>
          </w:tcPr>
          <w:p w:rsidR="00A47F49" w:rsidRDefault="00A47F49" w:rsidP="00A47F49">
            <w:pPr>
              <w:pStyle w:val="SVEtablecontent"/>
            </w:pPr>
            <w:r>
              <w:t>+3.417%</w:t>
            </w:r>
          </w:p>
        </w:tc>
        <w:tc>
          <w:tcPr>
            <w:tcW w:w="1664" w:type="dxa"/>
            <w:vAlign w:val="bottom"/>
          </w:tcPr>
          <w:p w:rsidR="00A47F49" w:rsidRPr="00A47F49" w:rsidRDefault="00A47F49" w:rsidP="00A47F49">
            <w:pPr>
              <w:pStyle w:val="SVEtablecontent"/>
            </w:pPr>
            <w:r w:rsidRPr="00A47F49">
              <w:t>0.39</w:t>
            </w:r>
          </w:p>
        </w:tc>
      </w:tr>
      <w:tr w:rsidR="00A47F49" w:rsidTr="00DB5C1B">
        <w:tc>
          <w:tcPr>
            <w:tcW w:w="1763" w:type="dxa"/>
          </w:tcPr>
          <w:p w:rsidR="00A47F49" w:rsidRDefault="00A47F49" w:rsidP="00A47F49">
            <w:pPr>
              <w:ind w:firstLine="0"/>
              <w:rPr>
                <w:lang w:val="en-GB"/>
              </w:rPr>
            </w:pPr>
            <w:r>
              <w:rPr>
                <w:lang w:val="en-GB"/>
              </w:rPr>
              <w:t>12</w:t>
            </w:r>
          </w:p>
        </w:tc>
        <w:tc>
          <w:tcPr>
            <w:tcW w:w="1771" w:type="dxa"/>
            <w:vAlign w:val="bottom"/>
          </w:tcPr>
          <w:p w:rsidR="00A47F49" w:rsidRDefault="00A47F49" w:rsidP="00A47F49">
            <w:pPr>
              <w:pStyle w:val="SVEtablecontent"/>
            </w:pPr>
            <w:r>
              <w:t>+5.162%</w:t>
            </w:r>
          </w:p>
        </w:tc>
        <w:tc>
          <w:tcPr>
            <w:tcW w:w="1746" w:type="dxa"/>
            <w:vAlign w:val="bottom"/>
          </w:tcPr>
          <w:p w:rsidR="00A47F49" w:rsidRPr="00A47F49" w:rsidRDefault="00A47F49" w:rsidP="00A47F49">
            <w:pPr>
              <w:pStyle w:val="SVEtablecontent"/>
            </w:pPr>
            <w:r w:rsidRPr="00A47F49">
              <w:t>0.65</w:t>
            </w:r>
          </w:p>
        </w:tc>
        <w:tc>
          <w:tcPr>
            <w:tcW w:w="2401" w:type="dxa"/>
            <w:vAlign w:val="bottom"/>
          </w:tcPr>
          <w:p w:rsidR="00A47F49" w:rsidRDefault="00A47F49" w:rsidP="00A47F49">
            <w:pPr>
              <w:pStyle w:val="SVEtablecontent"/>
            </w:pPr>
            <w:r>
              <w:t>+4.886%</w:t>
            </w:r>
          </w:p>
        </w:tc>
        <w:tc>
          <w:tcPr>
            <w:tcW w:w="1664" w:type="dxa"/>
            <w:vAlign w:val="bottom"/>
          </w:tcPr>
          <w:p w:rsidR="00A47F49" w:rsidRPr="00A47F49" w:rsidRDefault="00A47F49" w:rsidP="00A47F49">
            <w:pPr>
              <w:pStyle w:val="SVEtablecontent"/>
            </w:pPr>
            <w:r w:rsidRPr="00A47F49">
              <w:t>0.56</w:t>
            </w:r>
          </w:p>
        </w:tc>
      </w:tr>
      <w:tr w:rsidR="00A47F49" w:rsidTr="00DB5C1B">
        <w:tc>
          <w:tcPr>
            <w:tcW w:w="1763" w:type="dxa"/>
          </w:tcPr>
          <w:p w:rsidR="00A47F49" w:rsidRDefault="00A47F49" w:rsidP="00A47F49">
            <w:pPr>
              <w:ind w:firstLine="0"/>
              <w:rPr>
                <w:lang w:val="en-GB"/>
              </w:rPr>
            </w:pPr>
            <w:r>
              <w:rPr>
                <w:lang w:val="en-GB"/>
              </w:rPr>
              <w:t>11</w:t>
            </w:r>
          </w:p>
        </w:tc>
        <w:tc>
          <w:tcPr>
            <w:tcW w:w="1771" w:type="dxa"/>
            <w:vAlign w:val="bottom"/>
          </w:tcPr>
          <w:p w:rsidR="00A47F49" w:rsidRDefault="00A47F49" w:rsidP="00A47F49">
            <w:pPr>
              <w:pStyle w:val="SVEtablecontent"/>
            </w:pPr>
            <w:r>
              <w:t>+5.229%</w:t>
            </w:r>
          </w:p>
        </w:tc>
        <w:tc>
          <w:tcPr>
            <w:tcW w:w="1746" w:type="dxa"/>
            <w:vAlign w:val="bottom"/>
          </w:tcPr>
          <w:p w:rsidR="00A47F49" w:rsidRPr="00A47F49" w:rsidRDefault="00A47F49" w:rsidP="00A47F49">
            <w:pPr>
              <w:pStyle w:val="SVEtablecontent"/>
            </w:pPr>
            <w:r w:rsidRPr="00A47F49">
              <w:t>0.66</w:t>
            </w:r>
          </w:p>
        </w:tc>
        <w:tc>
          <w:tcPr>
            <w:tcW w:w="2401" w:type="dxa"/>
            <w:vAlign w:val="bottom"/>
          </w:tcPr>
          <w:p w:rsidR="00A47F49" w:rsidRDefault="00A47F49" w:rsidP="00A47F49">
            <w:pPr>
              <w:pStyle w:val="SVEtablecontent"/>
            </w:pPr>
            <w:r>
              <w:t>+4.953%</w:t>
            </w:r>
          </w:p>
        </w:tc>
        <w:tc>
          <w:tcPr>
            <w:tcW w:w="1664" w:type="dxa"/>
            <w:vAlign w:val="bottom"/>
          </w:tcPr>
          <w:p w:rsidR="00A47F49" w:rsidRPr="00A47F49" w:rsidRDefault="00A47F49" w:rsidP="00A47F49">
            <w:pPr>
              <w:pStyle w:val="SVEtablecontent"/>
            </w:pPr>
            <w:r w:rsidRPr="00A47F49">
              <w:t>0.56</w:t>
            </w:r>
          </w:p>
        </w:tc>
      </w:tr>
      <w:tr w:rsidR="00A47F49" w:rsidTr="00DB5C1B">
        <w:tc>
          <w:tcPr>
            <w:tcW w:w="1763" w:type="dxa"/>
          </w:tcPr>
          <w:p w:rsidR="00A47F49" w:rsidRDefault="00A47F49" w:rsidP="00A47F49">
            <w:pPr>
              <w:ind w:firstLine="0"/>
              <w:rPr>
                <w:lang w:val="en-GB"/>
              </w:rPr>
            </w:pPr>
            <w:r>
              <w:rPr>
                <w:lang w:val="en-GB"/>
              </w:rPr>
              <w:t>10</w:t>
            </w:r>
          </w:p>
        </w:tc>
        <w:tc>
          <w:tcPr>
            <w:tcW w:w="1771" w:type="dxa"/>
            <w:vAlign w:val="bottom"/>
          </w:tcPr>
          <w:p w:rsidR="00A47F49" w:rsidRDefault="00A47F49" w:rsidP="00A47F49">
            <w:pPr>
              <w:pStyle w:val="SVEtablecontent"/>
            </w:pPr>
            <w:r>
              <w:t>+12.128%</w:t>
            </w:r>
            <w:r w:rsidR="000B5DC6">
              <w:t>*</w:t>
            </w:r>
          </w:p>
        </w:tc>
        <w:tc>
          <w:tcPr>
            <w:tcW w:w="1746" w:type="dxa"/>
            <w:vAlign w:val="bottom"/>
          </w:tcPr>
          <w:p w:rsidR="00A47F49" w:rsidRPr="00A47F49" w:rsidRDefault="00A47F49" w:rsidP="00A47F49">
            <w:pPr>
              <w:pStyle w:val="SVEtablecontent"/>
            </w:pPr>
            <w:r w:rsidRPr="00A47F49">
              <w:t>1.42</w:t>
            </w:r>
          </w:p>
        </w:tc>
        <w:tc>
          <w:tcPr>
            <w:tcW w:w="2401" w:type="dxa"/>
            <w:vAlign w:val="bottom"/>
          </w:tcPr>
          <w:p w:rsidR="00A47F49" w:rsidRDefault="00A47F49" w:rsidP="00A47F49">
            <w:pPr>
              <w:pStyle w:val="SVEtablecontent"/>
            </w:pPr>
            <w:r>
              <w:t>+4.756%</w:t>
            </w:r>
          </w:p>
        </w:tc>
        <w:tc>
          <w:tcPr>
            <w:tcW w:w="1664" w:type="dxa"/>
            <w:vAlign w:val="bottom"/>
          </w:tcPr>
          <w:p w:rsidR="00A47F49" w:rsidRPr="00A47F49" w:rsidRDefault="00A47F49" w:rsidP="00A47F49">
            <w:pPr>
              <w:pStyle w:val="SVEtablecontent"/>
            </w:pPr>
            <w:r w:rsidRPr="00A47F49">
              <w:t>0.54</w:t>
            </w:r>
          </w:p>
        </w:tc>
      </w:tr>
      <w:tr w:rsidR="00A47F49" w:rsidTr="00DB5C1B">
        <w:tc>
          <w:tcPr>
            <w:tcW w:w="1763" w:type="dxa"/>
          </w:tcPr>
          <w:p w:rsidR="00A47F49" w:rsidRDefault="00A47F49" w:rsidP="00A47F49">
            <w:pPr>
              <w:ind w:firstLine="0"/>
              <w:rPr>
                <w:lang w:val="en-GB"/>
              </w:rPr>
            </w:pPr>
            <w:r>
              <w:rPr>
                <w:lang w:val="en-GB"/>
              </w:rPr>
              <w:t>9</w:t>
            </w:r>
          </w:p>
        </w:tc>
        <w:tc>
          <w:tcPr>
            <w:tcW w:w="1771" w:type="dxa"/>
            <w:vAlign w:val="bottom"/>
          </w:tcPr>
          <w:p w:rsidR="00A47F49" w:rsidRDefault="00A47F49" w:rsidP="00A47F49">
            <w:pPr>
              <w:pStyle w:val="SVEtablecontent"/>
            </w:pPr>
            <w:r>
              <w:t>+9.309%</w:t>
            </w:r>
          </w:p>
        </w:tc>
        <w:tc>
          <w:tcPr>
            <w:tcW w:w="1746" w:type="dxa"/>
            <w:vAlign w:val="bottom"/>
          </w:tcPr>
          <w:p w:rsidR="00A47F49" w:rsidRPr="00A47F49" w:rsidRDefault="00A47F49" w:rsidP="00A47F49">
            <w:pPr>
              <w:pStyle w:val="SVEtablecontent"/>
            </w:pPr>
            <w:r w:rsidRPr="00A47F49">
              <w:t>1.11</w:t>
            </w:r>
          </w:p>
        </w:tc>
        <w:tc>
          <w:tcPr>
            <w:tcW w:w="2401" w:type="dxa"/>
            <w:vAlign w:val="bottom"/>
          </w:tcPr>
          <w:p w:rsidR="00A47F49" w:rsidRDefault="00A47F49" w:rsidP="00A47F49">
            <w:pPr>
              <w:pStyle w:val="SVEtablecontent"/>
            </w:pPr>
            <w:r>
              <w:t>-2.323%</w:t>
            </w:r>
          </w:p>
        </w:tc>
        <w:tc>
          <w:tcPr>
            <w:tcW w:w="1664" w:type="dxa"/>
            <w:vAlign w:val="bottom"/>
          </w:tcPr>
          <w:p w:rsidR="00A47F49" w:rsidRPr="00A47F49" w:rsidRDefault="00A47F49" w:rsidP="00A47F49">
            <w:pPr>
              <w:pStyle w:val="SVEtablecontent"/>
            </w:pPr>
            <w:r w:rsidRPr="00A47F49">
              <w:t>-0.26</w:t>
            </w:r>
          </w:p>
        </w:tc>
      </w:tr>
      <w:tr w:rsidR="00A47F49" w:rsidTr="00DB5C1B">
        <w:tc>
          <w:tcPr>
            <w:tcW w:w="1763" w:type="dxa"/>
          </w:tcPr>
          <w:p w:rsidR="00A47F49" w:rsidRDefault="00A47F49" w:rsidP="00A47F49">
            <w:pPr>
              <w:ind w:firstLine="0"/>
              <w:rPr>
                <w:lang w:val="en-GB"/>
              </w:rPr>
            </w:pPr>
            <w:r>
              <w:rPr>
                <w:lang w:val="en-GB"/>
              </w:rPr>
              <w:t>8</w:t>
            </w:r>
          </w:p>
        </w:tc>
        <w:tc>
          <w:tcPr>
            <w:tcW w:w="1771" w:type="dxa"/>
            <w:vAlign w:val="bottom"/>
          </w:tcPr>
          <w:p w:rsidR="00A47F49" w:rsidRDefault="00A47F49" w:rsidP="00A47F49">
            <w:pPr>
              <w:pStyle w:val="SVEtablecontent"/>
            </w:pPr>
            <w:r>
              <w:t>+11.376%</w:t>
            </w:r>
            <w:r w:rsidR="000B5DC6">
              <w:t>*</w:t>
            </w:r>
          </w:p>
        </w:tc>
        <w:tc>
          <w:tcPr>
            <w:tcW w:w="1746" w:type="dxa"/>
            <w:vAlign w:val="bottom"/>
          </w:tcPr>
          <w:p w:rsidR="00A47F49" w:rsidRPr="00A47F49" w:rsidRDefault="00A47F49" w:rsidP="00A47F49">
            <w:pPr>
              <w:pStyle w:val="SVEtablecontent"/>
            </w:pPr>
            <w:r w:rsidRPr="00A47F49">
              <w:t>1.34</w:t>
            </w:r>
          </w:p>
        </w:tc>
        <w:tc>
          <w:tcPr>
            <w:tcW w:w="2401" w:type="dxa"/>
            <w:vAlign w:val="bottom"/>
          </w:tcPr>
          <w:p w:rsidR="00A47F49" w:rsidRDefault="00A47F49" w:rsidP="00A47F49">
            <w:pPr>
              <w:pStyle w:val="SVEtablecontent"/>
            </w:pPr>
            <w:r>
              <w:t>-2.838%</w:t>
            </w:r>
          </w:p>
        </w:tc>
        <w:tc>
          <w:tcPr>
            <w:tcW w:w="1664" w:type="dxa"/>
            <w:vAlign w:val="bottom"/>
          </w:tcPr>
          <w:p w:rsidR="00A47F49" w:rsidRPr="00A47F49" w:rsidRDefault="00A47F49" w:rsidP="00A47F49">
            <w:pPr>
              <w:pStyle w:val="SVEtablecontent"/>
            </w:pPr>
            <w:r w:rsidRPr="00A47F49">
              <w:t>-0.32</w:t>
            </w:r>
          </w:p>
        </w:tc>
      </w:tr>
      <w:tr w:rsidR="00A47F49" w:rsidTr="00DB5C1B">
        <w:tc>
          <w:tcPr>
            <w:tcW w:w="1763" w:type="dxa"/>
          </w:tcPr>
          <w:p w:rsidR="00A47F49" w:rsidRDefault="00A47F49" w:rsidP="00A47F49">
            <w:pPr>
              <w:ind w:firstLine="0"/>
              <w:rPr>
                <w:lang w:val="en-GB"/>
              </w:rPr>
            </w:pPr>
            <w:r>
              <w:rPr>
                <w:lang w:val="en-GB"/>
              </w:rPr>
              <w:t>7</w:t>
            </w:r>
          </w:p>
        </w:tc>
        <w:tc>
          <w:tcPr>
            <w:tcW w:w="1771" w:type="dxa"/>
            <w:vAlign w:val="bottom"/>
          </w:tcPr>
          <w:p w:rsidR="00A47F49" w:rsidRDefault="00A47F49" w:rsidP="00A47F49">
            <w:pPr>
              <w:pStyle w:val="SVEtablecontent"/>
            </w:pPr>
            <w:r>
              <w:t>+9.042%</w:t>
            </w:r>
          </w:p>
        </w:tc>
        <w:tc>
          <w:tcPr>
            <w:tcW w:w="1746" w:type="dxa"/>
            <w:vAlign w:val="bottom"/>
          </w:tcPr>
          <w:p w:rsidR="00A47F49" w:rsidRPr="00A47F49" w:rsidRDefault="00A47F49" w:rsidP="00A47F49">
            <w:pPr>
              <w:pStyle w:val="SVEtablecontent"/>
            </w:pPr>
            <w:r w:rsidRPr="00A47F49">
              <w:t>1.08</w:t>
            </w:r>
          </w:p>
        </w:tc>
        <w:tc>
          <w:tcPr>
            <w:tcW w:w="2401" w:type="dxa"/>
            <w:vAlign w:val="bottom"/>
          </w:tcPr>
          <w:p w:rsidR="00A47F49" w:rsidRDefault="00A47F49" w:rsidP="00A47F49">
            <w:pPr>
              <w:pStyle w:val="SVEtablecontent"/>
            </w:pPr>
            <w:r>
              <w:t>-0.523%</w:t>
            </w:r>
          </w:p>
        </w:tc>
        <w:tc>
          <w:tcPr>
            <w:tcW w:w="1664" w:type="dxa"/>
            <w:vAlign w:val="bottom"/>
          </w:tcPr>
          <w:p w:rsidR="00A47F49" w:rsidRPr="00A47F49" w:rsidRDefault="00A47F49" w:rsidP="00A47F49">
            <w:pPr>
              <w:pStyle w:val="SVEtablecontent"/>
            </w:pPr>
            <w:r w:rsidRPr="00A47F49">
              <w:t>-0.06</w:t>
            </w:r>
          </w:p>
        </w:tc>
      </w:tr>
      <w:tr w:rsidR="00A47F49" w:rsidTr="00DB5C1B">
        <w:tc>
          <w:tcPr>
            <w:tcW w:w="1763" w:type="dxa"/>
          </w:tcPr>
          <w:p w:rsidR="00A47F49" w:rsidRDefault="00A47F49" w:rsidP="00A47F49">
            <w:pPr>
              <w:ind w:firstLine="0"/>
              <w:rPr>
                <w:lang w:val="en-GB"/>
              </w:rPr>
            </w:pPr>
            <w:r>
              <w:rPr>
                <w:lang w:val="en-GB"/>
              </w:rPr>
              <w:t>6</w:t>
            </w:r>
          </w:p>
        </w:tc>
        <w:tc>
          <w:tcPr>
            <w:tcW w:w="1771" w:type="dxa"/>
            <w:vAlign w:val="bottom"/>
          </w:tcPr>
          <w:p w:rsidR="00A47F49" w:rsidRDefault="00A47F49" w:rsidP="00A47F49">
            <w:pPr>
              <w:pStyle w:val="SVEtablecontent"/>
            </w:pPr>
            <w:r>
              <w:t>+6.718%</w:t>
            </w:r>
          </w:p>
        </w:tc>
        <w:tc>
          <w:tcPr>
            <w:tcW w:w="1746" w:type="dxa"/>
            <w:vAlign w:val="bottom"/>
          </w:tcPr>
          <w:p w:rsidR="00A47F49" w:rsidRPr="00A47F49" w:rsidRDefault="00A47F49" w:rsidP="00A47F49">
            <w:pPr>
              <w:pStyle w:val="SVEtablecontent"/>
            </w:pPr>
            <w:r w:rsidRPr="00A47F49">
              <w:t>0.82</w:t>
            </w:r>
          </w:p>
        </w:tc>
        <w:tc>
          <w:tcPr>
            <w:tcW w:w="2401" w:type="dxa"/>
            <w:vAlign w:val="bottom"/>
          </w:tcPr>
          <w:p w:rsidR="00A47F49" w:rsidRDefault="00A47F49" w:rsidP="00A47F49">
            <w:pPr>
              <w:pStyle w:val="SVEtablecontent"/>
            </w:pPr>
            <w:r>
              <w:t>-1.863%</w:t>
            </w:r>
          </w:p>
        </w:tc>
        <w:tc>
          <w:tcPr>
            <w:tcW w:w="1664" w:type="dxa"/>
            <w:vAlign w:val="bottom"/>
          </w:tcPr>
          <w:p w:rsidR="00A47F49" w:rsidRPr="00A47F49" w:rsidRDefault="00A47F49" w:rsidP="00A47F49">
            <w:pPr>
              <w:pStyle w:val="SVEtablecontent"/>
            </w:pPr>
            <w:r w:rsidRPr="00A47F49">
              <w:t>-0.21</w:t>
            </w:r>
          </w:p>
        </w:tc>
      </w:tr>
      <w:tr w:rsidR="00A47F49" w:rsidTr="00DB5C1B">
        <w:tc>
          <w:tcPr>
            <w:tcW w:w="1763" w:type="dxa"/>
          </w:tcPr>
          <w:p w:rsidR="00A47F49" w:rsidRDefault="00A47F49" w:rsidP="00A47F49">
            <w:pPr>
              <w:ind w:firstLine="0"/>
              <w:rPr>
                <w:lang w:val="en-GB"/>
              </w:rPr>
            </w:pPr>
            <w:r>
              <w:rPr>
                <w:lang w:val="en-GB"/>
              </w:rPr>
              <w:t>5</w:t>
            </w:r>
          </w:p>
        </w:tc>
        <w:tc>
          <w:tcPr>
            <w:tcW w:w="1771" w:type="dxa"/>
            <w:vAlign w:val="bottom"/>
          </w:tcPr>
          <w:p w:rsidR="00A47F49" w:rsidRDefault="00A47F49" w:rsidP="00A47F49">
            <w:pPr>
              <w:pStyle w:val="SVEtablecontent"/>
            </w:pPr>
            <w:r>
              <w:t>+4.103%</w:t>
            </w:r>
          </w:p>
        </w:tc>
        <w:tc>
          <w:tcPr>
            <w:tcW w:w="1746" w:type="dxa"/>
            <w:vAlign w:val="bottom"/>
          </w:tcPr>
          <w:p w:rsidR="00A47F49" w:rsidRPr="00A47F49" w:rsidRDefault="00A47F49" w:rsidP="00A47F49">
            <w:pPr>
              <w:pStyle w:val="SVEtablecontent"/>
            </w:pPr>
            <w:r w:rsidRPr="00A47F49">
              <w:t>0.53</w:t>
            </w:r>
          </w:p>
        </w:tc>
        <w:tc>
          <w:tcPr>
            <w:tcW w:w="2401" w:type="dxa"/>
            <w:vAlign w:val="bottom"/>
          </w:tcPr>
          <w:p w:rsidR="00A47F49" w:rsidRDefault="00A47F49" w:rsidP="00A47F49">
            <w:pPr>
              <w:pStyle w:val="SVEtablecontent"/>
            </w:pPr>
            <w:r>
              <w:t>-0.353%</w:t>
            </w:r>
          </w:p>
        </w:tc>
        <w:tc>
          <w:tcPr>
            <w:tcW w:w="1664" w:type="dxa"/>
            <w:vAlign w:val="bottom"/>
          </w:tcPr>
          <w:p w:rsidR="00A47F49" w:rsidRPr="00A47F49" w:rsidRDefault="00A47F49" w:rsidP="00A47F49">
            <w:pPr>
              <w:pStyle w:val="SVEtablecontent"/>
            </w:pPr>
            <w:r w:rsidRPr="00A47F49">
              <w:t>-0.04</w:t>
            </w:r>
          </w:p>
        </w:tc>
      </w:tr>
      <w:tr w:rsidR="00A47F49" w:rsidTr="00DB5C1B">
        <w:tc>
          <w:tcPr>
            <w:tcW w:w="1763" w:type="dxa"/>
          </w:tcPr>
          <w:p w:rsidR="00A47F49" w:rsidRDefault="00A47F49" w:rsidP="00A47F49">
            <w:pPr>
              <w:ind w:firstLine="0"/>
              <w:rPr>
                <w:lang w:val="en-GB"/>
              </w:rPr>
            </w:pPr>
            <w:r>
              <w:rPr>
                <w:lang w:val="en-GB"/>
              </w:rPr>
              <w:t>4</w:t>
            </w:r>
          </w:p>
        </w:tc>
        <w:tc>
          <w:tcPr>
            <w:tcW w:w="1771" w:type="dxa"/>
            <w:vAlign w:val="bottom"/>
          </w:tcPr>
          <w:p w:rsidR="00A47F49" w:rsidRDefault="00A47F49" w:rsidP="00A47F49">
            <w:pPr>
              <w:pStyle w:val="SVEtablecontent"/>
            </w:pPr>
            <w:r>
              <w:t>+1.825%</w:t>
            </w:r>
          </w:p>
        </w:tc>
        <w:tc>
          <w:tcPr>
            <w:tcW w:w="1746" w:type="dxa"/>
            <w:vAlign w:val="bottom"/>
          </w:tcPr>
          <w:p w:rsidR="00A47F49" w:rsidRPr="00A47F49" w:rsidRDefault="00A47F49" w:rsidP="00A47F49">
            <w:pPr>
              <w:pStyle w:val="SVEtablecontent"/>
            </w:pPr>
            <w:r w:rsidRPr="00A47F49">
              <w:t>0.28</w:t>
            </w:r>
          </w:p>
        </w:tc>
        <w:tc>
          <w:tcPr>
            <w:tcW w:w="2401" w:type="dxa"/>
            <w:vAlign w:val="bottom"/>
          </w:tcPr>
          <w:p w:rsidR="00A47F49" w:rsidRDefault="00A47F49" w:rsidP="00A47F49">
            <w:pPr>
              <w:pStyle w:val="SVEtablecontent"/>
            </w:pPr>
            <w:r>
              <w:t>+0.329%</w:t>
            </w:r>
          </w:p>
        </w:tc>
        <w:tc>
          <w:tcPr>
            <w:tcW w:w="1664" w:type="dxa"/>
            <w:vAlign w:val="bottom"/>
          </w:tcPr>
          <w:p w:rsidR="00A47F49" w:rsidRPr="00A47F49" w:rsidRDefault="00A47F49" w:rsidP="00A47F49">
            <w:pPr>
              <w:pStyle w:val="SVEtablecontent"/>
            </w:pPr>
            <w:r w:rsidRPr="00A47F49">
              <w:t>0.04</w:t>
            </w:r>
          </w:p>
        </w:tc>
      </w:tr>
      <w:tr w:rsidR="00A47F49" w:rsidTr="00DB5C1B">
        <w:tc>
          <w:tcPr>
            <w:tcW w:w="1763" w:type="dxa"/>
          </w:tcPr>
          <w:p w:rsidR="00A47F49" w:rsidRDefault="00A47F49" w:rsidP="00A47F49">
            <w:pPr>
              <w:ind w:firstLine="0"/>
              <w:rPr>
                <w:lang w:val="en-GB"/>
              </w:rPr>
            </w:pPr>
            <w:r>
              <w:rPr>
                <w:lang w:val="en-GB"/>
              </w:rPr>
              <w:t>3</w:t>
            </w:r>
          </w:p>
        </w:tc>
        <w:tc>
          <w:tcPr>
            <w:tcW w:w="1771" w:type="dxa"/>
            <w:vAlign w:val="bottom"/>
          </w:tcPr>
          <w:p w:rsidR="00A47F49" w:rsidRDefault="00A47F49" w:rsidP="00A47F49">
            <w:pPr>
              <w:pStyle w:val="SVEtablecontent"/>
            </w:pPr>
            <w:r>
              <w:t>+4.729%</w:t>
            </w:r>
          </w:p>
        </w:tc>
        <w:tc>
          <w:tcPr>
            <w:tcW w:w="1746" w:type="dxa"/>
            <w:vAlign w:val="bottom"/>
          </w:tcPr>
          <w:p w:rsidR="00A47F49" w:rsidRPr="00A47F49" w:rsidRDefault="00A47F49" w:rsidP="00A47F49">
            <w:pPr>
              <w:pStyle w:val="SVEtablecontent"/>
            </w:pPr>
            <w:r w:rsidRPr="00A47F49">
              <w:t>0.60</w:t>
            </w:r>
          </w:p>
        </w:tc>
        <w:tc>
          <w:tcPr>
            <w:tcW w:w="2401" w:type="dxa"/>
            <w:vAlign w:val="bottom"/>
          </w:tcPr>
          <w:p w:rsidR="00A47F49" w:rsidRDefault="00A47F49" w:rsidP="00A47F49">
            <w:pPr>
              <w:pStyle w:val="SVEtablecontent"/>
            </w:pPr>
            <w:r>
              <w:t>-0.457%</w:t>
            </w:r>
          </w:p>
        </w:tc>
        <w:tc>
          <w:tcPr>
            <w:tcW w:w="1664" w:type="dxa"/>
            <w:vAlign w:val="bottom"/>
          </w:tcPr>
          <w:p w:rsidR="00A47F49" w:rsidRPr="00A47F49" w:rsidRDefault="00A47F49" w:rsidP="00A47F49">
            <w:pPr>
              <w:pStyle w:val="SVEtablecontent"/>
            </w:pPr>
            <w:r w:rsidRPr="00A47F49">
              <w:t>-0.05</w:t>
            </w:r>
          </w:p>
        </w:tc>
      </w:tr>
      <w:tr w:rsidR="00A47F49" w:rsidTr="00DB5C1B">
        <w:tc>
          <w:tcPr>
            <w:tcW w:w="1763" w:type="dxa"/>
          </w:tcPr>
          <w:p w:rsidR="00A47F49" w:rsidRDefault="00A47F49" w:rsidP="00A47F49">
            <w:pPr>
              <w:ind w:firstLine="0"/>
              <w:rPr>
                <w:lang w:val="en-GB"/>
              </w:rPr>
            </w:pPr>
            <w:r>
              <w:rPr>
                <w:lang w:val="en-GB"/>
              </w:rPr>
              <w:t>2</w:t>
            </w:r>
          </w:p>
        </w:tc>
        <w:tc>
          <w:tcPr>
            <w:tcW w:w="1771" w:type="dxa"/>
            <w:vAlign w:val="bottom"/>
          </w:tcPr>
          <w:p w:rsidR="00A47F49" w:rsidRDefault="00A47F49" w:rsidP="00A47F49">
            <w:pPr>
              <w:pStyle w:val="SVEtablecontent"/>
            </w:pPr>
            <w:r>
              <w:t>+5.728%</w:t>
            </w:r>
          </w:p>
        </w:tc>
        <w:tc>
          <w:tcPr>
            <w:tcW w:w="1746" w:type="dxa"/>
            <w:vAlign w:val="bottom"/>
          </w:tcPr>
          <w:p w:rsidR="00A47F49" w:rsidRPr="00A47F49" w:rsidRDefault="00A47F49" w:rsidP="00A47F49">
            <w:pPr>
              <w:pStyle w:val="SVEtablecontent"/>
            </w:pPr>
            <w:r w:rsidRPr="00A47F49">
              <w:t>0.71</w:t>
            </w:r>
          </w:p>
        </w:tc>
        <w:tc>
          <w:tcPr>
            <w:tcW w:w="2401" w:type="dxa"/>
            <w:vAlign w:val="bottom"/>
          </w:tcPr>
          <w:p w:rsidR="00A47F49" w:rsidRDefault="00A47F49" w:rsidP="00A47F49">
            <w:pPr>
              <w:pStyle w:val="SVEtablecontent"/>
            </w:pPr>
            <w:r>
              <w:t>+2.199%</w:t>
            </w:r>
          </w:p>
        </w:tc>
        <w:tc>
          <w:tcPr>
            <w:tcW w:w="1664" w:type="dxa"/>
            <w:vAlign w:val="bottom"/>
          </w:tcPr>
          <w:p w:rsidR="00A47F49" w:rsidRPr="00A47F49" w:rsidRDefault="00A47F49" w:rsidP="00A47F49">
            <w:pPr>
              <w:pStyle w:val="SVEtablecontent"/>
            </w:pPr>
            <w:r w:rsidRPr="00A47F49">
              <w:t>0.25</w:t>
            </w:r>
          </w:p>
        </w:tc>
      </w:tr>
      <w:tr w:rsidR="00A47F49" w:rsidTr="00DB5C1B">
        <w:tc>
          <w:tcPr>
            <w:tcW w:w="1763" w:type="dxa"/>
          </w:tcPr>
          <w:p w:rsidR="00A47F49" w:rsidRDefault="00A47F49" w:rsidP="00A47F49">
            <w:pPr>
              <w:ind w:firstLine="0"/>
              <w:rPr>
                <w:lang w:val="en-GB"/>
              </w:rPr>
            </w:pPr>
            <w:r>
              <w:rPr>
                <w:lang w:val="en-GB"/>
              </w:rPr>
              <w:lastRenderedPageBreak/>
              <w:t>1</w:t>
            </w:r>
          </w:p>
        </w:tc>
        <w:tc>
          <w:tcPr>
            <w:tcW w:w="1771" w:type="dxa"/>
            <w:vAlign w:val="bottom"/>
          </w:tcPr>
          <w:p w:rsidR="00A47F49" w:rsidRDefault="00A47F49" w:rsidP="00A47F49">
            <w:pPr>
              <w:pStyle w:val="SVEtablecontent"/>
            </w:pPr>
            <w:r>
              <w:t>+3.833%</w:t>
            </w:r>
          </w:p>
        </w:tc>
        <w:tc>
          <w:tcPr>
            <w:tcW w:w="1746" w:type="dxa"/>
            <w:vAlign w:val="bottom"/>
          </w:tcPr>
          <w:p w:rsidR="00A47F49" w:rsidRPr="00A47F49" w:rsidRDefault="00A47F49" w:rsidP="00A47F49">
            <w:pPr>
              <w:pStyle w:val="SVEtablecontent"/>
            </w:pPr>
            <w:r w:rsidRPr="00A47F49">
              <w:t>0.50</w:t>
            </w:r>
          </w:p>
        </w:tc>
        <w:tc>
          <w:tcPr>
            <w:tcW w:w="2401" w:type="dxa"/>
            <w:vAlign w:val="bottom"/>
          </w:tcPr>
          <w:p w:rsidR="00A47F49" w:rsidRDefault="00A47F49" w:rsidP="00A47F49">
            <w:pPr>
              <w:pStyle w:val="SVEtablecontent"/>
            </w:pPr>
            <w:r>
              <w:t>-0.006%</w:t>
            </w:r>
          </w:p>
        </w:tc>
        <w:tc>
          <w:tcPr>
            <w:tcW w:w="1664" w:type="dxa"/>
            <w:vAlign w:val="bottom"/>
          </w:tcPr>
          <w:p w:rsidR="00A47F49" w:rsidRPr="00A47F49" w:rsidRDefault="00A47F49" w:rsidP="00A47F49">
            <w:pPr>
              <w:pStyle w:val="SVEtablecontent"/>
            </w:pPr>
            <w:r w:rsidRPr="00A47F49">
              <w:t>0.00</w:t>
            </w:r>
          </w:p>
        </w:tc>
      </w:tr>
      <w:tr w:rsidR="00A47F49" w:rsidTr="00DB5C1B">
        <w:tc>
          <w:tcPr>
            <w:tcW w:w="1763" w:type="dxa"/>
          </w:tcPr>
          <w:p w:rsidR="00A47F49" w:rsidRDefault="00A47F49" w:rsidP="00A47F49">
            <w:pPr>
              <w:ind w:firstLine="0"/>
              <w:rPr>
                <w:lang w:val="en-GB"/>
              </w:rPr>
            </w:pPr>
            <w:r>
              <w:rPr>
                <w:lang w:val="en-GB"/>
              </w:rPr>
              <w:t>0</w:t>
            </w:r>
          </w:p>
        </w:tc>
        <w:tc>
          <w:tcPr>
            <w:tcW w:w="1771" w:type="dxa"/>
            <w:vAlign w:val="bottom"/>
          </w:tcPr>
          <w:p w:rsidR="00A47F49" w:rsidRDefault="00A47F49" w:rsidP="00A47F49">
            <w:pPr>
              <w:pStyle w:val="SVEtablecontent"/>
            </w:pPr>
            <w:r>
              <w:t>+4.607%</w:t>
            </w:r>
          </w:p>
        </w:tc>
        <w:tc>
          <w:tcPr>
            <w:tcW w:w="1746" w:type="dxa"/>
            <w:vAlign w:val="bottom"/>
          </w:tcPr>
          <w:p w:rsidR="00A47F49" w:rsidRPr="00A47F49" w:rsidRDefault="00A47F49" w:rsidP="00A47F49">
            <w:pPr>
              <w:pStyle w:val="SVEtablecontent"/>
            </w:pPr>
            <w:r w:rsidRPr="00A47F49">
              <w:t>0.59</w:t>
            </w:r>
          </w:p>
        </w:tc>
        <w:tc>
          <w:tcPr>
            <w:tcW w:w="2401" w:type="dxa"/>
            <w:vAlign w:val="bottom"/>
          </w:tcPr>
          <w:p w:rsidR="00A47F49" w:rsidRDefault="00A47F49" w:rsidP="00A47F49">
            <w:pPr>
              <w:pStyle w:val="SVEtablecontent"/>
            </w:pPr>
            <w:r>
              <w:t>+0.253%</w:t>
            </w:r>
          </w:p>
        </w:tc>
        <w:tc>
          <w:tcPr>
            <w:tcW w:w="1664" w:type="dxa"/>
            <w:vAlign w:val="bottom"/>
          </w:tcPr>
          <w:p w:rsidR="00A47F49" w:rsidRPr="00A47F49" w:rsidRDefault="00A47F49" w:rsidP="00A47F49">
            <w:pPr>
              <w:pStyle w:val="SVEtablecontent"/>
            </w:pPr>
            <w:r w:rsidRPr="00A47F49">
              <w:t>0.08</w:t>
            </w:r>
          </w:p>
        </w:tc>
      </w:tr>
    </w:tbl>
    <w:p w:rsidR="000B5DC6" w:rsidRPr="00D321FD" w:rsidRDefault="000B5DC6" w:rsidP="000B5DC6">
      <w:pPr>
        <w:rPr>
          <w:i/>
          <w:lang w:val="en-GB"/>
        </w:rPr>
      </w:pPr>
      <w:r w:rsidRPr="00D321FD">
        <w:rPr>
          <w:i/>
          <w:lang w:val="en-GB"/>
        </w:rPr>
        <w:t>* Significant at 85% (p&lt;0.15)</w:t>
      </w:r>
    </w:p>
    <w:p w:rsidR="000B5DC6" w:rsidRPr="00D321FD" w:rsidRDefault="000B5DC6" w:rsidP="000B5DC6">
      <w:pPr>
        <w:rPr>
          <w:i/>
          <w:lang w:val="en-GB"/>
        </w:rPr>
      </w:pPr>
      <w:r w:rsidRPr="00D321FD">
        <w:rPr>
          <w:i/>
          <w:lang w:val="en-GB"/>
        </w:rPr>
        <w:t>** Significant at 90% (p&lt;0.1)</w:t>
      </w:r>
    </w:p>
    <w:p w:rsidR="000B5DC6" w:rsidRPr="00D321FD" w:rsidRDefault="000B5DC6" w:rsidP="000B5DC6">
      <w:pPr>
        <w:rPr>
          <w:i/>
          <w:lang w:val="en-GB"/>
        </w:rPr>
      </w:pPr>
      <w:r w:rsidRPr="00D321FD">
        <w:rPr>
          <w:i/>
          <w:lang w:val="en-GB"/>
        </w:rPr>
        <w:t>*** Significant at 95% (p&lt;0.05)</w:t>
      </w:r>
    </w:p>
    <w:p w:rsidR="000B5DC6" w:rsidRPr="00D321FD" w:rsidRDefault="000B5DC6" w:rsidP="000B5DC6">
      <w:pPr>
        <w:rPr>
          <w:i/>
          <w:lang w:val="en-GB"/>
        </w:rPr>
      </w:pPr>
      <w:r w:rsidRPr="00D321FD">
        <w:rPr>
          <w:i/>
          <w:lang w:val="en-GB"/>
        </w:rPr>
        <w:t>4* Significant at 99% (p&lt;0.01)</w:t>
      </w:r>
    </w:p>
    <w:p w:rsidR="00896AF5" w:rsidRDefault="002B4DC6" w:rsidP="00896AF5">
      <w:pPr>
        <w:rPr>
          <w:i/>
          <w:lang w:val="en-GB"/>
        </w:rPr>
      </w:pPr>
      <w:r w:rsidRPr="00D321FD">
        <w:rPr>
          <w:i/>
          <w:lang w:val="en-GB"/>
        </w:rPr>
        <w:t xml:space="preserve">For ABHAR (oth), for months 23, 10 and 8 the significance levels are 89%, 89.8% and 89% respectively. For </w:t>
      </w:r>
      <w:r w:rsidR="000B5DC6" w:rsidRPr="00D321FD">
        <w:rPr>
          <w:i/>
          <w:lang w:val="en-GB"/>
        </w:rPr>
        <w:t>ABHAR (s+w) at month 15 can be explained with a significance level of 87%.</w:t>
      </w:r>
    </w:p>
    <w:p w:rsidR="00357DA8" w:rsidRDefault="00411D7B" w:rsidP="00896AF5">
      <w:pPr>
        <w:rPr>
          <w:lang w:val="en-GB"/>
        </w:rPr>
      </w:pPr>
      <w:r>
        <w:rPr>
          <w:lang w:val="en-GB"/>
        </w:rPr>
        <w:t xml:space="preserve">In the table above, the ABHAR returns for other firms are positive and highest at </w:t>
      </w:r>
      <w:r>
        <w:rPr>
          <w:rFonts w:cs="Times New Roman"/>
          <w:lang w:val="en-GB"/>
        </w:rPr>
        <w:t>τ</w:t>
      </w:r>
      <w:r>
        <w:rPr>
          <w:lang w:val="en-GB"/>
        </w:rPr>
        <w:t xml:space="preserve"> = 24, with return abnormal return of ABHAR (oth) = 15.503%, and statistically significant at 90% (p&lt;0.1) The same significance level applies to </w:t>
      </w:r>
      <w:r w:rsidR="0079364B">
        <w:rPr>
          <w:lang w:val="en-GB"/>
        </w:rPr>
        <w:t xml:space="preserve">the month </w:t>
      </w:r>
      <w:r w:rsidR="0079364B">
        <w:rPr>
          <w:rFonts w:cs="Times New Roman"/>
          <w:lang w:val="en-GB"/>
        </w:rPr>
        <w:t>τ</w:t>
      </w:r>
      <w:r w:rsidR="0079364B">
        <w:rPr>
          <w:lang w:val="en-GB"/>
        </w:rPr>
        <w:t xml:space="preserve">=22, which ABHAR (oth) = </w:t>
      </w:r>
      <w:r w:rsidR="002C3278">
        <w:rPr>
          <w:lang w:val="en-GB"/>
        </w:rPr>
        <w:t>10.988</w:t>
      </w:r>
      <w:proofErr w:type="gramStart"/>
      <w:r w:rsidR="002C3278">
        <w:rPr>
          <w:lang w:val="en-GB"/>
        </w:rPr>
        <w:t>%</w:t>
      </w:r>
      <w:r w:rsidR="0079364B">
        <w:rPr>
          <w:lang w:val="en-GB"/>
        </w:rPr>
        <w:t xml:space="preserve"> </w:t>
      </w:r>
      <w:r>
        <w:rPr>
          <w:lang w:val="en-GB"/>
        </w:rPr>
        <w:t>.</w:t>
      </w:r>
      <w:proofErr w:type="gramEnd"/>
      <w:r>
        <w:rPr>
          <w:lang w:val="en-GB"/>
        </w:rPr>
        <w:t xml:space="preserve"> Under the same assumption that a bit lower significance is acceptable, the return for the same category (oth), in the previous month </w:t>
      </w:r>
      <w:r>
        <w:rPr>
          <w:rFonts w:cs="Times New Roman"/>
          <w:lang w:val="en-GB"/>
        </w:rPr>
        <w:t>τ</w:t>
      </w:r>
      <w:r>
        <w:rPr>
          <w:lang w:val="en-GB"/>
        </w:rPr>
        <w:t xml:space="preserve"> = 23, as its significance level is 89%, so almost enough for p&lt;0.1</w:t>
      </w:r>
      <w:r w:rsidR="002C3278">
        <w:rPr>
          <w:lang w:val="en-GB"/>
        </w:rPr>
        <w:t xml:space="preserve"> The same can be done for 10ty and 8</w:t>
      </w:r>
      <w:r w:rsidR="002C3278" w:rsidRPr="002C3278">
        <w:rPr>
          <w:vertAlign w:val="superscript"/>
          <w:lang w:val="en-GB"/>
        </w:rPr>
        <w:t>th</w:t>
      </w:r>
      <w:r w:rsidR="002C3278">
        <w:rPr>
          <w:lang w:val="en-GB"/>
        </w:rPr>
        <w:t xml:space="preserve"> months with its level of significance at </w:t>
      </w:r>
      <w:r w:rsidR="002C3278" w:rsidRPr="002C3278">
        <w:rPr>
          <w:lang w:val="en-GB"/>
        </w:rPr>
        <w:t>89.8% and 89%</w:t>
      </w:r>
      <w:r w:rsidR="002C3278">
        <w:rPr>
          <w:lang w:val="en-GB"/>
        </w:rPr>
        <w:t xml:space="preserve"> respectively. For calculation of t-statistics for (oth) types abnormal returns the skewness adjusted test has been used, because the estimation on the subsample has revealed the skewness </w:t>
      </w:r>
      <w:r w:rsidR="002C3278">
        <w:rPr>
          <w:rFonts w:cs="Times New Roman"/>
          <w:lang w:val="en-GB"/>
        </w:rPr>
        <w:t>γ</w:t>
      </w:r>
      <w:r w:rsidR="002C3278">
        <w:rPr>
          <w:lang w:val="en-GB"/>
        </w:rPr>
        <w:t>= 1.1, after the new test has been used the power of t-test has improved.</w:t>
      </w:r>
    </w:p>
    <w:p w:rsidR="002C3278" w:rsidRPr="00357DA8" w:rsidRDefault="002C3278" w:rsidP="00896AF5">
      <w:pPr>
        <w:rPr>
          <w:lang w:val="en-GB"/>
        </w:rPr>
      </w:pPr>
      <w:r>
        <w:rPr>
          <w:lang w:val="en-GB"/>
        </w:rPr>
        <w:t>The results from the (w+s) sub sample, the average buy-and-hold abnormal returns is positive after two years of observation</w:t>
      </w:r>
      <w:r w:rsidR="007F5594">
        <w:rPr>
          <w:lang w:val="en-GB"/>
        </w:rPr>
        <w:t>. The test that I am using for this subsample is ordinary t-test, because the skewness here is absent (</w:t>
      </w:r>
      <w:r w:rsidR="007F5594">
        <w:rPr>
          <w:rFonts w:cs="Times New Roman"/>
          <w:lang w:val="en-GB"/>
        </w:rPr>
        <w:t>γ</w:t>
      </w:r>
      <w:r w:rsidR="007F5594">
        <w:rPr>
          <w:lang w:val="en-GB"/>
        </w:rPr>
        <w:t>=0). F</w:t>
      </w:r>
      <w:r>
        <w:rPr>
          <w:lang w:val="en-GB"/>
        </w:rPr>
        <w:t xml:space="preserve">or </w:t>
      </w:r>
      <w:r>
        <w:rPr>
          <w:rFonts w:cs="Times New Roman"/>
          <w:lang w:val="en-GB"/>
        </w:rPr>
        <w:t>τ</w:t>
      </w:r>
      <w:r>
        <w:rPr>
          <w:lang w:val="en-GB"/>
        </w:rPr>
        <w:t xml:space="preserve">=24 ABHAR (w+s) = 15.554, which is slightly more than for (oth) sub sample returns. The t-test has shown the </w:t>
      </w:r>
      <w:r w:rsidR="00C14B59">
        <w:rPr>
          <w:lang w:val="en-GB"/>
        </w:rPr>
        <w:t xml:space="preserve">90% significance (p&lt;0.1). In comparison with a first sub sample, the (w+s) returns are significant for </w:t>
      </w:r>
      <w:r w:rsidR="00C14B59">
        <w:rPr>
          <w:rFonts w:cs="Times New Roman"/>
          <w:lang w:val="en-GB"/>
        </w:rPr>
        <w:t>τ</w:t>
      </w:r>
      <w:r w:rsidR="00C14B59">
        <w:rPr>
          <w:lang w:val="en-GB"/>
        </w:rPr>
        <w:t>=[16;24], sometimes at level of 95% (p&lt;0.05) and if take the same assumption then the 15</w:t>
      </w:r>
      <w:r w:rsidR="00C14B59" w:rsidRPr="00C14B59">
        <w:rPr>
          <w:vertAlign w:val="superscript"/>
          <w:lang w:val="en-GB"/>
        </w:rPr>
        <w:t>th</w:t>
      </w:r>
      <w:r w:rsidR="00C14B59">
        <w:rPr>
          <w:lang w:val="en-GB"/>
        </w:rPr>
        <w:t xml:space="preserve"> month with a 87% level can be also used for rejecting the null hypothesis on mean abnormal return being equal to 0.</w:t>
      </w:r>
    </w:p>
    <w:p w:rsidR="00A13050" w:rsidRDefault="00411D7B" w:rsidP="00FF7304">
      <w:pPr>
        <w:pStyle w:val="SVEfigure"/>
        <w:rPr>
          <w:lang w:val="en-GB"/>
        </w:rPr>
      </w:pPr>
      <w:r>
        <w:rPr>
          <w:noProof/>
          <w:lang w:val="ru-RU" w:eastAsia="ru-RU"/>
        </w:rPr>
        <w:lastRenderedPageBreak/>
        <w:drawing>
          <wp:inline distT="0" distB="0" distL="0" distR="0" wp14:anchorId="0DDE84DA" wp14:editId="000E847F">
            <wp:extent cx="4986618" cy="2981511"/>
            <wp:effectExtent l="0" t="0" r="5080"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FF7304" w:rsidRDefault="00FF7304" w:rsidP="00FF7304">
      <w:pPr>
        <w:pStyle w:val="SVEfigurecaption"/>
        <w:rPr>
          <w:lang w:val="en-GB"/>
        </w:rPr>
      </w:pPr>
      <w:r>
        <w:rPr>
          <w:lang w:val="en-GB"/>
        </w:rPr>
        <w:t>Comparison on abnormal average returns</w:t>
      </w:r>
    </w:p>
    <w:p w:rsidR="002A1892" w:rsidRDefault="002A1892" w:rsidP="002A1892">
      <w:pPr>
        <w:rPr>
          <w:lang w:val="en-GB"/>
        </w:rPr>
      </w:pPr>
      <w:r>
        <w:rPr>
          <w:lang w:val="en-GB"/>
        </w:rPr>
        <w:t xml:space="preserve">After the discussion the results on the test of hypothesis H1.1, we can compare the curves of two charts and make a conclusion on which returns </w:t>
      </w:r>
      <w:r w:rsidR="00431D96">
        <w:rPr>
          <w:lang w:val="en-GB"/>
        </w:rPr>
        <w:t>are</w:t>
      </w:r>
      <w:r>
        <w:rPr>
          <w:lang w:val="en-GB"/>
        </w:rPr>
        <w:t xml:space="preserve"> higher. </w:t>
      </w:r>
      <w:r w:rsidR="00431D96">
        <w:rPr>
          <w:lang w:val="en-GB"/>
        </w:rPr>
        <w:t>During the first year, firms with a</w:t>
      </w:r>
      <w:r w:rsidR="006A5EBD">
        <w:rPr>
          <w:lang w:val="en-GB"/>
        </w:rPr>
        <w:t>n</w:t>
      </w:r>
      <w:r w:rsidR="00431D96">
        <w:rPr>
          <w:lang w:val="en-GB"/>
        </w:rPr>
        <w:t xml:space="preserve"> acquired (other) alternative energy solutions</w:t>
      </w:r>
      <w:r w:rsidR="006A5EBD">
        <w:rPr>
          <w:lang w:val="en-GB"/>
        </w:rPr>
        <w:t xml:space="preserve"> show higher results, but starting with the second year oil&amp;gas companies with wind and solar energy companies in their portfolios become significantly better. Both trend lines have positive slopes but the (w+s) category depicts more intensive category.</w:t>
      </w:r>
    </w:p>
    <w:p w:rsidR="006A5EBD" w:rsidRDefault="006A5EBD" w:rsidP="002A1892">
      <w:pPr>
        <w:rPr>
          <w:lang w:val="en-GB"/>
        </w:rPr>
      </w:pPr>
      <w:r>
        <w:rPr>
          <w:lang w:val="en-GB"/>
        </w:rPr>
        <w:t xml:space="preserve">Therefore, we can conclude that in long-horizon event study for oil&amp;gas companies the strategy on acquiring forms operating in wind and solar energy sectors bring higher returns and </w:t>
      </w:r>
      <w:r w:rsidRPr="009F1583">
        <w:rPr>
          <w:b/>
          <w:i/>
          <w:lang w:val="en-GB"/>
        </w:rPr>
        <w:t>H1.1</w:t>
      </w:r>
      <w:r>
        <w:rPr>
          <w:i/>
          <w:lang w:val="en-GB"/>
        </w:rPr>
        <w:t xml:space="preserve">: M&amp;As with solar and wind companies brings higher returns, </w:t>
      </w:r>
      <w:r>
        <w:rPr>
          <w:lang w:val="en-GB"/>
        </w:rPr>
        <w:t xml:space="preserve">has been </w:t>
      </w:r>
      <w:r w:rsidR="000309A5">
        <w:rPr>
          <w:lang w:val="en-GB"/>
        </w:rPr>
        <w:t>confirmed for</w:t>
      </w:r>
      <w:r>
        <w:rPr>
          <w:lang w:val="en-GB"/>
        </w:rPr>
        <w:t xml:space="preserve"> long-term-term study.</w:t>
      </w:r>
    </w:p>
    <w:p w:rsidR="00482991" w:rsidRDefault="00482991" w:rsidP="00482991">
      <w:pPr>
        <w:pStyle w:val="3"/>
        <w:rPr>
          <w:lang w:val="en-GB"/>
        </w:rPr>
      </w:pPr>
      <w:bookmarkStart w:id="23" w:name="_Toc73640579"/>
      <w:r>
        <w:rPr>
          <w:lang w:val="en-GB"/>
        </w:rPr>
        <w:t>3.1.4 Conclusion</w:t>
      </w:r>
      <w:bookmarkEnd w:id="23"/>
    </w:p>
    <w:p w:rsidR="00482991" w:rsidRDefault="00482991" w:rsidP="00482991">
      <w:pPr>
        <w:rPr>
          <w:lang w:val="en-GB"/>
        </w:rPr>
      </w:pPr>
      <w:r>
        <w:rPr>
          <w:lang w:val="en-GB"/>
        </w:rPr>
        <w:t>In the short-term study for both hypotheses, the statistically significant results have been acquired, what tells us that these abnormal results come not from random, but justified by the announcements of M&amp;As deals.</w:t>
      </w:r>
    </w:p>
    <w:p w:rsidR="00482991" w:rsidRDefault="00482991" w:rsidP="00482991">
      <w:pPr>
        <w:rPr>
          <w:lang w:val="en-GB"/>
        </w:rPr>
      </w:pPr>
      <w:r>
        <w:rPr>
          <w:lang w:val="en-GB"/>
        </w:rPr>
        <w:t xml:space="preserve">The </w:t>
      </w:r>
      <w:r w:rsidRPr="00482991">
        <w:rPr>
          <w:b/>
          <w:i/>
          <w:lang w:val="en-GB"/>
        </w:rPr>
        <w:t>H1</w:t>
      </w:r>
      <w:r>
        <w:rPr>
          <w:lang w:val="en-GB"/>
        </w:rPr>
        <w:t>, in the short-term study has not been proved and stock markets show negative reaction on such types of deals. We could assume that this happens because investors associate the renewable energy business as not profitable and high costly, thus expecting that oil&amp;gas companies holding alternative energy solutions in their portfolio will bear extra costs on them and so worse their financial positions</w:t>
      </w:r>
      <w:r w:rsidR="00F85C61">
        <w:rPr>
          <w:lang w:val="en-GB"/>
        </w:rPr>
        <w:t xml:space="preserve"> in the future. In simple terms, expectations that financial positions of oil&amp;gas companies after M&amp;As will be diminished make investors react negatively on these announcements. However, if to consider the same hypothesis </w:t>
      </w:r>
      <w:r w:rsidR="00F85C61" w:rsidRPr="00482991">
        <w:rPr>
          <w:b/>
          <w:i/>
          <w:lang w:val="en-GB"/>
        </w:rPr>
        <w:t>H1</w:t>
      </w:r>
      <w:r w:rsidR="00F85C61">
        <w:rPr>
          <w:b/>
          <w:i/>
          <w:lang w:val="en-GB"/>
        </w:rPr>
        <w:t xml:space="preserve"> </w:t>
      </w:r>
      <w:r w:rsidR="00F85C61">
        <w:rPr>
          <w:lang w:val="en-GB"/>
        </w:rPr>
        <w:t xml:space="preserve">from the long-horizon </w:t>
      </w:r>
      <w:r w:rsidR="00F85C61">
        <w:rPr>
          <w:lang w:val="en-GB"/>
        </w:rPr>
        <w:lastRenderedPageBreak/>
        <w:t>perspective, then the positive market reaction over the two years of monthly observations are seen. This is even more interesting, if to remind that in BHAR model the compounded returns of event companies are compared to compounded returns of control firms, hence it adds additional points to a suggestion that in long-</w:t>
      </w:r>
      <w:r w:rsidR="00064248">
        <w:rPr>
          <w:lang w:val="en-GB"/>
        </w:rPr>
        <w:t xml:space="preserve">run companies that have incorporated renewable energy assets into its business models are doing better than their peers that did not. Thus, its abnormal returns by the end of period are positive (and statistically significant), what does not respond first reaction of the market on announcements and the hypothesis </w:t>
      </w:r>
      <w:r w:rsidR="00064248" w:rsidRPr="00482991">
        <w:rPr>
          <w:b/>
          <w:i/>
          <w:lang w:val="en-GB"/>
        </w:rPr>
        <w:t>H1</w:t>
      </w:r>
      <w:r w:rsidR="00064248">
        <w:rPr>
          <w:b/>
          <w:i/>
          <w:lang w:val="en-GB"/>
        </w:rPr>
        <w:t xml:space="preserve"> </w:t>
      </w:r>
      <w:r w:rsidR="00064248">
        <w:rPr>
          <w:lang w:val="en-GB"/>
        </w:rPr>
        <w:t>is confirmed for long-run studies.</w:t>
      </w:r>
    </w:p>
    <w:p w:rsidR="00064248" w:rsidRPr="00064248" w:rsidRDefault="00064248" w:rsidP="00482991">
      <w:pPr>
        <w:rPr>
          <w:lang w:val="en-GB"/>
        </w:rPr>
      </w:pPr>
      <w:r>
        <w:rPr>
          <w:lang w:val="en-GB"/>
        </w:rPr>
        <w:t xml:space="preserve">The sub hypothesis </w:t>
      </w:r>
      <w:r w:rsidRPr="00482991">
        <w:rPr>
          <w:b/>
          <w:i/>
          <w:lang w:val="en-GB"/>
        </w:rPr>
        <w:t>H1</w:t>
      </w:r>
      <w:r>
        <w:rPr>
          <w:b/>
          <w:i/>
          <w:lang w:val="en-GB"/>
        </w:rPr>
        <w:t xml:space="preserve">.1 </w:t>
      </w:r>
      <w:r>
        <w:rPr>
          <w:lang w:val="en-GB"/>
        </w:rPr>
        <w:t>that was aimed on defining with what types of alternative energy companies to merge or to acquire h</w:t>
      </w:r>
      <w:r w:rsidR="000E5561">
        <w:rPr>
          <w:lang w:val="en-GB"/>
        </w:rPr>
        <w:t>as shown the advance of M&amp;A deals with companies operating in wind and solar energy sectors. However, in the long-term study it took these assets a year to become more profitable in term of share returns. The results have been proved to be statistically significant.</w:t>
      </w:r>
    </w:p>
    <w:p w:rsidR="00CA3CE0" w:rsidRPr="00FC3324" w:rsidRDefault="00CA3CE0" w:rsidP="00CA3CE0">
      <w:pPr>
        <w:pStyle w:val="2"/>
        <w:rPr>
          <w:lang w:val="en-GB"/>
        </w:rPr>
      </w:pPr>
      <w:bookmarkStart w:id="24" w:name="_Toc73640580"/>
      <w:r>
        <w:rPr>
          <w:lang w:val="en-US"/>
        </w:rPr>
        <w:t>Managerial implications</w:t>
      </w:r>
      <w:bookmarkEnd w:id="24"/>
    </w:p>
    <w:p w:rsidR="00CA3CE0" w:rsidRDefault="00CA3CE0" w:rsidP="00CA3CE0">
      <w:pPr>
        <w:rPr>
          <w:lang w:val="en-GB"/>
        </w:rPr>
      </w:pPr>
      <w:r>
        <w:rPr>
          <w:lang w:val="en-GB"/>
        </w:rPr>
        <w:t>N</w:t>
      </w:r>
      <w:r w:rsidRPr="00CA3CE0">
        <w:rPr>
          <w:lang w:val="en-US"/>
        </w:rPr>
        <w:t>ow that the analysis has been carried out, the hypotheses have been tested and the results have been discussed, we can proceed to the</w:t>
      </w:r>
      <w:r>
        <w:rPr>
          <w:lang w:val="en-US"/>
        </w:rPr>
        <w:t xml:space="preserve"> managerial</w:t>
      </w:r>
      <w:r w:rsidRPr="00CA3CE0">
        <w:rPr>
          <w:lang w:val="en-US"/>
        </w:rPr>
        <w:t xml:space="preserve"> recommendations</w:t>
      </w:r>
      <w:r>
        <w:rPr>
          <w:lang w:val="en-US"/>
        </w:rPr>
        <w:t xml:space="preserve">. As it was mentioned in the research gap the value of this research paper is two-sided from practical point of view. This means that the results acquired during the empirical research can be used by managers of oil&amp;gas companies and by its shareholders and external investors. Practical </w:t>
      </w:r>
      <w:r>
        <w:rPr>
          <w:lang w:val="en-GB"/>
        </w:rPr>
        <w:t>recommendations are presented above:</w:t>
      </w:r>
    </w:p>
    <w:p w:rsidR="00CA3CE0" w:rsidRDefault="00CA3CE0" w:rsidP="00A36559">
      <w:pPr>
        <w:pStyle w:val="aa"/>
        <w:numPr>
          <w:ilvl w:val="0"/>
          <w:numId w:val="11"/>
        </w:numPr>
        <w:rPr>
          <w:lang w:val="en-GB"/>
        </w:rPr>
      </w:pPr>
      <w:r>
        <w:rPr>
          <w:lang w:val="en-GB"/>
        </w:rPr>
        <w:t xml:space="preserve">Oil and gas companies should participate in M&amp;A with alternative energy companies if they want to attract </w:t>
      </w:r>
      <w:r w:rsidR="00705BD1">
        <w:rPr>
          <w:lang w:val="en-GB"/>
        </w:rPr>
        <w:t>become more attractive for investors</w:t>
      </w:r>
      <w:r>
        <w:rPr>
          <w:lang w:val="en-GB"/>
        </w:rPr>
        <w:t xml:space="preserve"> and thus </w:t>
      </w:r>
      <w:r w:rsidR="00705BD1">
        <w:rPr>
          <w:lang w:val="en-GB"/>
        </w:rPr>
        <w:t xml:space="preserve">gain excess investments that will strengthen their positions and </w:t>
      </w:r>
      <w:r w:rsidR="00705BD1" w:rsidRPr="00705BD1">
        <w:rPr>
          <w:lang w:val="en-GB"/>
        </w:rPr>
        <w:t>increase capitalization in the long-term perspective</w:t>
      </w:r>
    </w:p>
    <w:p w:rsidR="00705BD1" w:rsidRDefault="00705BD1" w:rsidP="00A36559">
      <w:pPr>
        <w:pStyle w:val="aa"/>
        <w:numPr>
          <w:ilvl w:val="0"/>
          <w:numId w:val="11"/>
        </w:numPr>
        <w:rPr>
          <w:lang w:val="en-GB"/>
        </w:rPr>
      </w:pPr>
      <w:r>
        <w:rPr>
          <w:lang w:val="en-GB"/>
        </w:rPr>
        <w:t>Oil and gas companies should choose wind and solar energy assets to acquire. These type of targets provide not only the portfolio diversification and help in energy transition in context of low-carbon energy transition, but also bring higher short-run and long-run returns</w:t>
      </w:r>
    </w:p>
    <w:p w:rsidR="00994A1B" w:rsidRPr="00A25F75" w:rsidRDefault="00A25F75" w:rsidP="00A36559">
      <w:pPr>
        <w:pStyle w:val="aa"/>
        <w:numPr>
          <w:ilvl w:val="0"/>
          <w:numId w:val="11"/>
        </w:numPr>
        <w:rPr>
          <w:lang w:val="en-US"/>
        </w:rPr>
      </w:pPr>
      <w:r>
        <w:rPr>
          <w:lang w:val="en-GB"/>
        </w:rPr>
        <w:t xml:space="preserve">Institutional and individual investors should consider oil&amp;gas companies that have recently participated in M&amp;A deals with the renewable energy companies as a promising entities to allocate their money, because in the long-run it would bring them positive abnormal returns. But, current holding investors should be aware that at a day of announcement of such type of deals their stocks will show negative abnormal returns, but they still need to hold these shares because in the future, when renewable energy assets will be incorporated, they will enjoy high abnormal returns. </w:t>
      </w:r>
    </w:p>
    <w:p w:rsidR="00A25F75" w:rsidRPr="00994A1B" w:rsidRDefault="00A25F75" w:rsidP="00A36559">
      <w:pPr>
        <w:pStyle w:val="aa"/>
        <w:numPr>
          <w:ilvl w:val="0"/>
          <w:numId w:val="11"/>
        </w:numPr>
        <w:rPr>
          <w:lang w:val="en-US"/>
        </w:rPr>
      </w:pPr>
      <w:r>
        <w:rPr>
          <w:lang w:val="en-GB"/>
        </w:rPr>
        <w:lastRenderedPageBreak/>
        <w:t>Investors should pay an extra attention to the deals of oil&amp;gas companies with solar and wind alternative energy firms, as such types of deals bring higher returns in comparison with other categories of renewable energy sector.</w:t>
      </w:r>
    </w:p>
    <w:p w:rsidR="00994A1B" w:rsidRDefault="00994A1B" w:rsidP="00994A1B">
      <w:pPr>
        <w:rPr>
          <w:lang w:val="en-US"/>
        </w:rPr>
      </w:pPr>
    </w:p>
    <w:p w:rsidR="00A25F75" w:rsidRPr="00FC3324" w:rsidRDefault="00A25F75" w:rsidP="00A25F75">
      <w:pPr>
        <w:pStyle w:val="3"/>
        <w:rPr>
          <w:lang w:val="en-GB"/>
        </w:rPr>
      </w:pPr>
      <w:bookmarkStart w:id="25" w:name="_Toc73640581"/>
      <w:r>
        <w:rPr>
          <w:lang w:val="en-US"/>
        </w:rPr>
        <w:t>3.2. Contribution to academic literature</w:t>
      </w:r>
      <w:bookmarkEnd w:id="25"/>
    </w:p>
    <w:p w:rsidR="00A25F75" w:rsidRDefault="00A25F75" w:rsidP="00A25F75">
      <w:pPr>
        <w:rPr>
          <w:lang w:val="en-GB"/>
        </w:rPr>
      </w:pPr>
      <w:r>
        <w:rPr>
          <w:lang w:val="en-US"/>
        </w:rPr>
        <w:t xml:space="preserve">In space of researches on M&amp;A, mostly there are plenty of studies covering issues of the internal industry deals, like </w:t>
      </w:r>
      <w:r>
        <w:rPr>
          <w:lang w:val="en-GB"/>
        </w:rPr>
        <w:t>(</w:t>
      </w:r>
      <w:r w:rsidRPr="004942D2">
        <w:rPr>
          <w:lang w:val="en-GB"/>
        </w:rPr>
        <w:t>K.S. Reddy, En Xie,</w:t>
      </w:r>
      <w:r>
        <w:rPr>
          <w:lang w:val="en-GB"/>
        </w:rPr>
        <w:t xml:space="preserve"> </w:t>
      </w:r>
      <w:r w:rsidRPr="004942D2">
        <w:rPr>
          <w:lang w:val="en-GB"/>
        </w:rPr>
        <w:t>2017</w:t>
      </w:r>
      <w:r>
        <w:rPr>
          <w:lang w:val="en-GB"/>
        </w:rPr>
        <w:t>), (Y. Guo, Y. Yang, C.</w:t>
      </w:r>
      <w:r w:rsidRPr="00E20C96">
        <w:rPr>
          <w:lang w:val="en-GB"/>
        </w:rPr>
        <w:t xml:space="preserve"> Wang,</w:t>
      </w:r>
      <w:r>
        <w:rPr>
          <w:lang w:val="en-GB"/>
        </w:rPr>
        <w:t xml:space="preserve"> 2021)</w:t>
      </w:r>
      <w:r>
        <w:rPr>
          <w:rStyle w:val="af0"/>
          <w:lang w:val="en-GB"/>
        </w:rPr>
        <w:footnoteReference w:id="80"/>
      </w:r>
      <w:r>
        <w:rPr>
          <w:lang w:val="en-GB"/>
        </w:rPr>
        <w:t xml:space="preserve"> and (K. Hsu, M. Wright, Z.</w:t>
      </w:r>
      <w:r w:rsidRPr="00E20C96">
        <w:rPr>
          <w:lang w:val="en-GB"/>
        </w:rPr>
        <w:t xml:space="preserve"> Zhu</w:t>
      </w:r>
      <w:r>
        <w:rPr>
          <w:lang w:val="en-GB"/>
        </w:rPr>
        <w:t>, 2017)</w:t>
      </w:r>
      <w:r>
        <w:rPr>
          <w:rStyle w:val="af0"/>
          <w:lang w:val="en-GB"/>
        </w:rPr>
        <w:footnoteReference w:id="81"/>
      </w:r>
      <w:r>
        <w:rPr>
          <w:lang w:val="en-GB"/>
        </w:rPr>
        <w:t xml:space="preserve">. However, there exist very important study (K. Yoo, 2013) that used an event method to assess the market reaction on M&amp;A deals carried out in alternative energy industry, however the study is wider and considers heterogeneous deals (within renewable energy), cross sectional (within energy sector) and with other types of industries, whereas my study is more narrowed an focus on M&amp;A deals between strictly oil&amp;gas companies and renewable energy companies. The goal of my study is not just to evaluate markets reaction on particular this types of event but to clarify if this type of transition strategy of oil&amp;gas companies would bring them additional short and long-run value. </w:t>
      </w:r>
      <w:r w:rsidR="007D563A">
        <w:rPr>
          <w:lang w:val="en-GB"/>
        </w:rPr>
        <w:t xml:space="preserve">Right now, this is probably a first study (in open sources) that evaluates not only short-term reaction (what has been partially done by Yoo, 2013) but a long-horizon dynamic as well. </w:t>
      </w:r>
      <w:r>
        <w:rPr>
          <w:lang w:val="en-GB"/>
        </w:rPr>
        <w:t xml:space="preserve">Therefore it makes a next step for studies that discuss the transitions strategies of oil and gas companies, but do not evaluate its effect for companies itself and their shareholders </w:t>
      </w:r>
      <w:r w:rsidRPr="00E13425">
        <w:rPr>
          <w:lang w:val="en-GB"/>
        </w:rPr>
        <w:t>(</w:t>
      </w:r>
      <w:r>
        <w:rPr>
          <w:lang w:val="en-GB"/>
        </w:rPr>
        <w:t>Stanley Porter, Duane Dickson, Kate Hardin, Thomas Shattuck, 2020</w:t>
      </w:r>
      <w:r w:rsidRPr="00E13425">
        <w:rPr>
          <w:lang w:val="en-GB"/>
        </w:rPr>
        <w:t>)</w:t>
      </w:r>
      <w:r>
        <w:rPr>
          <w:lang w:val="en-GB"/>
        </w:rPr>
        <w:t>, (</w:t>
      </w:r>
      <w:r w:rsidR="007D563A">
        <w:rPr>
          <w:lang w:val="en-GB"/>
        </w:rPr>
        <w:t>H,</w:t>
      </w:r>
      <w:r w:rsidRPr="00834CB5">
        <w:rPr>
          <w:lang w:val="en-GB"/>
        </w:rPr>
        <w:t xml:space="preserve"> Lu</w:t>
      </w:r>
      <w:r>
        <w:rPr>
          <w:lang w:val="en-GB"/>
        </w:rPr>
        <w:t xml:space="preserve">, </w:t>
      </w:r>
      <w:r w:rsidR="007D563A">
        <w:rPr>
          <w:lang w:val="en-GB"/>
        </w:rPr>
        <w:t>L.</w:t>
      </w:r>
      <w:r w:rsidRPr="00834CB5">
        <w:rPr>
          <w:lang w:val="en-GB"/>
        </w:rPr>
        <w:t xml:space="preserve"> Guo</w:t>
      </w:r>
      <w:r>
        <w:rPr>
          <w:lang w:val="en-GB"/>
        </w:rPr>
        <w:t xml:space="preserve">, </w:t>
      </w:r>
      <w:r w:rsidR="007D563A">
        <w:rPr>
          <w:lang w:val="en-GB"/>
        </w:rPr>
        <w:t xml:space="preserve">Y. </w:t>
      </w:r>
      <w:r w:rsidRPr="00834CB5">
        <w:rPr>
          <w:lang w:val="en-GB"/>
        </w:rPr>
        <w:t>Zhan</w:t>
      </w:r>
      <w:r>
        <w:rPr>
          <w:lang w:val="en-GB"/>
        </w:rPr>
        <w:t>, 2019), (</w:t>
      </w:r>
      <w:r w:rsidRPr="00DF3916">
        <w:rPr>
          <w:lang w:val="en-GB"/>
        </w:rPr>
        <w:t>Matthias J.</w:t>
      </w:r>
      <w:r>
        <w:rPr>
          <w:lang w:val="en-GB"/>
        </w:rPr>
        <w:t xml:space="preserve"> </w:t>
      </w:r>
      <w:r w:rsidRPr="00DF3916">
        <w:rPr>
          <w:lang w:val="en-GB"/>
        </w:rPr>
        <w:t>Pickl</w:t>
      </w:r>
      <w:r>
        <w:rPr>
          <w:lang w:val="en-GB"/>
        </w:rPr>
        <w:t>, 2019).</w:t>
      </w:r>
    </w:p>
    <w:p w:rsidR="00A25F75" w:rsidRDefault="00A25F75" w:rsidP="00A25F75">
      <w:pPr>
        <w:rPr>
          <w:lang w:val="en-GB"/>
        </w:rPr>
      </w:pPr>
      <w:r>
        <w:rPr>
          <w:lang w:val="en-GB"/>
        </w:rPr>
        <w:t>A small contribution might be applied to the research methodology of buy-and-hold abnormal returns that I used in long-horizon studies. In my case, the right wing skewness has appeared in several sample and the samples itself ae cross-sectional, so the skewness adjusted t-test has proved itself to be more accurate for measuring the level of significance (J.</w:t>
      </w:r>
      <w:r w:rsidRPr="001A5D5F">
        <w:rPr>
          <w:lang w:val="en-GB"/>
        </w:rPr>
        <w:t xml:space="preserve"> D. Lyon,</w:t>
      </w:r>
      <w:r>
        <w:rPr>
          <w:lang w:val="en-GB"/>
        </w:rPr>
        <w:t xml:space="preserve"> B</w:t>
      </w:r>
      <w:r w:rsidRPr="001A5D5F">
        <w:rPr>
          <w:lang w:val="en-GB"/>
        </w:rPr>
        <w:t>. Barber and C</w:t>
      </w:r>
      <w:r>
        <w:rPr>
          <w:lang w:val="en-GB"/>
        </w:rPr>
        <w:t>.</w:t>
      </w:r>
      <w:r w:rsidRPr="001A5D5F">
        <w:rPr>
          <w:lang w:val="en-GB"/>
        </w:rPr>
        <w:t xml:space="preserve"> Tsai</w:t>
      </w:r>
      <w:r>
        <w:rPr>
          <w:lang w:val="en-GB"/>
        </w:rPr>
        <w:t>, 1999).</w:t>
      </w:r>
    </w:p>
    <w:p w:rsidR="00FF7304" w:rsidRPr="00A25F75" w:rsidRDefault="00FF7304" w:rsidP="00FF7304">
      <w:pPr>
        <w:rPr>
          <w:lang w:val="en-GB"/>
        </w:rPr>
      </w:pPr>
    </w:p>
    <w:p w:rsidR="0068623A" w:rsidRDefault="002F1165" w:rsidP="0068623A">
      <w:pPr>
        <w:pStyle w:val="3"/>
        <w:rPr>
          <w:lang w:val="en-US"/>
        </w:rPr>
      </w:pPr>
      <w:bookmarkStart w:id="26" w:name="_Toc73640582"/>
      <w:r>
        <w:rPr>
          <w:lang w:val="en-US"/>
        </w:rPr>
        <w:t>3.2</w:t>
      </w:r>
      <w:r w:rsidR="0068623A">
        <w:rPr>
          <w:lang w:val="en-US"/>
        </w:rPr>
        <w:t xml:space="preserve"> Limitations of the study</w:t>
      </w:r>
      <w:bookmarkEnd w:id="26"/>
    </w:p>
    <w:p w:rsidR="00D156ED" w:rsidRDefault="004769BA" w:rsidP="00D156ED">
      <w:pPr>
        <w:rPr>
          <w:lang w:val="en-GB"/>
        </w:rPr>
      </w:pPr>
      <w:r>
        <w:rPr>
          <w:lang w:val="en-US"/>
        </w:rPr>
        <w:t xml:space="preserve">Nevertheless, </w:t>
      </w:r>
      <w:r>
        <w:rPr>
          <w:lang w:val="en-GB"/>
        </w:rPr>
        <w:t>the study implies several limitations. The main drawback lies in the research methodology that can be improved, even though I have used the most widely applicable models for short-term and long-term studies, as suggested by many authors. Howe</w:t>
      </w:r>
      <w:r w:rsidR="00FC39C1">
        <w:rPr>
          <w:lang w:val="en-GB"/>
        </w:rPr>
        <w:t xml:space="preserve">ver, the research </w:t>
      </w:r>
      <w:r w:rsidR="00FC39C1">
        <w:rPr>
          <w:lang w:val="en-GB"/>
        </w:rPr>
        <w:lastRenderedPageBreak/>
        <w:t>approaches for</w:t>
      </w:r>
      <w:r>
        <w:rPr>
          <w:lang w:val="en-GB"/>
        </w:rPr>
        <w:t xml:space="preserve"> event </w:t>
      </w:r>
      <w:r w:rsidR="004942D2">
        <w:rPr>
          <w:lang w:val="en-GB"/>
        </w:rPr>
        <w:t>type’s</w:t>
      </w:r>
      <w:r>
        <w:rPr>
          <w:lang w:val="en-GB"/>
        </w:rPr>
        <w:t xml:space="preserve"> studies are evolving and an improved statistical model can be always proposed with a more accurate significance test</w:t>
      </w:r>
      <w:r w:rsidR="004942D2">
        <w:rPr>
          <w:lang w:val="en-GB"/>
        </w:rPr>
        <w:t>s</w:t>
      </w:r>
      <w:r>
        <w:rPr>
          <w:lang w:val="en-GB"/>
        </w:rPr>
        <w:t>.</w:t>
      </w:r>
      <w:r w:rsidR="004942D2">
        <w:rPr>
          <w:lang w:val="en-GB"/>
        </w:rPr>
        <w:t xml:space="preserve"> For example, a multifactor regression m</w:t>
      </w:r>
      <w:r w:rsidR="00D711C5">
        <w:rPr>
          <w:lang w:val="en-GB"/>
        </w:rPr>
        <w:t>odel can be applied in my study (G.</w:t>
      </w:r>
      <w:r w:rsidR="00D711C5" w:rsidRPr="00D711C5">
        <w:rPr>
          <w:lang w:val="en-GB"/>
        </w:rPr>
        <w:t xml:space="preserve"> V. Henderson, Jr</w:t>
      </w:r>
      <w:r w:rsidR="00D711C5">
        <w:rPr>
          <w:lang w:val="en-GB"/>
        </w:rPr>
        <w:t xml:space="preserve"> 1990)</w:t>
      </w:r>
      <w:r w:rsidR="00D711C5">
        <w:rPr>
          <w:rStyle w:val="af0"/>
          <w:lang w:val="en-GB"/>
        </w:rPr>
        <w:footnoteReference w:id="82"/>
      </w:r>
      <w:r w:rsidR="00D711C5">
        <w:rPr>
          <w:lang w:val="en-GB"/>
        </w:rPr>
        <w:t>. For example,</w:t>
      </w:r>
      <w:r w:rsidR="004942D2">
        <w:rPr>
          <w:lang w:val="en-GB"/>
        </w:rPr>
        <w:t xml:space="preserve"> by including oil&amp;gas industry returns, as all my event forms belong to this industry; add an oil prices changes, because </w:t>
      </w:r>
      <w:r w:rsidR="00D711C5">
        <w:rPr>
          <w:lang w:val="en-GB"/>
        </w:rPr>
        <w:t>the</w:t>
      </w:r>
      <w:r w:rsidR="004942D2">
        <w:rPr>
          <w:lang w:val="en-GB"/>
        </w:rPr>
        <w:t xml:space="preserve"> study (</w:t>
      </w:r>
      <w:r w:rsidR="004942D2" w:rsidRPr="004942D2">
        <w:rPr>
          <w:lang w:val="en-GB"/>
        </w:rPr>
        <w:t>K.S. Reddy, En Xie,</w:t>
      </w:r>
      <w:r w:rsidR="004942D2">
        <w:rPr>
          <w:lang w:val="en-GB"/>
        </w:rPr>
        <w:t xml:space="preserve"> </w:t>
      </w:r>
      <w:r w:rsidR="004942D2" w:rsidRPr="004942D2">
        <w:rPr>
          <w:lang w:val="en-GB"/>
        </w:rPr>
        <w:t>2017</w:t>
      </w:r>
      <w:r w:rsidR="004942D2">
        <w:rPr>
          <w:lang w:val="en-GB"/>
        </w:rPr>
        <w:t>)</w:t>
      </w:r>
      <w:r w:rsidR="004942D2">
        <w:rPr>
          <w:rStyle w:val="af0"/>
          <w:lang w:val="en-GB"/>
        </w:rPr>
        <w:footnoteReference w:id="83"/>
      </w:r>
      <w:r w:rsidR="004942D2">
        <w:rPr>
          <w:lang w:val="en-GB"/>
        </w:rPr>
        <w:t xml:space="preserve"> </w:t>
      </w:r>
      <w:r w:rsidR="00D711C5">
        <w:rPr>
          <w:lang w:val="en-GB"/>
        </w:rPr>
        <w:t xml:space="preserve">show </w:t>
      </w:r>
      <w:r w:rsidR="004942D2">
        <w:rPr>
          <w:lang w:val="en-GB"/>
        </w:rPr>
        <w:t xml:space="preserve">a positive correlation between M&amp;A activity in oil&amp;gas industry and low oil prices have been revealed, so add this type of variable could improve the results. In general more specifications of firm-specific level and macro variables could be added to my model. The same case is for long-term study, where </w:t>
      </w:r>
      <w:r w:rsidR="00D711C5">
        <w:rPr>
          <w:lang w:val="en-GB"/>
        </w:rPr>
        <w:t xml:space="preserve">BHAR model have some drawbacks. </w:t>
      </w:r>
      <w:r w:rsidR="00D156ED">
        <w:rPr>
          <w:lang w:val="en-GB"/>
        </w:rPr>
        <w:t>However, the core goal of my research was to reveal the abnormal returns and not to test different event study methodologies.</w:t>
      </w:r>
    </w:p>
    <w:p w:rsidR="00D711C5" w:rsidRPr="004769BA" w:rsidRDefault="00D711C5" w:rsidP="00D156ED">
      <w:pPr>
        <w:rPr>
          <w:lang w:val="en-GB"/>
        </w:rPr>
      </w:pPr>
      <w:r>
        <w:rPr>
          <w:lang w:val="en-GB"/>
        </w:rPr>
        <w:t>The second major limitation of my study is directly connected to sample size. Smaller sample size in event detect excess returns less accurately than large samples do (</w:t>
      </w:r>
      <w:r w:rsidRPr="00D711C5">
        <w:rPr>
          <w:lang w:val="en-GB"/>
        </w:rPr>
        <w:t>H.-C. Jung</w:t>
      </w:r>
      <w:r>
        <w:rPr>
          <w:lang w:val="en-GB"/>
        </w:rPr>
        <w:t>, 2006)</w:t>
      </w:r>
      <w:r>
        <w:rPr>
          <w:rStyle w:val="af0"/>
          <w:lang w:val="en-GB"/>
        </w:rPr>
        <w:footnoteReference w:id="84"/>
      </w:r>
      <w:r w:rsidR="00D156ED">
        <w:rPr>
          <w:lang w:val="en-GB"/>
        </w:rPr>
        <w:t xml:space="preserve">. Nevertheless, the largest possible sample that respond to sample’s criteria was gathered from Thomson Reuters </w:t>
      </w:r>
      <w:r w:rsidR="005435EC">
        <w:rPr>
          <w:lang w:val="en-GB"/>
        </w:rPr>
        <w:t xml:space="preserve">Eikon for a longest possible period. Right now there are not that many such deals in the population, probably we can expect that the trend will change and M&amp;A deals between the oil&amp;gas industry and renewable energy companies will intensify and then results will be more representative. </w:t>
      </w:r>
    </w:p>
    <w:p w:rsidR="00FA68EC" w:rsidRPr="00FA68EC" w:rsidRDefault="00FA68EC" w:rsidP="00FA68EC">
      <w:pPr>
        <w:pStyle w:val="aa"/>
        <w:ind w:left="984" w:firstLine="0"/>
        <w:rPr>
          <w:lang w:val="en-GB"/>
        </w:rPr>
      </w:pPr>
    </w:p>
    <w:p w:rsidR="00643549" w:rsidRPr="00D711C5" w:rsidRDefault="00643549" w:rsidP="00D711C5">
      <w:pPr>
        <w:rPr>
          <w:lang w:val="en-GB"/>
        </w:rPr>
      </w:pPr>
    </w:p>
    <w:p w:rsidR="00801994" w:rsidRPr="00801994" w:rsidRDefault="00801994" w:rsidP="00801994">
      <w:pPr>
        <w:rPr>
          <w:lang w:val="en-US"/>
        </w:rPr>
      </w:pPr>
    </w:p>
    <w:p w:rsidR="0068623A" w:rsidRDefault="0068623A" w:rsidP="0068623A">
      <w:pPr>
        <w:pStyle w:val="1"/>
        <w:rPr>
          <w:lang w:val="en-US"/>
        </w:rPr>
      </w:pPr>
      <w:bookmarkStart w:id="27" w:name="_Toc73640583"/>
      <w:r>
        <w:rPr>
          <w:lang w:val="en-US"/>
        </w:rPr>
        <w:lastRenderedPageBreak/>
        <w:t>Chapter 4 Conclusion</w:t>
      </w:r>
      <w:bookmarkEnd w:id="27"/>
    </w:p>
    <w:p w:rsidR="00CD72D7" w:rsidRDefault="0003422B" w:rsidP="0003422B">
      <w:pPr>
        <w:rPr>
          <w:lang w:val="en-GB" w:eastAsia="ru-RU"/>
        </w:rPr>
      </w:pPr>
      <w:r>
        <w:rPr>
          <w:lang w:val="en-GB" w:eastAsia="ru-RU"/>
        </w:rPr>
        <w:t>The goal of this research was to show</w:t>
      </w:r>
      <w:r w:rsidRPr="00F27146">
        <w:rPr>
          <w:lang w:val="en-GB" w:eastAsia="ru-RU"/>
        </w:rPr>
        <w:t xml:space="preserve"> </w:t>
      </w:r>
      <w:r>
        <w:rPr>
          <w:lang w:val="en-GB" w:eastAsia="ru-RU"/>
        </w:rPr>
        <w:t>the market reaction</w:t>
      </w:r>
      <w:r w:rsidRPr="00F27146">
        <w:rPr>
          <w:lang w:val="en-GB" w:eastAsia="ru-RU"/>
        </w:rPr>
        <w:t xml:space="preserve"> to the transformation oil and gas </w:t>
      </w:r>
      <w:r>
        <w:rPr>
          <w:lang w:val="en-GB" w:eastAsia="ru-RU"/>
        </w:rPr>
        <w:t>companies in the context</w:t>
      </w:r>
      <w:r w:rsidRPr="00F27146">
        <w:rPr>
          <w:lang w:val="en-GB" w:eastAsia="ru-RU"/>
        </w:rPr>
        <w:t xml:space="preserve"> of mergers and acquisitions in the current </w:t>
      </w:r>
      <w:r>
        <w:rPr>
          <w:lang w:val="en-GB" w:eastAsia="ru-RU"/>
        </w:rPr>
        <w:t>conditions of low carbon energy transition. In order to do that, the cross literature review was done, covering different topics in relation to the research. In particular, the</w:t>
      </w:r>
      <w:r w:rsidR="009D65D2">
        <w:rPr>
          <w:lang w:val="en-GB" w:eastAsia="ru-RU"/>
        </w:rPr>
        <w:t>re were considered thee type of sections. The first included the discussion about the sustainable development, the role of stakeholders and for management and the influence of ESG on companies and its investors. Then the discussion was narrowed to the oil and gas industry and how it is affected by the low carbon transition</w:t>
      </w:r>
      <w:r w:rsidR="007E7296">
        <w:rPr>
          <w:lang w:val="en-GB" w:eastAsia="ru-RU"/>
        </w:rPr>
        <w:t>. Finally, the transition strategies taken by oil and gas companies were discussed.</w:t>
      </w:r>
    </w:p>
    <w:p w:rsidR="007E7296" w:rsidRDefault="007E7296" w:rsidP="007E7296">
      <w:pPr>
        <w:rPr>
          <w:lang w:val="en-GB"/>
        </w:rPr>
      </w:pPr>
      <w:r>
        <w:rPr>
          <w:lang w:val="en-GB" w:eastAsia="ru-RU"/>
        </w:rPr>
        <w:t xml:space="preserve">As the result of literature review, the core hypothesis </w:t>
      </w:r>
      <w:r w:rsidRPr="009F1583">
        <w:rPr>
          <w:b/>
          <w:i/>
          <w:lang w:val="en-GB"/>
        </w:rPr>
        <w:t>H1</w:t>
      </w:r>
      <w:r w:rsidRPr="00E90B08">
        <w:rPr>
          <w:i/>
          <w:lang w:val="en-GB"/>
        </w:rPr>
        <w:t xml:space="preserve">: Abnormal positive stock returns for bidder firms (O&amp;G companies) are observed after M&amp;A deal between oil and gas companies and </w:t>
      </w:r>
      <w:r>
        <w:rPr>
          <w:i/>
          <w:lang w:val="en-GB"/>
        </w:rPr>
        <w:t>alternative</w:t>
      </w:r>
      <w:r w:rsidRPr="00E90B08">
        <w:rPr>
          <w:i/>
          <w:lang w:val="en-GB"/>
        </w:rPr>
        <w:t xml:space="preserve"> energy </w:t>
      </w:r>
      <w:r>
        <w:rPr>
          <w:i/>
          <w:lang w:val="en-GB"/>
        </w:rPr>
        <w:t xml:space="preserve">solution </w:t>
      </w:r>
      <w:r w:rsidRPr="00E90B08">
        <w:rPr>
          <w:i/>
          <w:lang w:val="en-GB"/>
        </w:rPr>
        <w:t>companies</w:t>
      </w:r>
      <w:r>
        <w:rPr>
          <w:lang w:val="en-GB" w:eastAsia="ru-RU"/>
        </w:rPr>
        <w:t xml:space="preserve"> has been formulated, since there are recent studies that tried to assess the market reaction on low carbon energy transition. Then another sub hypothesis </w:t>
      </w:r>
      <w:r>
        <w:rPr>
          <w:b/>
          <w:i/>
          <w:lang w:val="en-GB"/>
        </w:rPr>
        <w:t>H 1.2</w:t>
      </w:r>
      <w:r>
        <w:rPr>
          <w:i/>
          <w:lang w:val="en-GB"/>
        </w:rPr>
        <w:t xml:space="preserve">: M&amp;As with solar and wind companies brings higher returns, </w:t>
      </w:r>
      <w:r>
        <w:rPr>
          <w:lang w:val="en-GB"/>
        </w:rPr>
        <w:t>has been proposed, because from the point of view of investors and companies it would be interesting to understand what assets to acquire in order to get the highest returns.</w:t>
      </w:r>
      <w:r w:rsidR="00A60E80">
        <w:rPr>
          <w:lang w:val="en-GB"/>
        </w:rPr>
        <w:t xml:space="preserve"> </w:t>
      </w:r>
      <w:r w:rsidR="00A45B6C">
        <w:rPr>
          <w:lang w:val="en-GB"/>
        </w:rPr>
        <w:t xml:space="preserve">Both hypotheses were proposed to be tested in short and long-run, because the first reaction of the market shows what are the expectations from the deal and long-term allow to evaluate how well companies are really doing since 2 years after </w:t>
      </w:r>
      <w:r w:rsidR="003C7AED">
        <w:rPr>
          <w:lang w:val="en-GB"/>
        </w:rPr>
        <w:t>a</w:t>
      </w:r>
      <w:r w:rsidR="00A45B6C">
        <w:rPr>
          <w:lang w:val="en-GB"/>
        </w:rPr>
        <w:t xml:space="preserve"> deal</w:t>
      </w:r>
      <w:r w:rsidR="003C7AED">
        <w:rPr>
          <w:lang w:val="en-GB"/>
        </w:rPr>
        <w:t>.</w:t>
      </w:r>
    </w:p>
    <w:p w:rsidR="00A60E80" w:rsidRDefault="00A60E80" w:rsidP="007E7296">
      <w:pPr>
        <w:rPr>
          <w:lang w:val="en-GB"/>
        </w:rPr>
      </w:pPr>
      <w:r>
        <w:rPr>
          <w:lang w:val="en-GB"/>
        </w:rPr>
        <w:t xml:space="preserve">In order to test hypotheses the conventional research methodology that is widely used in event studies have been proposed, justified and explained. Then data required to the research was gathered and filtered according to </w:t>
      </w:r>
      <w:r w:rsidR="00C52A81">
        <w:rPr>
          <w:lang w:val="en-GB"/>
        </w:rPr>
        <w:t xml:space="preserve">sample criteria. The total sample for short-term study have 25 observation since 2003 an up to 2021, consisting of 11 oil&amp;gas traded companies. The long-term study consisted of 16 observations from the 2003 and 2017. </w:t>
      </w:r>
      <w:r w:rsidR="003C7AED">
        <w:rPr>
          <w:lang w:val="en-GB"/>
        </w:rPr>
        <w:t>What is interesting, during the descriptive statistics part it was revealed that, there are actually not that many deals of public oil&amp;gas companies with renewable energy companies, but such activity has intensified starting from 2010, with majority of acquirers come from Europe with no acquirers from US, what makes think that European companies are more aware of energy transition than their US peers.</w:t>
      </w:r>
    </w:p>
    <w:p w:rsidR="00C52A81" w:rsidRDefault="00C52A81" w:rsidP="007E7296">
      <w:pPr>
        <w:rPr>
          <w:lang w:val="en-GB"/>
        </w:rPr>
      </w:pPr>
      <w:r>
        <w:rPr>
          <w:lang w:val="en-GB"/>
        </w:rPr>
        <w:t xml:space="preserve">After the abnormal returns for both hypotheses have been estimated in short-run of event window 3 days before and 3 days after the announcement date. The results show the negative market reaction </w:t>
      </w:r>
      <w:r w:rsidR="00A45B6C">
        <w:rPr>
          <w:lang w:val="en-GB"/>
        </w:rPr>
        <w:t xml:space="preserve">of -0.34% of abnormal returns with enough level of significance, however during the comparison different types of deals, acquisitions of wind and solar energy show better results. The same pattern was revealed in the long-term study, but in comparison with a short-run the </w:t>
      </w:r>
      <w:r w:rsidR="00A45B6C">
        <w:rPr>
          <w:lang w:val="en-GB"/>
        </w:rPr>
        <w:lastRenderedPageBreak/>
        <w:t>abnormal return for whole sample are positive and by the end of the period of 24 months (2 years) is equal to +14.3%.</w:t>
      </w:r>
    </w:p>
    <w:p w:rsidR="00F71EAF" w:rsidRDefault="00A45B6C" w:rsidP="007E7296">
      <w:pPr>
        <w:rPr>
          <w:lang w:val="en-GB"/>
        </w:rPr>
      </w:pPr>
      <w:r>
        <w:rPr>
          <w:lang w:val="en-GB"/>
        </w:rPr>
        <w:t>These results bring to conclusion that investors evaluate such deals as something negative at first sight, when a deal has been just announced, what could tell about their negative</w:t>
      </w:r>
      <w:r w:rsidR="00F71EAF">
        <w:rPr>
          <w:lang w:val="en-GB"/>
        </w:rPr>
        <w:t xml:space="preserve"> expectations, however, </w:t>
      </w:r>
      <w:r w:rsidR="00F71EAF" w:rsidRPr="00F71EAF">
        <w:rPr>
          <w:lang w:val="en-GB"/>
        </w:rPr>
        <w:t>after a long period of time</w:t>
      </w:r>
      <w:r w:rsidR="00F71EAF">
        <w:rPr>
          <w:lang w:val="en-GB"/>
        </w:rPr>
        <w:t xml:space="preserve"> these companies illustrate higher abnormal returns than their peers from industry, from what can be assumed that by incorporating their alternative energy solutions in their business structure significantly improve their positions, however, this is actually a question for further research on the topic either their stock returns rise because of improved operation that happened because of energy portfolio operations, or there are other hidden reason for that.</w:t>
      </w:r>
    </w:p>
    <w:p w:rsidR="00A45B6C" w:rsidRPr="00F71EAF" w:rsidRDefault="00552F93" w:rsidP="007E7296">
      <w:pPr>
        <w:rPr>
          <w:lang w:val="en-GB"/>
        </w:rPr>
      </w:pPr>
      <w:r>
        <w:rPr>
          <w:lang w:val="en-GB"/>
        </w:rPr>
        <w:t xml:space="preserve">Finally, </w:t>
      </w:r>
      <w:r w:rsidR="00F71EAF">
        <w:rPr>
          <w:lang w:val="en-GB"/>
        </w:rPr>
        <w:t>four recommendations, two for managers of oil&amp;gas companies and two for investors have been proposed. Overall, it could be said that decision to diversify energy business and enter alternative energy market through the M&amp;A is the wise decision, and that investor should consider such companies as attractive, especially those with solar and wind energy.</w:t>
      </w:r>
    </w:p>
    <w:p w:rsidR="007E7296" w:rsidRPr="007E7296" w:rsidRDefault="007E7296" w:rsidP="0003422B">
      <w:pPr>
        <w:rPr>
          <w:lang w:val="en-GB" w:eastAsia="ru-RU"/>
        </w:rPr>
      </w:pPr>
    </w:p>
    <w:p w:rsidR="00CA3CE0" w:rsidRDefault="00F71EAF" w:rsidP="00CA3CE0">
      <w:pPr>
        <w:rPr>
          <w:lang w:val="en-GB"/>
        </w:rPr>
      </w:pPr>
      <w:r>
        <w:rPr>
          <w:lang w:val="en-GB"/>
        </w:rPr>
        <w:t>However</w:t>
      </w:r>
      <w:r w:rsidR="00CA3CE0">
        <w:rPr>
          <w:lang w:val="en-GB"/>
        </w:rPr>
        <w:t>, taking into account that my study</w:t>
      </w:r>
      <w:r>
        <w:rPr>
          <w:lang w:val="en-GB"/>
        </w:rPr>
        <w:t>, it</w:t>
      </w:r>
      <w:r w:rsidR="00CA3CE0">
        <w:rPr>
          <w:lang w:val="en-GB"/>
        </w:rPr>
        <w:t xml:space="preserve"> is an individual case of oil&amp;gas energy transition there exist a wide range of issues that can be discovered in addition to my study. Here I would propose several recommendations for further researches:</w:t>
      </w:r>
    </w:p>
    <w:p w:rsidR="00CA3CE0" w:rsidRDefault="00CA3CE0" w:rsidP="00A36559">
      <w:pPr>
        <w:pStyle w:val="aa"/>
        <w:numPr>
          <w:ilvl w:val="0"/>
          <w:numId w:val="10"/>
        </w:numPr>
        <w:rPr>
          <w:lang w:val="en-GB"/>
        </w:rPr>
      </w:pPr>
      <w:r>
        <w:rPr>
          <w:lang w:val="en-GB"/>
        </w:rPr>
        <w:t>Consider the more advanced regression model in order to catch specific reasons for stock prices moves and get fuller picture on M&amp;As. This recommendation goes directly from the Limitation of the study part.</w:t>
      </w:r>
    </w:p>
    <w:p w:rsidR="00CA3CE0" w:rsidRDefault="00CA3CE0" w:rsidP="00A36559">
      <w:pPr>
        <w:pStyle w:val="aa"/>
        <w:numPr>
          <w:ilvl w:val="0"/>
          <w:numId w:val="10"/>
        </w:numPr>
        <w:rPr>
          <w:lang w:val="en-GB"/>
        </w:rPr>
      </w:pPr>
      <w:r>
        <w:rPr>
          <w:lang w:val="en-GB"/>
        </w:rPr>
        <w:t>If to expand the scope of interest in the topic, then future researches might evaluate this type of transition from the internal study. As I have already assumed several times, acquisition of renewable energy assets have a long-term effect on oil&amp;gas companies, so probably this happens because of serious structural changes in the acquirer’s business. This issue, how such deals affect internal operations, should be also important to clarify, since if it has a positive effect on the operations, then it would be even more incentives or companies to acquire renewable energy assets.</w:t>
      </w:r>
    </w:p>
    <w:p w:rsidR="00CA3CE0" w:rsidRPr="001C6A92" w:rsidRDefault="00CA3CE0" w:rsidP="00A36559">
      <w:pPr>
        <w:pStyle w:val="aa"/>
        <w:numPr>
          <w:ilvl w:val="0"/>
          <w:numId w:val="10"/>
        </w:numPr>
        <w:rPr>
          <w:lang w:val="en-GB"/>
        </w:rPr>
      </w:pPr>
      <w:r>
        <w:rPr>
          <w:lang w:val="en-GB"/>
        </w:rPr>
        <w:t>Conducting an qualitative study, for example, how companies’ managers assess such transitions, what are their expectations and what they consider as the main reasons for that, also would be an interesting topic to discover</w:t>
      </w:r>
    </w:p>
    <w:p w:rsidR="00CA3CE0" w:rsidRDefault="00CA3CE0" w:rsidP="00A36559">
      <w:pPr>
        <w:pStyle w:val="aa"/>
        <w:numPr>
          <w:ilvl w:val="0"/>
          <w:numId w:val="10"/>
        </w:numPr>
        <w:rPr>
          <w:lang w:val="en-GB"/>
        </w:rPr>
      </w:pPr>
      <w:r>
        <w:rPr>
          <w:lang w:val="en-GB"/>
        </w:rPr>
        <w:t>Compare from quantitative and qualitative approaches different type of transition strategies and aimed on revealing the most promising one</w:t>
      </w:r>
    </w:p>
    <w:p w:rsidR="00CA3CE0" w:rsidRDefault="00CA3CE0" w:rsidP="00A36559">
      <w:pPr>
        <w:pStyle w:val="aa"/>
        <w:numPr>
          <w:ilvl w:val="0"/>
          <w:numId w:val="10"/>
        </w:numPr>
        <w:rPr>
          <w:lang w:val="en-GB"/>
        </w:rPr>
      </w:pPr>
      <w:r>
        <w:rPr>
          <w:lang w:val="en-GB"/>
        </w:rPr>
        <w:t>Apply event study and other types proposed above for different markets</w:t>
      </w:r>
    </w:p>
    <w:p w:rsidR="00CA3CE0" w:rsidRDefault="00CA3CE0" w:rsidP="00A36559">
      <w:pPr>
        <w:pStyle w:val="aa"/>
        <w:numPr>
          <w:ilvl w:val="0"/>
          <w:numId w:val="10"/>
        </w:numPr>
        <w:rPr>
          <w:lang w:val="en-GB"/>
        </w:rPr>
      </w:pPr>
      <w:r>
        <w:rPr>
          <w:lang w:val="en-GB"/>
        </w:rPr>
        <w:lastRenderedPageBreak/>
        <w:t xml:space="preserve">Eventually, a consulting study for oil&amp;gas companies can be proposed as the result of empirical </w:t>
      </w:r>
      <w:r w:rsidRPr="009A3085">
        <w:rPr>
          <w:lang w:val="en-GB"/>
        </w:rPr>
        <w:t>researches</w:t>
      </w:r>
      <w:r>
        <w:rPr>
          <w:lang w:val="en-GB"/>
        </w:rPr>
        <w:t>.</w:t>
      </w:r>
    </w:p>
    <w:p w:rsidR="00CA3CE0" w:rsidRDefault="00CA3CE0" w:rsidP="00CA3CE0">
      <w:pPr>
        <w:rPr>
          <w:lang w:val="en-GB"/>
        </w:rPr>
      </w:pPr>
      <w:r>
        <w:rPr>
          <w:lang w:val="en-GB"/>
        </w:rPr>
        <w:t xml:space="preserve">All in all, there exist quite enough uncovered issues relating to my research. </w:t>
      </w:r>
    </w:p>
    <w:p w:rsidR="00CA3CE0" w:rsidRPr="00CA3CE0" w:rsidRDefault="00CA3CE0" w:rsidP="00FC3324">
      <w:pPr>
        <w:rPr>
          <w:lang w:val="en-GB"/>
        </w:rPr>
      </w:pPr>
    </w:p>
    <w:p w:rsidR="00032952" w:rsidRDefault="00032952" w:rsidP="00032952">
      <w:pPr>
        <w:pStyle w:val="1"/>
        <w:rPr>
          <w:lang w:val="en-US"/>
        </w:rPr>
      </w:pPr>
      <w:bookmarkStart w:id="28" w:name="_Toc73640584"/>
      <w:r>
        <w:rPr>
          <w:lang w:val="en-US"/>
        </w:rPr>
        <w:lastRenderedPageBreak/>
        <w:t>Reference list</w:t>
      </w:r>
      <w:bookmarkEnd w:id="28"/>
    </w:p>
    <w:p w:rsidR="008E3922" w:rsidRPr="00B80FD7" w:rsidRDefault="008E3922" w:rsidP="00B80FD7">
      <w:pPr>
        <w:rPr>
          <w:lang w:val="en-US"/>
        </w:rPr>
      </w:pPr>
      <w:r w:rsidRPr="00B80FD7">
        <w:rPr>
          <w:lang w:val="en-US"/>
        </w:rPr>
        <w:t xml:space="preserve">Andrew C. Inkpen, Michael H. Moffett (2011), </w:t>
      </w:r>
      <w:proofErr w:type="gramStart"/>
      <w:r w:rsidRPr="00B80FD7">
        <w:rPr>
          <w:lang w:val="en-US"/>
        </w:rPr>
        <w:t>The</w:t>
      </w:r>
      <w:proofErr w:type="gramEnd"/>
      <w:r w:rsidRPr="00B80FD7">
        <w:rPr>
          <w:lang w:val="en-US"/>
        </w:rPr>
        <w:t xml:space="preserve"> global Oil &amp; gas industry: management strategy &amp; finance, PennWell</w:t>
      </w:r>
    </w:p>
    <w:p w:rsidR="008E3922" w:rsidRPr="00B80FD7" w:rsidRDefault="008E3922" w:rsidP="00B80FD7">
      <w:pPr>
        <w:rPr>
          <w:lang w:val="en-US"/>
        </w:rPr>
      </w:pPr>
      <w:r w:rsidRPr="00B80FD7">
        <w:rPr>
          <w:lang w:val="en-US"/>
        </w:rPr>
        <w:t>Ribeiro, C., Tosi Furtado, A. T. (2014). Government Procurement Policy in Developing Countries: The Case of Petrobras. Science, Technology and Society 19 (2), 161–197</w:t>
      </w:r>
    </w:p>
    <w:p w:rsidR="008E3922" w:rsidRPr="00B80FD7" w:rsidRDefault="008E3922" w:rsidP="00B80FD7">
      <w:pPr>
        <w:rPr>
          <w:lang w:val="en-US"/>
        </w:rPr>
      </w:pPr>
      <w:r w:rsidRPr="00B80FD7">
        <w:rPr>
          <w:lang w:val="en-US"/>
        </w:rPr>
        <w:t>WIDER Working Paper 2016/175</w:t>
      </w:r>
      <w:r w:rsidR="0015518D" w:rsidRPr="00B80FD7">
        <w:rPr>
          <w:lang w:val="en-US"/>
        </w:rPr>
        <w:t>,</w:t>
      </w:r>
      <w:r w:rsidRPr="00B80FD7">
        <w:rPr>
          <w:lang w:val="en-US"/>
        </w:rPr>
        <w:t xml:space="preserve"> </w:t>
      </w:r>
      <w:proofErr w:type="gramStart"/>
      <w:r w:rsidRPr="00B80FD7">
        <w:rPr>
          <w:lang w:val="en-US"/>
        </w:rPr>
        <w:t>The</w:t>
      </w:r>
      <w:proofErr w:type="gramEnd"/>
      <w:r w:rsidRPr="00B80FD7">
        <w:rPr>
          <w:lang w:val="en-US"/>
        </w:rPr>
        <w:t xml:space="preserve"> role of oil and gas in the development of the global economy (unu.edu)</w:t>
      </w:r>
    </w:p>
    <w:p w:rsidR="008E3922" w:rsidRPr="00B80FD7" w:rsidRDefault="008E3922" w:rsidP="00B80FD7">
      <w:pPr>
        <w:rPr>
          <w:lang w:val="en-US"/>
        </w:rPr>
      </w:pPr>
      <w:r w:rsidRPr="00B80FD7">
        <w:rPr>
          <w:lang w:val="en-US"/>
        </w:rPr>
        <w:t xml:space="preserve">Edward Freeman and. Edward Freeman (2001), </w:t>
      </w:r>
      <w:proofErr w:type="gramStart"/>
      <w:r w:rsidRPr="00B80FD7">
        <w:rPr>
          <w:lang w:val="en-US"/>
        </w:rPr>
        <w:t>A</w:t>
      </w:r>
      <w:proofErr w:type="gramEnd"/>
      <w:r w:rsidRPr="00B80FD7">
        <w:rPr>
          <w:lang w:val="en-US"/>
        </w:rPr>
        <w:t xml:space="preserve"> stakeholder approach to strategic Management, Handbook of Strategic Management, Oxford: Blackwell Publishing</w:t>
      </w:r>
    </w:p>
    <w:p w:rsidR="008E3922" w:rsidRPr="00B80FD7" w:rsidRDefault="008E3922" w:rsidP="00B80FD7">
      <w:pPr>
        <w:rPr>
          <w:lang w:val="en-GB"/>
        </w:rPr>
      </w:pPr>
      <w:r w:rsidRPr="00B80FD7">
        <w:rPr>
          <w:lang w:val="en-US"/>
        </w:rPr>
        <w:t xml:space="preserve">Thomas Donaldson and Lee E. Preston (1995), </w:t>
      </w:r>
      <w:proofErr w:type="gramStart"/>
      <w:r w:rsidRPr="00B80FD7">
        <w:rPr>
          <w:lang w:val="en-US"/>
        </w:rPr>
        <w:t>The</w:t>
      </w:r>
      <w:proofErr w:type="gramEnd"/>
      <w:r w:rsidRPr="00B80FD7">
        <w:rPr>
          <w:lang w:val="en-US"/>
        </w:rPr>
        <w:t xml:space="preserve"> Stakeholder Theory of the Corporation:</w:t>
      </w:r>
      <w:r w:rsidRPr="00B80FD7">
        <w:rPr>
          <w:lang w:val="en-GB"/>
        </w:rPr>
        <w:t xml:space="preserve"> Concepts, Evidence, and Implications: The Academy of Management Review, Vol. 20, No. 1 (Jan., 1995), pp. 65-91</w:t>
      </w:r>
    </w:p>
    <w:p w:rsidR="008E3922" w:rsidRPr="00B80FD7" w:rsidRDefault="008E3922" w:rsidP="00B80FD7">
      <w:pPr>
        <w:rPr>
          <w:lang w:val="en-US"/>
        </w:rPr>
      </w:pPr>
      <w:r w:rsidRPr="00B80FD7">
        <w:rPr>
          <w:lang w:val="en-US"/>
        </w:rPr>
        <w:t>Thomas Dyllick1 and Katrin Muff (2016), Clarifying the Meaning of Sustainable Business: Introducing a Typology from Business-as-Usual to True Business Sustainability</w:t>
      </w:r>
    </w:p>
    <w:p w:rsidR="008E3922" w:rsidRPr="00B80FD7" w:rsidRDefault="008E3922" w:rsidP="00B80FD7">
      <w:pPr>
        <w:rPr>
          <w:lang w:val="en-US"/>
        </w:rPr>
      </w:pPr>
      <w:r w:rsidRPr="00B80FD7">
        <w:rPr>
          <w:lang w:val="en-US"/>
        </w:rPr>
        <w:t>Jan Messina and Jan Anton van Zanten (2021), The Sustainability Yearbook 2021, Rethinking the value of everything, pp. 10-20</w:t>
      </w:r>
    </w:p>
    <w:p w:rsidR="008E3922" w:rsidRPr="00B80FD7" w:rsidRDefault="008E3922" w:rsidP="00B80FD7">
      <w:pPr>
        <w:rPr>
          <w:lang w:val="en-US"/>
        </w:rPr>
      </w:pPr>
      <w:r w:rsidRPr="00B80FD7">
        <w:rPr>
          <w:lang w:val="en-US"/>
        </w:rPr>
        <w:t xml:space="preserve">The CSA 2021 is now open, S&amp;P Global https://www.spglobal.com/esg/csa/ </w:t>
      </w:r>
    </w:p>
    <w:p w:rsidR="008E3922" w:rsidRPr="00B80FD7" w:rsidRDefault="008E3922" w:rsidP="00B80FD7">
      <w:pPr>
        <w:rPr>
          <w:lang w:val="en-US"/>
        </w:rPr>
      </w:pPr>
      <w:r w:rsidRPr="00B80FD7">
        <w:rPr>
          <w:lang w:val="en-US"/>
        </w:rPr>
        <w:t xml:space="preserve">Dow Jones Sustainability World Index, S&amp;P Sow jones Indices https://www.spglobal.com/spdji/en/indices/esg/dow-jones-sustainability-world-index/#overview </w:t>
      </w:r>
    </w:p>
    <w:p w:rsidR="008E3922" w:rsidRPr="00B80FD7" w:rsidRDefault="008E3922" w:rsidP="00B80FD7">
      <w:pPr>
        <w:rPr>
          <w:lang w:val="en-US"/>
        </w:rPr>
      </w:pPr>
      <w:r w:rsidRPr="00B80FD7">
        <w:rPr>
          <w:lang w:val="en-US"/>
        </w:rPr>
        <w:t xml:space="preserve">Laura Street, Rosie Powell-Tuck, Aiste Blackley, Mark Lee (2021) </w:t>
      </w:r>
      <w:proofErr w:type="gramStart"/>
      <w:r w:rsidRPr="00B80FD7">
        <w:rPr>
          <w:lang w:val="en-US"/>
        </w:rPr>
        <w:t>What’s</w:t>
      </w:r>
      <w:proofErr w:type="gramEnd"/>
      <w:r w:rsidRPr="00B80FD7">
        <w:rPr>
          <w:lang w:val="en-US"/>
        </w:rPr>
        <w:t xml:space="preserve"> next for Sustainable business? 2021 Trend Report (2021)</w:t>
      </w:r>
    </w:p>
    <w:p w:rsidR="008E3922" w:rsidRPr="00B80FD7" w:rsidRDefault="008E3922" w:rsidP="00B80FD7">
      <w:pPr>
        <w:rPr>
          <w:lang w:val="en-US"/>
        </w:rPr>
      </w:pPr>
      <w:r w:rsidRPr="00B80FD7">
        <w:rPr>
          <w:lang w:val="en-US"/>
        </w:rPr>
        <w:t>George Serafeim et al. (2020), Making Sustainability count, Harvard Business Review</w:t>
      </w:r>
    </w:p>
    <w:p w:rsidR="008E3922" w:rsidRPr="00B80FD7" w:rsidRDefault="008E3922" w:rsidP="00B80FD7">
      <w:pPr>
        <w:rPr>
          <w:lang w:val="en-US"/>
        </w:rPr>
      </w:pPr>
      <w:r w:rsidRPr="00B80FD7">
        <w:rPr>
          <w:lang w:val="en-US"/>
        </w:rPr>
        <w:t>Jeong-Bon Kim, Bing Li, Zhenbin Liu (2018), Does social performance influence breadth of ownership</w:t>
      </w:r>
      <w:proofErr w:type="gramStart"/>
      <w:r w:rsidRPr="00B80FD7">
        <w:rPr>
          <w:lang w:val="en-US"/>
        </w:rPr>
        <w:t>?,</w:t>
      </w:r>
      <w:proofErr w:type="gramEnd"/>
      <w:r w:rsidRPr="00B80FD7">
        <w:rPr>
          <w:lang w:val="en-US"/>
        </w:rPr>
        <w:t xml:space="preserve"> Journal of Business finance accounting</w:t>
      </w:r>
    </w:p>
    <w:p w:rsidR="0015518D" w:rsidRPr="00B80FD7" w:rsidRDefault="0015518D" w:rsidP="00B80FD7">
      <w:pPr>
        <w:rPr>
          <w:lang w:val="en-US"/>
        </w:rPr>
      </w:pPr>
      <w:proofErr w:type="spellStart"/>
      <w:r w:rsidRPr="00B80FD7">
        <w:rPr>
          <w:lang w:val="en-US"/>
        </w:rPr>
        <w:t>Ekwurzel</w:t>
      </w:r>
      <w:proofErr w:type="spellEnd"/>
      <w:r w:rsidRPr="00B80FD7">
        <w:rPr>
          <w:lang w:val="en-US"/>
        </w:rPr>
        <w:t xml:space="preserve">, B., </w:t>
      </w:r>
      <w:proofErr w:type="spellStart"/>
      <w:r w:rsidRPr="00B80FD7">
        <w:rPr>
          <w:lang w:val="en-US"/>
        </w:rPr>
        <w:t>Boneham</w:t>
      </w:r>
      <w:proofErr w:type="spellEnd"/>
      <w:r w:rsidRPr="00B80FD7">
        <w:rPr>
          <w:lang w:val="en-US"/>
        </w:rPr>
        <w:t>, J., Dalton, M.W. et al. The rise in global atmospheric CO2, surface temperature, and sea level from emissions traced to major carbon producers. Climatic Change 144, 579–590 (2017)</w:t>
      </w:r>
    </w:p>
    <w:p w:rsidR="0015518D" w:rsidRPr="00B80FD7" w:rsidRDefault="0015518D" w:rsidP="00B80FD7">
      <w:pPr>
        <w:rPr>
          <w:lang w:val="en-US"/>
        </w:rPr>
      </w:pPr>
      <w:r w:rsidRPr="00B80FD7">
        <w:rPr>
          <w:lang w:val="en-US"/>
        </w:rPr>
        <w:t xml:space="preserve">Simon Dietz, Valentin Julius </w:t>
      </w:r>
      <w:proofErr w:type="spellStart"/>
      <w:r w:rsidRPr="00B80FD7">
        <w:rPr>
          <w:lang w:val="en-US"/>
        </w:rPr>
        <w:t>Jahn</w:t>
      </w:r>
      <w:proofErr w:type="spellEnd"/>
      <w:r w:rsidRPr="00B80FD7">
        <w:rPr>
          <w:lang w:val="en-US"/>
        </w:rPr>
        <w:t xml:space="preserve">, Dan Gardiner </w:t>
      </w:r>
      <w:proofErr w:type="spellStart"/>
      <w:r w:rsidRPr="00B80FD7">
        <w:rPr>
          <w:lang w:val="en-US"/>
        </w:rPr>
        <w:t>Jolien</w:t>
      </w:r>
      <w:proofErr w:type="spellEnd"/>
      <w:r w:rsidRPr="00B80FD7">
        <w:rPr>
          <w:lang w:val="en-US"/>
        </w:rPr>
        <w:t xml:space="preserve"> Noels (2020) Emissions targets in the oil and gas sector: How do they stack up? </w:t>
      </w:r>
      <w:proofErr w:type="spellStart"/>
      <w:r w:rsidRPr="00B80FD7">
        <w:rPr>
          <w:lang w:val="en-US"/>
        </w:rPr>
        <w:t>Londin</w:t>
      </w:r>
      <w:proofErr w:type="spellEnd"/>
      <w:r w:rsidRPr="00B80FD7">
        <w:rPr>
          <w:lang w:val="en-US"/>
        </w:rPr>
        <w:t xml:space="preserve"> School of Economics</w:t>
      </w:r>
    </w:p>
    <w:p w:rsidR="0015518D" w:rsidRPr="00B80FD7" w:rsidRDefault="0015518D" w:rsidP="00B80FD7">
      <w:pPr>
        <w:rPr>
          <w:lang w:val="en-US"/>
        </w:rPr>
      </w:pPr>
      <w:r w:rsidRPr="00B80FD7">
        <w:rPr>
          <w:lang w:val="en-US"/>
        </w:rPr>
        <w:t xml:space="preserve">Matthew S. </w:t>
      </w:r>
      <w:r w:rsidR="005661D6" w:rsidRPr="00B80FD7">
        <w:rPr>
          <w:lang w:val="en-US"/>
        </w:rPr>
        <w:t>BachDutch (</w:t>
      </w:r>
      <w:r w:rsidRPr="00B80FD7">
        <w:rPr>
          <w:lang w:val="en-US"/>
        </w:rPr>
        <w:t>2017) Is the Oil and Gas Industry Serious About Climate Action?</w:t>
      </w:r>
    </w:p>
    <w:p w:rsidR="0015518D" w:rsidRPr="00B80FD7" w:rsidRDefault="0015518D" w:rsidP="00B80FD7">
      <w:pPr>
        <w:rPr>
          <w:lang w:val="en-US"/>
        </w:rPr>
      </w:pPr>
      <w:r w:rsidRPr="00B80FD7">
        <w:rPr>
          <w:lang w:val="en-US"/>
        </w:rPr>
        <w:t>Research Institute for Transitions (DRIFT) of Erasmus University Rotterdam in the Netherlands</w:t>
      </w:r>
    </w:p>
    <w:p w:rsidR="0015518D" w:rsidRPr="00B80FD7" w:rsidRDefault="0015518D" w:rsidP="00B80FD7">
      <w:pPr>
        <w:rPr>
          <w:lang w:val="en-US"/>
        </w:rPr>
      </w:pPr>
      <w:r w:rsidRPr="00B80FD7">
        <w:rPr>
          <w:lang w:val="en-US"/>
        </w:rPr>
        <w:t xml:space="preserve">What is the Kyoto Protocol?https://unfccc.int/kyoto_protocol </w:t>
      </w:r>
    </w:p>
    <w:p w:rsidR="0015518D" w:rsidRPr="00B80FD7" w:rsidRDefault="0015518D" w:rsidP="00B80FD7">
      <w:pPr>
        <w:rPr>
          <w:lang w:val="en-US"/>
        </w:rPr>
      </w:pPr>
      <w:r w:rsidRPr="00B80FD7">
        <w:rPr>
          <w:lang w:val="en-US"/>
        </w:rPr>
        <w:lastRenderedPageBreak/>
        <w:t>Geoffrey Supran2 and Naomi Oreskes (2017), Assessing ExxonMobil's climate change communications (1977–2014), Environmental Research Letters, Volume 12, Number 8</w:t>
      </w:r>
    </w:p>
    <w:p w:rsidR="0015518D" w:rsidRPr="00B80FD7" w:rsidRDefault="0015518D" w:rsidP="00B80FD7">
      <w:pPr>
        <w:rPr>
          <w:lang w:val="en-US"/>
        </w:rPr>
      </w:pPr>
      <w:r w:rsidRPr="00B80FD7">
        <w:rPr>
          <w:lang w:val="en-US"/>
        </w:rPr>
        <w:t>Kieran Dobson and Manjit Jus (2021</w:t>
      </w:r>
      <w:proofErr w:type="gramStart"/>
      <w:r w:rsidRPr="00B80FD7">
        <w:rPr>
          <w:lang w:val="en-US"/>
        </w:rPr>
        <w:t>)Driving</w:t>
      </w:r>
      <w:proofErr w:type="gramEnd"/>
      <w:r w:rsidRPr="00B80FD7">
        <w:rPr>
          <w:lang w:val="en-US"/>
        </w:rPr>
        <w:t xml:space="preserve"> the energy transition: more than just hedging downside demand</w:t>
      </w:r>
    </w:p>
    <w:p w:rsidR="0015518D" w:rsidRPr="00B80FD7" w:rsidRDefault="0015518D" w:rsidP="00B80FD7">
      <w:pPr>
        <w:rPr>
          <w:lang w:val="en-US"/>
        </w:rPr>
      </w:pPr>
      <w:r w:rsidRPr="00B80FD7">
        <w:rPr>
          <w:lang w:val="en-US"/>
        </w:rPr>
        <w:t>Marlene Motyka (2021), 2021 renewable energy industry outlook</w:t>
      </w:r>
    </w:p>
    <w:p w:rsidR="0015518D" w:rsidRPr="00B80FD7" w:rsidRDefault="0015518D" w:rsidP="00B80FD7">
      <w:pPr>
        <w:rPr>
          <w:lang w:val="en-US"/>
        </w:rPr>
      </w:pPr>
      <w:r w:rsidRPr="00B80FD7">
        <w:rPr>
          <w:lang w:val="en-US"/>
        </w:rPr>
        <w:t>BP, Energy outlook 2020 edition</w:t>
      </w:r>
      <w:r w:rsidRPr="00B80FD7">
        <w:rPr>
          <w:lang w:val="en-US"/>
        </w:rPr>
        <w:t>,</w:t>
      </w:r>
      <w:r w:rsidRPr="00B80FD7">
        <w:rPr>
          <w:lang w:val="en-US"/>
        </w:rPr>
        <w:t xml:space="preserve"> </w:t>
      </w:r>
      <w:hyperlink r:id="rId30" w:history="1">
        <w:r w:rsidRPr="00B80FD7">
          <w:rPr>
            <w:lang w:val="en-US"/>
          </w:rPr>
          <w:t>https://www.bp.com/content/dam/bp/business-sites/en/global/corporate/pdfs/energy-economics/energy-outlook/bp-energy-outlook-2020.pdf?utm_source=newsletter&amp;utm_medium=email&amp;utm_campaign=newsletter_axiosgenerate&amp;stream=top</w:t>
        </w:r>
      </w:hyperlink>
    </w:p>
    <w:p w:rsidR="0015518D" w:rsidRPr="00B80FD7" w:rsidRDefault="0015518D" w:rsidP="00B80FD7">
      <w:pPr>
        <w:rPr>
          <w:lang w:val="en-US"/>
        </w:rPr>
      </w:pPr>
      <w:r w:rsidRPr="00B80FD7">
        <w:rPr>
          <w:lang w:val="en-US"/>
        </w:rPr>
        <w:t>Ruud Weijermars, Oswald Clint, Iain Pyle, Competing and partnering for resources and profits: Strategic shifts of oil Majors during the past quarter of a century,</w:t>
      </w:r>
    </w:p>
    <w:p w:rsidR="0015518D" w:rsidRPr="00B80FD7" w:rsidRDefault="0015518D" w:rsidP="00B80FD7">
      <w:pPr>
        <w:rPr>
          <w:lang w:val="en-US"/>
        </w:rPr>
      </w:pPr>
      <w:r w:rsidRPr="00B80FD7">
        <w:rPr>
          <w:lang w:val="en-US"/>
        </w:rPr>
        <w:t xml:space="preserve">Energy Strategy Reviews, Volume 3, 2014, Pages 72-87, </w:t>
      </w:r>
    </w:p>
    <w:p w:rsidR="0015518D" w:rsidRPr="00B80FD7" w:rsidRDefault="0015518D" w:rsidP="00B80FD7">
      <w:pPr>
        <w:rPr>
          <w:lang w:val="en-US"/>
        </w:rPr>
      </w:pPr>
      <w:r w:rsidRPr="00B80FD7">
        <w:rPr>
          <w:lang w:val="en-US"/>
        </w:rPr>
        <w:t>Johnston, Robert J., et al. KEY DRIVERS OF THE LOW CARBON TRANSITION. Atlantic Council, 2020, pp. 5–14, THE ROLE OF OIL AND GAS COMPANIES IN THE ENERGY TRANSITION, www.jstor.org/stable/resrep23543.5. Accessed 3 June 2021.</w:t>
      </w:r>
    </w:p>
    <w:p w:rsidR="0015518D" w:rsidRPr="00B80FD7" w:rsidRDefault="0015518D" w:rsidP="00B80FD7">
      <w:pPr>
        <w:rPr>
          <w:lang w:val="en-US"/>
        </w:rPr>
      </w:pPr>
      <w:r w:rsidRPr="00B80FD7">
        <w:rPr>
          <w:lang w:val="en-US"/>
        </w:rPr>
        <w:t xml:space="preserve">The Montreal Protocol https://www.unep.org/ozonaction/who-we-are/about-montreal-protocol </w:t>
      </w:r>
    </w:p>
    <w:p w:rsidR="0015518D" w:rsidRPr="00B80FD7" w:rsidRDefault="0015518D" w:rsidP="00B80FD7">
      <w:pPr>
        <w:rPr>
          <w:lang w:val="en-US"/>
        </w:rPr>
      </w:pPr>
      <w:r w:rsidRPr="00B80FD7">
        <w:rPr>
          <w:lang w:val="en-US"/>
        </w:rPr>
        <w:t xml:space="preserve">Amendment to the Montreal Protocol on Substances that Deplete the Ozone Layer https://treaties.un.org/Pages/ViewDetails.aspx?src=TREATY&amp;mtdsg_no=XXVII-2-f&amp;chapter=27&amp;clang=_en </w:t>
      </w:r>
    </w:p>
    <w:p w:rsidR="0015518D" w:rsidRPr="00B80FD7" w:rsidRDefault="00DF017E" w:rsidP="00B80FD7">
      <w:pPr>
        <w:rPr>
          <w:lang w:val="en-US"/>
        </w:rPr>
      </w:pPr>
      <w:hyperlink r:id="rId31" w:history="1">
        <w:r w:rsidRPr="006D2C5E">
          <w:rPr>
            <w:rStyle w:val="a4"/>
            <w:lang w:val="en-US"/>
          </w:rPr>
          <w:t>https://unfccc.int/files/essential_background/background_publications_htmlpdf/application/pdf/conveng.pdf</w:t>
        </w:r>
      </w:hyperlink>
      <w:r>
        <w:rPr>
          <w:lang w:val="en-US"/>
        </w:rPr>
        <w:t xml:space="preserve"> </w:t>
      </w:r>
      <w:r w:rsidR="0015518D" w:rsidRPr="00B80FD7">
        <w:rPr>
          <w:lang w:val="en-US"/>
        </w:rPr>
        <w:t>UNITED NATIONS FRAMEWORK CONVENTION ON CLIMATE CHANGE</w:t>
      </w:r>
    </w:p>
    <w:p w:rsidR="0015518D" w:rsidRPr="00B80FD7" w:rsidRDefault="005661D6" w:rsidP="00B80FD7">
      <w:pPr>
        <w:rPr>
          <w:lang w:val="en-US"/>
        </w:rPr>
      </w:pPr>
      <w:r w:rsidRPr="00B80FD7">
        <w:rPr>
          <w:lang w:val="en-US"/>
        </w:rPr>
        <w:t xml:space="preserve">Lindsay </w:t>
      </w:r>
      <w:proofErr w:type="spellStart"/>
      <w:r w:rsidRPr="00B80FD7">
        <w:rPr>
          <w:lang w:val="en-US"/>
        </w:rPr>
        <w:t>Maizland</w:t>
      </w:r>
      <w:proofErr w:type="spellEnd"/>
      <w:r w:rsidRPr="00B80FD7">
        <w:rPr>
          <w:lang w:val="en-US"/>
        </w:rPr>
        <w:t xml:space="preserve"> </w:t>
      </w:r>
      <w:r w:rsidR="0015518D" w:rsidRPr="00B80FD7">
        <w:rPr>
          <w:lang w:val="en-US"/>
        </w:rPr>
        <w:t>(2021), Global Climate Agreements: Successes and Failures, Council on Foreign relation</w:t>
      </w:r>
    </w:p>
    <w:p w:rsidR="005661D6" w:rsidRPr="00B80FD7" w:rsidRDefault="005661D6" w:rsidP="00B80FD7">
      <w:pPr>
        <w:rPr>
          <w:lang w:val="en-US"/>
        </w:rPr>
      </w:pPr>
      <w:r w:rsidRPr="00B80FD7">
        <w:rPr>
          <w:lang w:val="en-US"/>
        </w:rPr>
        <w:t xml:space="preserve">Global Sustainable Review 2018 www.gsi-alliance.org/wp-content/uploads/2019/06/GSIR_Review2018F.pdf </w:t>
      </w:r>
    </w:p>
    <w:p w:rsidR="005661D6" w:rsidRPr="00B80FD7" w:rsidRDefault="005661D6" w:rsidP="00B80FD7">
      <w:pPr>
        <w:rPr>
          <w:lang w:val="en-US"/>
        </w:rPr>
      </w:pPr>
      <w:r w:rsidRPr="00B80FD7">
        <w:rPr>
          <w:lang w:val="en-US"/>
        </w:rPr>
        <w:t xml:space="preserve">  Dennis Halcoussis, Anton D. Lowenberg, </w:t>
      </w:r>
      <w:r w:rsidR="00DF017E" w:rsidRPr="00B80FD7">
        <w:rPr>
          <w:lang w:val="en-US"/>
        </w:rPr>
        <w:t>2019</w:t>
      </w:r>
      <w:r w:rsidR="00DF017E">
        <w:rPr>
          <w:lang w:val="en-US"/>
        </w:rPr>
        <w:t xml:space="preserve"> </w:t>
      </w:r>
      <w:r w:rsidRPr="00B80FD7">
        <w:rPr>
          <w:lang w:val="en-US"/>
        </w:rPr>
        <w:t>The effects of the fossil fuel divestment campaign on stock returns, The North American Journal of Economics and Finance, Volume 47</w:t>
      </w:r>
      <w:proofErr w:type="gramStart"/>
      <w:r w:rsidRPr="00B80FD7">
        <w:rPr>
          <w:lang w:val="en-US"/>
        </w:rPr>
        <w:t>, ,</w:t>
      </w:r>
      <w:proofErr w:type="gramEnd"/>
      <w:r w:rsidRPr="00B80FD7">
        <w:rPr>
          <w:lang w:val="en-US"/>
        </w:rPr>
        <w:t xml:space="preserve"> Pages 669-674,</w:t>
      </w:r>
    </w:p>
    <w:p w:rsidR="005661D6" w:rsidRPr="00B80FD7" w:rsidRDefault="005661D6" w:rsidP="00B80FD7">
      <w:pPr>
        <w:rPr>
          <w:lang w:val="en-US"/>
        </w:rPr>
      </w:pPr>
      <w:r w:rsidRPr="00B80FD7">
        <w:rPr>
          <w:lang w:val="en-US"/>
        </w:rPr>
        <w:t xml:space="preserve">  Mike Scott (2019), Investors Demand Oil </w:t>
      </w:r>
      <w:proofErr w:type="gramStart"/>
      <w:r w:rsidRPr="00B80FD7">
        <w:rPr>
          <w:lang w:val="en-US"/>
        </w:rPr>
        <w:t>And</w:t>
      </w:r>
      <w:proofErr w:type="gramEnd"/>
      <w:r w:rsidRPr="00B80FD7">
        <w:rPr>
          <w:lang w:val="en-US"/>
        </w:rPr>
        <w:t xml:space="preserve"> Gas Firms Adopt Climate Targets, But They Must Also Apply Them To Their Funds, Forbes https://www.forbes.com/sites/mikescott/2019/04/29/investors-demand-oil-gas-firms-adopt-climate-targets-but-they-must-also-apply-them-to-their-funds/?sh=491ac74e6e4e</w:t>
      </w:r>
    </w:p>
    <w:p w:rsidR="0015518D" w:rsidRPr="00B80FD7" w:rsidRDefault="005661D6" w:rsidP="00B80FD7">
      <w:pPr>
        <w:rPr>
          <w:lang w:val="en-US"/>
        </w:rPr>
      </w:pPr>
      <w:r w:rsidRPr="00B80FD7">
        <w:rPr>
          <w:lang w:val="en-US"/>
        </w:rPr>
        <w:lastRenderedPageBreak/>
        <w:t>Erickson</w:t>
      </w:r>
      <w:r w:rsidR="0015518D" w:rsidRPr="00B80FD7">
        <w:rPr>
          <w:lang w:val="en-US"/>
        </w:rPr>
        <w:t xml:space="preserve">, Peter, et al. </w:t>
      </w:r>
      <w:r w:rsidR="00DF017E" w:rsidRPr="00B80FD7">
        <w:rPr>
          <w:lang w:val="en-US"/>
        </w:rPr>
        <w:t>2017</w:t>
      </w:r>
      <w:r w:rsidR="00DF017E">
        <w:rPr>
          <w:lang w:val="en-US"/>
        </w:rPr>
        <w:t xml:space="preserve"> </w:t>
      </w:r>
      <w:r w:rsidR="0015518D" w:rsidRPr="00B80FD7">
        <w:rPr>
          <w:lang w:val="en-US"/>
        </w:rPr>
        <w:t>How Would Eliminating Subsidies to the U.S. Oil Industry Affect Potential Oil Production and CO2 Emissions? Stockholm Environm</w:t>
      </w:r>
      <w:r w:rsidR="00DF017E">
        <w:rPr>
          <w:lang w:val="en-US"/>
        </w:rPr>
        <w:t>ent Institute</w:t>
      </w:r>
      <w:r w:rsidR="0015518D" w:rsidRPr="00B80FD7">
        <w:rPr>
          <w:lang w:val="en-US"/>
        </w:rPr>
        <w:t>, www.jstor.org/stable/resrep02806. Accessed 3 June 2021.</w:t>
      </w:r>
    </w:p>
    <w:p w:rsidR="0015518D" w:rsidRPr="00B80FD7" w:rsidRDefault="005661D6" w:rsidP="00B80FD7">
      <w:pPr>
        <w:rPr>
          <w:lang w:val="en-US"/>
        </w:rPr>
      </w:pPr>
      <w:r w:rsidRPr="00B80FD7">
        <w:rPr>
          <w:lang w:val="en-US"/>
        </w:rPr>
        <w:t xml:space="preserve">About | Task Force </w:t>
      </w:r>
      <w:r w:rsidR="0015518D" w:rsidRPr="00B80FD7">
        <w:rPr>
          <w:lang w:val="en-US"/>
        </w:rPr>
        <w:t>on Climate-Related Financial Disclosures (fsb-tcfd.org)</w:t>
      </w:r>
    </w:p>
    <w:p w:rsidR="0015518D" w:rsidRPr="00B80FD7" w:rsidRDefault="005661D6" w:rsidP="00B80FD7">
      <w:pPr>
        <w:rPr>
          <w:lang w:val="en-US"/>
        </w:rPr>
      </w:pPr>
      <w:r w:rsidRPr="00B80FD7">
        <w:rPr>
          <w:lang w:val="en-US"/>
        </w:rPr>
        <w:t xml:space="preserve">Deborah </w:t>
      </w:r>
      <w:r w:rsidR="0015518D" w:rsidRPr="00B80FD7">
        <w:rPr>
          <w:lang w:val="en-US"/>
        </w:rPr>
        <w:t xml:space="preserve">Byers </w:t>
      </w:r>
      <w:proofErr w:type="gramStart"/>
      <w:r w:rsidR="0015518D" w:rsidRPr="00B80FD7">
        <w:rPr>
          <w:lang w:val="en-US"/>
        </w:rPr>
        <w:t>et</w:t>
      </w:r>
      <w:proofErr w:type="gramEnd"/>
      <w:r w:rsidR="0015518D" w:rsidRPr="00B80FD7">
        <w:rPr>
          <w:lang w:val="en-US"/>
        </w:rPr>
        <w:t>. Al (2017</w:t>
      </w:r>
      <w:r w:rsidRPr="00B80FD7">
        <w:rPr>
          <w:lang w:val="en-US"/>
        </w:rPr>
        <w:t xml:space="preserve">) </w:t>
      </w:r>
      <w:proofErr w:type="gramStart"/>
      <w:r w:rsidRPr="00B80FD7">
        <w:rPr>
          <w:lang w:val="en-US"/>
        </w:rPr>
        <w:t>How</w:t>
      </w:r>
      <w:proofErr w:type="gramEnd"/>
      <w:r w:rsidR="0015518D" w:rsidRPr="00B80FD7">
        <w:rPr>
          <w:lang w:val="en-US"/>
        </w:rPr>
        <w:t xml:space="preserve"> can oil and gas fuel tomorrow as well as today?  EY</w:t>
      </w:r>
    </w:p>
    <w:p w:rsidR="0015518D" w:rsidRPr="00B80FD7" w:rsidRDefault="0015518D" w:rsidP="00B80FD7">
      <w:pPr>
        <w:rPr>
          <w:lang w:val="en-US"/>
        </w:rPr>
      </w:pPr>
      <w:r w:rsidRPr="00B80FD7">
        <w:rPr>
          <w:lang w:val="en-US"/>
        </w:rPr>
        <w:t>https://www.energyresources.org.nz/dmsdocument/</w:t>
      </w:r>
      <w:r w:rsidR="00DF017E" w:rsidRPr="00B80FD7">
        <w:rPr>
          <w:lang w:val="en-US"/>
        </w:rPr>
        <w:t>167 Oil</w:t>
      </w:r>
      <w:r w:rsidRPr="00B80FD7">
        <w:rPr>
          <w:lang w:val="en-US"/>
        </w:rPr>
        <w:t xml:space="preserve"> and Gas Industry Reputation (2020)</w:t>
      </w:r>
    </w:p>
    <w:p w:rsidR="0015518D" w:rsidRPr="00B80FD7" w:rsidRDefault="0015518D" w:rsidP="00B80FD7">
      <w:pPr>
        <w:rPr>
          <w:lang w:val="en-US"/>
        </w:rPr>
      </w:pPr>
      <w:r w:rsidRPr="00B80FD7">
        <w:rPr>
          <w:lang w:val="en-US"/>
        </w:rPr>
        <w:t xml:space="preserve">Holly Honderich, Keystone XL: Why I fought for - or against - the pipeline, </w:t>
      </w:r>
      <w:r w:rsidR="00DF017E" w:rsidRPr="00B80FD7">
        <w:rPr>
          <w:lang w:val="en-US"/>
        </w:rPr>
        <w:t>BBC https</w:t>
      </w:r>
      <w:r w:rsidRPr="00B80FD7">
        <w:rPr>
          <w:lang w:val="en-US"/>
        </w:rPr>
        <w:t xml:space="preserve">://www.bbc.com/news/world-us-canada-55816229 </w:t>
      </w:r>
    </w:p>
    <w:p w:rsidR="0015518D" w:rsidRPr="00B80FD7" w:rsidRDefault="0015518D" w:rsidP="00B80FD7">
      <w:pPr>
        <w:rPr>
          <w:lang w:val="en-US"/>
        </w:rPr>
      </w:pPr>
      <w:r w:rsidRPr="00B80FD7">
        <w:rPr>
          <w:lang w:val="en-US"/>
        </w:rPr>
        <w:t xml:space="preserve">Kelly Gilblom, (2019), Shell's London Headquarters Vandalized by Climate Protesters, </w:t>
      </w:r>
      <w:r w:rsidR="005661D6" w:rsidRPr="00B80FD7">
        <w:rPr>
          <w:lang w:val="en-US"/>
        </w:rPr>
        <w:t>Bloomberg</w:t>
      </w:r>
      <w:r w:rsidRPr="00B80FD7">
        <w:rPr>
          <w:lang w:val="en-US"/>
        </w:rPr>
        <w:t xml:space="preserve"> </w:t>
      </w:r>
      <w:hyperlink r:id="rId32" w:history="1">
        <w:r w:rsidRPr="00B80FD7">
          <w:rPr>
            <w:rStyle w:val="a4"/>
            <w:lang w:val="en-US"/>
          </w:rPr>
          <w:t>https://www.bloomberg.com/news/articles/2019-04-15/shell-s-london-headquarters-vandalized-by-climate-protesters</w:t>
        </w:r>
      </w:hyperlink>
    </w:p>
    <w:p w:rsidR="0015518D" w:rsidRPr="00B80FD7" w:rsidRDefault="005661D6" w:rsidP="00B80FD7">
      <w:pPr>
        <w:rPr>
          <w:lang w:val="en-US"/>
        </w:rPr>
      </w:pPr>
      <w:r w:rsidRPr="00B80FD7">
        <w:rPr>
          <w:lang w:val="en-US"/>
        </w:rPr>
        <w:t>PRI</w:t>
      </w:r>
      <w:r w:rsidR="0015518D" w:rsidRPr="00B80FD7">
        <w:rPr>
          <w:lang w:val="en-US"/>
        </w:rPr>
        <w:t xml:space="preserve">, </w:t>
      </w:r>
      <w:r w:rsidRPr="00B80FD7">
        <w:rPr>
          <w:lang w:val="en-US"/>
        </w:rPr>
        <w:t xml:space="preserve">What are the Principles </w:t>
      </w:r>
      <w:r w:rsidR="0015518D" w:rsidRPr="00B80FD7">
        <w:rPr>
          <w:lang w:val="en-US"/>
        </w:rPr>
        <w:t xml:space="preserve">for Responsible Investment? https://www.unpri.org/pri/what-are-the-principles-for-responsible-investment </w:t>
      </w:r>
    </w:p>
    <w:p w:rsidR="005661D6" w:rsidRPr="00B80FD7" w:rsidRDefault="005661D6" w:rsidP="00B80FD7">
      <w:pPr>
        <w:rPr>
          <w:lang w:val="en-US"/>
        </w:rPr>
      </w:pPr>
      <w:r w:rsidRPr="00B80FD7">
        <w:rPr>
          <w:lang w:val="en-US"/>
        </w:rPr>
        <w:t xml:space="preserve">Theodor Cojoianuet al. (2019), Economic geography of Fossil Fuel </w:t>
      </w:r>
      <w:r w:rsidR="00DF017E" w:rsidRPr="00B80FD7">
        <w:rPr>
          <w:lang w:val="en-US"/>
        </w:rPr>
        <w:t>Divestment,</w:t>
      </w:r>
      <w:r w:rsidRPr="00B80FD7">
        <w:rPr>
          <w:lang w:val="en-US"/>
        </w:rPr>
        <w:t xml:space="preserve"> environmental policies and oil and gas financing https://ec.europa.eu/jrc/sites/jrcsh/files/4_3_cojoianu_presentation.pdf </w:t>
      </w:r>
    </w:p>
    <w:p w:rsidR="005661D6" w:rsidRPr="00B80FD7" w:rsidRDefault="005661D6" w:rsidP="00B80FD7">
      <w:pPr>
        <w:rPr>
          <w:lang w:val="en-US"/>
        </w:rPr>
      </w:pPr>
      <w:r w:rsidRPr="00B80FD7">
        <w:rPr>
          <w:lang w:val="en-US"/>
        </w:rPr>
        <w:t xml:space="preserve">  Walter Leal Filho, Ali Beynaghi, Abul Quasem Al-Amin, Charbel Jose Chiappetta Jabbour, Miguel Esteban, Masoud Mozafari, Low-carbon transition through a duty to divest: Back to the future, ahead to the past, Renewable and Sustainable Energy Reviews, Volume 94, 2018, Pages 183-186,</w:t>
      </w:r>
    </w:p>
    <w:p w:rsidR="005661D6" w:rsidRPr="00B80FD7" w:rsidRDefault="005661D6" w:rsidP="00B80FD7">
      <w:pPr>
        <w:rPr>
          <w:lang w:val="en-US"/>
        </w:rPr>
      </w:pPr>
      <w:r w:rsidRPr="00B80FD7">
        <w:rPr>
          <w:lang w:val="en-US"/>
        </w:rPr>
        <w:t xml:space="preserve">  Sibylle Braungardt, Jeroen van den Bergh, Tessa Dunlop, Fossil fuel divestment and climate change: Reviewing contested </w:t>
      </w:r>
      <w:r w:rsidRPr="00B80FD7">
        <w:rPr>
          <w:lang w:val="en-US"/>
        </w:rPr>
        <w:t>arguments, Energy</w:t>
      </w:r>
      <w:r w:rsidRPr="00B80FD7">
        <w:rPr>
          <w:lang w:val="en-US"/>
        </w:rPr>
        <w:t xml:space="preserve"> Research &amp; Social </w:t>
      </w:r>
      <w:r w:rsidRPr="00B80FD7">
        <w:rPr>
          <w:lang w:val="en-US"/>
        </w:rPr>
        <w:t>Science, Volume</w:t>
      </w:r>
      <w:r w:rsidRPr="00B80FD7">
        <w:rPr>
          <w:lang w:val="en-US"/>
        </w:rPr>
        <w:t xml:space="preserve"> 50</w:t>
      </w:r>
      <w:r w:rsidR="00DF017E" w:rsidRPr="00B80FD7">
        <w:rPr>
          <w:lang w:val="en-US"/>
        </w:rPr>
        <w:t>, 2019</w:t>
      </w:r>
      <w:proofErr w:type="gramStart"/>
      <w:r w:rsidR="00DF017E" w:rsidRPr="00B80FD7">
        <w:rPr>
          <w:lang w:val="en-US"/>
        </w:rPr>
        <w:t>,Pages</w:t>
      </w:r>
      <w:proofErr w:type="gramEnd"/>
      <w:r w:rsidRPr="00B80FD7">
        <w:rPr>
          <w:lang w:val="en-US"/>
        </w:rPr>
        <w:t xml:space="preserve"> 191-200,</w:t>
      </w:r>
    </w:p>
    <w:p w:rsidR="005661D6" w:rsidRPr="00B80FD7" w:rsidRDefault="005661D6" w:rsidP="00B80FD7">
      <w:pPr>
        <w:rPr>
          <w:lang w:val="en-US"/>
        </w:rPr>
      </w:pPr>
      <w:r w:rsidRPr="00B80FD7">
        <w:rPr>
          <w:lang w:val="en-US"/>
        </w:rPr>
        <w:t xml:space="preserve">  Irene Henriques, Perry </w:t>
      </w:r>
      <w:r w:rsidRPr="00B80FD7">
        <w:rPr>
          <w:lang w:val="en-US"/>
        </w:rPr>
        <w:t>Sadorsky, Investor</w:t>
      </w:r>
      <w:r w:rsidRPr="00B80FD7">
        <w:rPr>
          <w:lang w:val="en-US"/>
        </w:rPr>
        <w:t xml:space="preserve"> implications of divesting from fossil </w:t>
      </w:r>
      <w:r w:rsidRPr="00B80FD7">
        <w:rPr>
          <w:lang w:val="en-US"/>
        </w:rPr>
        <w:t>fuels, Global</w:t>
      </w:r>
      <w:r w:rsidRPr="00B80FD7">
        <w:rPr>
          <w:lang w:val="en-US"/>
        </w:rPr>
        <w:t xml:space="preserve"> Finance Journal</w:t>
      </w:r>
      <w:proofErr w:type="gramStart"/>
      <w:r w:rsidRPr="00B80FD7">
        <w:rPr>
          <w:lang w:val="en-US"/>
        </w:rPr>
        <w:t>,Volume</w:t>
      </w:r>
      <w:proofErr w:type="gramEnd"/>
      <w:r w:rsidRPr="00B80FD7">
        <w:rPr>
          <w:lang w:val="en-US"/>
        </w:rPr>
        <w:t xml:space="preserve"> 38,2018,Pages 30-44,</w:t>
      </w:r>
    </w:p>
    <w:p w:rsidR="005661D6" w:rsidRPr="00B80FD7" w:rsidRDefault="005661D6" w:rsidP="00B80FD7">
      <w:pPr>
        <w:rPr>
          <w:lang w:val="en-US"/>
        </w:rPr>
      </w:pPr>
      <w:r w:rsidRPr="00B80FD7">
        <w:rPr>
          <w:lang w:val="en-US"/>
        </w:rPr>
        <w:t xml:space="preserve">  Gregor Semieniuk an</w:t>
      </w:r>
      <w:r w:rsidRPr="00B80FD7">
        <w:rPr>
          <w:lang w:val="en-US"/>
        </w:rPr>
        <w:t>d</w:t>
      </w:r>
      <w:r w:rsidRPr="00B80FD7">
        <w:rPr>
          <w:lang w:val="en-US"/>
        </w:rPr>
        <w:t xml:space="preserve"> other</w:t>
      </w:r>
      <w:proofErr w:type="gramStart"/>
      <w:r w:rsidRPr="00B80FD7">
        <w:rPr>
          <w:lang w:val="en-US"/>
        </w:rPr>
        <w:t>,(</w:t>
      </w:r>
      <w:proofErr w:type="gramEnd"/>
      <w:r w:rsidRPr="00B80FD7">
        <w:rPr>
          <w:lang w:val="en-US"/>
        </w:rPr>
        <w:t>2019)Low-carbon transition risks for finance</w:t>
      </w:r>
    </w:p>
    <w:p w:rsidR="005661D6" w:rsidRPr="00B80FD7" w:rsidRDefault="005661D6" w:rsidP="00B80FD7">
      <w:pPr>
        <w:rPr>
          <w:lang w:val="en-US"/>
        </w:rPr>
      </w:pPr>
      <w:r w:rsidRPr="00B80FD7">
        <w:rPr>
          <w:lang w:val="en-US"/>
        </w:rPr>
        <w:t xml:space="preserve">Stanely Porter and other, </w:t>
      </w:r>
      <w:r w:rsidRPr="00B80FD7">
        <w:rPr>
          <w:lang w:val="en-US"/>
        </w:rPr>
        <w:t>oil, gas</w:t>
      </w:r>
      <w:r w:rsidRPr="00B80FD7">
        <w:rPr>
          <w:lang w:val="en-US"/>
        </w:rPr>
        <w:t xml:space="preserve"> and the energy transition, Deloite </w:t>
      </w:r>
      <w:proofErr w:type="gramStart"/>
      <w:r w:rsidRPr="00B80FD7">
        <w:rPr>
          <w:lang w:val="en-US"/>
        </w:rPr>
        <w:t>Insights  https</w:t>
      </w:r>
      <w:proofErr w:type="gramEnd"/>
      <w:r w:rsidRPr="00B80FD7">
        <w:rPr>
          <w:lang w:val="en-US"/>
        </w:rPr>
        <w:t xml:space="preserve">://nor.deloitte.com/rs/712-CNF-326/images/DI-Oil-gas-and-the-energy-transition.pdf?_ga=2.189358571.1781744088.1620305824-454345659.1620305824 </w:t>
      </w:r>
    </w:p>
    <w:p w:rsidR="005661D6" w:rsidRPr="00B80FD7" w:rsidRDefault="005661D6" w:rsidP="00B80FD7">
      <w:pPr>
        <w:rPr>
          <w:lang w:val="en-US"/>
        </w:rPr>
      </w:pPr>
      <w:r w:rsidRPr="00B80FD7">
        <w:rPr>
          <w:lang w:val="en-US"/>
        </w:rPr>
        <w:t xml:space="preserve"> </w:t>
      </w:r>
      <w:r w:rsidRPr="00B80FD7">
        <w:rPr>
          <w:lang w:val="en-US"/>
        </w:rPr>
        <w:t>VAKHSHOURI, SARA. The America First Energy Plan: Renewing the Confidence of American Energy Producers. Atlantic Council, 2017, www.jstor.org/stable/resrep17116. Accessed 3 June 2021.</w:t>
      </w:r>
    </w:p>
    <w:p w:rsidR="005661D6" w:rsidRPr="00B80FD7" w:rsidRDefault="005661D6" w:rsidP="00B80FD7">
      <w:pPr>
        <w:rPr>
          <w:lang w:val="en-US"/>
        </w:rPr>
      </w:pPr>
      <w:r w:rsidRPr="00B80FD7">
        <w:rPr>
          <w:lang w:val="en-US"/>
        </w:rPr>
        <w:lastRenderedPageBreak/>
        <w:t xml:space="preserve"> </w:t>
      </w:r>
      <w:r w:rsidRPr="00B80FD7">
        <w:rPr>
          <w:lang w:val="en-US"/>
        </w:rPr>
        <w:t>Hongfang Lu, Lijun Guo, Yitong Zhang, Oil and gas companies' low-carbon emission transition to integrated energy companies, Science of The Total Environment, Volume 686,2019, Pages 1202-1209,</w:t>
      </w:r>
    </w:p>
    <w:p w:rsidR="005661D6" w:rsidRPr="00B80FD7" w:rsidRDefault="005661D6" w:rsidP="00B80FD7">
      <w:pPr>
        <w:rPr>
          <w:lang w:val="en-US"/>
        </w:rPr>
      </w:pPr>
      <w:r w:rsidRPr="00B80FD7">
        <w:rPr>
          <w:lang w:val="en-US"/>
        </w:rPr>
        <w:t>Matthias J. Pickl, The renewable energy strategies of oil majors – From oil to energy</w:t>
      </w:r>
      <w:proofErr w:type="gramStart"/>
      <w:r w:rsidRPr="00B80FD7">
        <w:rPr>
          <w:lang w:val="en-US"/>
        </w:rPr>
        <w:t>?,</w:t>
      </w:r>
      <w:proofErr w:type="gramEnd"/>
      <w:r w:rsidRPr="00B80FD7">
        <w:rPr>
          <w:lang w:val="en-US"/>
        </w:rPr>
        <w:t xml:space="preserve"> Energy Strategy Reviews, Volume 26, 2019,</w:t>
      </w:r>
    </w:p>
    <w:p w:rsidR="005661D6" w:rsidRPr="00B80FD7" w:rsidRDefault="005661D6" w:rsidP="00B80FD7">
      <w:pPr>
        <w:rPr>
          <w:lang w:val="en-US"/>
        </w:rPr>
      </w:pPr>
      <w:r w:rsidRPr="00B80FD7">
        <w:rPr>
          <w:lang w:val="en-US"/>
        </w:rPr>
        <w:t xml:space="preserve">  Asmelash, E. and R. Gorini (2021) International oil companies and the energy transition, International Renewable Energy Agency, Abu Dhabi</w:t>
      </w:r>
    </w:p>
    <w:p w:rsidR="005661D6" w:rsidRPr="00B80FD7" w:rsidRDefault="005661D6" w:rsidP="00B80FD7">
      <w:pPr>
        <w:rPr>
          <w:lang w:val="en-US"/>
        </w:rPr>
      </w:pPr>
      <w:r w:rsidRPr="00B80FD7">
        <w:rPr>
          <w:lang w:val="en-US"/>
        </w:rPr>
        <w:t xml:space="preserve">Chantal Beck, Jayanti Kar, Stephen Hall, Dara Olufon, Donatela Bellone (2021) </w:t>
      </w:r>
      <w:proofErr w:type="gramStart"/>
      <w:r w:rsidRPr="00B80FD7">
        <w:rPr>
          <w:lang w:val="en-US"/>
        </w:rPr>
        <w:t>The</w:t>
      </w:r>
      <w:proofErr w:type="gramEnd"/>
      <w:r w:rsidRPr="00B80FD7">
        <w:rPr>
          <w:lang w:val="en-US"/>
        </w:rPr>
        <w:t xml:space="preserve"> big choices for oil and gas in navigating the energy transition, McKinsey &amp;Company https://www.mckinsey.com/industries/oil-and-gas/our-insights/the-big-choices-for-oil-and-gas-in-navigating-the-energy-transition </w:t>
      </w:r>
    </w:p>
    <w:p w:rsidR="005661D6" w:rsidRPr="00B80FD7" w:rsidRDefault="005661D6" w:rsidP="00B80FD7">
      <w:pPr>
        <w:rPr>
          <w:lang w:val="en-US"/>
        </w:rPr>
      </w:pPr>
      <w:r w:rsidRPr="00B80FD7">
        <w:rPr>
          <w:lang w:val="en-US"/>
        </w:rPr>
        <w:t xml:space="preserve">  Kyungjin Yoo, Youah Lee, Eunnyeong Heo, Economic effects by merger and acquisition types in the renewable energy sector: An event study approach, Renewable and Sustainable Energy Reviews, Volume 26, 2013, Pages 694-701</w:t>
      </w:r>
    </w:p>
    <w:p w:rsidR="005E74F4" w:rsidRPr="00B80FD7" w:rsidRDefault="005E74F4" w:rsidP="00B80FD7">
      <w:pPr>
        <w:rPr>
          <w:lang w:val="en-US"/>
        </w:rPr>
      </w:pPr>
      <w:r w:rsidRPr="00B80FD7">
        <w:rPr>
          <w:lang w:val="en-US"/>
        </w:rPr>
        <w:t xml:space="preserve">2020, The world’s most used renewable power </w:t>
      </w:r>
      <w:proofErr w:type="gramStart"/>
      <w:r w:rsidRPr="00B80FD7">
        <w:rPr>
          <w:lang w:val="en-US"/>
        </w:rPr>
        <w:t xml:space="preserve">sources  </w:t>
      </w:r>
      <w:proofErr w:type="gramEnd"/>
      <w:r w:rsidRPr="00B80FD7">
        <w:rPr>
          <w:lang w:val="en-US"/>
        </w:rPr>
        <w:fldChar w:fldCharType="begin"/>
      </w:r>
      <w:r w:rsidRPr="00B80FD7">
        <w:rPr>
          <w:lang w:val="en-US"/>
        </w:rPr>
        <w:instrText xml:space="preserve"> HYPERLINK "https://www.power-technology.com/features/featurethe-worlds-most-used-renewable-power-sources-4160168/" </w:instrText>
      </w:r>
      <w:r w:rsidRPr="00B80FD7">
        <w:rPr>
          <w:lang w:val="en-US"/>
        </w:rPr>
        <w:fldChar w:fldCharType="separate"/>
      </w:r>
      <w:r w:rsidRPr="00B80FD7">
        <w:rPr>
          <w:rStyle w:val="a4"/>
          <w:lang w:val="en-US"/>
        </w:rPr>
        <w:t>https://www.power-technology.com/features/featurethe-worlds-most-used-renewable-power-sources-4160168/</w:t>
      </w:r>
      <w:r w:rsidRPr="00B80FD7">
        <w:rPr>
          <w:lang w:val="en-US"/>
        </w:rPr>
        <w:fldChar w:fldCharType="end"/>
      </w:r>
    </w:p>
    <w:p w:rsidR="005E74F4" w:rsidRPr="00B80FD7" w:rsidRDefault="005E74F4" w:rsidP="00B80FD7">
      <w:pPr>
        <w:rPr>
          <w:lang w:val="en-US"/>
        </w:rPr>
      </w:pPr>
      <w:r w:rsidRPr="00B80FD7">
        <w:rPr>
          <w:lang w:val="en-US"/>
        </w:rPr>
        <w:t>Dolley, J. C. (1933). Characteristics and procedure of common stock split-ups. Harvard Business Review, 11(3), 316–326.</w:t>
      </w:r>
    </w:p>
    <w:p w:rsidR="005E74F4" w:rsidRPr="00B80FD7" w:rsidRDefault="005E74F4" w:rsidP="00B80FD7">
      <w:pPr>
        <w:rPr>
          <w:lang w:val="en-US"/>
        </w:rPr>
      </w:pPr>
      <w:r w:rsidRPr="00B80FD7">
        <w:rPr>
          <w:lang w:val="en-US"/>
        </w:rPr>
        <w:t xml:space="preserve">  Ball, R., &amp; Brown, P. (1968). An empirical evaluation of accounting income numbers. Journal of Accounting Research, 6(2), 159–178</w:t>
      </w:r>
    </w:p>
    <w:p w:rsidR="005E74F4" w:rsidRPr="00B80FD7" w:rsidRDefault="005E74F4" w:rsidP="00B80FD7">
      <w:pPr>
        <w:rPr>
          <w:lang w:val="en-US"/>
        </w:rPr>
      </w:pPr>
      <w:r w:rsidRPr="00B80FD7">
        <w:rPr>
          <w:lang w:val="en-US"/>
        </w:rPr>
        <w:t xml:space="preserve">  </w:t>
      </w:r>
      <w:r w:rsidR="00DF017E" w:rsidRPr="00B80FD7">
        <w:rPr>
          <w:lang w:val="en-US"/>
        </w:rPr>
        <w:t>Fama, E. F., Fisher, L., Jensen</w:t>
      </w:r>
      <w:r w:rsidRPr="00B80FD7">
        <w:rPr>
          <w:lang w:val="en-US"/>
        </w:rPr>
        <w:t>, M. C., &amp; Roll, R. (1969). The adjustment of stock prices to new information. International Economic Review, 10(1), 1–21</w:t>
      </w:r>
    </w:p>
    <w:p w:rsidR="005E74F4" w:rsidRPr="00B80FD7" w:rsidRDefault="005E74F4" w:rsidP="00B80FD7">
      <w:pPr>
        <w:rPr>
          <w:lang w:val="en-US"/>
        </w:rPr>
      </w:pPr>
      <w:r w:rsidRPr="00B80FD7">
        <w:rPr>
          <w:lang w:val="en-US"/>
        </w:rPr>
        <w:t xml:space="preserve">  Fama, Eugene (1970). "Efficient Capital Markets: A Review of Theory and Empirical Work". Journal of Finance. 25 (2): 383–417 </w:t>
      </w:r>
    </w:p>
    <w:p w:rsidR="005E74F4" w:rsidRPr="00B80FD7" w:rsidRDefault="005E74F4" w:rsidP="00B80FD7">
      <w:pPr>
        <w:rPr>
          <w:lang w:val="en-US"/>
        </w:rPr>
      </w:pPr>
      <w:r w:rsidRPr="00B80FD7">
        <w:rPr>
          <w:lang w:val="en-US"/>
        </w:rPr>
        <w:t xml:space="preserve">  </w:t>
      </w:r>
      <w:r w:rsidR="00DF017E" w:rsidRPr="00B80FD7">
        <w:rPr>
          <w:lang w:val="en-US"/>
        </w:rPr>
        <w:t xml:space="preserve">S. P Khotari and Jerold </w:t>
      </w:r>
      <w:r w:rsidRPr="00B80FD7">
        <w:rPr>
          <w:lang w:val="en-US"/>
        </w:rPr>
        <w:t xml:space="preserve">B. </w:t>
      </w:r>
      <w:proofErr w:type="gramStart"/>
      <w:r w:rsidRPr="00B80FD7">
        <w:rPr>
          <w:lang w:val="en-US"/>
        </w:rPr>
        <w:t>Warner  (</w:t>
      </w:r>
      <w:proofErr w:type="gramEnd"/>
      <w:r w:rsidRPr="00B80FD7">
        <w:rPr>
          <w:lang w:val="en-US"/>
        </w:rPr>
        <w:t>2006), “Econometrics of Event Studies” “Econometrics of Event Studies”</w:t>
      </w:r>
    </w:p>
    <w:p w:rsidR="00B80FD7" w:rsidRPr="00B80FD7" w:rsidRDefault="00DF017E" w:rsidP="00B80FD7">
      <w:pPr>
        <w:rPr>
          <w:lang w:val="en-US"/>
        </w:rPr>
      </w:pPr>
      <w:r w:rsidRPr="00B80FD7">
        <w:rPr>
          <w:lang w:val="en-US"/>
        </w:rPr>
        <w:t>MacKinlay, C.A. (1997</w:t>
      </w:r>
      <w:r w:rsidR="00B80FD7" w:rsidRPr="00B80FD7">
        <w:rPr>
          <w:lang w:val="en-US"/>
        </w:rPr>
        <w:t>) Event Studies in Economics and Finance Journal of Economic Literature, 35</w:t>
      </w:r>
    </w:p>
    <w:p w:rsidR="00B80FD7" w:rsidRPr="00B80FD7" w:rsidRDefault="00B80FD7" w:rsidP="00B80FD7">
      <w:pPr>
        <w:rPr>
          <w:lang w:val="en-US"/>
        </w:rPr>
      </w:pPr>
      <w:r w:rsidRPr="00B80FD7">
        <w:rPr>
          <w:lang w:val="en-US"/>
        </w:rPr>
        <w:t xml:space="preserve">  </w:t>
      </w:r>
      <w:r w:rsidR="00DF017E" w:rsidRPr="00B80FD7">
        <w:rPr>
          <w:lang w:val="en-US"/>
        </w:rPr>
        <w:t>Science, 26(6), 758–773. Tipton</w:t>
      </w:r>
      <w:r w:rsidRPr="00B80FD7">
        <w:rPr>
          <w:lang w:val="en-US"/>
        </w:rPr>
        <w:t>, M. M., Bharadwaj, S. G., &amp; Robertson, D. C. (2009). Regulatory exposure of deceptive marketing and its impact on firm value. Journal of Marketing, 73(6), 227–243</w:t>
      </w:r>
    </w:p>
    <w:p w:rsidR="00B80FD7" w:rsidRPr="00B80FD7" w:rsidRDefault="00B80FD7" w:rsidP="00B80FD7">
      <w:pPr>
        <w:rPr>
          <w:rStyle w:val="a4"/>
          <w:color w:val="auto"/>
          <w:u w:val="none"/>
          <w:lang w:val="en-US"/>
        </w:rPr>
      </w:pPr>
      <w:hyperlink r:id="rId33" w:history="1">
        <w:r w:rsidRPr="00B80FD7">
          <w:rPr>
            <w:rStyle w:val="a4"/>
            <w:lang w:val="en-GB"/>
          </w:rPr>
          <w:t xml:space="preserve">A Comparative Abnormal Return Analysis of Mergers and Acquisitions in the Emerging Markets | </w:t>
        </w:r>
        <w:proofErr w:type="spellStart"/>
        <w:r w:rsidRPr="00B80FD7">
          <w:rPr>
            <w:rStyle w:val="a4"/>
            <w:lang w:val="en-GB"/>
          </w:rPr>
          <w:t>IntechOpen</w:t>
        </w:r>
        <w:proofErr w:type="spellEnd"/>
      </w:hyperlink>
    </w:p>
    <w:p w:rsidR="00B80FD7" w:rsidRPr="00B80FD7" w:rsidRDefault="00B80FD7" w:rsidP="00B80FD7">
      <w:pPr>
        <w:rPr>
          <w:rStyle w:val="a4"/>
          <w:color w:val="auto"/>
          <w:u w:val="none"/>
          <w:lang w:val="en-US"/>
        </w:rPr>
      </w:pPr>
      <w:r w:rsidRPr="00B80FD7">
        <w:rPr>
          <w:rStyle w:val="a4"/>
          <w:color w:val="auto"/>
          <w:u w:val="none"/>
          <w:lang w:val="en-US"/>
        </w:rPr>
        <w:t xml:space="preserve">5. </w:t>
      </w:r>
      <w:r w:rsidR="00DF017E" w:rsidRPr="00B80FD7">
        <w:rPr>
          <w:rStyle w:val="a4"/>
          <w:color w:val="auto"/>
          <w:u w:val="none"/>
          <w:lang w:val="en-US"/>
        </w:rPr>
        <w:t>Scholes, Myron and Joseph Williams</w:t>
      </w:r>
      <w:r w:rsidRPr="00B80FD7">
        <w:rPr>
          <w:rStyle w:val="a4"/>
          <w:color w:val="auto"/>
          <w:u w:val="none"/>
          <w:lang w:val="en-US"/>
        </w:rPr>
        <w:t>, 1977, Estimating Betas from Nonsynchronous Data, Journal of Financial Economics, 5: 309-28.</w:t>
      </w:r>
    </w:p>
    <w:p w:rsidR="00B80FD7" w:rsidRPr="00B80FD7" w:rsidRDefault="00B80FD7" w:rsidP="00B80FD7">
      <w:pPr>
        <w:rPr>
          <w:rStyle w:val="a4"/>
          <w:color w:val="auto"/>
          <w:u w:val="none"/>
          <w:lang w:val="en-US"/>
        </w:rPr>
      </w:pPr>
      <w:r w:rsidRPr="00B80FD7">
        <w:rPr>
          <w:rStyle w:val="a4"/>
          <w:color w:val="auto"/>
          <w:u w:val="none"/>
          <w:lang w:val="en-US"/>
        </w:rPr>
        <w:lastRenderedPageBreak/>
        <w:t xml:space="preserve">  Brown, S. J., &amp; Warner, J. B. (1985). Using daily stock returns: the case of event studies. Journal of Financial Economics, 14(1), 3–31</w:t>
      </w:r>
    </w:p>
    <w:p w:rsidR="00B80FD7" w:rsidRPr="00B80FD7" w:rsidRDefault="00B80FD7" w:rsidP="00B80FD7">
      <w:pPr>
        <w:rPr>
          <w:rStyle w:val="a4"/>
          <w:color w:val="auto"/>
          <w:u w:val="none"/>
          <w:lang w:val="en-US"/>
        </w:rPr>
      </w:pPr>
      <w:r w:rsidRPr="00B80FD7">
        <w:rPr>
          <w:rStyle w:val="a4"/>
          <w:color w:val="auto"/>
          <w:u w:val="none"/>
          <w:lang w:val="en-US"/>
        </w:rPr>
        <w:t>James S. Ang and Shaojun Zhang (2014), Evaluating Long-Horizon Event Study MethodologyHandbook of Financial Econometrics and Statistics pp 383-411</w:t>
      </w:r>
    </w:p>
    <w:p w:rsidR="00B80FD7" w:rsidRPr="00B80FD7" w:rsidRDefault="00B80FD7" w:rsidP="00B80FD7">
      <w:pPr>
        <w:rPr>
          <w:rStyle w:val="a4"/>
          <w:color w:val="auto"/>
          <w:u w:val="none"/>
          <w:lang w:val="en-US"/>
        </w:rPr>
      </w:pPr>
      <w:r w:rsidRPr="00B80FD7">
        <w:rPr>
          <w:rStyle w:val="a4"/>
          <w:color w:val="auto"/>
          <w:u w:val="none"/>
          <w:lang w:val="en-US"/>
        </w:rPr>
        <w:t xml:space="preserve">  Barber, B. and J. Lyon (1997). Detecting Long-run Abnormal Stock Returns: The Empirical Power and Specification of Test Statistics, Journal of Financial Economics, 43, pp. 341-372</w:t>
      </w:r>
    </w:p>
    <w:p w:rsidR="00B80FD7" w:rsidRPr="00B80FD7" w:rsidRDefault="00B80FD7" w:rsidP="00B80FD7">
      <w:pPr>
        <w:rPr>
          <w:rStyle w:val="a4"/>
          <w:color w:val="auto"/>
          <w:u w:val="none"/>
          <w:lang w:val="en-US"/>
        </w:rPr>
      </w:pPr>
      <w:r w:rsidRPr="00B80FD7">
        <w:rPr>
          <w:rStyle w:val="a4"/>
          <w:color w:val="auto"/>
          <w:u w:val="none"/>
          <w:lang w:val="en-US"/>
        </w:rPr>
        <w:t xml:space="preserve">  Kothari, S.P. and J.B. Warner (1997). Measuring Long-horizon Security Price Performance, Journal of Financial Economics, 43, pp. 301-339</w:t>
      </w:r>
    </w:p>
    <w:p w:rsidR="00B80FD7" w:rsidRPr="00B80FD7" w:rsidRDefault="00B80FD7" w:rsidP="00B80FD7">
      <w:pPr>
        <w:rPr>
          <w:rStyle w:val="a4"/>
          <w:color w:val="auto"/>
          <w:u w:val="none"/>
          <w:lang w:val="en-US"/>
        </w:rPr>
      </w:pPr>
      <w:r w:rsidRPr="00B80FD7">
        <w:rPr>
          <w:rStyle w:val="a4"/>
          <w:color w:val="auto"/>
          <w:u w:val="none"/>
          <w:lang w:val="en-US"/>
        </w:rPr>
        <w:t xml:space="preserve">  Fama, E. (1998). Market Efficiency, Long-term Returns, and Behavioral Finance, Journal of Financial Economics, 49, pp. 283-306</w:t>
      </w:r>
    </w:p>
    <w:p w:rsidR="00B80FD7" w:rsidRPr="00B80FD7" w:rsidRDefault="00B80FD7" w:rsidP="00B80FD7">
      <w:pPr>
        <w:rPr>
          <w:rStyle w:val="a4"/>
          <w:color w:val="auto"/>
          <w:u w:val="none"/>
          <w:lang w:val="en-US"/>
        </w:rPr>
      </w:pPr>
      <w:r w:rsidRPr="00B80FD7">
        <w:rPr>
          <w:rStyle w:val="a4"/>
          <w:color w:val="auto"/>
          <w:u w:val="none"/>
          <w:lang w:val="en-US"/>
        </w:rPr>
        <w:t xml:space="preserve">  Fama, E. (1991). Efficient Capital Markets: II, Journal of Finance, 46, pp. 1575-1617.</w:t>
      </w:r>
    </w:p>
    <w:p w:rsidR="00B80FD7" w:rsidRPr="00B80FD7" w:rsidRDefault="00B80FD7" w:rsidP="00B80FD7">
      <w:pPr>
        <w:rPr>
          <w:rStyle w:val="a4"/>
          <w:color w:val="auto"/>
          <w:u w:val="none"/>
          <w:lang w:val="en-US"/>
        </w:rPr>
      </w:pPr>
      <w:r w:rsidRPr="00B80FD7">
        <w:rPr>
          <w:rStyle w:val="a4"/>
          <w:color w:val="auto"/>
          <w:u w:val="none"/>
          <w:lang w:val="en-US"/>
        </w:rPr>
        <w:t xml:space="preserve">  Jaffe, J., (1974), Special information and insider trading, Journal of Business 47: 411-428</w:t>
      </w:r>
    </w:p>
    <w:p w:rsidR="00B80FD7" w:rsidRPr="00B80FD7" w:rsidRDefault="00B80FD7" w:rsidP="00B80FD7">
      <w:pPr>
        <w:rPr>
          <w:rStyle w:val="a4"/>
          <w:color w:val="auto"/>
          <w:u w:val="none"/>
          <w:lang w:val="en-US"/>
        </w:rPr>
      </w:pPr>
      <w:r w:rsidRPr="00B80FD7">
        <w:rPr>
          <w:rStyle w:val="a4"/>
          <w:color w:val="auto"/>
          <w:u w:val="none"/>
          <w:lang w:val="en-US"/>
        </w:rPr>
        <w:t xml:space="preserve">  Mandelker, G., (1974), Risk and return: The case of merging firms, Journal of Financial Economics 1: 303-335.</w:t>
      </w:r>
    </w:p>
    <w:p w:rsidR="00B80FD7" w:rsidRPr="00B80FD7" w:rsidRDefault="00B80FD7" w:rsidP="00B80FD7">
      <w:pPr>
        <w:rPr>
          <w:rStyle w:val="a4"/>
          <w:color w:val="auto"/>
          <w:u w:val="none"/>
          <w:lang w:val="en-US"/>
        </w:rPr>
      </w:pPr>
      <w:r w:rsidRPr="00B80FD7">
        <w:rPr>
          <w:rStyle w:val="a4"/>
          <w:color w:val="auto"/>
          <w:u w:val="none"/>
          <w:lang w:val="en-US"/>
        </w:rPr>
        <w:t xml:space="preserve">  . Ritter, J. (1991). The Long-Term Performance of Initial Public Offerings, Journal of Finance, 46, pp. 3-27</w:t>
      </w:r>
    </w:p>
    <w:p w:rsidR="00B80FD7" w:rsidRPr="00B80FD7" w:rsidRDefault="00B80FD7" w:rsidP="00B80FD7">
      <w:pPr>
        <w:rPr>
          <w:rStyle w:val="a4"/>
          <w:color w:val="auto"/>
          <w:u w:val="none"/>
          <w:lang w:val="en-US"/>
        </w:rPr>
      </w:pPr>
      <w:r w:rsidRPr="00B80FD7">
        <w:rPr>
          <w:rStyle w:val="a4"/>
          <w:color w:val="auto"/>
          <w:u w:val="none"/>
          <w:lang w:val="en-US"/>
        </w:rPr>
        <w:t xml:space="preserve">  . Mitchell, M. and E. Stafford (2000). Managerial Decisions and Long-term Stock Price Performance, Journal of Business, 73, pp. 287-329</w:t>
      </w:r>
    </w:p>
    <w:p w:rsidR="00B80FD7" w:rsidRPr="00B80FD7" w:rsidRDefault="00B80FD7" w:rsidP="00B80FD7">
      <w:pPr>
        <w:rPr>
          <w:rStyle w:val="a4"/>
          <w:color w:val="auto"/>
          <w:u w:val="none"/>
          <w:lang w:val="en-US"/>
        </w:rPr>
      </w:pPr>
      <w:r w:rsidRPr="00B80FD7">
        <w:rPr>
          <w:rStyle w:val="a4"/>
          <w:color w:val="auto"/>
          <w:u w:val="none"/>
          <w:lang w:val="en-US"/>
        </w:rPr>
        <w:t>Markovitch, D. G., &amp; Golder, P. N. (2008). Findings-using stock prices to predict market events: evidence on sales takeoff and long-term firm survival. Marketing Science, 27(4), 717–729</w:t>
      </w:r>
    </w:p>
    <w:p w:rsidR="00B80FD7" w:rsidRPr="00B80FD7" w:rsidRDefault="00B80FD7" w:rsidP="00B80FD7">
      <w:pPr>
        <w:rPr>
          <w:rStyle w:val="a4"/>
          <w:color w:val="auto"/>
          <w:u w:val="none"/>
          <w:lang w:val="en-US"/>
        </w:rPr>
      </w:pPr>
      <w:r w:rsidRPr="00B80FD7">
        <w:rPr>
          <w:rStyle w:val="a4"/>
          <w:color w:val="auto"/>
          <w:u w:val="none"/>
          <w:lang w:val="en-US"/>
        </w:rPr>
        <w:t xml:space="preserve">  Lyon, J. D., Barber, B. M., &amp; Tsai, C. L. (1999). Improved methods for tests of long-run abnormal stock returns. The Journal of Finance, 54(1), 165–201</w:t>
      </w:r>
    </w:p>
    <w:p w:rsidR="00B80FD7" w:rsidRPr="00B80FD7" w:rsidRDefault="00B80FD7" w:rsidP="00B80FD7">
      <w:pPr>
        <w:rPr>
          <w:rStyle w:val="a4"/>
          <w:color w:val="auto"/>
          <w:u w:val="none"/>
          <w:lang w:val="en-US"/>
        </w:rPr>
      </w:pPr>
      <w:r w:rsidRPr="00B80FD7">
        <w:rPr>
          <w:rStyle w:val="a4"/>
          <w:color w:val="auto"/>
          <w:u w:val="none"/>
          <w:lang w:val="en-US"/>
        </w:rPr>
        <w:t xml:space="preserve">  Lyon, J. D., Barber, B. M., &amp; Tsai, C. L. (1999). Improved methods for tests of long-run abnormal stock returns. The Journal of Finance, 54(1), 165–201.</w:t>
      </w:r>
    </w:p>
    <w:p w:rsidR="00B80FD7" w:rsidRPr="00B80FD7" w:rsidRDefault="00B80FD7" w:rsidP="00B80FD7">
      <w:pPr>
        <w:rPr>
          <w:rStyle w:val="a4"/>
          <w:color w:val="auto"/>
          <w:u w:val="none"/>
          <w:lang w:val="en-US"/>
        </w:rPr>
      </w:pPr>
      <w:r w:rsidRPr="00B80FD7">
        <w:rPr>
          <w:rStyle w:val="a4"/>
          <w:color w:val="auto"/>
          <w:u w:val="none"/>
          <w:lang w:val="en-US"/>
        </w:rPr>
        <w:t xml:space="preserve">  Boehme, D.R. and S.M. Sorescu (2002). The Long-Run Performance Following Dividend Initiations and Resumptions: </w:t>
      </w:r>
      <w:r w:rsidR="00DF017E" w:rsidRPr="00B80FD7">
        <w:rPr>
          <w:rStyle w:val="a4"/>
          <w:color w:val="auto"/>
          <w:u w:val="none"/>
          <w:lang w:val="en-US"/>
        </w:rPr>
        <w:t>Under reaction</w:t>
      </w:r>
      <w:r w:rsidRPr="00B80FD7">
        <w:rPr>
          <w:rStyle w:val="a4"/>
          <w:color w:val="auto"/>
          <w:u w:val="none"/>
          <w:lang w:val="en-US"/>
        </w:rPr>
        <w:t xml:space="preserve"> or Product of Chance? Journal of Finance, 57, pp. 871-900.</w:t>
      </w:r>
    </w:p>
    <w:p w:rsidR="00B80FD7" w:rsidRPr="00B80FD7" w:rsidRDefault="00B80FD7" w:rsidP="00B80FD7">
      <w:pPr>
        <w:rPr>
          <w:rStyle w:val="a4"/>
          <w:color w:val="auto"/>
          <w:u w:val="none"/>
          <w:lang w:val="en-US"/>
        </w:rPr>
      </w:pPr>
      <w:r w:rsidRPr="00B80FD7">
        <w:rPr>
          <w:rStyle w:val="a4"/>
          <w:color w:val="auto"/>
          <w:u w:val="none"/>
          <w:lang w:val="en-US"/>
        </w:rPr>
        <w:t xml:space="preserve">  </w:t>
      </w:r>
      <w:proofErr w:type="gramStart"/>
      <w:r w:rsidRPr="00B80FD7">
        <w:rPr>
          <w:rStyle w:val="a4"/>
          <w:color w:val="auto"/>
          <w:u w:val="none"/>
          <w:lang w:val="en-US"/>
        </w:rPr>
        <w:t>esh</w:t>
      </w:r>
      <w:proofErr w:type="gramEnd"/>
      <w:r w:rsidRPr="00B80FD7">
        <w:rPr>
          <w:rStyle w:val="a4"/>
          <w:color w:val="auto"/>
          <w:u w:val="none"/>
          <w:lang w:val="en-US"/>
        </w:rPr>
        <w:t>, N. and J. Karceski (2009). Long-run Performance Evaluation: Correlation and HeteroskedasticityConsistent Tests, Journal of Empirical Finance, 16, pp. 101-111.</w:t>
      </w:r>
    </w:p>
    <w:p w:rsidR="00B80FD7" w:rsidRPr="00B80FD7" w:rsidRDefault="00B80FD7" w:rsidP="00B80FD7">
      <w:pPr>
        <w:rPr>
          <w:rStyle w:val="a4"/>
          <w:color w:val="auto"/>
          <w:u w:val="none"/>
          <w:lang w:val="en-US"/>
        </w:rPr>
      </w:pPr>
      <w:r w:rsidRPr="00B80FD7">
        <w:rPr>
          <w:rStyle w:val="a4"/>
          <w:color w:val="auto"/>
          <w:u w:val="none"/>
          <w:lang w:val="en-US"/>
        </w:rPr>
        <w:t xml:space="preserve">   John D. Lyon, Brad M. Barber and Chih-Ling Tsai, (1999), The Journal of Finance, Vol. 54, No. 1, p. 165-201</w:t>
      </w:r>
    </w:p>
    <w:p w:rsidR="00B80FD7" w:rsidRPr="00B80FD7" w:rsidRDefault="00DF017E" w:rsidP="00B80FD7">
      <w:pPr>
        <w:rPr>
          <w:lang w:val="en-US"/>
        </w:rPr>
      </w:pPr>
      <w:r w:rsidRPr="00B80FD7">
        <w:rPr>
          <w:lang w:val="en-US"/>
        </w:rPr>
        <w:t>Yue Guo, Yu Yang</w:t>
      </w:r>
      <w:r w:rsidR="00B80FD7" w:rsidRPr="00B80FD7">
        <w:rPr>
          <w:lang w:val="en-US"/>
        </w:rPr>
        <w:t>, Chang Wang, Global energy networks: Geographies of mergers and acquisitions of worldwide oil companies, Renewable and Sustainable Energy Reviews, Volume 139, 2021, 110698, ISSN 1364-0321</w:t>
      </w:r>
    </w:p>
    <w:p w:rsidR="00B80FD7" w:rsidRPr="00B80FD7" w:rsidRDefault="00B80FD7" w:rsidP="00B80FD7">
      <w:pPr>
        <w:rPr>
          <w:lang w:val="en-US"/>
        </w:rPr>
      </w:pPr>
      <w:r w:rsidRPr="00B80FD7">
        <w:rPr>
          <w:lang w:val="en-US"/>
        </w:rPr>
        <w:lastRenderedPageBreak/>
        <w:t xml:space="preserve">  </w:t>
      </w:r>
      <w:proofErr w:type="spellStart"/>
      <w:r w:rsidRPr="00B80FD7">
        <w:rPr>
          <w:lang w:val="en-US"/>
        </w:rPr>
        <w:t>Kuang</w:t>
      </w:r>
      <w:proofErr w:type="spellEnd"/>
      <w:r w:rsidRPr="00B80FD7">
        <w:rPr>
          <w:lang w:val="en-US"/>
        </w:rPr>
        <w:t>-Chung Hsu, Michael Wright, Zhen Zhu, What motivates merger and acquisition activities in the upstream oil &amp; gas sectors in the U.S.?, Energy Economics, Volume 65, 2017, Pages 240-250, ISSN 0140-9883,</w:t>
      </w:r>
    </w:p>
    <w:p w:rsidR="00B80FD7" w:rsidRPr="00B80FD7" w:rsidRDefault="00B80FD7" w:rsidP="00B80FD7">
      <w:pPr>
        <w:rPr>
          <w:lang w:val="en-US"/>
        </w:rPr>
      </w:pPr>
      <w:r w:rsidRPr="00B80FD7">
        <w:rPr>
          <w:lang w:val="en-US"/>
        </w:rPr>
        <w:t>Glenn V. Henderson, Jr. (1990) Problems and Solutions in Conducting Event Studies, The Journal of Risk and Insurance, Vol. 57, No. 2, pp. 282-306</w:t>
      </w:r>
    </w:p>
    <w:p w:rsidR="00B80FD7" w:rsidRPr="00B80FD7" w:rsidRDefault="00B80FD7" w:rsidP="00B80FD7">
      <w:pPr>
        <w:rPr>
          <w:lang w:val="en-US"/>
        </w:rPr>
      </w:pPr>
      <w:r w:rsidRPr="00B80FD7">
        <w:rPr>
          <w:lang w:val="en-US"/>
        </w:rPr>
        <w:t xml:space="preserve">  K.S. Reddy, En Xie, Cross-border mergers and acquisitions by oil and gas multinational enterprises: Geography-based view of energy strategy, Renewable and Sustainable Energy Reviews, Volume 72, 2017</w:t>
      </w:r>
      <w:proofErr w:type="gramStart"/>
      <w:r w:rsidRPr="00B80FD7">
        <w:rPr>
          <w:lang w:val="en-US"/>
        </w:rPr>
        <w:t>,Pages</w:t>
      </w:r>
      <w:proofErr w:type="gramEnd"/>
      <w:r w:rsidRPr="00B80FD7">
        <w:rPr>
          <w:lang w:val="en-US"/>
        </w:rPr>
        <w:t xml:space="preserve"> 961-980, ISSN 1364-0321</w:t>
      </w:r>
    </w:p>
    <w:p w:rsidR="00B80FD7" w:rsidRDefault="00B80FD7" w:rsidP="00B80FD7">
      <w:pPr>
        <w:rPr>
          <w:lang w:val="en-US"/>
        </w:rPr>
      </w:pPr>
      <w:r w:rsidRPr="00B80FD7">
        <w:rPr>
          <w:lang w:val="en-US"/>
        </w:rPr>
        <w:t xml:space="preserve">  H.-C. Jung (2006), Small sample size problems and the power of the test in the event study methodology</w:t>
      </w:r>
    </w:p>
    <w:p w:rsidR="00DF017E" w:rsidRDefault="00DF017E" w:rsidP="00B80FD7">
      <w:pPr>
        <w:rPr>
          <w:lang w:val="en-US"/>
        </w:rPr>
      </w:pPr>
      <w:r w:rsidRPr="00DF017E">
        <w:rPr>
          <w:lang w:val="en-US"/>
        </w:rPr>
        <w:t xml:space="preserve">Event Studies in M&amp;A Research </w:t>
      </w:r>
      <w:hyperlink r:id="rId34" w:history="1">
        <w:r w:rsidRPr="006D2C5E">
          <w:rPr>
            <w:rStyle w:val="a4"/>
            <w:lang w:val="en-US"/>
          </w:rPr>
          <w:t>https://www.eventstudytools.com/mergers-acquisitions</w:t>
        </w:r>
      </w:hyperlink>
      <w:r>
        <w:rPr>
          <w:lang w:val="en-US"/>
        </w:rPr>
        <w:t xml:space="preserve"> </w:t>
      </w:r>
    </w:p>
    <w:p w:rsidR="009B7BB0" w:rsidRDefault="009B7BB0" w:rsidP="00B80FD7">
      <w:pPr>
        <w:rPr>
          <w:lang w:val="en-GB"/>
        </w:rPr>
      </w:pPr>
      <w:r w:rsidRPr="009B7BB0">
        <w:rPr>
          <w:lang w:val="en-GB"/>
        </w:rPr>
        <w:t>Ana Paula Serra</w:t>
      </w:r>
      <w:r>
        <w:rPr>
          <w:lang w:val="en-GB"/>
        </w:rPr>
        <w:t xml:space="preserve">, (2002) </w:t>
      </w:r>
      <w:r w:rsidRPr="009B7BB0">
        <w:rPr>
          <w:lang w:val="en-GB"/>
        </w:rPr>
        <w:t>EVEN</w:t>
      </w:r>
      <w:r>
        <w:rPr>
          <w:lang w:val="en-GB"/>
        </w:rPr>
        <w:t xml:space="preserve">T STUDY TESTS - A BRIEF SURVEY, </w:t>
      </w:r>
      <w:r w:rsidRPr="009B7BB0">
        <w:rPr>
          <w:lang w:val="en-GB"/>
        </w:rPr>
        <w:t>FACULDADE DE ECONOMI</w:t>
      </w:r>
      <w:r>
        <w:rPr>
          <w:lang w:val="en-GB"/>
        </w:rPr>
        <w:t xml:space="preserve">A, </w:t>
      </w:r>
      <w:proofErr w:type="gramStart"/>
      <w:r w:rsidRPr="009B7BB0">
        <w:rPr>
          <w:lang w:val="en-GB"/>
        </w:rPr>
        <w:t>UNIVERSIDADE</w:t>
      </w:r>
      <w:proofErr w:type="gramEnd"/>
      <w:r w:rsidRPr="009B7BB0">
        <w:rPr>
          <w:lang w:val="en-GB"/>
        </w:rPr>
        <w:t xml:space="preserve"> DO PORT</w:t>
      </w:r>
      <w:r>
        <w:rPr>
          <w:lang w:val="en-GB"/>
        </w:rPr>
        <w:t>O</w:t>
      </w:r>
    </w:p>
    <w:p w:rsidR="00764BE6" w:rsidRDefault="00764BE6" w:rsidP="00B80FD7">
      <w:pPr>
        <w:rPr>
          <w:lang w:val="en-GB"/>
        </w:rPr>
      </w:pPr>
      <w:r w:rsidRPr="00764BE6">
        <w:rPr>
          <w:lang w:val="en-GB"/>
        </w:rPr>
        <w:t>Terhi Luoma and Seppo Pynnönen</w:t>
      </w:r>
      <w:r>
        <w:rPr>
          <w:lang w:val="en-GB"/>
        </w:rPr>
        <w:t xml:space="preserve"> (2010), </w:t>
      </w:r>
      <w:r w:rsidRPr="00764BE6">
        <w:rPr>
          <w:lang w:val="en-GB"/>
        </w:rPr>
        <w:t>Terhi Luoma and Seppo Pynnönen</w:t>
      </w:r>
      <w:r>
        <w:rPr>
          <w:lang w:val="en-GB"/>
        </w:rPr>
        <w:t xml:space="preserve">, </w:t>
      </w:r>
      <w:r w:rsidRPr="00764BE6">
        <w:rPr>
          <w:lang w:val="en-GB"/>
        </w:rPr>
        <w:t>Terhi Luoma and Seppo Pynnönen</w:t>
      </w:r>
    </w:p>
    <w:p w:rsidR="00764BE6" w:rsidRDefault="00764BE6" w:rsidP="00B80FD7">
      <w:pPr>
        <w:rPr>
          <w:lang w:val="en-GB"/>
        </w:rPr>
      </w:pPr>
      <w:r w:rsidRPr="00764BE6">
        <w:rPr>
          <w:lang w:val="en-GB"/>
        </w:rPr>
        <w:t>Johan Knif</w:t>
      </w:r>
      <w:r>
        <w:rPr>
          <w:lang w:val="en-GB"/>
        </w:rPr>
        <w:t xml:space="preserve">, </w:t>
      </w:r>
      <w:r w:rsidRPr="00764BE6">
        <w:rPr>
          <w:lang w:val="en-GB"/>
        </w:rPr>
        <w:t>James W. Kolari,</w:t>
      </w:r>
      <w:r w:rsidRPr="00764BE6">
        <w:rPr>
          <w:lang w:val="en-GB"/>
        </w:rPr>
        <w:t xml:space="preserve"> </w:t>
      </w:r>
      <w:r>
        <w:rPr>
          <w:lang w:val="en-GB"/>
        </w:rPr>
        <w:t xml:space="preserve">Seppo Pynnonen, </w:t>
      </w:r>
      <w:r w:rsidRPr="00764BE6">
        <w:rPr>
          <w:lang w:val="en-GB"/>
        </w:rPr>
        <w:t>A Powerful Testing Procedure of Abnormal Stock Returns in Long-Horizon Event Studie</w:t>
      </w:r>
      <w:r>
        <w:rPr>
          <w:lang w:val="en-GB"/>
        </w:rPr>
        <w:t>s</w:t>
      </w:r>
    </w:p>
    <w:p w:rsidR="00764BE6" w:rsidRDefault="00764BE6" w:rsidP="00B80FD7">
      <w:r>
        <w:rPr>
          <w:lang w:val="en-GB"/>
        </w:rPr>
        <w:t>A</w:t>
      </w:r>
      <w:r w:rsidRPr="00764BE6">
        <w:rPr>
          <w:lang w:val="en-GB"/>
        </w:rPr>
        <w:t xml:space="preserve">nupam Dutta and Probal Dutta (2015). Measuring long-run security price performance: a review. </w:t>
      </w:r>
      <w:r>
        <w:t>Investment Management and Financial Innovations, 12(2), 26-32</w:t>
      </w:r>
    </w:p>
    <w:p w:rsidR="00C8638C" w:rsidRPr="00C8638C" w:rsidRDefault="00C8638C" w:rsidP="00B80FD7">
      <w:pPr>
        <w:rPr>
          <w:lang w:val="en-GB"/>
        </w:rPr>
      </w:pPr>
      <w:r w:rsidRPr="00C8638C">
        <w:rPr>
          <w:lang w:val="en-GB"/>
        </w:rPr>
        <w:t>Li Ding</w:t>
      </w:r>
      <w:r>
        <w:rPr>
          <w:lang w:val="en-GB"/>
        </w:rPr>
        <w:t xml:space="preserve">, </w:t>
      </w:r>
      <w:r w:rsidRPr="00C8638C">
        <w:rPr>
          <w:lang w:val="en-GB"/>
        </w:rPr>
        <w:t>Hugo K.S. Lam</w:t>
      </w:r>
      <w:r>
        <w:rPr>
          <w:lang w:val="en-GB"/>
        </w:rPr>
        <w:t xml:space="preserve">, </w:t>
      </w:r>
      <w:r w:rsidRPr="00C8638C">
        <w:rPr>
          <w:lang w:val="en-GB"/>
        </w:rPr>
        <w:t>T.C.E. Cheng</w:t>
      </w:r>
      <w:r>
        <w:rPr>
          <w:lang w:val="en-GB"/>
        </w:rPr>
        <w:t xml:space="preserve">, </w:t>
      </w:r>
      <w:proofErr w:type="spellStart"/>
      <w:r w:rsidRPr="00C8638C">
        <w:rPr>
          <w:lang w:val="en-GB"/>
        </w:rPr>
        <w:t>Honggeng</w:t>
      </w:r>
      <w:proofErr w:type="spellEnd"/>
      <w:r w:rsidRPr="00C8638C">
        <w:rPr>
          <w:lang w:val="en-GB"/>
        </w:rPr>
        <w:t xml:space="preserve"> Zhou</w:t>
      </w:r>
      <w:r>
        <w:rPr>
          <w:lang w:val="en-GB"/>
        </w:rPr>
        <w:t xml:space="preserve">, </w:t>
      </w:r>
      <w:r w:rsidRPr="00C8638C">
        <w:rPr>
          <w:lang w:val="en-GB"/>
        </w:rPr>
        <w:t>A Review of Short-term Event Studies in Operations and Supply Chain Management</w:t>
      </w:r>
      <w:r>
        <w:rPr>
          <w:lang w:val="en-GB"/>
        </w:rPr>
        <w:t>.</w:t>
      </w:r>
    </w:p>
    <w:p w:rsidR="000D4FA3" w:rsidRPr="000D4FA3" w:rsidRDefault="00032952" w:rsidP="000D4FA3">
      <w:pPr>
        <w:pStyle w:val="1"/>
        <w:rPr>
          <w:lang w:val="en-US"/>
        </w:rPr>
      </w:pPr>
      <w:bookmarkStart w:id="29" w:name="_Toc73640585"/>
      <w:r>
        <w:rPr>
          <w:lang w:val="en-US"/>
        </w:rPr>
        <w:lastRenderedPageBreak/>
        <w:t>Appendix</w:t>
      </w:r>
      <w:bookmarkEnd w:id="29"/>
    </w:p>
    <w:p w:rsidR="0030656B" w:rsidRDefault="000D4FA3" w:rsidP="000D4FA3">
      <w:pPr>
        <w:pStyle w:val="SVEfigure"/>
      </w:pPr>
      <w:r>
        <w:rPr>
          <w:noProof/>
          <w:lang w:eastAsia="ru-RU"/>
        </w:rPr>
        <w:drawing>
          <wp:inline distT="0" distB="0" distL="0" distR="0" wp14:anchorId="31F784E6" wp14:editId="5484B411">
            <wp:extent cx="6350364" cy="3720123"/>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16976" t="23156" r="18554" b="9706"/>
                    <a:stretch/>
                  </pic:blipFill>
                  <pic:spPr bwMode="auto">
                    <a:xfrm>
                      <a:off x="0" y="0"/>
                      <a:ext cx="6369384" cy="3731265"/>
                    </a:xfrm>
                    <a:prstGeom prst="rect">
                      <a:avLst/>
                    </a:prstGeom>
                    <a:ln>
                      <a:noFill/>
                    </a:ln>
                    <a:extLst>
                      <a:ext uri="{53640926-AAD7-44D8-BBD7-CCE9431645EC}">
                        <a14:shadowObscured xmlns:a14="http://schemas.microsoft.com/office/drawing/2010/main"/>
                      </a:ext>
                    </a:extLst>
                  </pic:spPr>
                </pic:pic>
              </a:graphicData>
            </a:graphic>
          </wp:inline>
        </w:drawing>
      </w:r>
    </w:p>
    <w:p w:rsidR="000D4FA3" w:rsidRPr="000D4FA3" w:rsidRDefault="000D4FA3" w:rsidP="000D4FA3">
      <w:pPr>
        <w:pStyle w:val="SVEfigurecaption"/>
      </w:pPr>
      <w:r>
        <w:t>Summary on short-term literature. Source [</w:t>
      </w:r>
      <w:r w:rsidR="00C8638C">
        <w:t>Li Ding</w:t>
      </w:r>
      <w:r w:rsidR="00C8638C">
        <w:t xml:space="preserve"> and other]</w:t>
      </w:r>
    </w:p>
    <w:p w:rsidR="005B05FC" w:rsidRPr="009B7BB0" w:rsidRDefault="005B05FC" w:rsidP="00FC4C44">
      <w:pPr>
        <w:rPr>
          <w:lang w:val="en-GB"/>
        </w:rPr>
      </w:pPr>
    </w:p>
    <w:p w:rsidR="000D4FA3" w:rsidRPr="000D4FA3" w:rsidRDefault="0075332E" w:rsidP="0075332E">
      <w:pPr>
        <w:rPr>
          <w:noProof/>
          <w:lang w:val="en-GB" w:eastAsia="ru-RU"/>
        </w:rPr>
      </w:pPr>
      <w:r w:rsidRPr="009B7BB0">
        <w:rPr>
          <w:lang w:val="en-GB"/>
        </w:rPr>
        <w:t xml:space="preserve"> </w:t>
      </w:r>
    </w:p>
    <w:p w:rsidR="0075332E" w:rsidRDefault="000D4FA3" w:rsidP="00C8638C">
      <w:pPr>
        <w:pStyle w:val="SVEfigure"/>
        <w:rPr>
          <w:lang w:val="en-GB"/>
        </w:rPr>
      </w:pPr>
      <w:r>
        <w:rPr>
          <w:noProof/>
          <w:lang w:eastAsia="ru-RU"/>
        </w:rPr>
        <w:lastRenderedPageBreak/>
        <w:drawing>
          <wp:inline distT="0" distB="0" distL="0" distR="0" wp14:anchorId="2D8B6E6A" wp14:editId="51109C7A">
            <wp:extent cx="6358947" cy="3696648"/>
            <wp:effectExtent l="0" t="0" r="381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l="15790" t="22688" r="19476" b="10415"/>
                    <a:stretch/>
                  </pic:blipFill>
                  <pic:spPr bwMode="auto">
                    <a:xfrm>
                      <a:off x="0" y="0"/>
                      <a:ext cx="6378657" cy="3708106"/>
                    </a:xfrm>
                    <a:prstGeom prst="rect">
                      <a:avLst/>
                    </a:prstGeom>
                    <a:ln>
                      <a:noFill/>
                    </a:ln>
                    <a:extLst>
                      <a:ext uri="{53640926-AAD7-44D8-BBD7-CCE9431645EC}">
                        <a14:shadowObscured xmlns:a14="http://schemas.microsoft.com/office/drawing/2010/main"/>
                      </a:ext>
                    </a:extLst>
                  </pic:spPr>
                </pic:pic>
              </a:graphicData>
            </a:graphic>
          </wp:inline>
        </w:drawing>
      </w:r>
    </w:p>
    <w:p w:rsidR="00C8638C" w:rsidRPr="00C8638C" w:rsidRDefault="00C8638C" w:rsidP="00C8638C">
      <w:pPr>
        <w:pStyle w:val="SVEfigurecaption"/>
      </w:pPr>
      <w:r>
        <w:t>Summary on short-term literature. Source [Li Ding and other]</w:t>
      </w:r>
    </w:p>
    <w:p w:rsidR="0075332E" w:rsidRPr="009B7BB0" w:rsidRDefault="0075332E" w:rsidP="00D44257">
      <w:pPr>
        <w:rPr>
          <w:lang w:val="en-GB"/>
        </w:rPr>
      </w:pPr>
    </w:p>
    <w:p w:rsidR="007837C4" w:rsidRPr="009B7BB0" w:rsidRDefault="007837C4" w:rsidP="00D44257">
      <w:pPr>
        <w:rPr>
          <w:lang w:val="en-GB"/>
        </w:rPr>
      </w:pPr>
    </w:p>
    <w:p w:rsidR="007837C4" w:rsidRPr="009B7BB0" w:rsidRDefault="007837C4" w:rsidP="00D44257">
      <w:pPr>
        <w:rPr>
          <w:lang w:val="en-GB"/>
        </w:rPr>
      </w:pPr>
    </w:p>
    <w:p w:rsidR="00D44257" w:rsidRPr="009B7BB0" w:rsidRDefault="00D44257" w:rsidP="00D44257">
      <w:pPr>
        <w:rPr>
          <w:lang w:val="en-GB"/>
        </w:rPr>
      </w:pPr>
    </w:p>
    <w:sectPr w:rsidR="00D44257" w:rsidRPr="009B7BB0" w:rsidSect="004E31F2">
      <w:footerReference w:type="default" r:id="rId37"/>
      <w:footerReference w:type="first" r:id="rId38"/>
      <w:pgSz w:w="11906" w:h="16838"/>
      <w:pgMar w:top="1134" w:right="851" w:bottom="1134" w:left="1701" w:header="709" w:footer="709"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C1CA3" w:rsidRDefault="008C1CA3" w:rsidP="0083444F">
      <w:pPr>
        <w:spacing w:line="240" w:lineRule="auto"/>
      </w:pPr>
      <w:r>
        <w:separator/>
      </w:r>
    </w:p>
  </w:endnote>
  <w:endnote w:type="continuationSeparator" w:id="0">
    <w:p w:rsidR="008C1CA3" w:rsidRDefault="008C1CA3" w:rsidP="0083444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922" w:rsidRDefault="008E3922">
    <w:pPr>
      <w:pStyle w:val="af8"/>
      <w:jc w:val="right"/>
    </w:pPr>
  </w:p>
  <w:p w:rsidR="008E3922" w:rsidRDefault="008E3922">
    <w:pPr>
      <w:pStyle w:val="a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922" w:rsidRDefault="008E3922">
    <w:pPr>
      <w:pStyle w:val="af8"/>
      <w:jc w:val="right"/>
    </w:pPr>
  </w:p>
  <w:p w:rsidR="008E3922" w:rsidRDefault="008E3922">
    <w:pPr>
      <w:pStyle w:val="af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1032143"/>
      <w:docPartObj>
        <w:docPartGallery w:val="Page Numbers (Bottom of Page)"/>
        <w:docPartUnique/>
      </w:docPartObj>
    </w:sdtPr>
    <w:sdtContent>
      <w:p w:rsidR="008E3922" w:rsidRDefault="008E3922" w:rsidP="00B1176A">
        <w:pPr>
          <w:pStyle w:val="af8"/>
          <w:jc w:val="right"/>
        </w:pPr>
        <w:r>
          <w:fldChar w:fldCharType="begin"/>
        </w:r>
        <w:r>
          <w:instrText>PAGE   \* MERGEFORMAT</w:instrText>
        </w:r>
        <w:r>
          <w:fldChar w:fldCharType="separate"/>
        </w:r>
        <w:r w:rsidR="00C8638C">
          <w:rPr>
            <w:noProof/>
          </w:rPr>
          <w:t>36</w:t>
        </w:r>
        <w:r>
          <w:fldChar w:fldCharType="end"/>
        </w:r>
      </w:p>
    </w:sdtContent>
  </w:sdt>
  <w:p w:rsidR="008E3922" w:rsidRDefault="008E3922">
    <w:pPr>
      <w:pStyle w:val="af8"/>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E3922" w:rsidRDefault="008E3922">
    <w:pPr>
      <w:pStyle w:val="af8"/>
      <w:jc w:val="right"/>
    </w:pPr>
  </w:p>
  <w:p w:rsidR="008E3922" w:rsidRDefault="008E3922">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C1CA3" w:rsidRDefault="008C1CA3" w:rsidP="0083444F">
      <w:pPr>
        <w:spacing w:line="240" w:lineRule="auto"/>
      </w:pPr>
      <w:r>
        <w:separator/>
      </w:r>
    </w:p>
  </w:footnote>
  <w:footnote w:type="continuationSeparator" w:id="0">
    <w:p w:rsidR="008C1CA3" w:rsidRDefault="008C1CA3" w:rsidP="0083444F">
      <w:pPr>
        <w:spacing w:line="240" w:lineRule="auto"/>
      </w:pPr>
      <w:r>
        <w:continuationSeparator/>
      </w:r>
    </w:p>
  </w:footnote>
  <w:footnote w:id="1">
    <w:p w:rsidR="008E3922" w:rsidRPr="00DB5066" w:rsidRDefault="008E3922">
      <w:pPr>
        <w:pStyle w:val="ae"/>
        <w:rPr>
          <w:lang w:val="en-GB"/>
        </w:rPr>
      </w:pPr>
      <w:r>
        <w:rPr>
          <w:rStyle w:val="af0"/>
        </w:rPr>
        <w:footnoteRef/>
      </w:r>
      <w:r w:rsidRPr="006762AF">
        <w:rPr>
          <w:lang w:val="en-GB"/>
        </w:rPr>
        <w:t>Andrew C. Inkpen, Michael H. Moffett</w:t>
      </w:r>
      <w:r>
        <w:rPr>
          <w:lang w:val="en-GB"/>
        </w:rPr>
        <w:t xml:space="preserve"> (2011), The global Oil &amp; gas industry: management strategy &amp; finance, PennWell</w:t>
      </w:r>
    </w:p>
  </w:footnote>
  <w:footnote w:id="2">
    <w:p w:rsidR="008E3922" w:rsidRPr="005D0413" w:rsidRDefault="008E3922">
      <w:pPr>
        <w:pStyle w:val="ae"/>
        <w:rPr>
          <w:lang w:val="en-GB"/>
        </w:rPr>
      </w:pPr>
      <w:r>
        <w:rPr>
          <w:rStyle w:val="af0"/>
        </w:rPr>
        <w:footnoteRef/>
      </w:r>
      <w:r w:rsidRPr="005D0413">
        <w:rPr>
          <w:lang w:val="en-GB"/>
        </w:rPr>
        <w:t xml:space="preserve"> Ribeiro, C., Tosi Furtado, A. T. (2014). Government Procurement Policy in Developing Countries: The Case of Petrobras. </w:t>
      </w:r>
      <w:r w:rsidRPr="00CA0B8F">
        <w:rPr>
          <w:lang w:val="en-GB"/>
        </w:rPr>
        <w:t>Science, Technology and Society 19 (2), 161–197</w:t>
      </w:r>
    </w:p>
  </w:footnote>
  <w:footnote w:id="3">
    <w:p w:rsidR="008E3922" w:rsidRPr="003959C0" w:rsidRDefault="008E3922">
      <w:pPr>
        <w:pStyle w:val="ae"/>
        <w:rPr>
          <w:lang w:val="en-GB"/>
        </w:rPr>
      </w:pPr>
      <w:r>
        <w:rPr>
          <w:rStyle w:val="af0"/>
        </w:rPr>
        <w:footnoteRef/>
      </w:r>
      <w:r w:rsidRPr="003959C0">
        <w:rPr>
          <w:lang w:val="en-GB"/>
        </w:rPr>
        <w:t xml:space="preserve"> WIDER Working Paper 2016/175 The role of oil and gas in the development of the global economy (unu.edu)</w:t>
      </w:r>
    </w:p>
  </w:footnote>
  <w:footnote w:id="4">
    <w:p w:rsidR="008E3922" w:rsidRPr="005744F1" w:rsidRDefault="008E3922">
      <w:pPr>
        <w:pStyle w:val="ae"/>
        <w:rPr>
          <w:lang w:val="en-GB"/>
        </w:rPr>
      </w:pPr>
      <w:r>
        <w:rPr>
          <w:rStyle w:val="af0"/>
        </w:rPr>
        <w:footnoteRef/>
      </w:r>
      <w:r w:rsidRPr="007700B9">
        <w:rPr>
          <w:lang w:val="en-GB"/>
        </w:rPr>
        <w:t xml:space="preserve"> </w:t>
      </w:r>
      <w:r w:rsidRPr="005744F1">
        <w:rPr>
          <w:lang w:val="en-GB"/>
        </w:rPr>
        <w:t>. Edward Freeman</w:t>
      </w:r>
      <w:r>
        <w:rPr>
          <w:lang w:val="en-GB"/>
        </w:rPr>
        <w:t xml:space="preserve"> and</w:t>
      </w:r>
      <w:r w:rsidRPr="005744F1">
        <w:rPr>
          <w:lang w:val="en-GB"/>
        </w:rPr>
        <w:t>. Edward Freeman</w:t>
      </w:r>
      <w:r>
        <w:rPr>
          <w:lang w:val="en-GB"/>
        </w:rPr>
        <w:t xml:space="preserve"> (2001), A stakeholder approach to strategic Management, </w:t>
      </w:r>
      <w:r w:rsidRPr="005744F1">
        <w:rPr>
          <w:lang w:val="en-GB"/>
        </w:rPr>
        <w:t>Handbook of Strategic Managemen</w:t>
      </w:r>
      <w:r>
        <w:rPr>
          <w:lang w:val="en-GB"/>
        </w:rPr>
        <w:t>t, Oxford: Blackwell Publishing</w:t>
      </w:r>
    </w:p>
  </w:footnote>
  <w:footnote w:id="5">
    <w:p w:rsidR="008E3922" w:rsidRPr="00243BB7" w:rsidRDefault="008E3922">
      <w:pPr>
        <w:pStyle w:val="ae"/>
        <w:rPr>
          <w:lang w:val="en-GB"/>
        </w:rPr>
      </w:pPr>
      <w:r>
        <w:rPr>
          <w:rStyle w:val="af0"/>
        </w:rPr>
        <w:footnoteRef/>
      </w:r>
      <w:r w:rsidRPr="007700B9">
        <w:rPr>
          <w:lang w:val="en-GB"/>
        </w:rPr>
        <w:t xml:space="preserve"> </w:t>
      </w:r>
      <w:r>
        <w:rPr>
          <w:lang w:val="en-GB"/>
        </w:rPr>
        <w:t>T</w:t>
      </w:r>
      <w:r w:rsidRPr="00243BB7">
        <w:rPr>
          <w:lang w:val="en-GB"/>
        </w:rPr>
        <w:t>homas Donaldson and Lee E. Preston</w:t>
      </w:r>
      <w:r>
        <w:rPr>
          <w:lang w:val="en-GB"/>
        </w:rPr>
        <w:t xml:space="preserve"> (1995), </w:t>
      </w:r>
      <w:r w:rsidRPr="00243BB7">
        <w:rPr>
          <w:lang w:val="en-GB"/>
        </w:rPr>
        <w:t>The Stakeholder Theory of the Corporation: Concepts, Evidence, and Implications</w:t>
      </w:r>
      <w:r>
        <w:rPr>
          <w:lang w:val="en-GB"/>
        </w:rPr>
        <w:t xml:space="preserve"> </w:t>
      </w:r>
      <w:r w:rsidRPr="00243BB7">
        <w:rPr>
          <w:lang w:val="en-GB"/>
        </w:rPr>
        <w:t>: The Academy of Management Review, Vol. 20, No. 1 (Jan., 1995), pp. 65-91</w:t>
      </w:r>
    </w:p>
  </w:footnote>
  <w:footnote w:id="6">
    <w:p w:rsidR="008E3922" w:rsidRPr="00243BB7" w:rsidRDefault="008E3922">
      <w:pPr>
        <w:pStyle w:val="ae"/>
        <w:rPr>
          <w:lang w:val="en-GB"/>
        </w:rPr>
      </w:pPr>
      <w:r>
        <w:rPr>
          <w:rStyle w:val="af0"/>
        </w:rPr>
        <w:footnoteRef/>
      </w:r>
      <w:r w:rsidRPr="00C843F5">
        <w:rPr>
          <w:lang w:val="en-GB"/>
        </w:rPr>
        <w:t xml:space="preserve"> </w:t>
      </w:r>
      <w:r>
        <w:rPr>
          <w:lang w:val="en-GB"/>
        </w:rPr>
        <w:t xml:space="preserve">Thomas Dyllick1 and Katrin Muff (2016), </w:t>
      </w:r>
      <w:r w:rsidRPr="00243BB7">
        <w:rPr>
          <w:lang w:val="en-GB"/>
        </w:rPr>
        <w:t>Clarifying the Meaning of Sustainable Business: Introducing a Typology From Business-as-Usual to True Business Sustainabilit</w:t>
      </w:r>
      <w:r>
        <w:rPr>
          <w:lang w:val="en-GB"/>
        </w:rPr>
        <w:t>y</w:t>
      </w:r>
    </w:p>
  </w:footnote>
  <w:footnote w:id="7">
    <w:p w:rsidR="008E3922" w:rsidRPr="00243BB7" w:rsidRDefault="008E3922">
      <w:pPr>
        <w:pStyle w:val="ae"/>
        <w:rPr>
          <w:lang w:val="en-GB"/>
        </w:rPr>
      </w:pPr>
      <w:r>
        <w:rPr>
          <w:rStyle w:val="af0"/>
        </w:rPr>
        <w:footnoteRef/>
      </w:r>
      <w:r w:rsidRPr="00C843F5">
        <w:rPr>
          <w:lang w:val="en-GB"/>
        </w:rPr>
        <w:t xml:space="preserve"> </w:t>
      </w:r>
      <w:r>
        <w:rPr>
          <w:lang w:val="en-GB"/>
        </w:rPr>
        <w:t xml:space="preserve">Jan Messina and Jan Anton van Zanten (2021), </w:t>
      </w:r>
      <w:r w:rsidRPr="00243BB7">
        <w:rPr>
          <w:lang w:val="en-GB"/>
        </w:rPr>
        <w:t>The Sustainability Yearbook 2021</w:t>
      </w:r>
      <w:r>
        <w:rPr>
          <w:lang w:val="en-GB"/>
        </w:rPr>
        <w:t xml:space="preserve">, </w:t>
      </w:r>
      <w:r w:rsidRPr="00243BB7">
        <w:rPr>
          <w:lang w:val="en-GB"/>
        </w:rPr>
        <w:t>Rethinking the value of everything</w:t>
      </w:r>
      <w:r>
        <w:rPr>
          <w:lang w:val="en-GB"/>
        </w:rPr>
        <w:t>, pp. 10-20</w:t>
      </w:r>
    </w:p>
  </w:footnote>
  <w:footnote w:id="8">
    <w:p w:rsidR="008E3922" w:rsidRPr="0059171C" w:rsidRDefault="008E3922">
      <w:pPr>
        <w:pStyle w:val="ae"/>
        <w:rPr>
          <w:lang w:val="en-GB"/>
        </w:rPr>
      </w:pPr>
      <w:r>
        <w:rPr>
          <w:rStyle w:val="af0"/>
        </w:rPr>
        <w:footnoteRef/>
      </w:r>
      <w:r w:rsidRPr="0059171C">
        <w:rPr>
          <w:lang w:val="en-GB"/>
        </w:rPr>
        <w:t xml:space="preserve"> </w:t>
      </w:r>
      <w:r>
        <w:rPr>
          <w:lang w:val="en-GB"/>
        </w:rPr>
        <w:t xml:space="preserve">The CSA 2021 is now open, S&amp;P Global </w:t>
      </w:r>
      <w:hyperlink r:id="rId1" w:history="1">
        <w:r w:rsidRPr="00D83006">
          <w:rPr>
            <w:rStyle w:val="a4"/>
            <w:lang w:val="en-GB"/>
          </w:rPr>
          <w:t>https://www.spglobal.com/esg/csa/</w:t>
        </w:r>
      </w:hyperlink>
      <w:r>
        <w:rPr>
          <w:lang w:val="en-GB"/>
        </w:rPr>
        <w:t xml:space="preserve"> </w:t>
      </w:r>
    </w:p>
  </w:footnote>
  <w:footnote w:id="9">
    <w:p w:rsidR="008E3922" w:rsidRPr="0059171C" w:rsidRDefault="008E3922">
      <w:pPr>
        <w:pStyle w:val="ae"/>
        <w:rPr>
          <w:lang w:val="en-GB"/>
        </w:rPr>
      </w:pPr>
      <w:r>
        <w:rPr>
          <w:rStyle w:val="af0"/>
        </w:rPr>
        <w:footnoteRef/>
      </w:r>
      <w:r w:rsidRPr="0059171C">
        <w:rPr>
          <w:lang w:val="en-GB"/>
        </w:rPr>
        <w:t xml:space="preserve"> </w:t>
      </w:r>
      <w:r w:rsidRPr="008E3922">
        <w:rPr>
          <w:lang w:val="en-GB"/>
        </w:rPr>
        <w:t>Dow Jones Sustainability World Index</w:t>
      </w:r>
      <w:r>
        <w:rPr>
          <w:rStyle w:val="a4"/>
          <w:color w:val="auto"/>
          <w:u w:val="none"/>
          <w:lang w:val="en-GB"/>
        </w:rPr>
        <w:t xml:space="preserve">, S&amp;P Sow jones </w:t>
      </w:r>
      <w:proofErr w:type="spellStart"/>
      <w:r>
        <w:rPr>
          <w:rStyle w:val="a4"/>
          <w:color w:val="auto"/>
          <w:u w:val="none"/>
          <w:lang w:val="en-GB"/>
        </w:rPr>
        <w:t>Indecies</w:t>
      </w:r>
      <w:proofErr w:type="spellEnd"/>
      <w:r>
        <w:rPr>
          <w:rStyle w:val="a4"/>
          <w:color w:val="auto"/>
          <w:u w:val="none"/>
          <w:lang w:val="en-GB"/>
        </w:rPr>
        <w:t xml:space="preserve"> </w:t>
      </w:r>
      <w:hyperlink r:id="rId2" w:anchor="overview" w:history="1">
        <w:r w:rsidRPr="00D83006">
          <w:rPr>
            <w:rStyle w:val="a4"/>
            <w:lang w:val="en-GB"/>
          </w:rPr>
          <w:t>https://www.spglobal.com/spdji/en/indices/esg/dow-jones-sustainability-world-index/#overview</w:t>
        </w:r>
      </w:hyperlink>
      <w:r>
        <w:rPr>
          <w:lang w:val="en-GB"/>
        </w:rPr>
        <w:t xml:space="preserve"> </w:t>
      </w:r>
    </w:p>
  </w:footnote>
  <w:footnote w:id="10">
    <w:p w:rsidR="008E3922" w:rsidRPr="00DA68D6" w:rsidRDefault="008E3922">
      <w:pPr>
        <w:pStyle w:val="ae"/>
        <w:rPr>
          <w:lang w:val="en-GB"/>
        </w:rPr>
      </w:pPr>
      <w:r>
        <w:rPr>
          <w:rStyle w:val="af0"/>
        </w:rPr>
        <w:footnoteRef/>
      </w:r>
      <w:r w:rsidRPr="00FD319B">
        <w:rPr>
          <w:lang w:val="en-GB"/>
        </w:rPr>
        <w:t xml:space="preserve"> </w:t>
      </w:r>
      <w:r>
        <w:rPr>
          <w:lang w:val="en-GB"/>
        </w:rPr>
        <w:t xml:space="preserve">Laura Street, Rosie Powell-Tuck, Aiste Blackley, Mark Lee (2021) </w:t>
      </w:r>
      <w:proofErr w:type="gramStart"/>
      <w:r>
        <w:rPr>
          <w:lang w:val="en-GB"/>
        </w:rPr>
        <w:t>What’s</w:t>
      </w:r>
      <w:proofErr w:type="gramEnd"/>
      <w:r>
        <w:rPr>
          <w:lang w:val="en-GB"/>
        </w:rPr>
        <w:t xml:space="preserve"> next for Sustainable business? 2021  Trend Report (2021)</w:t>
      </w:r>
    </w:p>
  </w:footnote>
  <w:footnote w:id="11">
    <w:p w:rsidR="008E3922" w:rsidRPr="00192F73" w:rsidRDefault="008E3922">
      <w:pPr>
        <w:pStyle w:val="ae"/>
        <w:rPr>
          <w:lang w:val="en-GB"/>
        </w:rPr>
      </w:pPr>
      <w:r>
        <w:rPr>
          <w:lang w:val="en-GB"/>
        </w:rPr>
        <w:t xml:space="preserve"> </w:t>
      </w:r>
      <w:r>
        <w:rPr>
          <w:rStyle w:val="af0"/>
        </w:rPr>
        <w:footnoteRef/>
      </w:r>
      <w:r w:rsidRPr="00192F73">
        <w:rPr>
          <w:lang w:val="en-GB"/>
        </w:rPr>
        <w:t xml:space="preserve"> </w:t>
      </w:r>
      <w:r>
        <w:rPr>
          <w:lang w:val="en-GB"/>
        </w:rPr>
        <w:t>George Serafeim et al. (2020), Making Sustainability count, Harvard Business Review</w:t>
      </w:r>
    </w:p>
  </w:footnote>
  <w:footnote w:id="12">
    <w:p w:rsidR="008E3922" w:rsidRPr="00113D62" w:rsidRDefault="008E3922">
      <w:pPr>
        <w:pStyle w:val="ae"/>
        <w:rPr>
          <w:lang w:val="en-GB"/>
        </w:rPr>
      </w:pPr>
      <w:r>
        <w:rPr>
          <w:rStyle w:val="af0"/>
        </w:rPr>
        <w:footnoteRef/>
      </w:r>
      <w:r w:rsidRPr="00113D62">
        <w:rPr>
          <w:lang w:val="en-GB"/>
        </w:rPr>
        <w:t xml:space="preserve"> </w:t>
      </w:r>
      <w:r w:rsidRPr="00DA68D6">
        <w:rPr>
          <w:lang w:val="en-GB"/>
        </w:rPr>
        <w:t>Jeong-Bon Kim, Bing Li, Zhenbin Liu</w:t>
      </w:r>
      <w:r>
        <w:rPr>
          <w:lang w:val="en-GB"/>
        </w:rPr>
        <w:t xml:space="preserve"> (2018), </w:t>
      </w:r>
      <w:r w:rsidRPr="00DA68D6">
        <w:rPr>
          <w:lang w:val="en-GB"/>
        </w:rPr>
        <w:t>Does social performance influence breadth of ownership?</w:t>
      </w:r>
      <w:r>
        <w:rPr>
          <w:lang w:val="en-GB"/>
        </w:rPr>
        <w:t xml:space="preserve">, Journal of Business finance&amp;accounting </w:t>
      </w:r>
    </w:p>
  </w:footnote>
  <w:footnote w:id="13">
    <w:p w:rsidR="008E3922" w:rsidRPr="000E4F05" w:rsidRDefault="008E3922">
      <w:pPr>
        <w:pStyle w:val="ae"/>
        <w:rPr>
          <w:lang w:val="en-GB"/>
        </w:rPr>
      </w:pPr>
      <w:r>
        <w:rPr>
          <w:rStyle w:val="af0"/>
        </w:rPr>
        <w:footnoteRef/>
      </w:r>
      <w:r>
        <w:rPr>
          <w:lang w:val="en-GB"/>
        </w:rPr>
        <w:t xml:space="preserve"> </w:t>
      </w:r>
      <w:proofErr w:type="spellStart"/>
      <w:r w:rsidRPr="005D2046">
        <w:rPr>
          <w:lang w:val="en-GB"/>
        </w:rPr>
        <w:t>Ekwurzel</w:t>
      </w:r>
      <w:proofErr w:type="spellEnd"/>
      <w:r w:rsidRPr="005D2046">
        <w:rPr>
          <w:lang w:val="en-GB"/>
        </w:rPr>
        <w:t xml:space="preserve">, B., </w:t>
      </w:r>
      <w:proofErr w:type="spellStart"/>
      <w:r w:rsidRPr="005D2046">
        <w:rPr>
          <w:lang w:val="en-GB"/>
        </w:rPr>
        <w:t>Boneham</w:t>
      </w:r>
      <w:proofErr w:type="spellEnd"/>
      <w:r w:rsidRPr="005D2046">
        <w:rPr>
          <w:lang w:val="en-GB"/>
        </w:rPr>
        <w:t>, J., Dalton, M.W. et al. The rise in global atmospheric CO2, surface temperature, and sea level from emissions traced to major carbon producers. Climatic Change 144, 579–590 (2017)</w:t>
      </w:r>
    </w:p>
  </w:footnote>
  <w:footnote w:id="14">
    <w:p w:rsidR="008E3922" w:rsidRPr="00C742C1" w:rsidRDefault="008E3922">
      <w:pPr>
        <w:pStyle w:val="ae"/>
        <w:rPr>
          <w:lang w:val="en-GB"/>
        </w:rPr>
      </w:pPr>
      <w:r>
        <w:rPr>
          <w:rStyle w:val="af0"/>
        </w:rPr>
        <w:footnoteRef/>
      </w:r>
      <w:r>
        <w:rPr>
          <w:lang w:val="en-GB"/>
        </w:rPr>
        <w:t xml:space="preserve"> Simon Dietz, </w:t>
      </w:r>
      <w:r w:rsidRPr="005D2046">
        <w:rPr>
          <w:lang w:val="en-GB"/>
        </w:rPr>
        <w:t xml:space="preserve">Valentin Julius </w:t>
      </w:r>
      <w:proofErr w:type="spellStart"/>
      <w:r w:rsidRPr="005D2046">
        <w:rPr>
          <w:lang w:val="en-GB"/>
        </w:rPr>
        <w:t>Jahn</w:t>
      </w:r>
      <w:proofErr w:type="spellEnd"/>
      <w:r>
        <w:rPr>
          <w:lang w:val="en-GB"/>
        </w:rPr>
        <w:t xml:space="preserve">, </w:t>
      </w:r>
      <w:r w:rsidRPr="005D2046">
        <w:rPr>
          <w:lang w:val="en-GB"/>
        </w:rPr>
        <w:t>Dan Gardiner</w:t>
      </w:r>
      <w:r>
        <w:rPr>
          <w:lang w:val="en-GB"/>
        </w:rPr>
        <w:t xml:space="preserve"> </w:t>
      </w:r>
      <w:proofErr w:type="spellStart"/>
      <w:r w:rsidRPr="005D2046">
        <w:rPr>
          <w:lang w:val="en-GB"/>
        </w:rPr>
        <w:t>Jolien</w:t>
      </w:r>
      <w:proofErr w:type="spellEnd"/>
      <w:r w:rsidRPr="005D2046">
        <w:rPr>
          <w:lang w:val="en-GB"/>
        </w:rPr>
        <w:t xml:space="preserve"> Noels</w:t>
      </w:r>
      <w:r>
        <w:rPr>
          <w:lang w:val="en-GB"/>
        </w:rPr>
        <w:t xml:space="preserve"> (2020) </w:t>
      </w:r>
      <w:r w:rsidRPr="005D2046">
        <w:rPr>
          <w:lang w:val="en-GB"/>
        </w:rPr>
        <w:t>Emissions targets in the oil and gas sector: How do they stack up?</w:t>
      </w:r>
      <w:r>
        <w:rPr>
          <w:rStyle w:val="a4"/>
          <w:lang w:val="en-GB"/>
        </w:rPr>
        <w:t xml:space="preserve"> </w:t>
      </w:r>
      <w:proofErr w:type="spellStart"/>
      <w:r w:rsidRPr="005D2046">
        <w:rPr>
          <w:lang w:val="en-GB"/>
        </w:rPr>
        <w:t>Londin</w:t>
      </w:r>
      <w:proofErr w:type="spellEnd"/>
      <w:r w:rsidRPr="005D2046">
        <w:rPr>
          <w:lang w:val="en-GB"/>
        </w:rPr>
        <w:t xml:space="preserve"> School of Economics</w:t>
      </w:r>
    </w:p>
  </w:footnote>
  <w:footnote w:id="15">
    <w:p w:rsidR="008E3922" w:rsidRPr="005D2046" w:rsidRDefault="008E3922" w:rsidP="005D2046">
      <w:pPr>
        <w:pStyle w:val="ae"/>
        <w:rPr>
          <w:lang w:val="en-GB"/>
        </w:rPr>
      </w:pPr>
      <w:r>
        <w:rPr>
          <w:rStyle w:val="af0"/>
        </w:rPr>
        <w:footnoteRef/>
      </w:r>
      <w:r w:rsidRPr="00343B86">
        <w:rPr>
          <w:lang w:val="en-GB"/>
        </w:rPr>
        <w:t xml:space="preserve"> </w:t>
      </w:r>
      <w:r w:rsidRPr="005D2046">
        <w:rPr>
          <w:lang w:val="en-GB"/>
        </w:rPr>
        <w:t xml:space="preserve">Matthew S. </w:t>
      </w:r>
      <w:proofErr w:type="spellStart"/>
      <w:proofErr w:type="gramStart"/>
      <w:r w:rsidRPr="005D2046">
        <w:rPr>
          <w:lang w:val="en-GB"/>
        </w:rPr>
        <w:t>BachDutch</w:t>
      </w:r>
      <w:proofErr w:type="spellEnd"/>
      <w:r w:rsidRPr="005D2046">
        <w:rPr>
          <w:lang w:val="en-GB"/>
        </w:rPr>
        <w:t xml:space="preserve"> </w:t>
      </w:r>
      <w:r>
        <w:rPr>
          <w:lang w:val="en-GB"/>
        </w:rPr>
        <w:t xml:space="preserve"> (</w:t>
      </w:r>
      <w:proofErr w:type="gramEnd"/>
      <w:r>
        <w:rPr>
          <w:lang w:val="en-GB"/>
        </w:rPr>
        <w:t xml:space="preserve">2017) </w:t>
      </w:r>
      <w:r w:rsidRPr="005D2046">
        <w:rPr>
          <w:lang w:val="en-GB"/>
        </w:rPr>
        <w:t>Is the Oil and Gas Industry Serious About Climate Action?</w:t>
      </w:r>
    </w:p>
    <w:p w:rsidR="008E3922" w:rsidRPr="00343B86" w:rsidRDefault="008E3922" w:rsidP="005D2046">
      <w:pPr>
        <w:pStyle w:val="ae"/>
        <w:rPr>
          <w:lang w:val="en-GB"/>
        </w:rPr>
      </w:pPr>
      <w:r w:rsidRPr="005D2046">
        <w:rPr>
          <w:lang w:val="en-GB"/>
        </w:rPr>
        <w:t>Research Institute for Transitions (DRIFT) of Erasmus University Rotterdam in the Netherlands</w:t>
      </w:r>
    </w:p>
  </w:footnote>
  <w:footnote w:id="16">
    <w:p w:rsidR="008E3922" w:rsidRPr="00862D70" w:rsidRDefault="008E3922">
      <w:pPr>
        <w:pStyle w:val="ae"/>
        <w:rPr>
          <w:lang w:val="en-GB"/>
        </w:rPr>
      </w:pPr>
      <w:r>
        <w:rPr>
          <w:rStyle w:val="af0"/>
        </w:rPr>
        <w:footnoteRef/>
      </w:r>
      <w:r w:rsidRPr="00862D70">
        <w:rPr>
          <w:lang w:val="en-GB"/>
        </w:rPr>
        <w:t xml:space="preserve"> </w:t>
      </w:r>
      <w:r w:rsidR="0015518D" w:rsidRPr="0015518D">
        <w:rPr>
          <w:lang w:val="en-GB"/>
        </w:rPr>
        <w:t xml:space="preserve">What is the Kyoto </w:t>
      </w:r>
      <w:proofErr w:type="spellStart"/>
      <w:r w:rsidR="0015518D" w:rsidRPr="0015518D">
        <w:rPr>
          <w:lang w:val="en-GB"/>
        </w:rPr>
        <w:t>Protocol?</w:t>
      </w:r>
      <w:hyperlink r:id="rId3" w:history="1">
        <w:r w:rsidRPr="00D83006">
          <w:rPr>
            <w:rStyle w:val="a4"/>
            <w:lang w:val="en-GB"/>
          </w:rPr>
          <w:t>https</w:t>
        </w:r>
        <w:proofErr w:type="spellEnd"/>
        <w:r w:rsidRPr="00D83006">
          <w:rPr>
            <w:rStyle w:val="a4"/>
            <w:lang w:val="en-GB"/>
          </w:rPr>
          <w:t>://unfccc.int/</w:t>
        </w:r>
        <w:proofErr w:type="spellStart"/>
        <w:r w:rsidRPr="00D83006">
          <w:rPr>
            <w:rStyle w:val="a4"/>
            <w:lang w:val="en-GB"/>
          </w:rPr>
          <w:t>kyoto_protocol</w:t>
        </w:r>
        <w:proofErr w:type="spellEnd"/>
      </w:hyperlink>
      <w:r>
        <w:rPr>
          <w:rStyle w:val="a4"/>
          <w:lang w:val="en-GB"/>
        </w:rPr>
        <w:t xml:space="preserve"> </w:t>
      </w:r>
    </w:p>
  </w:footnote>
  <w:footnote w:id="17">
    <w:p w:rsidR="008E3922" w:rsidRPr="005D2046" w:rsidRDefault="008E3922">
      <w:pPr>
        <w:pStyle w:val="ae"/>
        <w:rPr>
          <w:lang w:val="en-GB"/>
        </w:rPr>
      </w:pPr>
      <w:r>
        <w:rPr>
          <w:rStyle w:val="af0"/>
        </w:rPr>
        <w:footnoteRef/>
      </w:r>
      <w:r w:rsidRPr="00073902">
        <w:rPr>
          <w:lang w:val="en-GB"/>
        </w:rPr>
        <w:t xml:space="preserve"> </w:t>
      </w:r>
      <w:r w:rsidRPr="005D2046">
        <w:rPr>
          <w:lang w:val="en-GB"/>
        </w:rPr>
        <w:t>Geoffrey Supran2 and Naomi Oreskes</w:t>
      </w:r>
      <w:r>
        <w:rPr>
          <w:lang w:val="en-GB"/>
        </w:rPr>
        <w:t xml:space="preserve"> (2017), </w:t>
      </w:r>
      <w:r w:rsidRPr="005D2046">
        <w:rPr>
          <w:lang w:val="en-GB"/>
        </w:rPr>
        <w:t>Assessing ExxonMobil's climate change communications (1977–2014)</w:t>
      </w:r>
      <w:r>
        <w:rPr>
          <w:lang w:val="en-GB"/>
        </w:rPr>
        <w:t xml:space="preserve">, </w:t>
      </w:r>
      <w:r w:rsidRPr="005D2046">
        <w:rPr>
          <w:lang w:val="en-GB"/>
        </w:rPr>
        <w:t>Environmental Research Letters, Volume 12, Number 8</w:t>
      </w:r>
    </w:p>
  </w:footnote>
  <w:footnote w:id="18">
    <w:p w:rsidR="008E3922" w:rsidRPr="005D2046" w:rsidRDefault="008E3922" w:rsidP="00FE2C4D">
      <w:pPr>
        <w:pStyle w:val="ae"/>
        <w:rPr>
          <w:lang w:val="en-GB"/>
        </w:rPr>
      </w:pPr>
      <w:r>
        <w:rPr>
          <w:rStyle w:val="af0"/>
        </w:rPr>
        <w:footnoteRef/>
      </w:r>
      <w:r w:rsidRPr="00FE2C4D">
        <w:rPr>
          <w:lang w:val="en-GB"/>
        </w:rPr>
        <w:t xml:space="preserve"> </w:t>
      </w:r>
      <w:r>
        <w:rPr>
          <w:lang w:val="en-GB"/>
        </w:rPr>
        <w:t>K</w:t>
      </w:r>
      <w:r w:rsidRPr="005D2046">
        <w:rPr>
          <w:lang w:val="en-GB"/>
        </w:rPr>
        <w:t>ieran Dobson</w:t>
      </w:r>
      <w:r>
        <w:rPr>
          <w:lang w:val="en-GB"/>
        </w:rPr>
        <w:t xml:space="preserve"> and </w:t>
      </w:r>
      <w:proofErr w:type="spellStart"/>
      <w:r w:rsidRPr="005D2046">
        <w:rPr>
          <w:lang w:val="en-GB"/>
        </w:rPr>
        <w:t>Manjit</w:t>
      </w:r>
      <w:proofErr w:type="spellEnd"/>
      <w:r w:rsidRPr="005D2046">
        <w:rPr>
          <w:lang w:val="en-GB"/>
        </w:rPr>
        <w:t xml:space="preserve"> Ju</w:t>
      </w:r>
      <w:r>
        <w:rPr>
          <w:lang w:val="en-GB"/>
        </w:rPr>
        <w:t>s (2021)</w:t>
      </w:r>
      <w:r w:rsidRPr="005D2046">
        <w:rPr>
          <w:lang w:val="en-GB"/>
        </w:rPr>
        <w:t>Driving the energy transition: more than just hedging downside demand</w:t>
      </w:r>
    </w:p>
  </w:footnote>
  <w:footnote w:id="19">
    <w:p w:rsidR="008E3922" w:rsidRPr="0065244D" w:rsidRDefault="008E3922">
      <w:pPr>
        <w:pStyle w:val="ae"/>
        <w:rPr>
          <w:lang w:val="en-GB"/>
        </w:rPr>
      </w:pPr>
      <w:r>
        <w:rPr>
          <w:rStyle w:val="af0"/>
        </w:rPr>
        <w:footnoteRef/>
      </w:r>
      <w:r w:rsidRPr="0048265E">
        <w:rPr>
          <w:lang w:val="en-GB"/>
        </w:rPr>
        <w:t xml:space="preserve"> </w:t>
      </w:r>
      <w:r>
        <w:rPr>
          <w:lang w:val="en-GB"/>
        </w:rPr>
        <w:t>M</w:t>
      </w:r>
      <w:r w:rsidRPr="0065244D">
        <w:rPr>
          <w:lang w:val="en-GB"/>
        </w:rPr>
        <w:t xml:space="preserve">arlene </w:t>
      </w:r>
      <w:proofErr w:type="spellStart"/>
      <w:r w:rsidRPr="0065244D">
        <w:rPr>
          <w:lang w:val="en-GB"/>
        </w:rPr>
        <w:t>Motyka</w:t>
      </w:r>
      <w:proofErr w:type="spellEnd"/>
      <w:r>
        <w:rPr>
          <w:lang w:val="en-GB"/>
        </w:rPr>
        <w:t xml:space="preserve"> (2021), </w:t>
      </w:r>
      <w:r w:rsidRPr="0065244D">
        <w:rPr>
          <w:lang w:val="en-GB"/>
        </w:rPr>
        <w:t>2021 renewable energy industry outlook</w:t>
      </w:r>
    </w:p>
  </w:footnote>
  <w:footnote w:id="20">
    <w:p w:rsidR="008E3922" w:rsidRPr="006A4915" w:rsidRDefault="008E3922">
      <w:pPr>
        <w:pStyle w:val="ae"/>
        <w:rPr>
          <w:lang w:val="en-GB"/>
        </w:rPr>
      </w:pPr>
      <w:r>
        <w:rPr>
          <w:rStyle w:val="af0"/>
        </w:rPr>
        <w:footnoteRef/>
      </w:r>
      <w:r w:rsidR="0015518D" w:rsidRPr="0015518D">
        <w:t>BP, Energy outlook 2020 edition</w:t>
      </w:r>
      <w:r w:rsidR="0015518D">
        <w:rPr>
          <w:rStyle w:val="a4"/>
          <w:lang w:val="en-GB"/>
        </w:rPr>
        <w:t xml:space="preserve"> </w:t>
      </w:r>
      <w:hyperlink r:id="rId4" w:history="1">
        <w:r w:rsidRPr="00624DCF">
          <w:rPr>
            <w:rStyle w:val="a4"/>
            <w:lang w:val="en-GB"/>
          </w:rPr>
          <w:t>https://www.bp.com/content/dam/bp/business-sites/en/global/corporate/pdfs/energy-economics/energy-outlook/bp-energy-outlook-2020.pdf?utm_source=newsletter&amp;utm_medium=email&amp;utm_campaign=newsletter_axiosgenerate&amp;stream=top</w:t>
        </w:r>
      </w:hyperlink>
      <w:r>
        <w:rPr>
          <w:lang w:val="en-GB"/>
        </w:rPr>
        <w:t xml:space="preserve"> </w:t>
      </w:r>
    </w:p>
  </w:footnote>
  <w:footnote w:id="21">
    <w:p w:rsidR="008E3922" w:rsidRPr="0065244D" w:rsidRDefault="008E3922" w:rsidP="0065244D">
      <w:pPr>
        <w:pStyle w:val="ae"/>
        <w:ind w:firstLine="0"/>
        <w:rPr>
          <w:lang w:val="en-GB"/>
        </w:rPr>
      </w:pPr>
      <w:r w:rsidRPr="0041705E">
        <w:rPr>
          <w:rStyle w:val="af0"/>
        </w:rPr>
        <w:footnoteRef/>
      </w:r>
      <w:r>
        <w:rPr>
          <w:lang w:val="en-GB"/>
        </w:rPr>
        <w:t xml:space="preserve"> </w:t>
      </w:r>
      <w:r w:rsidRPr="0065244D">
        <w:rPr>
          <w:lang w:val="en-GB"/>
        </w:rPr>
        <w:t>Ruud Weije</w:t>
      </w:r>
      <w:r>
        <w:rPr>
          <w:lang w:val="en-GB"/>
        </w:rPr>
        <w:t xml:space="preserve">rmars, Oswald Clint, Iain Pyle, </w:t>
      </w:r>
      <w:r w:rsidRPr="0065244D">
        <w:rPr>
          <w:lang w:val="en-GB"/>
        </w:rPr>
        <w:t>Competing and partnering for resources and profits: Strategic shifts of oil Majors during the past quarter of a century,</w:t>
      </w:r>
    </w:p>
    <w:p w:rsidR="008E3922" w:rsidRPr="00066BF1" w:rsidRDefault="008E3922" w:rsidP="0065244D">
      <w:pPr>
        <w:pStyle w:val="ae"/>
        <w:ind w:firstLine="0"/>
        <w:rPr>
          <w:lang w:val="en-GB"/>
        </w:rPr>
      </w:pPr>
      <w:r>
        <w:rPr>
          <w:lang w:val="en-GB"/>
        </w:rPr>
        <w:t xml:space="preserve">Energy Strategy Reviews, Volume 3, 2014, </w:t>
      </w:r>
      <w:r w:rsidRPr="0065244D">
        <w:rPr>
          <w:lang w:val="en-GB"/>
        </w:rPr>
        <w:t>Pages 72-87,</w:t>
      </w:r>
      <w:r>
        <w:rPr>
          <w:lang w:val="en-GB"/>
        </w:rPr>
        <w:t xml:space="preserve"> </w:t>
      </w:r>
    </w:p>
  </w:footnote>
  <w:footnote w:id="22">
    <w:p w:rsidR="008E3922" w:rsidRPr="004A3F73" w:rsidRDefault="008E3922" w:rsidP="0078651E">
      <w:pPr>
        <w:pStyle w:val="ae"/>
        <w:ind w:firstLine="0"/>
        <w:rPr>
          <w:vertAlign w:val="superscript"/>
          <w:lang w:val="en-GB"/>
        </w:rPr>
      </w:pPr>
      <w:r>
        <w:rPr>
          <w:rStyle w:val="af0"/>
        </w:rPr>
        <w:footnoteRef/>
      </w:r>
      <w:r w:rsidRPr="0065244D">
        <w:rPr>
          <w:lang w:val="en-GB"/>
        </w:rPr>
        <w:t>Johnston, Robert J., et al. KEY DRIVERS OF THE LOW CARBON TRANSITION. Atlantic Council, 2020, pp. 5–14, THE ROLE OF OIL AND GAS COMPANIES IN THE ENERGY TRANSITION, www.jstor.org/stable/resrep23543.5. Accessed 3 June 2021.</w:t>
      </w:r>
    </w:p>
  </w:footnote>
  <w:footnote w:id="23">
    <w:p w:rsidR="008E3922" w:rsidRPr="00223D5E" w:rsidRDefault="008E3922">
      <w:pPr>
        <w:pStyle w:val="ae"/>
        <w:rPr>
          <w:lang w:val="en-GB"/>
        </w:rPr>
      </w:pPr>
      <w:r>
        <w:rPr>
          <w:rStyle w:val="af0"/>
        </w:rPr>
        <w:footnoteRef/>
      </w:r>
      <w:r w:rsidRPr="00223D5E">
        <w:rPr>
          <w:lang w:val="en-GB"/>
        </w:rPr>
        <w:t xml:space="preserve"> </w:t>
      </w:r>
      <w:r w:rsidR="0015518D" w:rsidRPr="00350677">
        <w:rPr>
          <w:lang w:val="en-GB"/>
        </w:rPr>
        <w:t>The Montreal Protocol</w:t>
      </w:r>
      <w:r w:rsidR="0015518D">
        <w:rPr>
          <w:rStyle w:val="a4"/>
          <w:lang w:val="en-GB"/>
        </w:rPr>
        <w:t xml:space="preserve"> </w:t>
      </w:r>
      <w:hyperlink r:id="rId5" w:history="1">
        <w:r w:rsidRPr="00D83006">
          <w:rPr>
            <w:rStyle w:val="a4"/>
            <w:lang w:val="en-GB"/>
          </w:rPr>
          <w:t>https://www.unep.org/ozonaction/who-we-are/about-montreal-protocol</w:t>
        </w:r>
      </w:hyperlink>
      <w:r>
        <w:rPr>
          <w:lang w:val="en-GB"/>
        </w:rPr>
        <w:t xml:space="preserve"> </w:t>
      </w:r>
    </w:p>
  </w:footnote>
  <w:footnote w:id="24">
    <w:p w:rsidR="008E3922" w:rsidRPr="00350677" w:rsidRDefault="008E3922">
      <w:pPr>
        <w:pStyle w:val="ae"/>
        <w:rPr>
          <w:lang w:val="en-GB"/>
        </w:rPr>
      </w:pPr>
      <w:r>
        <w:rPr>
          <w:rStyle w:val="af0"/>
        </w:rPr>
        <w:footnoteRef/>
      </w:r>
      <w:r w:rsidR="0015518D">
        <w:rPr>
          <w:rStyle w:val="a4"/>
          <w:lang w:val="en-GB"/>
        </w:rPr>
        <w:t xml:space="preserve"> </w:t>
      </w:r>
      <w:r w:rsidR="0015518D" w:rsidRPr="00350677">
        <w:rPr>
          <w:lang w:val="en-GB"/>
        </w:rPr>
        <w:t>Amendment to the Montreal Protocol on Substances that Deplete the Ozone Layer</w:t>
      </w:r>
      <w:r w:rsidR="0015518D">
        <w:rPr>
          <w:rStyle w:val="a4"/>
          <w:lang w:val="en-GB"/>
        </w:rPr>
        <w:t xml:space="preserve"> </w:t>
      </w:r>
      <w:hyperlink r:id="rId6" w:history="1">
        <w:r w:rsidRPr="00D83006">
          <w:rPr>
            <w:rStyle w:val="a4"/>
            <w:lang w:val="en-GB"/>
          </w:rPr>
          <w:t>https://treaties.un.org/Pages/ViewDetails.aspx?src=TREATY&amp;mtdsg_no=XXVII-2-f&amp;chapter=27&amp;clang=_en</w:t>
        </w:r>
      </w:hyperlink>
      <w:r>
        <w:rPr>
          <w:lang w:val="en-GB"/>
        </w:rPr>
        <w:t xml:space="preserve"> </w:t>
      </w:r>
    </w:p>
  </w:footnote>
  <w:footnote w:id="25">
    <w:p w:rsidR="008E3922" w:rsidRPr="00350677" w:rsidRDefault="008E3922">
      <w:pPr>
        <w:pStyle w:val="ae"/>
        <w:rPr>
          <w:lang w:val="en-GB"/>
        </w:rPr>
      </w:pPr>
      <w:r>
        <w:rPr>
          <w:rStyle w:val="af0"/>
        </w:rPr>
        <w:footnoteRef/>
      </w:r>
      <w:hyperlink r:id="rId7" w:history="1">
        <w:r w:rsidRPr="00D83006">
          <w:rPr>
            <w:rStyle w:val="a4"/>
            <w:lang w:val="en-GB"/>
          </w:rPr>
          <w:t>https://unfccc.int/files/essential_background/background_publications_htmlpdf/application/pdf/conveng.pdf</w:t>
        </w:r>
      </w:hyperlink>
      <w:r>
        <w:rPr>
          <w:lang w:val="en-GB"/>
        </w:rPr>
        <w:t xml:space="preserve">  </w:t>
      </w:r>
      <w:r w:rsidRPr="00350677">
        <w:rPr>
          <w:lang w:val="en-GB"/>
        </w:rPr>
        <w:t>UNITED NATIONS FRAMEWORK CONVENTION ON CLIMATE CHANGE</w:t>
      </w:r>
    </w:p>
  </w:footnote>
  <w:footnote w:id="26">
    <w:p w:rsidR="008E3922" w:rsidRPr="00350677" w:rsidRDefault="008E3922" w:rsidP="00350677">
      <w:pPr>
        <w:pStyle w:val="ae"/>
        <w:ind w:firstLine="0"/>
        <w:rPr>
          <w:color w:val="0000FF" w:themeColor="hyperlink"/>
          <w:u w:val="single"/>
          <w:lang w:val="en-GB"/>
        </w:rPr>
      </w:pPr>
      <w:r>
        <w:rPr>
          <w:rStyle w:val="af0"/>
        </w:rPr>
        <w:footnoteRef/>
      </w:r>
      <w:r w:rsidRPr="00456F5A">
        <w:rPr>
          <w:lang w:val="en-GB"/>
        </w:rPr>
        <w:t xml:space="preserve"> </w:t>
      </w:r>
      <w:r w:rsidRPr="00350677">
        <w:rPr>
          <w:lang w:val="en-GB"/>
        </w:rPr>
        <w:t>Lindsay Maizland</w:t>
      </w:r>
      <w:r>
        <w:rPr>
          <w:lang w:val="en-GB"/>
        </w:rPr>
        <w:t xml:space="preserve"> (2021), </w:t>
      </w:r>
      <w:r w:rsidRPr="00350677">
        <w:rPr>
          <w:lang w:val="en-GB"/>
        </w:rPr>
        <w:t>Global Climate Agreements: Successes and Failures</w:t>
      </w:r>
      <w:r>
        <w:rPr>
          <w:lang w:val="en-GB"/>
        </w:rPr>
        <w:t>, Council on Foreign relation</w:t>
      </w:r>
    </w:p>
  </w:footnote>
  <w:footnote w:id="27">
    <w:p w:rsidR="008E3922" w:rsidRPr="00DC33E3" w:rsidRDefault="008E3922" w:rsidP="00B6463D">
      <w:pPr>
        <w:pStyle w:val="ae"/>
        <w:ind w:firstLine="0"/>
        <w:rPr>
          <w:lang w:val="en-GB"/>
        </w:rPr>
      </w:pPr>
      <w:r>
        <w:rPr>
          <w:rStyle w:val="af0"/>
        </w:rPr>
        <w:footnoteRef/>
      </w:r>
      <w:r w:rsidRPr="00B6463D">
        <w:rPr>
          <w:lang w:val="en-GB"/>
        </w:rPr>
        <w:t xml:space="preserve"> </w:t>
      </w:r>
      <w:r w:rsidRPr="00DC33E3">
        <w:rPr>
          <w:lang w:val="en-GB"/>
        </w:rPr>
        <w:t>Erickson, Peter, et al. How Would Eliminating Subsidies to the U.S. Oil Industry Affect Potential Oil Production and CO2 Emissions? Stockholm Environment Institute, 2017, www.jstor.org/stable/resrep02806. Accessed 3 June 2021.</w:t>
      </w:r>
    </w:p>
  </w:footnote>
  <w:footnote w:id="28">
    <w:p w:rsidR="008E3922" w:rsidRPr="00DA0451" w:rsidRDefault="008E3922" w:rsidP="00DA0451">
      <w:pPr>
        <w:pStyle w:val="ae"/>
        <w:ind w:firstLine="0"/>
        <w:rPr>
          <w:lang w:val="en-GB"/>
        </w:rPr>
      </w:pPr>
      <w:r>
        <w:rPr>
          <w:rStyle w:val="af0"/>
        </w:rPr>
        <w:footnoteRef/>
      </w:r>
      <w:r w:rsidRPr="00DA0451">
        <w:rPr>
          <w:lang w:val="en-GB"/>
        </w:rPr>
        <w:t xml:space="preserve"> </w:t>
      </w:r>
      <w:hyperlink r:id="rId8" w:history="1">
        <w:r w:rsidRPr="00DA0451">
          <w:rPr>
            <w:rStyle w:val="a4"/>
            <w:lang w:val="en-GB"/>
          </w:rPr>
          <w:t>About | Task Force on Climate-Related Financial Disclosures (fsb-tcfd.org)</w:t>
        </w:r>
      </w:hyperlink>
    </w:p>
  </w:footnote>
  <w:footnote w:id="29">
    <w:p w:rsidR="008E3922" w:rsidRPr="00052FC5" w:rsidRDefault="008E3922" w:rsidP="00DC33E3">
      <w:pPr>
        <w:pStyle w:val="ae"/>
        <w:ind w:firstLine="0"/>
        <w:rPr>
          <w:lang w:val="en-GB"/>
        </w:rPr>
      </w:pPr>
      <w:r>
        <w:rPr>
          <w:rStyle w:val="af0"/>
        </w:rPr>
        <w:footnoteRef/>
      </w:r>
      <w:r w:rsidRPr="00052FC5">
        <w:rPr>
          <w:lang w:val="en-GB"/>
        </w:rPr>
        <w:t xml:space="preserve"> </w:t>
      </w:r>
      <w:r w:rsidR="0015518D">
        <w:rPr>
          <w:lang w:val="en-GB"/>
        </w:rPr>
        <w:t xml:space="preserve">PRI, </w:t>
      </w:r>
      <w:proofErr w:type="gramStart"/>
      <w:r w:rsidR="0015518D" w:rsidRPr="00DC33E3">
        <w:rPr>
          <w:lang w:val="en-GB"/>
        </w:rPr>
        <w:t>What</w:t>
      </w:r>
      <w:proofErr w:type="gramEnd"/>
      <w:r w:rsidR="0015518D" w:rsidRPr="00DC33E3">
        <w:rPr>
          <w:lang w:val="en-GB"/>
        </w:rPr>
        <w:t xml:space="preserve"> are the Principles for Responsible Investment?</w:t>
      </w:r>
      <w:r w:rsidR="0015518D">
        <w:rPr>
          <w:lang w:val="en-GB"/>
        </w:rPr>
        <w:t xml:space="preserve"> </w:t>
      </w:r>
      <w:hyperlink r:id="rId9" w:history="1">
        <w:r w:rsidRPr="00D83006">
          <w:rPr>
            <w:rStyle w:val="a4"/>
            <w:lang w:val="en-GB"/>
          </w:rPr>
          <w:t>https://www.unpri.org/pri/what-are-the-principles-for-responsible-investment</w:t>
        </w:r>
      </w:hyperlink>
      <w:r>
        <w:rPr>
          <w:lang w:val="en-GB"/>
        </w:rPr>
        <w:t xml:space="preserve"> </w:t>
      </w:r>
    </w:p>
  </w:footnote>
  <w:footnote w:id="30">
    <w:p w:rsidR="008E3922" w:rsidRPr="00F837AF" w:rsidRDefault="008E3922" w:rsidP="00F837AF">
      <w:pPr>
        <w:pStyle w:val="ae"/>
        <w:ind w:firstLine="0"/>
        <w:rPr>
          <w:lang w:val="en-GB"/>
        </w:rPr>
      </w:pPr>
      <w:r>
        <w:rPr>
          <w:rStyle w:val="af0"/>
        </w:rPr>
        <w:footnoteRef/>
      </w:r>
      <w:r w:rsidRPr="00DC33E3">
        <w:rPr>
          <w:lang w:val="en-GB"/>
        </w:rPr>
        <w:t>Deborah Byers</w:t>
      </w:r>
      <w:r>
        <w:rPr>
          <w:lang w:val="en-GB"/>
        </w:rPr>
        <w:t xml:space="preserve"> </w:t>
      </w:r>
      <w:proofErr w:type="gramStart"/>
      <w:r>
        <w:rPr>
          <w:lang w:val="en-GB"/>
        </w:rPr>
        <w:t>et</w:t>
      </w:r>
      <w:proofErr w:type="gramEnd"/>
      <w:r>
        <w:rPr>
          <w:lang w:val="en-GB"/>
        </w:rPr>
        <w:t>. Al (2017</w:t>
      </w:r>
      <w:proofErr w:type="gramStart"/>
      <w:r>
        <w:rPr>
          <w:lang w:val="en-GB"/>
        </w:rPr>
        <w:t xml:space="preserve">)  </w:t>
      </w:r>
      <w:r w:rsidRPr="00DC33E3">
        <w:rPr>
          <w:lang w:val="en-GB"/>
        </w:rPr>
        <w:t>How</w:t>
      </w:r>
      <w:proofErr w:type="gramEnd"/>
      <w:r w:rsidRPr="00DC33E3">
        <w:rPr>
          <w:lang w:val="en-GB"/>
        </w:rPr>
        <w:t xml:space="preserve"> can oil and gas fuel tomorrow as well as today?</w:t>
      </w:r>
      <w:r>
        <w:rPr>
          <w:lang w:val="en-GB"/>
        </w:rPr>
        <w:t xml:space="preserve">  EY</w:t>
      </w:r>
    </w:p>
  </w:footnote>
  <w:footnote w:id="31">
    <w:p w:rsidR="008E3922" w:rsidRPr="00DC33E3" w:rsidRDefault="008E3922" w:rsidP="00F837AF">
      <w:pPr>
        <w:pStyle w:val="ae"/>
        <w:ind w:firstLine="0"/>
        <w:rPr>
          <w:lang w:val="en-GB"/>
        </w:rPr>
      </w:pPr>
      <w:r>
        <w:rPr>
          <w:rStyle w:val="af0"/>
        </w:rPr>
        <w:footnoteRef/>
      </w:r>
      <w:r w:rsidRPr="00F837AF">
        <w:rPr>
          <w:lang w:val="en-GB"/>
        </w:rPr>
        <w:t xml:space="preserve"> </w:t>
      </w:r>
      <w:hyperlink r:id="rId10" w:history="1">
        <w:r w:rsidRPr="00D83006">
          <w:rPr>
            <w:rStyle w:val="a4"/>
            <w:lang w:val="en-GB"/>
          </w:rPr>
          <w:t>https://www.energyresources.org.nz/dmsdocument/167</w:t>
        </w:r>
      </w:hyperlink>
      <w:r>
        <w:rPr>
          <w:lang w:val="en-GB"/>
        </w:rPr>
        <w:t xml:space="preserve">  </w:t>
      </w:r>
      <w:r w:rsidRPr="00DC33E3">
        <w:rPr>
          <w:lang w:val="en-GB"/>
        </w:rPr>
        <w:t>Oil and Gas Industry Reputation</w:t>
      </w:r>
      <w:r>
        <w:rPr>
          <w:lang w:val="en-GB"/>
        </w:rPr>
        <w:t xml:space="preserve"> (2020)</w:t>
      </w:r>
    </w:p>
  </w:footnote>
  <w:footnote w:id="32">
    <w:p w:rsidR="008E3922" w:rsidRPr="00A77D5A" w:rsidRDefault="008E3922" w:rsidP="00FE183E">
      <w:pPr>
        <w:pStyle w:val="ae"/>
        <w:ind w:firstLine="0"/>
        <w:rPr>
          <w:lang w:val="en-GB"/>
        </w:rPr>
      </w:pPr>
      <w:r>
        <w:rPr>
          <w:rStyle w:val="af0"/>
        </w:rPr>
        <w:footnoteRef/>
      </w:r>
      <w:r w:rsidR="0015518D" w:rsidRPr="00A77D5A">
        <w:rPr>
          <w:lang w:val="en-GB"/>
        </w:rPr>
        <w:t>Holly Honderich</w:t>
      </w:r>
      <w:r w:rsidR="0015518D">
        <w:rPr>
          <w:lang w:val="en-GB"/>
        </w:rPr>
        <w:t xml:space="preserve">, </w:t>
      </w:r>
      <w:r w:rsidR="0015518D" w:rsidRPr="00A77D5A">
        <w:rPr>
          <w:lang w:val="en-GB"/>
        </w:rPr>
        <w:t>Keystone XL: Why I fought for - or against - the pipeline</w:t>
      </w:r>
      <w:r w:rsidR="0015518D">
        <w:rPr>
          <w:lang w:val="en-GB"/>
        </w:rPr>
        <w:t>, BBC</w:t>
      </w:r>
      <w:r w:rsidR="0015518D">
        <w:rPr>
          <w:lang w:val="en-GB"/>
        </w:rPr>
        <w:t xml:space="preserve"> </w:t>
      </w:r>
      <w:r w:rsidRPr="00FE183E">
        <w:rPr>
          <w:lang w:val="en-GB"/>
        </w:rPr>
        <w:t xml:space="preserve"> </w:t>
      </w:r>
      <w:hyperlink r:id="rId11" w:history="1">
        <w:r w:rsidRPr="00D83006">
          <w:rPr>
            <w:rStyle w:val="a4"/>
            <w:lang w:val="en-GB"/>
          </w:rPr>
          <w:t>https://www.bbc.com/news/world-us-canada-55816229</w:t>
        </w:r>
      </w:hyperlink>
      <w:r>
        <w:rPr>
          <w:lang w:val="en-GB"/>
        </w:rPr>
        <w:t xml:space="preserve"> </w:t>
      </w:r>
    </w:p>
  </w:footnote>
  <w:footnote w:id="33">
    <w:p w:rsidR="008E3922" w:rsidRPr="009776B3" w:rsidRDefault="008E3922" w:rsidP="009776B3">
      <w:pPr>
        <w:pStyle w:val="ae"/>
        <w:ind w:firstLine="0"/>
        <w:rPr>
          <w:lang w:val="en-GB"/>
        </w:rPr>
      </w:pPr>
      <w:r>
        <w:rPr>
          <w:rStyle w:val="af0"/>
        </w:rPr>
        <w:footnoteRef/>
      </w:r>
      <w:r w:rsidR="0015518D" w:rsidRPr="00A77D5A">
        <w:rPr>
          <w:lang w:val="en-GB"/>
        </w:rPr>
        <w:t>Kelly Gilblom</w:t>
      </w:r>
      <w:r w:rsidR="0015518D">
        <w:rPr>
          <w:lang w:val="en-GB"/>
        </w:rPr>
        <w:t xml:space="preserve">, (2019), </w:t>
      </w:r>
      <w:r w:rsidR="0015518D" w:rsidRPr="00A77D5A">
        <w:rPr>
          <w:lang w:val="en-GB"/>
        </w:rPr>
        <w:t>Shell's London Headquarters Vandalized by Climate Protesters</w:t>
      </w:r>
      <w:r w:rsidR="0015518D">
        <w:rPr>
          <w:lang w:val="en-GB"/>
        </w:rPr>
        <w:t xml:space="preserve">, </w:t>
      </w:r>
      <w:proofErr w:type="spellStart"/>
      <w:r w:rsidR="0015518D">
        <w:rPr>
          <w:lang w:val="en-GB"/>
        </w:rPr>
        <w:t>Bloomerg</w:t>
      </w:r>
      <w:proofErr w:type="spellEnd"/>
      <w:r w:rsidR="0015518D">
        <w:rPr>
          <w:rStyle w:val="a4"/>
          <w:lang w:val="en-GB"/>
        </w:rPr>
        <w:t xml:space="preserve"> </w:t>
      </w:r>
      <w:hyperlink r:id="rId12" w:history="1">
        <w:r w:rsidRPr="00D83006">
          <w:rPr>
            <w:rStyle w:val="a4"/>
            <w:lang w:val="en-GB"/>
          </w:rPr>
          <w:t>https://www.bloomberg.com/news/articles/2019-04-15/shell-s-london-headquarters-vandalized-by-climate-protesters</w:t>
        </w:r>
      </w:hyperlink>
      <w:r>
        <w:rPr>
          <w:rStyle w:val="a4"/>
          <w:lang w:val="en-GB"/>
        </w:rPr>
        <w:t xml:space="preserve"> </w:t>
      </w:r>
    </w:p>
  </w:footnote>
  <w:footnote w:id="34">
    <w:p w:rsidR="008E3922" w:rsidRPr="004447D2" w:rsidRDefault="008E3922" w:rsidP="008019EE">
      <w:pPr>
        <w:pStyle w:val="ae"/>
        <w:ind w:firstLine="0"/>
        <w:rPr>
          <w:lang w:val="en-GB"/>
        </w:rPr>
      </w:pPr>
      <w:r>
        <w:rPr>
          <w:rStyle w:val="af0"/>
        </w:rPr>
        <w:footnoteRef/>
      </w:r>
      <w:r w:rsidRPr="004447D2">
        <w:rPr>
          <w:lang w:val="en-GB"/>
        </w:rPr>
        <w:t xml:space="preserve"> </w:t>
      </w:r>
      <w:r w:rsidR="005661D6">
        <w:rPr>
          <w:lang w:val="en-GB"/>
        </w:rPr>
        <w:t>Global Sustainable Review 2018</w:t>
      </w:r>
      <w:r w:rsidR="005661D6">
        <w:rPr>
          <w:lang w:val="en-GB"/>
        </w:rPr>
        <w:t xml:space="preserve"> </w:t>
      </w:r>
      <w:hyperlink r:id="rId13" w:history="1">
        <w:r w:rsidRPr="00D83006">
          <w:rPr>
            <w:rStyle w:val="a4"/>
            <w:lang w:val="en-GB"/>
          </w:rPr>
          <w:t>www.gsi-alliance.org/wp-content/uploads/2019/03/GSIR_Review2018.3.28.pdf</w:t>
        </w:r>
      </w:hyperlink>
      <w:r>
        <w:rPr>
          <w:rStyle w:val="a4"/>
          <w:lang w:val="en-GB"/>
        </w:rPr>
        <w:t xml:space="preserve"> </w:t>
      </w:r>
    </w:p>
  </w:footnote>
  <w:footnote w:id="35">
    <w:p w:rsidR="008E3922" w:rsidRPr="001F790F" w:rsidRDefault="008E3922" w:rsidP="007D5238">
      <w:pPr>
        <w:pStyle w:val="ae"/>
        <w:ind w:firstLine="0"/>
        <w:rPr>
          <w:lang w:val="en-GB"/>
        </w:rPr>
      </w:pPr>
      <w:r>
        <w:rPr>
          <w:rStyle w:val="af0"/>
        </w:rPr>
        <w:footnoteRef/>
      </w:r>
      <w:r w:rsidRPr="007D5238">
        <w:rPr>
          <w:lang w:val="en-GB"/>
        </w:rPr>
        <w:t xml:space="preserve"> </w:t>
      </w:r>
      <w:r w:rsidR="005661D6">
        <w:rPr>
          <w:lang w:val="en-GB"/>
        </w:rPr>
        <w:t>Global Sustainable Review 2018</w:t>
      </w:r>
      <w:r w:rsidR="005661D6">
        <w:rPr>
          <w:lang w:val="en-GB"/>
        </w:rPr>
        <w:t xml:space="preserve"> </w:t>
      </w:r>
      <w:hyperlink r:id="rId14" w:history="1">
        <w:r w:rsidRPr="007D5238">
          <w:rPr>
            <w:rStyle w:val="a4"/>
            <w:lang w:val="en-GB"/>
          </w:rPr>
          <w:t>www.gsi-alliance.org/wp-content/uploads/2019/06/GSIR_Review2018F.pdf</w:t>
        </w:r>
      </w:hyperlink>
      <w:r>
        <w:rPr>
          <w:lang w:val="en-GB"/>
        </w:rPr>
        <w:t xml:space="preserve"> </w:t>
      </w:r>
    </w:p>
  </w:footnote>
  <w:footnote w:id="36">
    <w:p w:rsidR="008E3922" w:rsidRPr="00AE2EDC" w:rsidRDefault="008E3922" w:rsidP="001F790F">
      <w:pPr>
        <w:pStyle w:val="ae"/>
        <w:ind w:firstLine="0"/>
        <w:rPr>
          <w:lang w:val="en-GB"/>
        </w:rPr>
      </w:pPr>
      <w:r>
        <w:rPr>
          <w:rStyle w:val="af0"/>
        </w:rPr>
        <w:footnoteRef/>
      </w:r>
      <w:r w:rsidRPr="00AE2EDC">
        <w:rPr>
          <w:lang w:val="en-GB"/>
        </w:rPr>
        <w:t xml:space="preserve"> </w:t>
      </w:r>
      <w:r w:rsidRPr="001F790F">
        <w:rPr>
          <w:lang w:val="en-GB"/>
        </w:rPr>
        <w:t>Dennis Halcoussis, Anton D. Lo</w:t>
      </w:r>
      <w:r>
        <w:rPr>
          <w:lang w:val="en-GB"/>
        </w:rPr>
        <w:t xml:space="preserve">wenberg, </w:t>
      </w:r>
      <w:r w:rsidRPr="001F790F">
        <w:rPr>
          <w:lang w:val="en-GB"/>
        </w:rPr>
        <w:t>The effects of the fossil fuel divest</w:t>
      </w:r>
      <w:r>
        <w:rPr>
          <w:lang w:val="en-GB"/>
        </w:rPr>
        <w:t xml:space="preserve">ment campaign on stock returns, </w:t>
      </w:r>
      <w:r w:rsidRPr="001F790F">
        <w:rPr>
          <w:lang w:val="en-GB"/>
        </w:rPr>
        <w:t>The North American Jo</w:t>
      </w:r>
      <w:r>
        <w:rPr>
          <w:lang w:val="en-GB"/>
        </w:rPr>
        <w:t xml:space="preserve">urnal of Economics and Finance, Volume 47, 2019, </w:t>
      </w:r>
      <w:r w:rsidRPr="001F790F">
        <w:rPr>
          <w:lang w:val="en-GB"/>
        </w:rPr>
        <w:t>Pages 669-674,</w:t>
      </w:r>
    </w:p>
  </w:footnote>
  <w:footnote w:id="37">
    <w:p w:rsidR="008E3922" w:rsidRPr="00425339" w:rsidRDefault="008E3922" w:rsidP="00425339">
      <w:pPr>
        <w:pStyle w:val="ae"/>
        <w:ind w:firstLine="0"/>
        <w:rPr>
          <w:lang w:val="en-GB"/>
        </w:rPr>
      </w:pPr>
      <w:r>
        <w:rPr>
          <w:rStyle w:val="af0"/>
        </w:rPr>
        <w:footnoteRef/>
      </w:r>
      <w:r>
        <w:rPr>
          <w:rStyle w:val="a4"/>
          <w:lang w:val="en-GB"/>
        </w:rPr>
        <w:t xml:space="preserve"> </w:t>
      </w:r>
      <w:r w:rsidRPr="001F790F">
        <w:rPr>
          <w:lang w:val="en-GB"/>
        </w:rPr>
        <w:t xml:space="preserve">Mike </w:t>
      </w:r>
      <w:r w:rsidR="005661D6" w:rsidRPr="001F790F">
        <w:rPr>
          <w:lang w:val="en-GB"/>
        </w:rPr>
        <w:t>Scott</w:t>
      </w:r>
      <w:r w:rsidR="005661D6">
        <w:rPr>
          <w:lang w:val="en-GB"/>
        </w:rPr>
        <w:t xml:space="preserve"> </w:t>
      </w:r>
      <w:r>
        <w:rPr>
          <w:lang w:val="en-GB"/>
        </w:rPr>
        <w:t xml:space="preserve">(2019), </w:t>
      </w:r>
      <w:r w:rsidRPr="001F790F">
        <w:rPr>
          <w:lang w:val="en-GB"/>
        </w:rPr>
        <w:t>Investors Demand Oil And Gas Firms Adopt Climate Targets, But They Must Also Apply Them To Their Funds</w:t>
      </w:r>
      <w:r>
        <w:rPr>
          <w:lang w:val="en-GB"/>
        </w:rPr>
        <w:t>, Forbes</w:t>
      </w:r>
      <w:r>
        <w:rPr>
          <w:rStyle w:val="a4"/>
          <w:lang w:val="en-GB"/>
        </w:rPr>
        <w:t xml:space="preserve"> </w:t>
      </w:r>
      <w:hyperlink r:id="rId15" w:history="1">
        <w:r>
          <w:rPr>
            <w:rStyle w:val="a4"/>
            <w:lang w:val="en-GB"/>
          </w:rPr>
          <w:t>h</w:t>
        </w:r>
      </w:hyperlink>
      <w:r w:rsidRPr="00223D5E">
        <w:rPr>
          <w:rStyle w:val="a4"/>
          <w:lang w:val="en-GB"/>
        </w:rPr>
        <w:t>ttps://www.forbes.com/sites/mikescott/2019/04/29/investors-demand-oil-gas-firms-adopt-climate-targets-but-they-must-also-apply-them-to-their-funds/?sh=491ac74e6e4e</w:t>
      </w:r>
      <w:r>
        <w:rPr>
          <w:rStyle w:val="a4"/>
          <w:lang w:val="en-GB"/>
        </w:rPr>
        <w:t xml:space="preserve"> </w:t>
      </w:r>
    </w:p>
  </w:footnote>
  <w:footnote w:id="38">
    <w:p w:rsidR="008E3922" w:rsidRPr="00653C44" w:rsidRDefault="008E3922" w:rsidP="00653C44">
      <w:pPr>
        <w:pStyle w:val="ae"/>
        <w:ind w:firstLine="0"/>
        <w:rPr>
          <w:lang w:val="en-GB"/>
        </w:rPr>
      </w:pPr>
      <w:r>
        <w:rPr>
          <w:rStyle w:val="af0"/>
        </w:rPr>
        <w:footnoteRef/>
      </w:r>
      <w:r>
        <w:rPr>
          <w:lang w:val="en-GB"/>
        </w:rPr>
        <w:t xml:space="preserve"> Theodor Cojoianuet al. (2019), Economic geography of Fossil Fuel Divestment , environmental policies and oil and gas financing </w:t>
      </w:r>
      <w:hyperlink r:id="rId16" w:history="1">
        <w:r w:rsidRPr="001B5A79">
          <w:rPr>
            <w:rStyle w:val="a4"/>
            <w:lang w:val="en-GB"/>
          </w:rPr>
          <w:t>https://ec.europa.eu/jrc/sites/jrcsh/files/4_3_cojoianu_presentation.pdf</w:t>
        </w:r>
      </w:hyperlink>
      <w:r>
        <w:rPr>
          <w:lang w:val="en-GB"/>
        </w:rPr>
        <w:t xml:space="preserve"> </w:t>
      </w:r>
    </w:p>
  </w:footnote>
  <w:footnote w:id="39">
    <w:p w:rsidR="008E3922" w:rsidRPr="002D7D4A" w:rsidRDefault="008E3922" w:rsidP="001F790F">
      <w:pPr>
        <w:pStyle w:val="ae"/>
        <w:ind w:firstLine="0"/>
        <w:rPr>
          <w:lang w:val="en-GB"/>
        </w:rPr>
      </w:pPr>
      <w:r>
        <w:rPr>
          <w:rStyle w:val="af0"/>
        </w:rPr>
        <w:footnoteRef/>
      </w:r>
      <w:r w:rsidRPr="002D7D4A">
        <w:rPr>
          <w:lang w:val="en-GB"/>
        </w:rPr>
        <w:t xml:space="preserve"> </w:t>
      </w:r>
      <w:r w:rsidRPr="001F790F">
        <w:rPr>
          <w:lang w:val="en-GB"/>
        </w:rPr>
        <w:t>Walter Leal Filho, Ali Beynaghi, Abul Quasem Al-Amin, Charbel Jose Chiappetta Jabbour, M</w:t>
      </w:r>
      <w:r>
        <w:rPr>
          <w:lang w:val="en-GB"/>
        </w:rPr>
        <w:t xml:space="preserve">iguel Esteban, Masoud Mozafari, </w:t>
      </w:r>
      <w:r w:rsidRPr="001F790F">
        <w:rPr>
          <w:lang w:val="en-GB"/>
        </w:rPr>
        <w:t>Low-carbon transition through a duty to divest: Back to</w:t>
      </w:r>
      <w:r>
        <w:rPr>
          <w:lang w:val="en-GB"/>
        </w:rPr>
        <w:t xml:space="preserve"> the future, ahead to the past, </w:t>
      </w:r>
      <w:r w:rsidRPr="001F790F">
        <w:rPr>
          <w:lang w:val="en-GB"/>
        </w:rPr>
        <w:t xml:space="preserve">Renewable </w:t>
      </w:r>
      <w:r>
        <w:rPr>
          <w:lang w:val="en-GB"/>
        </w:rPr>
        <w:t xml:space="preserve">and Sustainable Energy Reviews, Volume 94, 2018, </w:t>
      </w:r>
      <w:r w:rsidRPr="001F790F">
        <w:rPr>
          <w:lang w:val="en-GB"/>
        </w:rPr>
        <w:t>Pages 183-186,</w:t>
      </w:r>
    </w:p>
  </w:footnote>
  <w:footnote w:id="40">
    <w:p w:rsidR="008E3922" w:rsidRPr="0078651E" w:rsidRDefault="008E3922" w:rsidP="001F790F">
      <w:pPr>
        <w:pStyle w:val="ae"/>
        <w:ind w:firstLine="0"/>
        <w:rPr>
          <w:lang w:val="en-GB"/>
        </w:rPr>
      </w:pPr>
      <w:r w:rsidRPr="00456F5A">
        <w:rPr>
          <w:rStyle w:val="af0"/>
        </w:rPr>
        <w:footnoteRef/>
      </w:r>
      <w:r w:rsidRPr="0078651E">
        <w:rPr>
          <w:lang w:val="en-GB"/>
        </w:rPr>
        <w:t xml:space="preserve"> </w:t>
      </w:r>
      <w:r w:rsidRPr="001F790F">
        <w:rPr>
          <w:lang w:val="en-GB"/>
        </w:rPr>
        <w:t>Sibylle Braungardt, Jero</w:t>
      </w:r>
      <w:r>
        <w:rPr>
          <w:lang w:val="en-GB"/>
        </w:rPr>
        <w:t xml:space="preserve">en van den Bergh, Tessa Dunlop, </w:t>
      </w:r>
      <w:r w:rsidRPr="001F790F">
        <w:rPr>
          <w:lang w:val="en-GB"/>
        </w:rPr>
        <w:t>Fossil fuel divestment and climate change:</w:t>
      </w:r>
      <w:r>
        <w:rPr>
          <w:lang w:val="en-GB"/>
        </w:rPr>
        <w:t xml:space="preserve"> Reviewing contested </w:t>
      </w:r>
      <w:proofErr w:type="spellStart"/>
      <w:r>
        <w:rPr>
          <w:lang w:val="en-GB"/>
        </w:rPr>
        <w:t>arguments,</w:t>
      </w:r>
      <w:r w:rsidRPr="001F790F">
        <w:rPr>
          <w:lang w:val="en-GB"/>
        </w:rPr>
        <w:t>En</w:t>
      </w:r>
      <w:r>
        <w:rPr>
          <w:lang w:val="en-GB"/>
        </w:rPr>
        <w:t>ergy</w:t>
      </w:r>
      <w:proofErr w:type="spellEnd"/>
      <w:r>
        <w:rPr>
          <w:lang w:val="en-GB"/>
        </w:rPr>
        <w:t xml:space="preserve"> Research &amp; Social </w:t>
      </w:r>
      <w:proofErr w:type="spellStart"/>
      <w:r>
        <w:rPr>
          <w:lang w:val="en-GB"/>
        </w:rPr>
        <w:t>Science,Volume</w:t>
      </w:r>
      <w:proofErr w:type="spellEnd"/>
      <w:r>
        <w:rPr>
          <w:lang w:val="en-GB"/>
        </w:rPr>
        <w:t xml:space="preserve"> 50,2019,</w:t>
      </w:r>
      <w:r w:rsidRPr="001F790F">
        <w:rPr>
          <w:lang w:val="en-GB"/>
        </w:rPr>
        <w:t>Pages 191-200,</w:t>
      </w:r>
    </w:p>
  </w:footnote>
  <w:footnote w:id="41">
    <w:p w:rsidR="008E3922" w:rsidRPr="00AD11F8" w:rsidRDefault="008E3922" w:rsidP="001F790F">
      <w:pPr>
        <w:pStyle w:val="ae"/>
        <w:ind w:firstLine="0"/>
        <w:rPr>
          <w:lang w:val="en-GB"/>
        </w:rPr>
      </w:pPr>
      <w:r>
        <w:rPr>
          <w:rStyle w:val="af0"/>
        </w:rPr>
        <w:footnoteRef/>
      </w:r>
      <w:r w:rsidRPr="00AD11F8">
        <w:rPr>
          <w:lang w:val="en-GB"/>
        </w:rPr>
        <w:t xml:space="preserve"> </w:t>
      </w:r>
      <w:r w:rsidRPr="001F790F">
        <w:rPr>
          <w:lang w:val="en-GB"/>
        </w:rPr>
        <w:t xml:space="preserve">Irene Henriques, </w:t>
      </w:r>
      <w:r>
        <w:rPr>
          <w:lang w:val="en-GB"/>
        </w:rPr>
        <w:t xml:space="preserve">Perry </w:t>
      </w:r>
      <w:proofErr w:type="spellStart"/>
      <w:r>
        <w:rPr>
          <w:lang w:val="en-GB"/>
        </w:rPr>
        <w:t>Sadorsky,</w:t>
      </w:r>
      <w:r w:rsidRPr="001F790F">
        <w:rPr>
          <w:lang w:val="en-GB"/>
        </w:rPr>
        <w:t>Investor</w:t>
      </w:r>
      <w:proofErr w:type="spellEnd"/>
      <w:r w:rsidRPr="001F790F">
        <w:rPr>
          <w:lang w:val="en-GB"/>
        </w:rPr>
        <w:t xml:space="preserve"> implications </w:t>
      </w:r>
      <w:r>
        <w:rPr>
          <w:lang w:val="en-GB"/>
        </w:rPr>
        <w:t xml:space="preserve">of divesting from fossil </w:t>
      </w:r>
      <w:proofErr w:type="spellStart"/>
      <w:r>
        <w:rPr>
          <w:lang w:val="en-GB"/>
        </w:rPr>
        <w:t>fuels,Global</w:t>
      </w:r>
      <w:proofErr w:type="spellEnd"/>
      <w:r>
        <w:rPr>
          <w:lang w:val="en-GB"/>
        </w:rPr>
        <w:t xml:space="preserve"> Finance Journal,Volume 38,2018,</w:t>
      </w:r>
      <w:r w:rsidRPr="001F790F">
        <w:rPr>
          <w:lang w:val="en-GB"/>
        </w:rPr>
        <w:t>Pages 30-44,</w:t>
      </w:r>
    </w:p>
  </w:footnote>
  <w:footnote w:id="42">
    <w:p w:rsidR="008E3922" w:rsidRPr="001F790F" w:rsidRDefault="008E3922" w:rsidP="0041705E">
      <w:pPr>
        <w:pStyle w:val="ae"/>
        <w:ind w:firstLine="0"/>
        <w:rPr>
          <w:lang w:val="en-GB"/>
        </w:rPr>
      </w:pPr>
      <w:r>
        <w:rPr>
          <w:rStyle w:val="af0"/>
        </w:rPr>
        <w:footnoteRef/>
      </w:r>
      <w:r w:rsidRPr="0041705E">
        <w:rPr>
          <w:lang w:val="en-GB"/>
        </w:rPr>
        <w:t xml:space="preserve"> </w:t>
      </w:r>
      <w:r w:rsidRPr="001F790F">
        <w:rPr>
          <w:lang w:val="en-GB"/>
        </w:rPr>
        <w:t>Gregor Semieniuk</w:t>
      </w:r>
      <w:r>
        <w:rPr>
          <w:lang w:val="en-GB"/>
        </w:rPr>
        <w:t xml:space="preserve"> </w:t>
      </w:r>
      <w:proofErr w:type="spellStart"/>
      <w:r>
        <w:rPr>
          <w:lang w:val="en-GB"/>
        </w:rPr>
        <w:t>an other</w:t>
      </w:r>
      <w:proofErr w:type="spellEnd"/>
      <w:r>
        <w:rPr>
          <w:lang w:val="en-GB"/>
        </w:rPr>
        <w:t>,(2019)</w:t>
      </w:r>
      <w:r w:rsidRPr="001F790F">
        <w:rPr>
          <w:lang w:val="en-GB"/>
        </w:rPr>
        <w:t>Low-carbon transition risks for finance</w:t>
      </w:r>
    </w:p>
  </w:footnote>
  <w:footnote w:id="43">
    <w:p w:rsidR="008E3922" w:rsidRPr="00E13425" w:rsidRDefault="008E3922" w:rsidP="00E13425">
      <w:pPr>
        <w:pStyle w:val="ae"/>
        <w:ind w:firstLine="0"/>
        <w:rPr>
          <w:lang w:val="en-GB"/>
        </w:rPr>
      </w:pPr>
      <w:r>
        <w:rPr>
          <w:rStyle w:val="af0"/>
        </w:rPr>
        <w:footnoteRef/>
      </w:r>
      <w:proofErr w:type="spellStart"/>
      <w:r w:rsidRPr="003865BD">
        <w:rPr>
          <w:lang w:val="en-GB"/>
        </w:rPr>
        <w:t>S</w:t>
      </w:r>
      <w:r>
        <w:rPr>
          <w:lang w:val="en-GB"/>
        </w:rPr>
        <w:t>tanely</w:t>
      </w:r>
      <w:proofErr w:type="spellEnd"/>
      <w:r>
        <w:rPr>
          <w:lang w:val="en-GB"/>
        </w:rPr>
        <w:t xml:space="preserve"> Porter and other, </w:t>
      </w:r>
      <w:proofErr w:type="spellStart"/>
      <w:r>
        <w:rPr>
          <w:lang w:val="en-GB"/>
        </w:rPr>
        <w:t>oil,gas</w:t>
      </w:r>
      <w:proofErr w:type="spellEnd"/>
      <w:r>
        <w:rPr>
          <w:lang w:val="en-GB"/>
        </w:rPr>
        <w:t xml:space="preserve"> and the energy transition, Deloite Insights </w:t>
      </w:r>
      <w:r>
        <w:rPr>
          <w:rStyle w:val="a4"/>
          <w:lang w:val="en-GB"/>
        </w:rPr>
        <w:t xml:space="preserve"> </w:t>
      </w:r>
      <w:hyperlink r:id="rId17" w:history="1">
        <w:r w:rsidRPr="001B5A79">
          <w:rPr>
            <w:rStyle w:val="a4"/>
            <w:lang w:val="en-GB"/>
          </w:rPr>
          <w:t>https://nor.deloitte.com/rs/712-CNF-326/images/DI-Oil-gas-and-the-energy-transition.pdf?_ga=2.189358571.1781744088.1620305824-454345659.1620305824</w:t>
        </w:r>
      </w:hyperlink>
      <w:r>
        <w:rPr>
          <w:lang w:val="en-GB"/>
        </w:rPr>
        <w:t xml:space="preserve"> </w:t>
      </w:r>
    </w:p>
  </w:footnote>
  <w:footnote w:id="44">
    <w:p w:rsidR="008E3922" w:rsidRPr="00F31B52" w:rsidRDefault="008E3922" w:rsidP="00F31B52">
      <w:pPr>
        <w:pStyle w:val="ae"/>
        <w:ind w:firstLine="0"/>
        <w:rPr>
          <w:lang w:val="en-GB"/>
        </w:rPr>
      </w:pPr>
      <w:r>
        <w:rPr>
          <w:rStyle w:val="af0"/>
        </w:rPr>
        <w:footnoteRef/>
      </w:r>
      <w:r w:rsidRPr="00F31B52">
        <w:rPr>
          <w:lang w:val="en-GB"/>
        </w:rPr>
        <w:t xml:space="preserve"> </w:t>
      </w:r>
      <w:r w:rsidRPr="00F34919">
        <w:rPr>
          <w:lang w:val="en-GB"/>
        </w:rPr>
        <w:t>VAKHSHOURI, SARA. The America First Energy Plan: Renewing the Confidence of American Energy Producers. Atlantic Council, 2017, www.jstor.org/stable/resrep17116. Accessed 3 June 2021.</w:t>
      </w:r>
    </w:p>
  </w:footnote>
  <w:footnote w:id="45">
    <w:p w:rsidR="008E3922" w:rsidRPr="00F34919" w:rsidRDefault="008E3922" w:rsidP="00F34919">
      <w:pPr>
        <w:ind w:firstLine="0"/>
        <w:rPr>
          <w:sz w:val="20"/>
          <w:szCs w:val="20"/>
          <w:vertAlign w:val="superscript"/>
          <w:lang w:val="en-GB"/>
        </w:rPr>
      </w:pPr>
      <w:r w:rsidRPr="00AD11F8">
        <w:rPr>
          <w:rStyle w:val="af0"/>
          <w:sz w:val="20"/>
          <w:szCs w:val="20"/>
        </w:rPr>
        <w:footnoteRef/>
      </w:r>
      <w:r w:rsidRPr="00E13425">
        <w:rPr>
          <w:rStyle w:val="af0"/>
          <w:sz w:val="20"/>
          <w:szCs w:val="20"/>
          <w:lang w:val="en-GB"/>
        </w:rPr>
        <w:t xml:space="preserve"> </w:t>
      </w:r>
      <w:r w:rsidRPr="00F34919">
        <w:rPr>
          <w:sz w:val="20"/>
          <w:szCs w:val="20"/>
          <w:lang w:val="en-GB"/>
        </w:rPr>
        <w:t>Hongfang Lu, Lijun Guo, Yitong Zhang, Oil and gas companies' low-carbon emission transition to integrated energy companies, Science of The Total Environment, Volume 686,2019,</w:t>
      </w:r>
      <w:r>
        <w:rPr>
          <w:sz w:val="20"/>
          <w:szCs w:val="20"/>
          <w:lang w:val="en-GB"/>
        </w:rPr>
        <w:t xml:space="preserve"> </w:t>
      </w:r>
      <w:r w:rsidRPr="00F34919">
        <w:rPr>
          <w:sz w:val="20"/>
          <w:szCs w:val="20"/>
          <w:lang w:val="en-GB"/>
        </w:rPr>
        <w:t>Pages 1202-1209,</w:t>
      </w:r>
    </w:p>
  </w:footnote>
  <w:footnote w:id="46">
    <w:p w:rsidR="008E3922" w:rsidRPr="00CF3756" w:rsidRDefault="008E3922" w:rsidP="00CF3756">
      <w:pPr>
        <w:ind w:firstLine="0"/>
        <w:rPr>
          <w:vertAlign w:val="superscript"/>
          <w:lang w:val="en-GB"/>
        </w:rPr>
      </w:pPr>
      <w:r w:rsidRPr="00B36B6A">
        <w:rPr>
          <w:rStyle w:val="af0"/>
          <w:sz w:val="20"/>
          <w:szCs w:val="20"/>
        </w:rPr>
        <w:footnoteRef/>
      </w:r>
      <w:r w:rsidRPr="00B01D2D">
        <w:rPr>
          <w:rStyle w:val="af0"/>
          <w:lang w:val="en-GB"/>
        </w:rPr>
        <w:t xml:space="preserve"> </w:t>
      </w:r>
      <w:r w:rsidRPr="0015518D">
        <w:rPr>
          <w:sz w:val="20"/>
          <w:szCs w:val="20"/>
        </w:rPr>
        <w:t>Matthias J. Pickl,</w:t>
      </w:r>
      <w:r w:rsidRPr="0015518D">
        <w:rPr>
          <w:sz w:val="20"/>
          <w:szCs w:val="20"/>
          <w:lang w:val="en-GB"/>
        </w:rPr>
        <w:t xml:space="preserve"> </w:t>
      </w:r>
      <w:r w:rsidRPr="0015518D">
        <w:rPr>
          <w:sz w:val="20"/>
          <w:szCs w:val="20"/>
        </w:rPr>
        <w:t>The renewable energy strategies of oil majors – From oil to energy?,</w:t>
      </w:r>
      <w:r w:rsidRPr="0015518D">
        <w:rPr>
          <w:sz w:val="20"/>
          <w:szCs w:val="20"/>
          <w:lang w:val="en-GB"/>
        </w:rPr>
        <w:t xml:space="preserve"> </w:t>
      </w:r>
      <w:r w:rsidRPr="0015518D">
        <w:rPr>
          <w:sz w:val="20"/>
          <w:szCs w:val="20"/>
        </w:rPr>
        <w:t>Energy Strategy Reviews,</w:t>
      </w:r>
      <w:r w:rsidRPr="0015518D">
        <w:rPr>
          <w:sz w:val="20"/>
          <w:szCs w:val="20"/>
          <w:lang w:val="en-GB"/>
        </w:rPr>
        <w:t xml:space="preserve"> </w:t>
      </w:r>
      <w:r w:rsidRPr="0015518D">
        <w:rPr>
          <w:sz w:val="20"/>
          <w:szCs w:val="20"/>
        </w:rPr>
        <w:t>Volume 26,</w:t>
      </w:r>
      <w:r w:rsidRPr="0015518D">
        <w:rPr>
          <w:sz w:val="20"/>
          <w:szCs w:val="20"/>
          <w:lang w:val="en-GB"/>
        </w:rPr>
        <w:t xml:space="preserve"> </w:t>
      </w:r>
      <w:r w:rsidRPr="0015518D">
        <w:rPr>
          <w:sz w:val="20"/>
          <w:szCs w:val="20"/>
        </w:rPr>
        <w:t>2019,</w:t>
      </w:r>
    </w:p>
  </w:footnote>
  <w:footnote w:id="47">
    <w:p w:rsidR="008E3922" w:rsidRPr="00CF3756" w:rsidRDefault="008E3922" w:rsidP="00B36B6A">
      <w:pPr>
        <w:pStyle w:val="ae"/>
        <w:ind w:firstLine="0"/>
        <w:rPr>
          <w:lang w:val="en-GB"/>
        </w:rPr>
      </w:pPr>
      <w:r>
        <w:rPr>
          <w:rStyle w:val="af0"/>
        </w:rPr>
        <w:footnoteRef/>
      </w:r>
      <w:r w:rsidRPr="00B36B6A">
        <w:rPr>
          <w:lang w:val="en-GB"/>
        </w:rPr>
        <w:t xml:space="preserve"> </w:t>
      </w:r>
      <w:r w:rsidRPr="00CF3756">
        <w:rPr>
          <w:lang w:val="en-GB"/>
        </w:rPr>
        <w:t>Asmelash, E. and R. Gorini (2021) International oil companies and the energy transition, International Renewable Energy Agency, Abu Dhab</w:t>
      </w:r>
      <w:r>
        <w:rPr>
          <w:lang w:val="en-GB"/>
        </w:rPr>
        <w:t>i</w:t>
      </w:r>
    </w:p>
  </w:footnote>
  <w:footnote w:id="48">
    <w:p w:rsidR="008E3922" w:rsidRPr="00CF3756" w:rsidRDefault="008E3922" w:rsidP="009479F1">
      <w:pPr>
        <w:pStyle w:val="ae"/>
        <w:ind w:firstLine="0"/>
        <w:rPr>
          <w:lang w:val="en-GB"/>
        </w:rPr>
      </w:pPr>
      <w:r>
        <w:rPr>
          <w:rStyle w:val="af0"/>
        </w:rPr>
        <w:footnoteRef/>
      </w:r>
      <w:r w:rsidRPr="009479F1">
        <w:rPr>
          <w:lang w:val="en-GB"/>
        </w:rPr>
        <w:t xml:space="preserve"> </w:t>
      </w:r>
      <w:r w:rsidRPr="00CF3756">
        <w:rPr>
          <w:lang w:val="en-GB"/>
        </w:rPr>
        <w:t>Chantal Beck</w:t>
      </w:r>
      <w:r>
        <w:rPr>
          <w:lang w:val="en-GB"/>
        </w:rPr>
        <w:t xml:space="preserve">, </w:t>
      </w:r>
      <w:r w:rsidRPr="00CF3756">
        <w:rPr>
          <w:lang w:val="en-GB"/>
        </w:rPr>
        <w:t>Jayanti Kar</w:t>
      </w:r>
      <w:r>
        <w:rPr>
          <w:lang w:val="en-GB"/>
        </w:rPr>
        <w:t xml:space="preserve">, </w:t>
      </w:r>
      <w:r w:rsidRPr="00CF3756">
        <w:rPr>
          <w:lang w:val="en-GB"/>
        </w:rPr>
        <w:t>Stephen Hall</w:t>
      </w:r>
      <w:r>
        <w:rPr>
          <w:lang w:val="en-GB"/>
        </w:rPr>
        <w:t xml:space="preserve">, </w:t>
      </w:r>
      <w:r w:rsidRPr="00CF3756">
        <w:rPr>
          <w:lang w:val="en-GB"/>
        </w:rPr>
        <w:t>Dara Olufon</w:t>
      </w:r>
      <w:r>
        <w:rPr>
          <w:lang w:val="en-GB"/>
        </w:rPr>
        <w:t xml:space="preserve">, </w:t>
      </w:r>
      <w:r w:rsidRPr="00CF3756">
        <w:rPr>
          <w:lang w:val="en-GB"/>
        </w:rPr>
        <w:t>Donatela Bellone</w:t>
      </w:r>
      <w:r>
        <w:rPr>
          <w:lang w:val="en-GB"/>
        </w:rPr>
        <w:t xml:space="preserve"> (2021) </w:t>
      </w:r>
      <w:r w:rsidRPr="00CF3756">
        <w:rPr>
          <w:lang w:val="en-GB"/>
        </w:rPr>
        <w:t>The big choices for oil and gas in navigating the energy transition</w:t>
      </w:r>
      <w:r>
        <w:rPr>
          <w:lang w:val="en-GB"/>
        </w:rPr>
        <w:t xml:space="preserve">, McKinsey &amp;Company </w:t>
      </w:r>
      <w:hyperlink r:id="rId18" w:history="1">
        <w:r w:rsidRPr="00D83006">
          <w:rPr>
            <w:rStyle w:val="a4"/>
            <w:lang w:val="en-GB"/>
          </w:rPr>
          <w:t>https://www.mckinsey.com/industries/oil-and-gas/our-insights/the-big-choices-for-oil-and-gas-in-navigating-the-energy-transition</w:t>
        </w:r>
      </w:hyperlink>
      <w:r>
        <w:rPr>
          <w:lang w:val="en-GB"/>
        </w:rPr>
        <w:t xml:space="preserve"> </w:t>
      </w:r>
    </w:p>
  </w:footnote>
  <w:footnote w:id="49">
    <w:p w:rsidR="008E3922" w:rsidRPr="00D627F7" w:rsidRDefault="008E3922" w:rsidP="004D2563">
      <w:pPr>
        <w:pStyle w:val="ae"/>
        <w:rPr>
          <w:lang w:val="en-GB"/>
        </w:rPr>
      </w:pPr>
      <w:r>
        <w:rPr>
          <w:rStyle w:val="af0"/>
        </w:rPr>
        <w:footnoteRef/>
      </w:r>
      <w:r w:rsidRPr="00D627F7">
        <w:rPr>
          <w:lang w:val="en-GB"/>
        </w:rPr>
        <w:t xml:space="preserve"> </w:t>
      </w:r>
      <w:r w:rsidRPr="004D2563">
        <w:rPr>
          <w:lang w:val="en-GB"/>
        </w:rPr>
        <w:t>Kyungjin</w:t>
      </w:r>
      <w:r>
        <w:rPr>
          <w:lang w:val="en-GB"/>
        </w:rPr>
        <w:t xml:space="preserve"> Yoo, Youah Lee, Eunnyeong Heo, </w:t>
      </w:r>
      <w:r w:rsidRPr="004D2563">
        <w:rPr>
          <w:lang w:val="en-GB"/>
        </w:rPr>
        <w:t>Economic effects by merger and acquisition types in the renewable energy sector: An event stud</w:t>
      </w:r>
      <w:r>
        <w:rPr>
          <w:lang w:val="en-GB"/>
        </w:rPr>
        <w:t xml:space="preserve">y approach, </w:t>
      </w:r>
      <w:r w:rsidRPr="004D2563">
        <w:rPr>
          <w:lang w:val="en-GB"/>
        </w:rPr>
        <w:t xml:space="preserve">Renewable </w:t>
      </w:r>
      <w:r>
        <w:rPr>
          <w:lang w:val="en-GB"/>
        </w:rPr>
        <w:t xml:space="preserve">and Sustainable Energy Reviews, Volume 26, 2013, </w:t>
      </w:r>
      <w:r w:rsidRPr="004D2563">
        <w:rPr>
          <w:lang w:val="en-GB"/>
        </w:rPr>
        <w:t>Pages 694-701</w:t>
      </w:r>
    </w:p>
  </w:footnote>
  <w:footnote w:id="50">
    <w:p w:rsidR="008E3922" w:rsidRPr="000B1D7C" w:rsidRDefault="008E3922" w:rsidP="00E2545E">
      <w:pPr>
        <w:pStyle w:val="ae"/>
        <w:ind w:firstLine="0"/>
        <w:rPr>
          <w:lang w:val="en-GB"/>
        </w:rPr>
      </w:pPr>
    </w:p>
  </w:footnote>
  <w:footnote w:id="51">
    <w:p w:rsidR="008E3922" w:rsidRPr="0052032B" w:rsidRDefault="008E3922" w:rsidP="00E2545E">
      <w:pPr>
        <w:pStyle w:val="ae"/>
        <w:ind w:firstLine="0"/>
        <w:rPr>
          <w:lang w:val="en-GB"/>
        </w:rPr>
      </w:pPr>
      <w:r>
        <w:rPr>
          <w:rStyle w:val="af0"/>
        </w:rPr>
        <w:footnoteRef/>
      </w:r>
      <w:r w:rsidRPr="008E3922">
        <w:rPr>
          <w:lang w:val="en-GB"/>
        </w:rPr>
        <w:t xml:space="preserve">2020, </w:t>
      </w:r>
      <w:r w:rsidRPr="00E2545E">
        <w:rPr>
          <w:lang w:val="en-GB"/>
        </w:rPr>
        <w:t>The world’s most used renewable power sources</w:t>
      </w:r>
      <w:r>
        <w:rPr>
          <w:rStyle w:val="a4"/>
          <w:lang w:val="en-GB"/>
        </w:rPr>
        <w:t xml:space="preserve">  </w:t>
      </w:r>
      <w:hyperlink r:id="rId19" w:history="1">
        <w:r w:rsidRPr="00B36FE7">
          <w:rPr>
            <w:rStyle w:val="a4"/>
            <w:lang w:val="en-GB"/>
          </w:rPr>
          <w:t>https://www.power-technology.com/features/featurethe-worlds-most-used-renewable-power-sources-4160168/</w:t>
        </w:r>
      </w:hyperlink>
      <w:r>
        <w:rPr>
          <w:lang w:val="en-GB"/>
        </w:rPr>
        <w:t xml:space="preserve"> </w:t>
      </w:r>
    </w:p>
  </w:footnote>
  <w:footnote w:id="52">
    <w:p w:rsidR="008E3922" w:rsidRPr="00BE68B3" w:rsidRDefault="008E3922">
      <w:pPr>
        <w:pStyle w:val="ae"/>
        <w:rPr>
          <w:lang w:val="en-GB"/>
        </w:rPr>
      </w:pPr>
      <w:r>
        <w:rPr>
          <w:rStyle w:val="af0"/>
        </w:rPr>
        <w:footnoteRef/>
      </w:r>
      <w:r w:rsidRPr="00BE68B3">
        <w:rPr>
          <w:lang w:val="en-GB"/>
        </w:rPr>
        <w:t xml:space="preserve"> Dolley, J. C. (1933). Characteristics and procedure of common stock split-ups. </w:t>
      </w:r>
      <w:r w:rsidRPr="00F97F21">
        <w:rPr>
          <w:lang w:val="en-GB"/>
        </w:rPr>
        <w:t>Harvard Business Review, 11(3), 316–326.</w:t>
      </w:r>
    </w:p>
  </w:footnote>
  <w:footnote w:id="53">
    <w:p w:rsidR="008E3922" w:rsidRPr="00F97F21" w:rsidRDefault="008E3922">
      <w:pPr>
        <w:pStyle w:val="ae"/>
        <w:rPr>
          <w:lang w:val="en-GB"/>
        </w:rPr>
      </w:pPr>
      <w:r>
        <w:rPr>
          <w:rStyle w:val="af0"/>
        </w:rPr>
        <w:footnoteRef/>
      </w:r>
      <w:r w:rsidRPr="00F97F21">
        <w:rPr>
          <w:lang w:val="en-GB"/>
        </w:rPr>
        <w:t xml:space="preserve"> Ball, R., &amp; Brown, P. (1968). An empirical evaluation of accounting income numbers. Journal of Accounting Research, 6(2), 159–178</w:t>
      </w:r>
    </w:p>
  </w:footnote>
  <w:footnote w:id="54">
    <w:p w:rsidR="008E3922" w:rsidRPr="00F97F21" w:rsidRDefault="008E3922">
      <w:pPr>
        <w:pStyle w:val="ae"/>
        <w:rPr>
          <w:lang w:val="en-GB"/>
        </w:rPr>
      </w:pPr>
      <w:r>
        <w:rPr>
          <w:rStyle w:val="af0"/>
        </w:rPr>
        <w:footnoteRef/>
      </w:r>
      <w:r w:rsidRPr="00F97F21">
        <w:rPr>
          <w:lang w:val="en-GB"/>
        </w:rPr>
        <w:t xml:space="preserve"> Fama, E. F., Fisher, L., Jensen, M. C., &amp; Roll, R. (1969). The adjustment of stock prices to new information. </w:t>
      </w:r>
      <w:r w:rsidRPr="00ED59DC">
        <w:rPr>
          <w:lang w:val="en-GB"/>
        </w:rPr>
        <w:t>International Economic Review, 10(1), 1–21</w:t>
      </w:r>
    </w:p>
  </w:footnote>
  <w:footnote w:id="55">
    <w:p w:rsidR="008E3922" w:rsidRPr="00ED59DC" w:rsidRDefault="008E3922">
      <w:pPr>
        <w:pStyle w:val="ae"/>
        <w:rPr>
          <w:lang w:val="en-GB"/>
        </w:rPr>
      </w:pPr>
      <w:r>
        <w:rPr>
          <w:rStyle w:val="af0"/>
        </w:rPr>
        <w:footnoteRef/>
      </w:r>
      <w:r w:rsidRPr="00ED59DC">
        <w:rPr>
          <w:lang w:val="en-GB"/>
        </w:rPr>
        <w:t xml:space="preserve"> Fama, Eugene (1970). "Efficient Capital Markets: A Review of Theory and Empirical Work". Journal of Finance. 25 (2): 383–417</w:t>
      </w:r>
      <w:r>
        <w:rPr>
          <w:lang w:val="en-GB"/>
        </w:rPr>
        <w:t xml:space="preserve"> </w:t>
      </w:r>
    </w:p>
  </w:footnote>
  <w:footnote w:id="56">
    <w:p w:rsidR="008E3922" w:rsidRPr="00832DFC" w:rsidRDefault="008E3922">
      <w:pPr>
        <w:pStyle w:val="ae"/>
        <w:rPr>
          <w:lang w:val="en-GB"/>
        </w:rPr>
      </w:pPr>
      <w:r>
        <w:rPr>
          <w:rStyle w:val="af0"/>
        </w:rPr>
        <w:footnoteRef/>
      </w:r>
      <w:r w:rsidRPr="00C91361">
        <w:rPr>
          <w:lang w:val="en-GB"/>
        </w:rPr>
        <w:t xml:space="preserve"> </w:t>
      </w:r>
      <w:r w:rsidRPr="00832DFC">
        <w:rPr>
          <w:lang w:val="en-GB"/>
        </w:rPr>
        <w:t>S. P Khotari and Jerold B. Warner</w:t>
      </w:r>
      <w:r>
        <w:rPr>
          <w:lang w:val="en-GB"/>
        </w:rPr>
        <w:t xml:space="preserve">  (</w:t>
      </w:r>
      <w:r w:rsidRPr="00832DFC">
        <w:rPr>
          <w:lang w:val="en-GB"/>
        </w:rPr>
        <w:t>2006</w:t>
      </w:r>
      <w:r>
        <w:rPr>
          <w:lang w:val="en-GB"/>
        </w:rPr>
        <w:t xml:space="preserve">), </w:t>
      </w:r>
      <w:r w:rsidRPr="00832DFC">
        <w:rPr>
          <w:lang w:val="en-GB"/>
        </w:rPr>
        <w:t>“Econometrics of Event Studies” “Econometrics of Event Studies”</w:t>
      </w:r>
    </w:p>
  </w:footnote>
  <w:footnote w:id="57">
    <w:p w:rsidR="008E3922" w:rsidRPr="0037012B" w:rsidRDefault="008E3922">
      <w:pPr>
        <w:pStyle w:val="ae"/>
        <w:rPr>
          <w:lang w:val="en-GB"/>
        </w:rPr>
      </w:pPr>
      <w:r>
        <w:rPr>
          <w:rStyle w:val="af0"/>
        </w:rPr>
        <w:footnoteRef/>
      </w:r>
      <w:r w:rsidRPr="0037012B">
        <w:rPr>
          <w:lang w:val="en-GB"/>
        </w:rPr>
        <w:t xml:space="preserve"> MacKinlay, C.A. (1997) Event Studies in Economics and Finance Journal of Economic Literature, 35</w:t>
      </w:r>
    </w:p>
  </w:footnote>
  <w:footnote w:id="58">
    <w:p w:rsidR="008E3922" w:rsidRPr="00FE1EB1" w:rsidRDefault="008E3922">
      <w:pPr>
        <w:pStyle w:val="ae"/>
        <w:rPr>
          <w:lang w:val="en-GB"/>
        </w:rPr>
      </w:pPr>
      <w:r>
        <w:rPr>
          <w:rStyle w:val="af0"/>
        </w:rPr>
        <w:footnoteRef/>
      </w:r>
      <w:r w:rsidRPr="00FE1EB1">
        <w:rPr>
          <w:lang w:val="en-GB"/>
        </w:rPr>
        <w:t xml:space="preserve"> Science, 26(6), 758–773. Tipton, M. M., Bharadwaj, S. G., &amp; Robertson, D. C. (2009). Regulatory exposure of deceptive marketing and its impact on firm value. </w:t>
      </w:r>
      <w:r w:rsidRPr="00540AC1">
        <w:rPr>
          <w:lang w:val="en-GB"/>
        </w:rPr>
        <w:t>Journal of Marketing, 73(6), 227–243</w:t>
      </w:r>
    </w:p>
  </w:footnote>
  <w:footnote w:id="59">
    <w:p w:rsidR="00C8638C" w:rsidRPr="00C8638C" w:rsidRDefault="00C8638C" w:rsidP="00C8638C">
      <w:pPr>
        <w:rPr>
          <w:lang w:val="en-GB"/>
        </w:rPr>
      </w:pPr>
      <w:r>
        <w:rPr>
          <w:rStyle w:val="af0"/>
        </w:rPr>
        <w:footnoteRef/>
      </w:r>
      <w:r w:rsidRPr="00C8638C">
        <w:rPr>
          <w:lang w:val="en-GB"/>
        </w:rPr>
        <w:t xml:space="preserve"> </w:t>
      </w:r>
      <w:r w:rsidRPr="00C8638C">
        <w:rPr>
          <w:lang w:val="en-GB"/>
        </w:rPr>
        <w:t>Li Ding</w:t>
      </w:r>
      <w:r>
        <w:rPr>
          <w:lang w:val="en-GB"/>
        </w:rPr>
        <w:t xml:space="preserve">, </w:t>
      </w:r>
      <w:r w:rsidRPr="00C8638C">
        <w:rPr>
          <w:lang w:val="en-GB"/>
        </w:rPr>
        <w:t>Hugo K.S. Lam</w:t>
      </w:r>
      <w:r>
        <w:rPr>
          <w:lang w:val="en-GB"/>
        </w:rPr>
        <w:t xml:space="preserve">, </w:t>
      </w:r>
      <w:r w:rsidRPr="00C8638C">
        <w:rPr>
          <w:lang w:val="en-GB"/>
        </w:rPr>
        <w:t>T.C.E. Cheng</w:t>
      </w:r>
      <w:r>
        <w:rPr>
          <w:lang w:val="en-GB"/>
        </w:rPr>
        <w:t xml:space="preserve">, </w:t>
      </w:r>
      <w:proofErr w:type="spellStart"/>
      <w:r w:rsidRPr="00C8638C">
        <w:rPr>
          <w:lang w:val="en-GB"/>
        </w:rPr>
        <w:t>Honggeng</w:t>
      </w:r>
      <w:proofErr w:type="spellEnd"/>
      <w:r w:rsidRPr="00C8638C">
        <w:rPr>
          <w:lang w:val="en-GB"/>
        </w:rPr>
        <w:t xml:space="preserve"> Zhou</w:t>
      </w:r>
      <w:r>
        <w:rPr>
          <w:lang w:val="en-GB"/>
        </w:rPr>
        <w:t xml:space="preserve">, </w:t>
      </w:r>
      <w:r w:rsidRPr="00C8638C">
        <w:rPr>
          <w:lang w:val="en-GB"/>
        </w:rPr>
        <w:t>A Review of Short-term Event Studies in Operations and Supply Chain Management</w:t>
      </w:r>
      <w:r>
        <w:rPr>
          <w:lang w:val="en-GB"/>
        </w:rPr>
        <w:t>.</w:t>
      </w:r>
      <w:bookmarkStart w:id="11" w:name="_GoBack"/>
      <w:bookmarkEnd w:id="11"/>
    </w:p>
  </w:footnote>
  <w:footnote w:id="60">
    <w:p w:rsidR="008E3922" w:rsidRPr="00540AC1" w:rsidRDefault="008E3922">
      <w:pPr>
        <w:pStyle w:val="ae"/>
        <w:rPr>
          <w:lang w:val="en-GB"/>
        </w:rPr>
      </w:pPr>
      <w:r>
        <w:rPr>
          <w:rStyle w:val="af0"/>
        </w:rPr>
        <w:footnoteRef/>
      </w:r>
      <w:r w:rsidRPr="00540AC1">
        <w:rPr>
          <w:lang w:val="en-GB"/>
        </w:rPr>
        <w:t xml:space="preserve"> </w:t>
      </w:r>
      <w:hyperlink r:id="rId20" w:history="1">
        <w:r w:rsidRPr="00540AC1">
          <w:rPr>
            <w:rStyle w:val="a4"/>
            <w:lang w:val="en-GB"/>
          </w:rPr>
          <w:t xml:space="preserve">A Comparative Abnormal Return Analysis of Mergers and Acquisitions in the Emerging Markets | </w:t>
        </w:r>
        <w:proofErr w:type="spellStart"/>
        <w:r w:rsidRPr="00540AC1">
          <w:rPr>
            <w:rStyle w:val="a4"/>
            <w:lang w:val="en-GB"/>
          </w:rPr>
          <w:t>IntechOpen</w:t>
        </w:r>
        <w:proofErr w:type="spellEnd"/>
      </w:hyperlink>
    </w:p>
  </w:footnote>
  <w:footnote w:id="61">
    <w:p w:rsidR="008E3922" w:rsidRPr="00B83C29" w:rsidRDefault="008E3922">
      <w:pPr>
        <w:pStyle w:val="ae"/>
        <w:rPr>
          <w:lang w:val="en-GB"/>
        </w:rPr>
      </w:pPr>
      <w:r>
        <w:rPr>
          <w:rStyle w:val="af0"/>
        </w:rPr>
        <w:footnoteRef/>
      </w:r>
      <w:r w:rsidRPr="00F64679">
        <w:rPr>
          <w:lang w:val="en-GB"/>
        </w:rPr>
        <w:t xml:space="preserve"> </w:t>
      </w:r>
      <w:r w:rsidRPr="00B83C29">
        <w:rPr>
          <w:lang w:val="en-GB"/>
        </w:rPr>
        <w:t>5. Scholes, Myron and Joseph Williams, 1977, Estimating Betas from Nonsynchronous Data, Journal of Financial Economics, 5: 309-28.</w:t>
      </w:r>
    </w:p>
  </w:footnote>
  <w:footnote w:id="62">
    <w:p w:rsidR="008E3922" w:rsidRPr="00454126" w:rsidRDefault="008E3922">
      <w:pPr>
        <w:pStyle w:val="ae"/>
        <w:rPr>
          <w:lang w:val="en-GB"/>
        </w:rPr>
      </w:pPr>
      <w:r>
        <w:rPr>
          <w:rStyle w:val="af0"/>
        </w:rPr>
        <w:footnoteRef/>
      </w:r>
      <w:r w:rsidRPr="00454126">
        <w:rPr>
          <w:lang w:val="en-GB"/>
        </w:rPr>
        <w:t xml:space="preserve"> Brown, S. J., &amp; Warner, J. B. (1985). Using daily stock returns: the case of event studies. </w:t>
      </w:r>
      <w:r w:rsidRPr="00B067AB">
        <w:rPr>
          <w:lang w:val="en-GB"/>
        </w:rPr>
        <w:t>Journal of Financial Economics, 14(1), 3–31.</w:t>
      </w:r>
    </w:p>
  </w:footnote>
  <w:footnote w:id="63">
    <w:p w:rsidR="008E3922" w:rsidRPr="00B83C29" w:rsidRDefault="008E3922">
      <w:pPr>
        <w:pStyle w:val="ae"/>
        <w:rPr>
          <w:lang w:val="en-GB"/>
        </w:rPr>
      </w:pPr>
      <w:r>
        <w:rPr>
          <w:rStyle w:val="af0"/>
        </w:rPr>
        <w:footnoteRef/>
      </w:r>
      <w:r w:rsidRPr="005D7BE3">
        <w:rPr>
          <w:lang w:val="en-GB"/>
        </w:rPr>
        <w:t xml:space="preserve"> </w:t>
      </w:r>
      <w:r w:rsidRPr="00B83C29">
        <w:rPr>
          <w:lang w:val="en-GB"/>
        </w:rPr>
        <w:t xml:space="preserve">James S. Ang and </w:t>
      </w:r>
      <w:proofErr w:type="spellStart"/>
      <w:r w:rsidRPr="00B83C29">
        <w:rPr>
          <w:lang w:val="en-GB"/>
        </w:rPr>
        <w:t>Shaojun</w:t>
      </w:r>
      <w:proofErr w:type="spellEnd"/>
      <w:r w:rsidRPr="00B83C29">
        <w:rPr>
          <w:lang w:val="en-GB"/>
        </w:rPr>
        <w:t xml:space="preserve"> Zhang</w:t>
      </w:r>
      <w:r>
        <w:rPr>
          <w:lang w:val="en-GB"/>
        </w:rPr>
        <w:t xml:space="preserve"> (2014), </w:t>
      </w:r>
      <w:r w:rsidRPr="00B83C29">
        <w:rPr>
          <w:lang w:val="en-GB"/>
        </w:rPr>
        <w:t xml:space="preserve">Evaluating Long-Horizon Event Study </w:t>
      </w:r>
      <w:proofErr w:type="spellStart"/>
      <w:r w:rsidRPr="00B83C29">
        <w:rPr>
          <w:lang w:val="en-GB"/>
        </w:rPr>
        <w:t>MethodologyHandbook</w:t>
      </w:r>
      <w:proofErr w:type="spellEnd"/>
      <w:r w:rsidRPr="00B83C29">
        <w:rPr>
          <w:lang w:val="en-GB"/>
        </w:rPr>
        <w:t xml:space="preserve"> of Financial Econometrics and Statistics pp 383-411</w:t>
      </w:r>
    </w:p>
  </w:footnote>
  <w:footnote w:id="64">
    <w:p w:rsidR="008E3922" w:rsidRPr="00F41330" w:rsidRDefault="008E3922">
      <w:pPr>
        <w:pStyle w:val="ae"/>
        <w:rPr>
          <w:lang w:val="en-GB"/>
        </w:rPr>
      </w:pPr>
      <w:r>
        <w:rPr>
          <w:rStyle w:val="af0"/>
        </w:rPr>
        <w:footnoteRef/>
      </w:r>
      <w:r w:rsidRPr="00F41330">
        <w:rPr>
          <w:lang w:val="en-GB"/>
        </w:rPr>
        <w:t xml:space="preserve"> Barber, B. and J. Lyon (1997). Detecting Long-run Abnormal Stock Returns: The Empirical Power and Specification of Test Statistics, Journal of Financial Economics, 43, pp. 341-372</w:t>
      </w:r>
    </w:p>
  </w:footnote>
  <w:footnote w:id="65">
    <w:p w:rsidR="008E3922" w:rsidRPr="00F41330" w:rsidRDefault="008E3922">
      <w:pPr>
        <w:pStyle w:val="ae"/>
        <w:rPr>
          <w:lang w:val="en-GB"/>
        </w:rPr>
      </w:pPr>
      <w:r>
        <w:rPr>
          <w:rStyle w:val="af0"/>
        </w:rPr>
        <w:footnoteRef/>
      </w:r>
      <w:r w:rsidRPr="00F41330">
        <w:rPr>
          <w:lang w:val="en-GB"/>
        </w:rPr>
        <w:t xml:space="preserve"> Kothari, S.P. and J.B. Warner (1997). Measuring Long-horizon Security Price Performance, Journal of Financial Economics, 43, pp. 301-339</w:t>
      </w:r>
    </w:p>
  </w:footnote>
  <w:footnote w:id="66">
    <w:p w:rsidR="008E3922" w:rsidRPr="00F41330" w:rsidRDefault="008E3922">
      <w:pPr>
        <w:pStyle w:val="ae"/>
        <w:rPr>
          <w:lang w:val="en-GB"/>
        </w:rPr>
      </w:pPr>
      <w:r>
        <w:rPr>
          <w:rStyle w:val="af0"/>
        </w:rPr>
        <w:footnoteRef/>
      </w:r>
      <w:r w:rsidRPr="00F41330">
        <w:rPr>
          <w:lang w:val="en-GB"/>
        </w:rPr>
        <w:t xml:space="preserve"> Fama, E. (1998). Market Efficiency, Long-term Returns, and </w:t>
      </w:r>
      <w:proofErr w:type="spellStart"/>
      <w:r w:rsidRPr="00F41330">
        <w:rPr>
          <w:lang w:val="en-GB"/>
        </w:rPr>
        <w:t>Behavioral</w:t>
      </w:r>
      <w:proofErr w:type="spellEnd"/>
      <w:r w:rsidRPr="00F41330">
        <w:rPr>
          <w:lang w:val="en-GB"/>
        </w:rPr>
        <w:t xml:space="preserve"> Finance, Journal of Financial Economics, 49, pp. 283-306</w:t>
      </w:r>
    </w:p>
  </w:footnote>
  <w:footnote w:id="67">
    <w:p w:rsidR="008E3922" w:rsidRPr="00E0703D" w:rsidRDefault="008E3922">
      <w:pPr>
        <w:pStyle w:val="ae"/>
        <w:rPr>
          <w:lang w:val="en-GB"/>
        </w:rPr>
      </w:pPr>
      <w:r>
        <w:rPr>
          <w:rStyle w:val="af0"/>
        </w:rPr>
        <w:footnoteRef/>
      </w:r>
      <w:r w:rsidRPr="00E0703D">
        <w:rPr>
          <w:lang w:val="en-GB"/>
        </w:rPr>
        <w:t xml:space="preserve"> Fama, E. (1991). Efficient Capital Markets: II, Journal of Finance, 46, pp. 1575-1617.</w:t>
      </w:r>
    </w:p>
  </w:footnote>
  <w:footnote w:id="68">
    <w:p w:rsidR="008E3922" w:rsidRPr="00443335" w:rsidRDefault="008E3922">
      <w:pPr>
        <w:pStyle w:val="ae"/>
        <w:rPr>
          <w:lang w:val="en-GB"/>
        </w:rPr>
      </w:pPr>
      <w:r>
        <w:rPr>
          <w:rStyle w:val="af0"/>
        </w:rPr>
        <w:footnoteRef/>
      </w:r>
      <w:r w:rsidRPr="00443335">
        <w:rPr>
          <w:lang w:val="en-GB"/>
        </w:rPr>
        <w:t xml:space="preserve"> Jaffe, J., (1974), Special information and insider trading, Journal of Business 47: 411-428</w:t>
      </w:r>
    </w:p>
  </w:footnote>
  <w:footnote w:id="69">
    <w:p w:rsidR="008E3922" w:rsidRPr="00443335" w:rsidRDefault="008E3922">
      <w:pPr>
        <w:pStyle w:val="ae"/>
        <w:rPr>
          <w:lang w:val="en-GB"/>
        </w:rPr>
      </w:pPr>
      <w:r>
        <w:rPr>
          <w:rStyle w:val="af0"/>
        </w:rPr>
        <w:footnoteRef/>
      </w:r>
      <w:r w:rsidRPr="00443335">
        <w:rPr>
          <w:lang w:val="en-GB"/>
        </w:rPr>
        <w:t xml:space="preserve"> </w:t>
      </w:r>
      <w:proofErr w:type="spellStart"/>
      <w:r w:rsidRPr="00443335">
        <w:rPr>
          <w:lang w:val="en-GB"/>
        </w:rPr>
        <w:t>Mandelker</w:t>
      </w:r>
      <w:proofErr w:type="spellEnd"/>
      <w:r w:rsidRPr="00443335">
        <w:rPr>
          <w:lang w:val="en-GB"/>
        </w:rPr>
        <w:t>, G., (1974), Risk and return: The case of merging firms, Journal of Financial Economics 1: 303-335.</w:t>
      </w:r>
    </w:p>
  </w:footnote>
  <w:footnote w:id="70">
    <w:p w:rsidR="008E3922" w:rsidRPr="00285443" w:rsidRDefault="008E3922">
      <w:pPr>
        <w:pStyle w:val="ae"/>
        <w:rPr>
          <w:lang w:val="en-GB"/>
        </w:rPr>
      </w:pPr>
      <w:r>
        <w:rPr>
          <w:rStyle w:val="af0"/>
        </w:rPr>
        <w:footnoteRef/>
      </w:r>
      <w:r w:rsidRPr="00285443">
        <w:rPr>
          <w:lang w:val="en-GB"/>
        </w:rPr>
        <w:t xml:space="preserve"> . Ritter, J. (1991). The Long-Term Performance of Initial Public Offerings, Journal of Finance, 46, pp. 3-27</w:t>
      </w:r>
    </w:p>
  </w:footnote>
  <w:footnote w:id="71">
    <w:p w:rsidR="008E3922" w:rsidRPr="00285443" w:rsidRDefault="008E3922">
      <w:pPr>
        <w:pStyle w:val="ae"/>
        <w:rPr>
          <w:lang w:val="en-GB"/>
        </w:rPr>
      </w:pPr>
      <w:r>
        <w:rPr>
          <w:rStyle w:val="af0"/>
        </w:rPr>
        <w:footnoteRef/>
      </w:r>
      <w:r w:rsidRPr="00285443">
        <w:rPr>
          <w:lang w:val="en-GB"/>
        </w:rPr>
        <w:t xml:space="preserve"> . Mitchell, M. and E. Stafford (2000). Managerial Decisions and Long-term Stock Price Performance, Journal of Business, 73, pp. 287-329</w:t>
      </w:r>
    </w:p>
  </w:footnote>
  <w:footnote w:id="72">
    <w:p w:rsidR="00764BE6" w:rsidRPr="00764BE6" w:rsidRDefault="00764BE6" w:rsidP="00764BE6">
      <w:pPr>
        <w:rPr>
          <w:lang w:val="en-GB"/>
        </w:rPr>
      </w:pPr>
      <w:r>
        <w:rPr>
          <w:rStyle w:val="af0"/>
        </w:rPr>
        <w:footnoteRef/>
      </w:r>
      <w:r w:rsidRPr="00764BE6">
        <w:rPr>
          <w:lang w:val="en-GB"/>
        </w:rPr>
        <w:t xml:space="preserve"> </w:t>
      </w:r>
      <w:r>
        <w:rPr>
          <w:lang w:val="en-GB"/>
        </w:rPr>
        <w:t>A</w:t>
      </w:r>
      <w:r w:rsidRPr="00764BE6">
        <w:rPr>
          <w:lang w:val="en-GB"/>
        </w:rPr>
        <w:t xml:space="preserve">nupam Dutta and Probal Dutta (2015). Measuring long-run security price performance: a review. </w:t>
      </w:r>
      <w:r>
        <w:t>Investment Management and Financial Innovations, 12(2), 26-32</w:t>
      </w:r>
    </w:p>
  </w:footnote>
  <w:footnote w:id="73">
    <w:p w:rsidR="008E3922" w:rsidRPr="000442CE" w:rsidRDefault="008E3922">
      <w:pPr>
        <w:pStyle w:val="ae"/>
        <w:rPr>
          <w:lang w:val="en-GB"/>
        </w:rPr>
      </w:pPr>
      <w:r>
        <w:rPr>
          <w:rStyle w:val="af0"/>
        </w:rPr>
        <w:footnoteRef/>
      </w:r>
      <w:r w:rsidRPr="000442CE">
        <w:rPr>
          <w:lang w:val="en-GB"/>
        </w:rPr>
        <w:t xml:space="preserve"> Markovitch, D. G., &amp; Golder, P. N. (2008). Findings-using stock prices to predict market events: evidence on sales </w:t>
      </w:r>
      <w:proofErr w:type="spellStart"/>
      <w:r w:rsidRPr="000442CE">
        <w:rPr>
          <w:lang w:val="en-GB"/>
        </w:rPr>
        <w:t>takeoff</w:t>
      </w:r>
      <w:proofErr w:type="spellEnd"/>
      <w:r w:rsidRPr="000442CE">
        <w:rPr>
          <w:lang w:val="en-GB"/>
        </w:rPr>
        <w:t xml:space="preserve"> and long-term firm survival. </w:t>
      </w:r>
      <w:r w:rsidRPr="000E6416">
        <w:rPr>
          <w:lang w:val="en-GB"/>
        </w:rPr>
        <w:t>Marketing Science, 27(4), 717–729</w:t>
      </w:r>
    </w:p>
  </w:footnote>
  <w:footnote w:id="74">
    <w:p w:rsidR="008E3922" w:rsidRPr="00843C1B" w:rsidRDefault="008E3922">
      <w:pPr>
        <w:pStyle w:val="ae"/>
        <w:rPr>
          <w:lang w:val="en-GB"/>
        </w:rPr>
      </w:pPr>
      <w:r>
        <w:rPr>
          <w:rStyle w:val="af0"/>
        </w:rPr>
        <w:footnoteRef/>
      </w:r>
      <w:r w:rsidRPr="00843C1B">
        <w:rPr>
          <w:lang w:val="en-GB"/>
        </w:rPr>
        <w:t xml:space="preserve"> Lyon, J. D., Barber, B. M., &amp; Tsai, C. L. (1999). Improved methods for tests of long-run abnormal stock returns. The Journal of Finance, 54(1), 165–201</w:t>
      </w:r>
    </w:p>
  </w:footnote>
  <w:footnote w:id="75">
    <w:p w:rsidR="008E3922" w:rsidRPr="00843C1B" w:rsidRDefault="008E3922">
      <w:pPr>
        <w:pStyle w:val="ae"/>
        <w:rPr>
          <w:lang w:val="en-GB"/>
        </w:rPr>
      </w:pPr>
      <w:r>
        <w:rPr>
          <w:rStyle w:val="af0"/>
        </w:rPr>
        <w:footnoteRef/>
      </w:r>
      <w:r w:rsidRPr="00843C1B">
        <w:rPr>
          <w:lang w:val="en-GB"/>
        </w:rPr>
        <w:t xml:space="preserve"> Lyon, J. D., Barber, B. M., &amp; Tsai, C. L. (1999). Improved methods for tests of long-run abnormal stock returns. The Journal of Finance, 54(1), 165–201.</w:t>
      </w:r>
    </w:p>
  </w:footnote>
  <w:footnote w:id="76">
    <w:p w:rsidR="008E3922" w:rsidRPr="00D2207F" w:rsidRDefault="008E3922">
      <w:pPr>
        <w:pStyle w:val="ae"/>
        <w:rPr>
          <w:lang w:val="en-GB"/>
        </w:rPr>
      </w:pPr>
      <w:r>
        <w:rPr>
          <w:rStyle w:val="af0"/>
        </w:rPr>
        <w:footnoteRef/>
      </w:r>
      <w:r w:rsidRPr="00D2207F">
        <w:rPr>
          <w:lang w:val="en-GB"/>
        </w:rPr>
        <w:t xml:space="preserve"> Boehme, D.R. and S.M. Sorescu (2002). The Long-Run Performance Following Dividend Initiations and Resumptions: </w:t>
      </w:r>
      <w:proofErr w:type="spellStart"/>
      <w:r w:rsidRPr="00D2207F">
        <w:rPr>
          <w:lang w:val="en-GB"/>
        </w:rPr>
        <w:t>Underreaction</w:t>
      </w:r>
      <w:proofErr w:type="spellEnd"/>
      <w:r w:rsidRPr="00D2207F">
        <w:rPr>
          <w:lang w:val="en-GB"/>
        </w:rPr>
        <w:t xml:space="preserve"> or Product of Chance? Journal of Finance, 57, pp. 871-900.</w:t>
      </w:r>
    </w:p>
  </w:footnote>
  <w:footnote w:id="77">
    <w:p w:rsidR="008E3922" w:rsidRPr="00D2207F" w:rsidRDefault="008E3922">
      <w:pPr>
        <w:pStyle w:val="ae"/>
        <w:rPr>
          <w:lang w:val="en-GB"/>
        </w:rPr>
      </w:pPr>
      <w:r>
        <w:rPr>
          <w:rStyle w:val="af0"/>
        </w:rPr>
        <w:footnoteRef/>
      </w:r>
      <w:r w:rsidRPr="00D2207F">
        <w:rPr>
          <w:lang w:val="en-GB"/>
        </w:rPr>
        <w:t xml:space="preserve"> </w:t>
      </w:r>
      <w:proofErr w:type="spellStart"/>
      <w:proofErr w:type="gramStart"/>
      <w:r w:rsidRPr="00D2207F">
        <w:rPr>
          <w:lang w:val="en-GB"/>
        </w:rPr>
        <w:t>esh</w:t>
      </w:r>
      <w:proofErr w:type="spellEnd"/>
      <w:proofErr w:type="gramEnd"/>
      <w:r w:rsidRPr="00D2207F">
        <w:rPr>
          <w:lang w:val="en-GB"/>
        </w:rPr>
        <w:t xml:space="preserve">, N. and J. Karceski (2009). Long-run Performance Evaluation: Correlation and </w:t>
      </w:r>
      <w:proofErr w:type="spellStart"/>
      <w:r w:rsidRPr="00D2207F">
        <w:rPr>
          <w:lang w:val="en-GB"/>
        </w:rPr>
        <w:t>HeteroskedasticityConsistent</w:t>
      </w:r>
      <w:proofErr w:type="spellEnd"/>
      <w:r w:rsidRPr="00D2207F">
        <w:rPr>
          <w:lang w:val="en-GB"/>
        </w:rPr>
        <w:t xml:space="preserve"> Tests, Journal of Empirical Finance, 16, pp. 101-111.</w:t>
      </w:r>
    </w:p>
  </w:footnote>
  <w:footnote w:id="78">
    <w:p w:rsidR="008E3922" w:rsidRPr="00B83C29" w:rsidRDefault="008E3922">
      <w:pPr>
        <w:pStyle w:val="ae"/>
        <w:rPr>
          <w:lang w:val="en-GB"/>
        </w:rPr>
      </w:pPr>
      <w:r>
        <w:rPr>
          <w:rStyle w:val="af0"/>
        </w:rPr>
        <w:footnoteRef/>
      </w:r>
      <w:r w:rsidRPr="001A5D5F">
        <w:rPr>
          <w:lang w:val="en-GB"/>
        </w:rPr>
        <w:t xml:space="preserve"> </w:t>
      </w:r>
      <w:r>
        <w:rPr>
          <w:lang w:val="en-GB"/>
        </w:rPr>
        <w:t xml:space="preserve"> </w:t>
      </w:r>
      <w:r w:rsidRPr="00B83C29">
        <w:rPr>
          <w:lang w:val="en-GB"/>
        </w:rPr>
        <w:t xml:space="preserve">John D. Lyon, Brad M. Barber and </w:t>
      </w:r>
      <w:proofErr w:type="spellStart"/>
      <w:r w:rsidRPr="00B83C29">
        <w:rPr>
          <w:lang w:val="en-GB"/>
        </w:rPr>
        <w:t>Chih</w:t>
      </w:r>
      <w:proofErr w:type="spellEnd"/>
      <w:r w:rsidRPr="00B83C29">
        <w:rPr>
          <w:lang w:val="en-GB"/>
        </w:rPr>
        <w:t>-Ling Tsai</w:t>
      </w:r>
      <w:r>
        <w:rPr>
          <w:lang w:val="en-GB"/>
        </w:rPr>
        <w:t>, (</w:t>
      </w:r>
      <w:r w:rsidRPr="00B83C29">
        <w:rPr>
          <w:lang w:val="en-GB"/>
        </w:rPr>
        <w:t>1999),</w:t>
      </w:r>
      <w:r>
        <w:rPr>
          <w:lang w:val="en-GB"/>
        </w:rPr>
        <w:t xml:space="preserve"> </w:t>
      </w:r>
      <w:r w:rsidRPr="00B83C29">
        <w:rPr>
          <w:lang w:val="en-GB"/>
        </w:rPr>
        <w:t>The Journal of Finance, Vol. 54, No. 1</w:t>
      </w:r>
      <w:r>
        <w:rPr>
          <w:lang w:val="en-GB"/>
        </w:rPr>
        <w:t xml:space="preserve">, </w:t>
      </w:r>
      <w:r w:rsidRPr="00B83C29">
        <w:rPr>
          <w:lang w:val="en-GB"/>
        </w:rPr>
        <w:t>p. 165-201</w:t>
      </w:r>
    </w:p>
  </w:footnote>
  <w:footnote w:id="79">
    <w:p w:rsidR="008E3922" w:rsidRPr="00E04411" w:rsidRDefault="008E3922" w:rsidP="001624D5">
      <w:pPr>
        <w:rPr>
          <w:lang w:val="en-GB"/>
        </w:rPr>
      </w:pPr>
      <w:r>
        <w:rPr>
          <w:rStyle w:val="af0"/>
        </w:rPr>
        <w:footnoteRef/>
      </w:r>
      <w:r w:rsidRPr="00E04411">
        <w:rPr>
          <w:lang w:val="en-GB"/>
        </w:rPr>
        <w:t xml:space="preserve"> </w:t>
      </w:r>
      <w:r w:rsidRPr="001624D5">
        <w:rPr>
          <w:sz w:val="20"/>
          <w:szCs w:val="20"/>
          <w:lang w:val="en-GB"/>
        </w:rPr>
        <w:t xml:space="preserve">Yue Guo, Yu Yang, Chang Wang, Global energy networks: Geographies of mergers and acquisitions of worldwide oil companies, Renewable and Sustainable Energy Reviews, Volume 139, 2021, </w:t>
      </w:r>
      <w:r>
        <w:rPr>
          <w:sz w:val="20"/>
          <w:szCs w:val="20"/>
          <w:lang w:val="en-GB"/>
        </w:rPr>
        <w:t>110698</w:t>
      </w:r>
    </w:p>
  </w:footnote>
  <w:footnote w:id="80">
    <w:p w:rsidR="008E3922" w:rsidRPr="00E20C96" w:rsidRDefault="008E3922" w:rsidP="00A25F75">
      <w:pPr>
        <w:pStyle w:val="ae"/>
        <w:rPr>
          <w:lang w:val="en-GB"/>
        </w:rPr>
      </w:pPr>
      <w:r>
        <w:rPr>
          <w:rStyle w:val="af0"/>
        </w:rPr>
        <w:footnoteRef/>
      </w:r>
      <w:r w:rsidRPr="00E20C96">
        <w:rPr>
          <w:lang w:val="en-GB"/>
        </w:rPr>
        <w:t xml:space="preserve"> </w:t>
      </w:r>
      <w:r>
        <w:rPr>
          <w:lang w:val="en-GB"/>
        </w:rPr>
        <w:t xml:space="preserve">Yue Guo, Yu Yang, Chang Wang, </w:t>
      </w:r>
      <w:r w:rsidRPr="00E20C96">
        <w:rPr>
          <w:lang w:val="en-GB"/>
        </w:rPr>
        <w:t>Global energy networks: Geographies of mergers and acquisitions of worldwide oil companies,</w:t>
      </w:r>
      <w:r>
        <w:rPr>
          <w:lang w:val="en-GB"/>
        </w:rPr>
        <w:t xml:space="preserve"> </w:t>
      </w:r>
      <w:r w:rsidRPr="00E20C96">
        <w:rPr>
          <w:lang w:val="en-GB"/>
        </w:rPr>
        <w:t xml:space="preserve">Renewable </w:t>
      </w:r>
      <w:r>
        <w:rPr>
          <w:lang w:val="en-GB"/>
        </w:rPr>
        <w:t xml:space="preserve">and Sustainable Energy Reviews, </w:t>
      </w:r>
      <w:r w:rsidRPr="00E20C96">
        <w:rPr>
          <w:lang w:val="en-GB"/>
        </w:rPr>
        <w:t>Volume 139,</w:t>
      </w:r>
      <w:r>
        <w:rPr>
          <w:lang w:val="en-GB"/>
        </w:rPr>
        <w:t xml:space="preserve"> </w:t>
      </w:r>
      <w:r w:rsidRPr="00E20C96">
        <w:rPr>
          <w:lang w:val="en-GB"/>
        </w:rPr>
        <w:t>2021,</w:t>
      </w:r>
      <w:r>
        <w:rPr>
          <w:lang w:val="en-GB"/>
        </w:rPr>
        <w:t xml:space="preserve"> </w:t>
      </w:r>
      <w:r w:rsidRPr="00E20C96">
        <w:rPr>
          <w:lang w:val="en-GB"/>
        </w:rPr>
        <w:t>110698,</w:t>
      </w:r>
      <w:r>
        <w:rPr>
          <w:lang w:val="en-GB"/>
        </w:rPr>
        <w:t xml:space="preserve"> </w:t>
      </w:r>
      <w:r w:rsidRPr="00E20C96">
        <w:rPr>
          <w:lang w:val="en-GB"/>
        </w:rPr>
        <w:t>ISSN 1364-0321</w:t>
      </w:r>
    </w:p>
  </w:footnote>
  <w:footnote w:id="81">
    <w:p w:rsidR="008E3922" w:rsidRPr="00E20C96" w:rsidRDefault="008E3922" w:rsidP="00A25F75">
      <w:pPr>
        <w:pStyle w:val="ae"/>
        <w:rPr>
          <w:lang w:val="en-GB"/>
        </w:rPr>
      </w:pPr>
      <w:r>
        <w:rPr>
          <w:rStyle w:val="af0"/>
        </w:rPr>
        <w:footnoteRef/>
      </w:r>
      <w:r w:rsidRPr="00E20C96">
        <w:rPr>
          <w:lang w:val="en-GB"/>
        </w:rPr>
        <w:t xml:space="preserve"> </w:t>
      </w:r>
      <w:proofErr w:type="spellStart"/>
      <w:r w:rsidRPr="00E20C96">
        <w:rPr>
          <w:lang w:val="en-GB"/>
        </w:rPr>
        <w:t>Kuang</w:t>
      </w:r>
      <w:proofErr w:type="spellEnd"/>
      <w:r w:rsidRPr="00E20C96">
        <w:rPr>
          <w:lang w:val="en-GB"/>
        </w:rPr>
        <w:t>-Chung</w:t>
      </w:r>
      <w:r>
        <w:rPr>
          <w:lang w:val="en-GB"/>
        </w:rPr>
        <w:t xml:space="preserve"> Hsu, Michael Wright, Zhen Zhu, </w:t>
      </w:r>
      <w:r w:rsidRPr="00E20C96">
        <w:rPr>
          <w:lang w:val="en-GB"/>
        </w:rPr>
        <w:t xml:space="preserve">What motivates merger and acquisition activities in the upstream </w:t>
      </w:r>
      <w:r>
        <w:rPr>
          <w:lang w:val="en-GB"/>
        </w:rPr>
        <w:t xml:space="preserve">oil &amp; gas sectors in the U.S.?, Energy Economics, </w:t>
      </w:r>
      <w:r w:rsidRPr="00E20C96">
        <w:rPr>
          <w:lang w:val="en-GB"/>
        </w:rPr>
        <w:t>Volume 65,</w:t>
      </w:r>
      <w:r>
        <w:rPr>
          <w:lang w:val="en-GB"/>
        </w:rPr>
        <w:t xml:space="preserve"> </w:t>
      </w:r>
      <w:r w:rsidRPr="00E20C96">
        <w:rPr>
          <w:lang w:val="en-GB"/>
        </w:rPr>
        <w:t>2017,</w:t>
      </w:r>
      <w:r>
        <w:rPr>
          <w:lang w:val="en-GB"/>
        </w:rPr>
        <w:t xml:space="preserve"> </w:t>
      </w:r>
      <w:r w:rsidRPr="00E20C96">
        <w:rPr>
          <w:lang w:val="en-GB"/>
        </w:rPr>
        <w:t>Pages 240-250,</w:t>
      </w:r>
      <w:r>
        <w:rPr>
          <w:lang w:val="en-GB"/>
        </w:rPr>
        <w:t xml:space="preserve"> </w:t>
      </w:r>
      <w:r w:rsidRPr="00E20C96">
        <w:rPr>
          <w:lang w:val="en-GB"/>
        </w:rPr>
        <w:t>ISSN 0140-9883,</w:t>
      </w:r>
    </w:p>
  </w:footnote>
  <w:footnote w:id="82">
    <w:p w:rsidR="008E3922" w:rsidRPr="001624D5" w:rsidRDefault="008E3922">
      <w:pPr>
        <w:pStyle w:val="ae"/>
        <w:rPr>
          <w:lang w:val="en-GB"/>
        </w:rPr>
      </w:pPr>
      <w:r>
        <w:rPr>
          <w:rStyle w:val="af0"/>
        </w:rPr>
        <w:footnoteRef/>
      </w:r>
      <w:r w:rsidRPr="00D711C5">
        <w:rPr>
          <w:lang w:val="en-GB"/>
        </w:rPr>
        <w:t xml:space="preserve"> </w:t>
      </w:r>
      <w:r w:rsidRPr="001624D5">
        <w:rPr>
          <w:lang w:val="en-GB"/>
        </w:rPr>
        <w:t>Glenn V. Henderson, Jr.</w:t>
      </w:r>
      <w:r>
        <w:rPr>
          <w:lang w:val="en-GB"/>
        </w:rPr>
        <w:t xml:space="preserve"> (1990) </w:t>
      </w:r>
      <w:r w:rsidRPr="001624D5">
        <w:rPr>
          <w:lang w:val="en-GB"/>
        </w:rPr>
        <w:t>Problems and Solutions in Conducting Event Studie</w:t>
      </w:r>
      <w:r>
        <w:rPr>
          <w:lang w:val="en-GB"/>
        </w:rPr>
        <w:t xml:space="preserve">s, </w:t>
      </w:r>
      <w:r w:rsidRPr="001624D5">
        <w:rPr>
          <w:lang w:val="en-GB"/>
        </w:rPr>
        <w:t>The Journal of Risk and Insura</w:t>
      </w:r>
      <w:r>
        <w:rPr>
          <w:lang w:val="en-GB"/>
        </w:rPr>
        <w:t>nce, Vol. 57, No. 2</w:t>
      </w:r>
      <w:r w:rsidRPr="001624D5">
        <w:rPr>
          <w:lang w:val="en-GB"/>
        </w:rPr>
        <w:t>, pp. 282-306</w:t>
      </w:r>
    </w:p>
  </w:footnote>
  <w:footnote w:id="83">
    <w:p w:rsidR="008E3922" w:rsidRPr="004942D2" w:rsidRDefault="008E3922" w:rsidP="004942D2">
      <w:pPr>
        <w:pStyle w:val="ae"/>
        <w:rPr>
          <w:lang w:val="en-GB"/>
        </w:rPr>
      </w:pPr>
      <w:r>
        <w:rPr>
          <w:rStyle w:val="af0"/>
        </w:rPr>
        <w:footnoteRef/>
      </w:r>
      <w:r w:rsidRPr="004942D2">
        <w:rPr>
          <w:lang w:val="en-GB"/>
        </w:rPr>
        <w:t xml:space="preserve"> </w:t>
      </w:r>
      <w:r>
        <w:rPr>
          <w:lang w:val="en-GB"/>
        </w:rPr>
        <w:t xml:space="preserve">K.S. Reddy, En Xie, </w:t>
      </w:r>
      <w:r w:rsidRPr="004942D2">
        <w:rPr>
          <w:lang w:val="en-GB"/>
        </w:rPr>
        <w:t>Cross-border mergers and acquisitions by oil and gas multinational enterprises: Geography</w:t>
      </w:r>
      <w:r>
        <w:rPr>
          <w:lang w:val="en-GB"/>
        </w:rPr>
        <w:t xml:space="preserve">-based view of energy strategy, </w:t>
      </w:r>
      <w:r w:rsidRPr="004942D2">
        <w:rPr>
          <w:lang w:val="en-GB"/>
        </w:rPr>
        <w:t>Renewable and Sustainable Energy Reviews,</w:t>
      </w:r>
      <w:r>
        <w:rPr>
          <w:lang w:val="en-GB"/>
        </w:rPr>
        <w:t xml:space="preserve"> </w:t>
      </w:r>
      <w:r w:rsidRPr="004942D2">
        <w:rPr>
          <w:lang w:val="en-GB"/>
        </w:rPr>
        <w:t>Volume 72,</w:t>
      </w:r>
      <w:r>
        <w:rPr>
          <w:lang w:val="en-GB"/>
        </w:rPr>
        <w:t xml:space="preserve"> </w:t>
      </w:r>
      <w:r w:rsidRPr="004942D2">
        <w:rPr>
          <w:lang w:val="en-GB"/>
        </w:rPr>
        <w:t>2017,</w:t>
      </w:r>
      <w:r>
        <w:rPr>
          <w:lang w:val="en-GB"/>
        </w:rPr>
        <w:t xml:space="preserve">Pages 961-980, </w:t>
      </w:r>
      <w:r w:rsidRPr="004942D2">
        <w:rPr>
          <w:lang w:val="en-GB"/>
        </w:rPr>
        <w:t>ISSN 1364-0321</w:t>
      </w:r>
    </w:p>
  </w:footnote>
  <w:footnote w:id="84">
    <w:p w:rsidR="008E3922" w:rsidRPr="00D711C5" w:rsidRDefault="008E3922">
      <w:pPr>
        <w:pStyle w:val="ae"/>
        <w:rPr>
          <w:lang w:val="en-GB"/>
        </w:rPr>
      </w:pPr>
      <w:r>
        <w:rPr>
          <w:rStyle w:val="af0"/>
        </w:rPr>
        <w:footnoteRef/>
      </w:r>
      <w:r>
        <w:rPr>
          <w:rStyle w:val="a4"/>
          <w:lang w:val="en-GB"/>
        </w:rPr>
        <w:t xml:space="preserve"> </w:t>
      </w:r>
      <w:r w:rsidRPr="001624D5">
        <w:rPr>
          <w:lang w:val="en-GB"/>
        </w:rPr>
        <w:t>H.-C. Jung</w:t>
      </w:r>
      <w:r>
        <w:rPr>
          <w:lang w:val="en-GB"/>
        </w:rPr>
        <w:t xml:space="preserve"> (2006), </w:t>
      </w:r>
      <w:r w:rsidRPr="001624D5">
        <w:rPr>
          <w:lang w:val="en-GB"/>
        </w:rPr>
        <w:t>Small sample size problems and the power of the test in the event study methodology</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7B6BF2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EFA3C4F"/>
    <w:multiLevelType w:val="hybridMultilevel"/>
    <w:tmpl w:val="E9ECBCE2"/>
    <w:lvl w:ilvl="0" w:tplc="04190001">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2" w15:restartNumberingAfterBreak="0">
    <w:nsid w:val="122E2BAD"/>
    <w:multiLevelType w:val="hybridMultilevel"/>
    <w:tmpl w:val="9BD011D2"/>
    <w:lvl w:ilvl="0" w:tplc="04190001">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3" w15:restartNumberingAfterBreak="0">
    <w:nsid w:val="22026007"/>
    <w:multiLevelType w:val="hybridMultilevel"/>
    <w:tmpl w:val="6D28F53A"/>
    <w:lvl w:ilvl="0" w:tplc="08090001">
      <w:start w:val="1"/>
      <w:numFmt w:val="bullet"/>
      <w:lvlText w:val=""/>
      <w:lvlJc w:val="left"/>
      <w:pPr>
        <w:ind w:left="984"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 w15:restartNumberingAfterBreak="0">
    <w:nsid w:val="39C749EE"/>
    <w:multiLevelType w:val="hybridMultilevel"/>
    <w:tmpl w:val="D17C2334"/>
    <w:lvl w:ilvl="0" w:tplc="FA5E826C">
      <w:start w:val="1"/>
      <w:numFmt w:val="decimal"/>
      <w:pStyle w:val="SVEtablecaption"/>
      <w:lvlText w:val="Table %1."/>
      <w:lvlJc w:val="left"/>
      <w:pPr>
        <w:ind w:left="108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start w:val="1"/>
      <w:numFmt w:val="lowerLetter"/>
      <w:lvlText w:val="%2."/>
      <w:lvlJc w:val="left"/>
      <w:pPr>
        <w:ind w:left="1800" w:hanging="360"/>
      </w:pPr>
    </w:lvl>
    <w:lvl w:ilvl="2" w:tplc="0419001B">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3F671748"/>
    <w:multiLevelType w:val="hybridMultilevel"/>
    <w:tmpl w:val="980A62EA"/>
    <w:lvl w:ilvl="0" w:tplc="08090001">
      <w:start w:val="1"/>
      <w:numFmt w:val="bullet"/>
      <w:lvlText w:val=""/>
      <w:lvlJc w:val="left"/>
      <w:pPr>
        <w:ind w:left="1344" w:hanging="360"/>
      </w:pPr>
      <w:rPr>
        <w:rFonts w:ascii="Symbol" w:hAnsi="Symbol" w:hint="default"/>
      </w:rPr>
    </w:lvl>
    <w:lvl w:ilvl="1" w:tplc="08090003" w:tentative="1">
      <w:start w:val="1"/>
      <w:numFmt w:val="bullet"/>
      <w:lvlText w:val="o"/>
      <w:lvlJc w:val="left"/>
      <w:pPr>
        <w:ind w:left="2064" w:hanging="360"/>
      </w:pPr>
      <w:rPr>
        <w:rFonts w:ascii="Courier New" w:hAnsi="Courier New" w:cs="Courier New" w:hint="default"/>
      </w:rPr>
    </w:lvl>
    <w:lvl w:ilvl="2" w:tplc="08090005" w:tentative="1">
      <w:start w:val="1"/>
      <w:numFmt w:val="bullet"/>
      <w:lvlText w:val=""/>
      <w:lvlJc w:val="left"/>
      <w:pPr>
        <w:ind w:left="2784" w:hanging="360"/>
      </w:pPr>
      <w:rPr>
        <w:rFonts w:ascii="Wingdings" w:hAnsi="Wingdings" w:hint="default"/>
      </w:rPr>
    </w:lvl>
    <w:lvl w:ilvl="3" w:tplc="08090001" w:tentative="1">
      <w:start w:val="1"/>
      <w:numFmt w:val="bullet"/>
      <w:lvlText w:val=""/>
      <w:lvlJc w:val="left"/>
      <w:pPr>
        <w:ind w:left="3504" w:hanging="360"/>
      </w:pPr>
      <w:rPr>
        <w:rFonts w:ascii="Symbol" w:hAnsi="Symbol" w:hint="default"/>
      </w:rPr>
    </w:lvl>
    <w:lvl w:ilvl="4" w:tplc="08090003" w:tentative="1">
      <w:start w:val="1"/>
      <w:numFmt w:val="bullet"/>
      <w:lvlText w:val="o"/>
      <w:lvlJc w:val="left"/>
      <w:pPr>
        <w:ind w:left="4224" w:hanging="360"/>
      </w:pPr>
      <w:rPr>
        <w:rFonts w:ascii="Courier New" w:hAnsi="Courier New" w:cs="Courier New" w:hint="default"/>
      </w:rPr>
    </w:lvl>
    <w:lvl w:ilvl="5" w:tplc="08090005" w:tentative="1">
      <w:start w:val="1"/>
      <w:numFmt w:val="bullet"/>
      <w:lvlText w:val=""/>
      <w:lvlJc w:val="left"/>
      <w:pPr>
        <w:ind w:left="4944" w:hanging="360"/>
      </w:pPr>
      <w:rPr>
        <w:rFonts w:ascii="Wingdings" w:hAnsi="Wingdings" w:hint="default"/>
      </w:rPr>
    </w:lvl>
    <w:lvl w:ilvl="6" w:tplc="08090001" w:tentative="1">
      <w:start w:val="1"/>
      <w:numFmt w:val="bullet"/>
      <w:lvlText w:val=""/>
      <w:lvlJc w:val="left"/>
      <w:pPr>
        <w:ind w:left="5664" w:hanging="360"/>
      </w:pPr>
      <w:rPr>
        <w:rFonts w:ascii="Symbol" w:hAnsi="Symbol" w:hint="default"/>
      </w:rPr>
    </w:lvl>
    <w:lvl w:ilvl="7" w:tplc="08090003" w:tentative="1">
      <w:start w:val="1"/>
      <w:numFmt w:val="bullet"/>
      <w:lvlText w:val="o"/>
      <w:lvlJc w:val="left"/>
      <w:pPr>
        <w:ind w:left="6384" w:hanging="360"/>
      </w:pPr>
      <w:rPr>
        <w:rFonts w:ascii="Courier New" w:hAnsi="Courier New" w:cs="Courier New" w:hint="default"/>
      </w:rPr>
    </w:lvl>
    <w:lvl w:ilvl="8" w:tplc="08090005" w:tentative="1">
      <w:start w:val="1"/>
      <w:numFmt w:val="bullet"/>
      <w:lvlText w:val=""/>
      <w:lvlJc w:val="left"/>
      <w:pPr>
        <w:ind w:left="7104" w:hanging="360"/>
      </w:pPr>
      <w:rPr>
        <w:rFonts w:ascii="Wingdings" w:hAnsi="Wingdings" w:hint="default"/>
      </w:rPr>
    </w:lvl>
  </w:abstractNum>
  <w:abstractNum w:abstractNumId="6" w15:restartNumberingAfterBreak="0">
    <w:nsid w:val="40483D2F"/>
    <w:multiLevelType w:val="hybridMultilevel"/>
    <w:tmpl w:val="0F662E3E"/>
    <w:lvl w:ilvl="0" w:tplc="04190001">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7" w15:restartNumberingAfterBreak="0">
    <w:nsid w:val="42975B17"/>
    <w:multiLevelType w:val="hybridMultilevel"/>
    <w:tmpl w:val="0C8CADBE"/>
    <w:lvl w:ilvl="0" w:tplc="5E402C40">
      <w:start w:val="1"/>
      <w:numFmt w:val="decimal"/>
      <w:pStyle w:val="SVEfigurecaption"/>
      <w:lvlText w:val="Fig. %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611B1A5F"/>
    <w:multiLevelType w:val="hybridMultilevel"/>
    <w:tmpl w:val="70C6B822"/>
    <w:lvl w:ilvl="0" w:tplc="A8FA1010">
      <w:start w:val="1"/>
      <w:numFmt w:val="decimal"/>
      <w:lvlText w:val="%1."/>
      <w:lvlJc w:val="left"/>
      <w:pPr>
        <w:ind w:left="984" w:hanging="360"/>
      </w:pPr>
      <w:rPr>
        <w:rFonts w:hint="default"/>
      </w:rPr>
    </w:lvl>
    <w:lvl w:ilvl="1" w:tplc="04190019">
      <w:start w:val="1"/>
      <w:numFmt w:val="lowerLetter"/>
      <w:lvlText w:val="%2."/>
      <w:lvlJc w:val="left"/>
      <w:pPr>
        <w:ind w:left="1704" w:hanging="360"/>
      </w:pPr>
    </w:lvl>
    <w:lvl w:ilvl="2" w:tplc="0419001B" w:tentative="1">
      <w:start w:val="1"/>
      <w:numFmt w:val="lowerRoman"/>
      <w:lvlText w:val="%3."/>
      <w:lvlJc w:val="right"/>
      <w:pPr>
        <w:ind w:left="2424" w:hanging="180"/>
      </w:pPr>
    </w:lvl>
    <w:lvl w:ilvl="3" w:tplc="0419000F" w:tentative="1">
      <w:start w:val="1"/>
      <w:numFmt w:val="decimal"/>
      <w:lvlText w:val="%4."/>
      <w:lvlJc w:val="left"/>
      <w:pPr>
        <w:ind w:left="3144" w:hanging="360"/>
      </w:pPr>
    </w:lvl>
    <w:lvl w:ilvl="4" w:tplc="04190019" w:tentative="1">
      <w:start w:val="1"/>
      <w:numFmt w:val="lowerLetter"/>
      <w:lvlText w:val="%5."/>
      <w:lvlJc w:val="left"/>
      <w:pPr>
        <w:ind w:left="3864" w:hanging="360"/>
      </w:pPr>
    </w:lvl>
    <w:lvl w:ilvl="5" w:tplc="0419001B" w:tentative="1">
      <w:start w:val="1"/>
      <w:numFmt w:val="lowerRoman"/>
      <w:lvlText w:val="%6."/>
      <w:lvlJc w:val="right"/>
      <w:pPr>
        <w:ind w:left="4584" w:hanging="180"/>
      </w:pPr>
    </w:lvl>
    <w:lvl w:ilvl="6" w:tplc="0419000F" w:tentative="1">
      <w:start w:val="1"/>
      <w:numFmt w:val="decimal"/>
      <w:lvlText w:val="%7."/>
      <w:lvlJc w:val="left"/>
      <w:pPr>
        <w:ind w:left="5304" w:hanging="360"/>
      </w:pPr>
    </w:lvl>
    <w:lvl w:ilvl="7" w:tplc="04190019" w:tentative="1">
      <w:start w:val="1"/>
      <w:numFmt w:val="lowerLetter"/>
      <w:lvlText w:val="%8."/>
      <w:lvlJc w:val="left"/>
      <w:pPr>
        <w:ind w:left="6024" w:hanging="360"/>
      </w:pPr>
    </w:lvl>
    <w:lvl w:ilvl="8" w:tplc="0419001B" w:tentative="1">
      <w:start w:val="1"/>
      <w:numFmt w:val="lowerRoman"/>
      <w:lvlText w:val="%9."/>
      <w:lvlJc w:val="right"/>
      <w:pPr>
        <w:ind w:left="6744" w:hanging="180"/>
      </w:pPr>
    </w:lvl>
  </w:abstractNum>
  <w:abstractNum w:abstractNumId="9" w15:restartNumberingAfterBreak="0">
    <w:nsid w:val="61CB6F60"/>
    <w:multiLevelType w:val="hybridMultilevel"/>
    <w:tmpl w:val="050027FC"/>
    <w:lvl w:ilvl="0" w:tplc="04190001">
      <w:start w:val="1"/>
      <w:numFmt w:val="bullet"/>
      <w:lvlText w:val=""/>
      <w:lvlJc w:val="left"/>
      <w:pPr>
        <w:ind w:left="1344" w:hanging="360"/>
      </w:pPr>
      <w:rPr>
        <w:rFonts w:ascii="Symbol" w:hAnsi="Symbol" w:hint="default"/>
      </w:rPr>
    </w:lvl>
    <w:lvl w:ilvl="1" w:tplc="04190003" w:tentative="1">
      <w:start w:val="1"/>
      <w:numFmt w:val="bullet"/>
      <w:lvlText w:val="o"/>
      <w:lvlJc w:val="left"/>
      <w:pPr>
        <w:ind w:left="2064" w:hanging="360"/>
      </w:pPr>
      <w:rPr>
        <w:rFonts w:ascii="Courier New" w:hAnsi="Courier New" w:cs="Courier New" w:hint="default"/>
      </w:rPr>
    </w:lvl>
    <w:lvl w:ilvl="2" w:tplc="04190005" w:tentative="1">
      <w:start w:val="1"/>
      <w:numFmt w:val="bullet"/>
      <w:lvlText w:val=""/>
      <w:lvlJc w:val="left"/>
      <w:pPr>
        <w:ind w:left="2784" w:hanging="360"/>
      </w:pPr>
      <w:rPr>
        <w:rFonts w:ascii="Wingdings" w:hAnsi="Wingdings" w:hint="default"/>
      </w:rPr>
    </w:lvl>
    <w:lvl w:ilvl="3" w:tplc="04190001" w:tentative="1">
      <w:start w:val="1"/>
      <w:numFmt w:val="bullet"/>
      <w:lvlText w:val=""/>
      <w:lvlJc w:val="left"/>
      <w:pPr>
        <w:ind w:left="3504" w:hanging="360"/>
      </w:pPr>
      <w:rPr>
        <w:rFonts w:ascii="Symbol" w:hAnsi="Symbol" w:hint="default"/>
      </w:rPr>
    </w:lvl>
    <w:lvl w:ilvl="4" w:tplc="04190003" w:tentative="1">
      <w:start w:val="1"/>
      <w:numFmt w:val="bullet"/>
      <w:lvlText w:val="o"/>
      <w:lvlJc w:val="left"/>
      <w:pPr>
        <w:ind w:left="4224" w:hanging="360"/>
      </w:pPr>
      <w:rPr>
        <w:rFonts w:ascii="Courier New" w:hAnsi="Courier New" w:cs="Courier New" w:hint="default"/>
      </w:rPr>
    </w:lvl>
    <w:lvl w:ilvl="5" w:tplc="04190005" w:tentative="1">
      <w:start w:val="1"/>
      <w:numFmt w:val="bullet"/>
      <w:lvlText w:val=""/>
      <w:lvlJc w:val="left"/>
      <w:pPr>
        <w:ind w:left="4944" w:hanging="360"/>
      </w:pPr>
      <w:rPr>
        <w:rFonts w:ascii="Wingdings" w:hAnsi="Wingdings" w:hint="default"/>
      </w:rPr>
    </w:lvl>
    <w:lvl w:ilvl="6" w:tplc="04190001" w:tentative="1">
      <w:start w:val="1"/>
      <w:numFmt w:val="bullet"/>
      <w:lvlText w:val=""/>
      <w:lvlJc w:val="left"/>
      <w:pPr>
        <w:ind w:left="5664" w:hanging="360"/>
      </w:pPr>
      <w:rPr>
        <w:rFonts w:ascii="Symbol" w:hAnsi="Symbol" w:hint="default"/>
      </w:rPr>
    </w:lvl>
    <w:lvl w:ilvl="7" w:tplc="04190003" w:tentative="1">
      <w:start w:val="1"/>
      <w:numFmt w:val="bullet"/>
      <w:lvlText w:val="o"/>
      <w:lvlJc w:val="left"/>
      <w:pPr>
        <w:ind w:left="6384" w:hanging="360"/>
      </w:pPr>
      <w:rPr>
        <w:rFonts w:ascii="Courier New" w:hAnsi="Courier New" w:cs="Courier New" w:hint="default"/>
      </w:rPr>
    </w:lvl>
    <w:lvl w:ilvl="8" w:tplc="04190005" w:tentative="1">
      <w:start w:val="1"/>
      <w:numFmt w:val="bullet"/>
      <w:lvlText w:val=""/>
      <w:lvlJc w:val="left"/>
      <w:pPr>
        <w:ind w:left="7104" w:hanging="360"/>
      </w:pPr>
      <w:rPr>
        <w:rFonts w:ascii="Wingdings" w:hAnsi="Wingdings" w:hint="default"/>
      </w:rPr>
    </w:lvl>
  </w:abstractNum>
  <w:abstractNum w:abstractNumId="10" w15:restartNumberingAfterBreak="0">
    <w:nsid w:val="6A3706FD"/>
    <w:multiLevelType w:val="hybridMultilevel"/>
    <w:tmpl w:val="38BACA68"/>
    <w:lvl w:ilvl="0" w:tplc="0419000F">
      <w:start w:val="1"/>
      <w:numFmt w:val="decimal"/>
      <w:lvlText w:val="%1."/>
      <w:lvlJc w:val="left"/>
      <w:pPr>
        <w:ind w:left="1344" w:hanging="360"/>
      </w:pPr>
    </w:lvl>
    <w:lvl w:ilvl="1" w:tplc="04190019" w:tentative="1">
      <w:start w:val="1"/>
      <w:numFmt w:val="lowerLetter"/>
      <w:lvlText w:val="%2."/>
      <w:lvlJc w:val="left"/>
      <w:pPr>
        <w:ind w:left="2064" w:hanging="360"/>
      </w:pPr>
    </w:lvl>
    <w:lvl w:ilvl="2" w:tplc="0419001B" w:tentative="1">
      <w:start w:val="1"/>
      <w:numFmt w:val="lowerRoman"/>
      <w:lvlText w:val="%3."/>
      <w:lvlJc w:val="right"/>
      <w:pPr>
        <w:ind w:left="2784" w:hanging="180"/>
      </w:pPr>
    </w:lvl>
    <w:lvl w:ilvl="3" w:tplc="0419000F" w:tentative="1">
      <w:start w:val="1"/>
      <w:numFmt w:val="decimal"/>
      <w:lvlText w:val="%4."/>
      <w:lvlJc w:val="left"/>
      <w:pPr>
        <w:ind w:left="3504" w:hanging="360"/>
      </w:pPr>
    </w:lvl>
    <w:lvl w:ilvl="4" w:tplc="04190019" w:tentative="1">
      <w:start w:val="1"/>
      <w:numFmt w:val="lowerLetter"/>
      <w:lvlText w:val="%5."/>
      <w:lvlJc w:val="left"/>
      <w:pPr>
        <w:ind w:left="4224" w:hanging="360"/>
      </w:pPr>
    </w:lvl>
    <w:lvl w:ilvl="5" w:tplc="0419001B" w:tentative="1">
      <w:start w:val="1"/>
      <w:numFmt w:val="lowerRoman"/>
      <w:lvlText w:val="%6."/>
      <w:lvlJc w:val="right"/>
      <w:pPr>
        <w:ind w:left="4944" w:hanging="180"/>
      </w:pPr>
    </w:lvl>
    <w:lvl w:ilvl="6" w:tplc="0419000F" w:tentative="1">
      <w:start w:val="1"/>
      <w:numFmt w:val="decimal"/>
      <w:lvlText w:val="%7."/>
      <w:lvlJc w:val="left"/>
      <w:pPr>
        <w:ind w:left="5664" w:hanging="360"/>
      </w:pPr>
    </w:lvl>
    <w:lvl w:ilvl="7" w:tplc="04190019" w:tentative="1">
      <w:start w:val="1"/>
      <w:numFmt w:val="lowerLetter"/>
      <w:lvlText w:val="%8."/>
      <w:lvlJc w:val="left"/>
      <w:pPr>
        <w:ind w:left="6384" w:hanging="360"/>
      </w:pPr>
    </w:lvl>
    <w:lvl w:ilvl="8" w:tplc="0419001B" w:tentative="1">
      <w:start w:val="1"/>
      <w:numFmt w:val="lowerRoman"/>
      <w:lvlText w:val="%9."/>
      <w:lvlJc w:val="right"/>
      <w:pPr>
        <w:ind w:left="7104" w:hanging="180"/>
      </w:pPr>
    </w:lvl>
  </w:abstractNum>
  <w:num w:numId="1">
    <w:abstractNumId w:val="4"/>
  </w:num>
  <w:num w:numId="2">
    <w:abstractNumId w:val="7"/>
  </w:num>
  <w:num w:numId="3">
    <w:abstractNumId w:val="0"/>
  </w:num>
  <w:num w:numId="4">
    <w:abstractNumId w:val="5"/>
  </w:num>
  <w:num w:numId="5">
    <w:abstractNumId w:val="9"/>
  </w:num>
  <w:num w:numId="6">
    <w:abstractNumId w:val="2"/>
  </w:num>
  <w:num w:numId="7">
    <w:abstractNumId w:val="1"/>
  </w:num>
  <w:num w:numId="8">
    <w:abstractNumId w:val="8"/>
  </w:num>
  <w:num w:numId="9">
    <w:abstractNumId w:val="10"/>
  </w:num>
  <w:num w:numId="10">
    <w:abstractNumId w:val="3"/>
  </w:num>
  <w:num w:numId="11">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1"/>
  <w:activeWritingStyle w:appName="MSWord" w:lang="ru-RU"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attachedTemplate r:id="rId1"/>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1BB0"/>
    <w:rsid w:val="0000095E"/>
    <w:rsid w:val="00001619"/>
    <w:rsid w:val="00003251"/>
    <w:rsid w:val="00003484"/>
    <w:rsid w:val="0001149F"/>
    <w:rsid w:val="00012D21"/>
    <w:rsid w:val="000158BE"/>
    <w:rsid w:val="00016B0F"/>
    <w:rsid w:val="000175EA"/>
    <w:rsid w:val="0002297D"/>
    <w:rsid w:val="00023323"/>
    <w:rsid w:val="00025AF3"/>
    <w:rsid w:val="00027C9E"/>
    <w:rsid w:val="000309A5"/>
    <w:rsid w:val="00030DA8"/>
    <w:rsid w:val="00032952"/>
    <w:rsid w:val="0003354F"/>
    <w:rsid w:val="0003422B"/>
    <w:rsid w:val="000343E0"/>
    <w:rsid w:val="00036483"/>
    <w:rsid w:val="0003677B"/>
    <w:rsid w:val="00037BCF"/>
    <w:rsid w:val="000408D1"/>
    <w:rsid w:val="00043049"/>
    <w:rsid w:val="00044032"/>
    <w:rsid w:val="000442CE"/>
    <w:rsid w:val="0005018F"/>
    <w:rsid w:val="00050316"/>
    <w:rsid w:val="00051E6C"/>
    <w:rsid w:val="000529A8"/>
    <w:rsid w:val="00052FC5"/>
    <w:rsid w:val="000603EF"/>
    <w:rsid w:val="000637C0"/>
    <w:rsid w:val="00064248"/>
    <w:rsid w:val="0006672B"/>
    <w:rsid w:val="00066BF1"/>
    <w:rsid w:val="00066F00"/>
    <w:rsid w:val="00071AF0"/>
    <w:rsid w:val="00073902"/>
    <w:rsid w:val="0008787A"/>
    <w:rsid w:val="00087F6D"/>
    <w:rsid w:val="0009102E"/>
    <w:rsid w:val="00095D19"/>
    <w:rsid w:val="000A60B8"/>
    <w:rsid w:val="000B114C"/>
    <w:rsid w:val="000B1A6D"/>
    <w:rsid w:val="000B1D7C"/>
    <w:rsid w:val="000B3ACE"/>
    <w:rsid w:val="000B3C54"/>
    <w:rsid w:val="000B52FD"/>
    <w:rsid w:val="000B5DC6"/>
    <w:rsid w:val="000B670F"/>
    <w:rsid w:val="000B740F"/>
    <w:rsid w:val="000C0968"/>
    <w:rsid w:val="000C0BDE"/>
    <w:rsid w:val="000C108F"/>
    <w:rsid w:val="000C11FB"/>
    <w:rsid w:val="000C22D7"/>
    <w:rsid w:val="000C4729"/>
    <w:rsid w:val="000C4CD4"/>
    <w:rsid w:val="000D31DE"/>
    <w:rsid w:val="000D35F4"/>
    <w:rsid w:val="000D4E94"/>
    <w:rsid w:val="000D4FA3"/>
    <w:rsid w:val="000D59E2"/>
    <w:rsid w:val="000D6876"/>
    <w:rsid w:val="000E0310"/>
    <w:rsid w:val="000E07B3"/>
    <w:rsid w:val="000E0A5B"/>
    <w:rsid w:val="000E193D"/>
    <w:rsid w:val="000E238F"/>
    <w:rsid w:val="000E446D"/>
    <w:rsid w:val="000E4A17"/>
    <w:rsid w:val="000E4F05"/>
    <w:rsid w:val="000E5561"/>
    <w:rsid w:val="000E6416"/>
    <w:rsid w:val="000F2BA0"/>
    <w:rsid w:val="000F31AE"/>
    <w:rsid w:val="000F3447"/>
    <w:rsid w:val="000F3ADA"/>
    <w:rsid w:val="000F5175"/>
    <w:rsid w:val="000F5747"/>
    <w:rsid w:val="000F63D7"/>
    <w:rsid w:val="000F77D4"/>
    <w:rsid w:val="001003A4"/>
    <w:rsid w:val="00102BCB"/>
    <w:rsid w:val="00103366"/>
    <w:rsid w:val="00104B85"/>
    <w:rsid w:val="00107DD6"/>
    <w:rsid w:val="0011153E"/>
    <w:rsid w:val="00111CE9"/>
    <w:rsid w:val="00113D62"/>
    <w:rsid w:val="00114E01"/>
    <w:rsid w:val="00117EB7"/>
    <w:rsid w:val="001210BD"/>
    <w:rsid w:val="00122114"/>
    <w:rsid w:val="0012303A"/>
    <w:rsid w:val="00127C38"/>
    <w:rsid w:val="00131B80"/>
    <w:rsid w:val="001358C9"/>
    <w:rsid w:val="00135AE1"/>
    <w:rsid w:val="00135EF3"/>
    <w:rsid w:val="00140EE9"/>
    <w:rsid w:val="00141185"/>
    <w:rsid w:val="00143AA2"/>
    <w:rsid w:val="001454A4"/>
    <w:rsid w:val="001520EE"/>
    <w:rsid w:val="001534F4"/>
    <w:rsid w:val="00154B94"/>
    <w:rsid w:val="0015518D"/>
    <w:rsid w:val="00156746"/>
    <w:rsid w:val="0016216E"/>
    <w:rsid w:val="001624D5"/>
    <w:rsid w:val="00162B39"/>
    <w:rsid w:val="00163BA7"/>
    <w:rsid w:val="001648B9"/>
    <w:rsid w:val="00172E11"/>
    <w:rsid w:val="00172FB6"/>
    <w:rsid w:val="00173534"/>
    <w:rsid w:val="00177117"/>
    <w:rsid w:val="00180FA4"/>
    <w:rsid w:val="00181B6D"/>
    <w:rsid w:val="00181E78"/>
    <w:rsid w:val="001841FF"/>
    <w:rsid w:val="00185612"/>
    <w:rsid w:val="00191C88"/>
    <w:rsid w:val="00192F73"/>
    <w:rsid w:val="00193CDE"/>
    <w:rsid w:val="00197B15"/>
    <w:rsid w:val="001A05D9"/>
    <w:rsid w:val="001A06AD"/>
    <w:rsid w:val="001A5D5F"/>
    <w:rsid w:val="001A61FE"/>
    <w:rsid w:val="001A7BD4"/>
    <w:rsid w:val="001B1BB3"/>
    <w:rsid w:val="001B3193"/>
    <w:rsid w:val="001B3360"/>
    <w:rsid w:val="001B54A6"/>
    <w:rsid w:val="001B6F74"/>
    <w:rsid w:val="001B7162"/>
    <w:rsid w:val="001C2453"/>
    <w:rsid w:val="001C362E"/>
    <w:rsid w:val="001C3935"/>
    <w:rsid w:val="001C6A7D"/>
    <w:rsid w:val="001C6A92"/>
    <w:rsid w:val="001C740F"/>
    <w:rsid w:val="001D18C3"/>
    <w:rsid w:val="001D5E77"/>
    <w:rsid w:val="001D6177"/>
    <w:rsid w:val="001D6663"/>
    <w:rsid w:val="001D77B7"/>
    <w:rsid w:val="001E21B5"/>
    <w:rsid w:val="001E223F"/>
    <w:rsid w:val="001E38F5"/>
    <w:rsid w:val="001E42A6"/>
    <w:rsid w:val="001E4381"/>
    <w:rsid w:val="001E702F"/>
    <w:rsid w:val="001E706D"/>
    <w:rsid w:val="001F062E"/>
    <w:rsid w:val="001F35C5"/>
    <w:rsid w:val="001F663F"/>
    <w:rsid w:val="001F790F"/>
    <w:rsid w:val="001F7D85"/>
    <w:rsid w:val="00200293"/>
    <w:rsid w:val="00200C43"/>
    <w:rsid w:val="0020224D"/>
    <w:rsid w:val="002025FF"/>
    <w:rsid w:val="00204023"/>
    <w:rsid w:val="00204C20"/>
    <w:rsid w:val="00206DD6"/>
    <w:rsid w:val="00212D57"/>
    <w:rsid w:val="002130AD"/>
    <w:rsid w:val="002231ED"/>
    <w:rsid w:val="00223347"/>
    <w:rsid w:val="00223D5E"/>
    <w:rsid w:val="00224D6E"/>
    <w:rsid w:val="002258D0"/>
    <w:rsid w:val="00226563"/>
    <w:rsid w:val="00227306"/>
    <w:rsid w:val="00231E85"/>
    <w:rsid w:val="00233156"/>
    <w:rsid w:val="002357F6"/>
    <w:rsid w:val="002361D7"/>
    <w:rsid w:val="00237523"/>
    <w:rsid w:val="0024036C"/>
    <w:rsid w:val="00241142"/>
    <w:rsid w:val="00243BB7"/>
    <w:rsid w:val="00246DF1"/>
    <w:rsid w:val="00250F8D"/>
    <w:rsid w:val="00255218"/>
    <w:rsid w:val="00255250"/>
    <w:rsid w:val="002560BA"/>
    <w:rsid w:val="00256828"/>
    <w:rsid w:val="00256E63"/>
    <w:rsid w:val="0025744E"/>
    <w:rsid w:val="00257544"/>
    <w:rsid w:val="00261569"/>
    <w:rsid w:val="00261F72"/>
    <w:rsid w:val="0026472B"/>
    <w:rsid w:val="0026537E"/>
    <w:rsid w:val="00265712"/>
    <w:rsid w:val="00266F2D"/>
    <w:rsid w:val="0027063D"/>
    <w:rsid w:val="00270B71"/>
    <w:rsid w:val="00271C2F"/>
    <w:rsid w:val="002765BD"/>
    <w:rsid w:val="00277620"/>
    <w:rsid w:val="0028271B"/>
    <w:rsid w:val="00282F52"/>
    <w:rsid w:val="00283031"/>
    <w:rsid w:val="00283FE1"/>
    <w:rsid w:val="0028526F"/>
    <w:rsid w:val="00285324"/>
    <w:rsid w:val="00285443"/>
    <w:rsid w:val="00285CC1"/>
    <w:rsid w:val="0028647A"/>
    <w:rsid w:val="002920A1"/>
    <w:rsid w:val="002931DE"/>
    <w:rsid w:val="00293315"/>
    <w:rsid w:val="00294776"/>
    <w:rsid w:val="002A0BF2"/>
    <w:rsid w:val="002A0CD8"/>
    <w:rsid w:val="002A1892"/>
    <w:rsid w:val="002A4AD1"/>
    <w:rsid w:val="002A65DD"/>
    <w:rsid w:val="002B1BB0"/>
    <w:rsid w:val="002B2608"/>
    <w:rsid w:val="002B2ABC"/>
    <w:rsid w:val="002B4291"/>
    <w:rsid w:val="002B4DC6"/>
    <w:rsid w:val="002B652A"/>
    <w:rsid w:val="002B71CA"/>
    <w:rsid w:val="002C0DDA"/>
    <w:rsid w:val="002C27D9"/>
    <w:rsid w:val="002C2DBC"/>
    <w:rsid w:val="002C3278"/>
    <w:rsid w:val="002C4544"/>
    <w:rsid w:val="002C4801"/>
    <w:rsid w:val="002C55F3"/>
    <w:rsid w:val="002D5E66"/>
    <w:rsid w:val="002D7D4A"/>
    <w:rsid w:val="002E2E5E"/>
    <w:rsid w:val="002E357D"/>
    <w:rsid w:val="002F1165"/>
    <w:rsid w:val="002F24B5"/>
    <w:rsid w:val="002F5BF3"/>
    <w:rsid w:val="002F60F9"/>
    <w:rsid w:val="002F7A3D"/>
    <w:rsid w:val="00300484"/>
    <w:rsid w:val="0030078C"/>
    <w:rsid w:val="00302512"/>
    <w:rsid w:val="00303CA3"/>
    <w:rsid w:val="00304517"/>
    <w:rsid w:val="00304A01"/>
    <w:rsid w:val="0030656B"/>
    <w:rsid w:val="00306C5D"/>
    <w:rsid w:val="00307ED7"/>
    <w:rsid w:val="00311CFE"/>
    <w:rsid w:val="00311E2B"/>
    <w:rsid w:val="00312972"/>
    <w:rsid w:val="003174E3"/>
    <w:rsid w:val="00323208"/>
    <w:rsid w:val="00323959"/>
    <w:rsid w:val="00326EBD"/>
    <w:rsid w:val="00327FAA"/>
    <w:rsid w:val="003326EF"/>
    <w:rsid w:val="00333320"/>
    <w:rsid w:val="00333C06"/>
    <w:rsid w:val="003364D0"/>
    <w:rsid w:val="0033665A"/>
    <w:rsid w:val="00340C55"/>
    <w:rsid w:val="00343615"/>
    <w:rsid w:val="003437E3"/>
    <w:rsid w:val="00343B86"/>
    <w:rsid w:val="00343C5C"/>
    <w:rsid w:val="00345CF8"/>
    <w:rsid w:val="00346932"/>
    <w:rsid w:val="003473E8"/>
    <w:rsid w:val="00350677"/>
    <w:rsid w:val="00357DA8"/>
    <w:rsid w:val="00361DC0"/>
    <w:rsid w:val="00361F90"/>
    <w:rsid w:val="00364727"/>
    <w:rsid w:val="0037012B"/>
    <w:rsid w:val="00372FDA"/>
    <w:rsid w:val="00375F07"/>
    <w:rsid w:val="00382F42"/>
    <w:rsid w:val="00383621"/>
    <w:rsid w:val="003865BD"/>
    <w:rsid w:val="00386EA7"/>
    <w:rsid w:val="003877D5"/>
    <w:rsid w:val="00392804"/>
    <w:rsid w:val="00393375"/>
    <w:rsid w:val="003955D4"/>
    <w:rsid w:val="003959C0"/>
    <w:rsid w:val="003974E0"/>
    <w:rsid w:val="003A084B"/>
    <w:rsid w:val="003A41AF"/>
    <w:rsid w:val="003A56E2"/>
    <w:rsid w:val="003A6BC7"/>
    <w:rsid w:val="003A6E41"/>
    <w:rsid w:val="003B0857"/>
    <w:rsid w:val="003B3C32"/>
    <w:rsid w:val="003B3E29"/>
    <w:rsid w:val="003B3EFD"/>
    <w:rsid w:val="003B55B2"/>
    <w:rsid w:val="003B5B7F"/>
    <w:rsid w:val="003B673A"/>
    <w:rsid w:val="003B6DBC"/>
    <w:rsid w:val="003C2FC3"/>
    <w:rsid w:val="003C51A0"/>
    <w:rsid w:val="003C7AED"/>
    <w:rsid w:val="003D26E4"/>
    <w:rsid w:val="003D3735"/>
    <w:rsid w:val="003D5388"/>
    <w:rsid w:val="003D59C6"/>
    <w:rsid w:val="003D6BA6"/>
    <w:rsid w:val="003D7128"/>
    <w:rsid w:val="003D7542"/>
    <w:rsid w:val="003E03DD"/>
    <w:rsid w:val="003F2B4A"/>
    <w:rsid w:val="003F2FE5"/>
    <w:rsid w:val="003F3799"/>
    <w:rsid w:val="003F3F8F"/>
    <w:rsid w:val="003F5A66"/>
    <w:rsid w:val="003F7A99"/>
    <w:rsid w:val="00402F6F"/>
    <w:rsid w:val="0040342D"/>
    <w:rsid w:val="00404198"/>
    <w:rsid w:val="004078F8"/>
    <w:rsid w:val="004102AF"/>
    <w:rsid w:val="00411302"/>
    <w:rsid w:val="00411885"/>
    <w:rsid w:val="00411C62"/>
    <w:rsid w:val="00411D7B"/>
    <w:rsid w:val="0041293C"/>
    <w:rsid w:val="00412E88"/>
    <w:rsid w:val="00413738"/>
    <w:rsid w:val="00413D2B"/>
    <w:rsid w:val="0041502C"/>
    <w:rsid w:val="0041642E"/>
    <w:rsid w:val="0041705E"/>
    <w:rsid w:val="00417791"/>
    <w:rsid w:val="00422385"/>
    <w:rsid w:val="004241FE"/>
    <w:rsid w:val="00424E17"/>
    <w:rsid w:val="00425339"/>
    <w:rsid w:val="00426091"/>
    <w:rsid w:val="00430437"/>
    <w:rsid w:val="00431D96"/>
    <w:rsid w:val="00433394"/>
    <w:rsid w:val="00435B3B"/>
    <w:rsid w:val="00437EB9"/>
    <w:rsid w:val="0044058E"/>
    <w:rsid w:val="00440980"/>
    <w:rsid w:val="00440F7A"/>
    <w:rsid w:val="00442090"/>
    <w:rsid w:val="00443335"/>
    <w:rsid w:val="00444209"/>
    <w:rsid w:val="004447D2"/>
    <w:rsid w:val="00445579"/>
    <w:rsid w:val="00446963"/>
    <w:rsid w:val="00446A68"/>
    <w:rsid w:val="004517C9"/>
    <w:rsid w:val="00452696"/>
    <w:rsid w:val="00454126"/>
    <w:rsid w:val="00454DD5"/>
    <w:rsid w:val="00456F5A"/>
    <w:rsid w:val="00461037"/>
    <w:rsid w:val="00462468"/>
    <w:rsid w:val="004637F9"/>
    <w:rsid w:val="00463E55"/>
    <w:rsid w:val="004703A6"/>
    <w:rsid w:val="00472335"/>
    <w:rsid w:val="00474B9A"/>
    <w:rsid w:val="004761A5"/>
    <w:rsid w:val="004762A1"/>
    <w:rsid w:val="004769BA"/>
    <w:rsid w:val="00476EE5"/>
    <w:rsid w:val="00480725"/>
    <w:rsid w:val="0048265E"/>
    <w:rsid w:val="004828EE"/>
    <w:rsid w:val="00482991"/>
    <w:rsid w:val="00483AE8"/>
    <w:rsid w:val="004840BD"/>
    <w:rsid w:val="00485257"/>
    <w:rsid w:val="00485B65"/>
    <w:rsid w:val="00485DAA"/>
    <w:rsid w:val="004865A0"/>
    <w:rsid w:val="00487A7D"/>
    <w:rsid w:val="0049014B"/>
    <w:rsid w:val="00490D79"/>
    <w:rsid w:val="004915A0"/>
    <w:rsid w:val="004915EA"/>
    <w:rsid w:val="004942D2"/>
    <w:rsid w:val="00494623"/>
    <w:rsid w:val="00497E66"/>
    <w:rsid w:val="004A035C"/>
    <w:rsid w:val="004A16B3"/>
    <w:rsid w:val="004A254C"/>
    <w:rsid w:val="004A2CCC"/>
    <w:rsid w:val="004A3F73"/>
    <w:rsid w:val="004A4320"/>
    <w:rsid w:val="004A4E9D"/>
    <w:rsid w:val="004A6682"/>
    <w:rsid w:val="004B1A6E"/>
    <w:rsid w:val="004B402A"/>
    <w:rsid w:val="004B443F"/>
    <w:rsid w:val="004B4B42"/>
    <w:rsid w:val="004C28D9"/>
    <w:rsid w:val="004C6D4E"/>
    <w:rsid w:val="004C78F3"/>
    <w:rsid w:val="004C7BEC"/>
    <w:rsid w:val="004D0116"/>
    <w:rsid w:val="004D0724"/>
    <w:rsid w:val="004D2563"/>
    <w:rsid w:val="004D545B"/>
    <w:rsid w:val="004E31F2"/>
    <w:rsid w:val="004E3E3D"/>
    <w:rsid w:val="004E6913"/>
    <w:rsid w:val="004F0903"/>
    <w:rsid w:val="004F5F0E"/>
    <w:rsid w:val="004F6F26"/>
    <w:rsid w:val="0050275A"/>
    <w:rsid w:val="00503B1F"/>
    <w:rsid w:val="00504D6D"/>
    <w:rsid w:val="00504DD1"/>
    <w:rsid w:val="00505A23"/>
    <w:rsid w:val="00505E0C"/>
    <w:rsid w:val="005129ED"/>
    <w:rsid w:val="0052032B"/>
    <w:rsid w:val="0052086C"/>
    <w:rsid w:val="00525109"/>
    <w:rsid w:val="00532698"/>
    <w:rsid w:val="00533E4E"/>
    <w:rsid w:val="00535087"/>
    <w:rsid w:val="005400FC"/>
    <w:rsid w:val="00540AC1"/>
    <w:rsid w:val="0054147B"/>
    <w:rsid w:val="00542B52"/>
    <w:rsid w:val="005435EC"/>
    <w:rsid w:val="00544E29"/>
    <w:rsid w:val="00546D69"/>
    <w:rsid w:val="00551893"/>
    <w:rsid w:val="00551EC5"/>
    <w:rsid w:val="00552A07"/>
    <w:rsid w:val="00552F93"/>
    <w:rsid w:val="00553C47"/>
    <w:rsid w:val="005549AB"/>
    <w:rsid w:val="00557439"/>
    <w:rsid w:val="005619FD"/>
    <w:rsid w:val="00563087"/>
    <w:rsid w:val="00563712"/>
    <w:rsid w:val="0056410F"/>
    <w:rsid w:val="0056452C"/>
    <w:rsid w:val="005649AD"/>
    <w:rsid w:val="00564CF5"/>
    <w:rsid w:val="005654C8"/>
    <w:rsid w:val="005661D6"/>
    <w:rsid w:val="00573086"/>
    <w:rsid w:val="00573AC2"/>
    <w:rsid w:val="005744F1"/>
    <w:rsid w:val="005848C6"/>
    <w:rsid w:val="0058642D"/>
    <w:rsid w:val="00586927"/>
    <w:rsid w:val="00587B55"/>
    <w:rsid w:val="0059171C"/>
    <w:rsid w:val="005925FE"/>
    <w:rsid w:val="005936A1"/>
    <w:rsid w:val="00593774"/>
    <w:rsid w:val="00595836"/>
    <w:rsid w:val="00595FC7"/>
    <w:rsid w:val="00597362"/>
    <w:rsid w:val="00597929"/>
    <w:rsid w:val="005A0FE2"/>
    <w:rsid w:val="005A6B97"/>
    <w:rsid w:val="005B05FC"/>
    <w:rsid w:val="005B47B2"/>
    <w:rsid w:val="005C111B"/>
    <w:rsid w:val="005C41FF"/>
    <w:rsid w:val="005C634A"/>
    <w:rsid w:val="005D032F"/>
    <w:rsid w:val="005D0413"/>
    <w:rsid w:val="005D0E78"/>
    <w:rsid w:val="005D11DD"/>
    <w:rsid w:val="005D2046"/>
    <w:rsid w:val="005D36AE"/>
    <w:rsid w:val="005D3C34"/>
    <w:rsid w:val="005D7BE3"/>
    <w:rsid w:val="005E115A"/>
    <w:rsid w:val="005E5D9E"/>
    <w:rsid w:val="005E74F4"/>
    <w:rsid w:val="005F00EA"/>
    <w:rsid w:val="005F14F4"/>
    <w:rsid w:val="005F3EE9"/>
    <w:rsid w:val="005F7089"/>
    <w:rsid w:val="005F7A5B"/>
    <w:rsid w:val="00602726"/>
    <w:rsid w:val="0060579D"/>
    <w:rsid w:val="006060A7"/>
    <w:rsid w:val="006067D0"/>
    <w:rsid w:val="006068E1"/>
    <w:rsid w:val="006136C0"/>
    <w:rsid w:val="006147BB"/>
    <w:rsid w:val="0061481F"/>
    <w:rsid w:val="00615645"/>
    <w:rsid w:val="00615CCA"/>
    <w:rsid w:val="00617DA8"/>
    <w:rsid w:val="006217AC"/>
    <w:rsid w:val="00622DEA"/>
    <w:rsid w:val="00624C33"/>
    <w:rsid w:val="0062756D"/>
    <w:rsid w:val="00633F69"/>
    <w:rsid w:val="0063538C"/>
    <w:rsid w:val="00637454"/>
    <w:rsid w:val="006420E0"/>
    <w:rsid w:val="00642D20"/>
    <w:rsid w:val="00643549"/>
    <w:rsid w:val="00643F16"/>
    <w:rsid w:val="006461EE"/>
    <w:rsid w:val="006503AA"/>
    <w:rsid w:val="0065244D"/>
    <w:rsid w:val="00653C44"/>
    <w:rsid w:val="00655C03"/>
    <w:rsid w:val="00667D5F"/>
    <w:rsid w:val="00675736"/>
    <w:rsid w:val="006762AF"/>
    <w:rsid w:val="00682F22"/>
    <w:rsid w:val="00685261"/>
    <w:rsid w:val="0068623A"/>
    <w:rsid w:val="0068720D"/>
    <w:rsid w:val="00687628"/>
    <w:rsid w:val="00691095"/>
    <w:rsid w:val="006918AA"/>
    <w:rsid w:val="00691DDF"/>
    <w:rsid w:val="006934C3"/>
    <w:rsid w:val="00694B2E"/>
    <w:rsid w:val="00694D72"/>
    <w:rsid w:val="0069582C"/>
    <w:rsid w:val="00695D3F"/>
    <w:rsid w:val="006A1A6D"/>
    <w:rsid w:val="006A1A98"/>
    <w:rsid w:val="006A3811"/>
    <w:rsid w:val="006A45FA"/>
    <w:rsid w:val="006A4915"/>
    <w:rsid w:val="006A52D5"/>
    <w:rsid w:val="006A5EBD"/>
    <w:rsid w:val="006B0CEB"/>
    <w:rsid w:val="006B5238"/>
    <w:rsid w:val="006B6CB2"/>
    <w:rsid w:val="006B70B9"/>
    <w:rsid w:val="006C1471"/>
    <w:rsid w:val="006C1FCB"/>
    <w:rsid w:val="006C3F37"/>
    <w:rsid w:val="006C4152"/>
    <w:rsid w:val="006C4A64"/>
    <w:rsid w:val="006C568D"/>
    <w:rsid w:val="006C586E"/>
    <w:rsid w:val="006C6105"/>
    <w:rsid w:val="006C6149"/>
    <w:rsid w:val="006C6347"/>
    <w:rsid w:val="006C73A8"/>
    <w:rsid w:val="006D02EF"/>
    <w:rsid w:val="006D3878"/>
    <w:rsid w:val="006D4711"/>
    <w:rsid w:val="006D54BA"/>
    <w:rsid w:val="006D5C93"/>
    <w:rsid w:val="006E026B"/>
    <w:rsid w:val="006E176F"/>
    <w:rsid w:val="006E27C0"/>
    <w:rsid w:val="006E32AF"/>
    <w:rsid w:val="006E4201"/>
    <w:rsid w:val="006E649E"/>
    <w:rsid w:val="006F0C2F"/>
    <w:rsid w:val="006F2834"/>
    <w:rsid w:val="006F6BAE"/>
    <w:rsid w:val="007011B1"/>
    <w:rsid w:val="00705BD1"/>
    <w:rsid w:val="00707E54"/>
    <w:rsid w:val="00715D23"/>
    <w:rsid w:val="00723C85"/>
    <w:rsid w:val="00725670"/>
    <w:rsid w:val="0073269D"/>
    <w:rsid w:val="00733E0D"/>
    <w:rsid w:val="00734D20"/>
    <w:rsid w:val="0073514C"/>
    <w:rsid w:val="0073796D"/>
    <w:rsid w:val="00744D55"/>
    <w:rsid w:val="007525E8"/>
    <w:rsid w:val="0075332E"/>
    <w:rsid w:val="00760778"/>
    <w:rsid w:val="00764BDD"/>
    <w:rsid w:val="00764BE6"/>
    <w:rsid w:val="0076556C"/>
    <w:rsid w:val="00767A52"/>
    <w:rsid w:val="007700B9"/>
    <w:rsid w:val="007718A6"/>
    <w:rsid w:val="00771A3C"/>
    <w:rsid w:val="0077239E"/>
    <w:rsid w:val="00773E0F"/>
    <w:rsid w:val="00776612"/>
    <w:rsid w:val="007768E1"/>
    <w:rsid w:val="00781A01"/>
    <w:rsid w:val="007837C4"/>
    <w:rsid w:val="00784AFA"/>
    <w:rsid w:val="0078651E"/>
    <w:rsid w:val="00790227"/>
    <w:rsid w:val="0079364B"/>
    <w:rsid w:val="00794AED"/>
    <w:rsid w:val="007A2CD3"/>
    <w:rsid w:val="007A6F82"/>
    <w:rsid w:val="007A780A"/>
    <w:rsid w:val="007B02AC"/>
    <w:rsid w:val="007B1AA0"/>
    <w:rsid w:val="007B2905"/>
    <w:rsid w:val="007B2B7E"/>
    <w:rsid w:val="007B4C67"/>
    <w:rsid w:val="007B506B"/>
    <w:rsid w:val="007B532A"/>
    <w:rsid w:val="007B6B39"/>
    <w:rsid w:val="007B7A9B"/>
    <w:rsid w:val="007C05D9"/>
    <w:rsid w:val="007C0DE8"/>
    <w:rsid w:val="007C15CD"/>
    <w:rsid w:val="007C1733"/>
    <w:rsid w:val="007C1BBF"/>
    <w:rsid w:val="007C2E20"/>
    <w:rsid w:val="007C3190"/>
    <w:rsid w:val="007C6026"/>
    <w:rsid w:val="007D2636"/>
    <w:rsid w:val="007D2FB9"/>
    <w:rsid w:val="007D336A"/>
    <w:rsid w:val="007D5238"/>
    <w:rsid w:val="007D563A"/>
    <w:rsid w:val="007D5FD8"/>
    <w:rsid w:val="007E2924"/>
    <w:rsid w:val="007E3A06"/>
    <w:rsid w:val="007E5974"/>
    <w:rsid w:val="007E7296"/>
    <w:rsid w:val="007F024D"/>
    <w:rsid w:val="007F1B85"/>
    <w:rsid w:val="007F1DA4"/>
    <w:rsid w:val="007F2D3D"/>
    <w:rsid w:val="007F5594"/>
    <w:rsid w:val="00801994"/>
    <w:rsid w:val="008019EE"/>
    <w:rsid w:val="00801FCC"/>
    <w:rsid w:val="0080292C"/>
    <w:rsid w:val="00804DD7"/>
    <w:rsid w:val="00805A62"/>
    <w:rsid w:val="008064D3"/>
    <w:rsid w:val="008077E9"/>
    <w:rsid w:val="0081156F"/>
    <w:rsid w:val="00811ED6"/>
    <w:rsid w:val="00813DDB"/>
    <w:rsid w:val="00813FB3"/>
    <w:rsid w:val="008143E4"/>
    <w:rsid w:val="00814518"/>
    <w:rsid w:val="00815C82"/>
    <w:rsid w:val="00817E92"/>
    <w:rsid w:val="008270FC"/>
    <w:rsid w:val="00827F92"/>
    <w:rsid w:val="00832DFC"/>
    <w:rsid w:val="00832F26"/>
    <w:rsid w:val="0083391A"/>
    <w:rsid w:val="0083444F"/>
    <w:rsid w:val="00834550"/>
    <w:rsid w:val="00834CB5"/>
    <w:rsid w:val="0083722E"/>
    <w:rsid w:val="00840A23"/>
    <w:rsid w:val="00841993"/>
    <w:rsid w:val="00842C11"/>
    <w:rsid w:val="00843C1B"/>
    <w:rsid w:val="00844E79"/>
    <w:rsid w:val="00846ABA"/>
    <w:rsid w:val="00847D65"/>
    <w:rsid w:val="00850877"/>
    <w:rsid w:val="00851F80"/>
    <w:rsid w:val="008531E5"/>
    <w:rsid w:val="00854918"/>
    <w:rsid w:val="00856840"/>
    <w:rsid w:val="00860056"/>
    <w:rsid w:val="00862D70"/>
    <w:rsid w:val="00864FA5"/>
    <w:rsid w:val="008661CE"/>
    <w:rsid w:val="0086727D"/>
    <w:rsid w:val="00870BC2"/>
    <w:rsid w:val="00870E00"/>
    <w:rsid w:val="00871AAC"/>
    <w:rsid w:val="00873D2A"/>
    <w:rsid w:val="0087498B"/>
    <w:rsid w:val="008752C4"/>
    <w:rsid w:val="00887C83"/>
    <w:rsid w:val="00893632"/>
    <w:rsid w:val="0089521F"/>
    <w:rsid w:val="00896AF5"/>
    <w:rsid w:val="00897C7E"/>
    <w:rsid w:val="008A00EC"/>
    <w:rsid w:val="008A0587"/>
    <w:rsid w:val="008A0911"/>
    <w:rsid w:val="008A0CFA"/>
    <w:rsid w:val="008A11BB"/>
    <w:rsid w:val="008A23FC"/>
    <w:rsid w:val="008A2799"/>
    <w:rsid w:val="008A339C"/>
    <w:rsid w:val="008A391D"/>
    <w:rsid w:val="008A605F"/>
    <w:rsid w:val="008A61B1"/>
    <w:rsid w:val="008A63F3"/>
    <w:rsid w:val="008B673E"/>
    <w:rsid w:val="008C1CA3"/>
    <w:rsid w:val="008C2CB9"/>
    <w:rsid w:val="008C3457"/>
    <w:rsid w:val="008C48CA"/>
    <w:rsid w:val="008C50E2"/>
    <w:rsid w:val="008C6F77"/>
    <w:rsid w:val="008D14A5"/>
    <w:rsid w:val="008D2372"/>
    <w:rsid w:val="008D2DAC"/>
    <w:rsid w:val="008D36F4"/>
    <w:rsid w:val="008D4A6F"/>
    <w:rsid w:val="008D61EB"/>
    <w:rsid w:val="008E1223"/>
    <w:rsid w:val="008E153D"/>
    <w:rsid w:val="008E3922"/>
    <w:rsid w:val="008F0728"/>
    <w:rsid w:val="008F3221"/>
    <w:rsid w:val="008F41A9"/>
    <w:rsid w:val="008F733C"/>
    <w:rsid w:val="00900AEF"/>
    <w:rsid w:val="009011C6"/>
    <w:rsid w:val="009027F5"/>
    <w:rsid w:val="0090311B"/>
    <w:rsid w:val="00903D14"/>
    <w:rsid w:val="00905AF2"/>
    <w:rsid w:val="00905D1F"/>
    <w:rsid w:val="00910432"/>
    <w:rsid w:val="00911F65"/>
    <w:rsid w:val="00920814"/>
    <w:rsid w:val="00920F3F"/>
    <w:rsid w:val="009232BD"/>
    <w:rsid w:val="00924046"/>
    <w:rsid w:val="00926450"/>
    <w:rsid w:val="00934A90"/>
    <w:rsid w:val="00940194"/>
    <w:rsid w:val="00943C78"/>
    <w:rsid w:val="009453C7"/>
    <w:rsid w:val="009476A7"/>
    <w:rsid w:val="009479F1"/>
    <w:rsid w:val="009510D3"/>
    <w:rsid w:val="00952398"/>
    <w:rsid w:val="009524F9"/>
    <w:rsid w:val="009536B7"/>
    <w:rsid w:val="009537B4"/>
    <w:rsid w:val="00954051"/>
    <w:rsid w:val="009543D2"/>
    <w:rsid w:val="00955EB8"/>
    <w:rsid w:val="00962FC3"/>
    <w:rsid w:val="00963CD5"/>
    <w:rsid w:val="00965F22"/>
    <w:rsid w:val="00970A68"/>
    <w:rsid w:val="00971E76"/>
    <w:rsid w:val="00971FCA"/>
    <w:rsid w:val="009776B3"/>
    <w:rsid w:val="00980349"/>
    <w:rsid w:val="00983894"/>
    <w:rsid w:val="00986C47"/>
    <w:rsid w:val="00991AE0"/>
    <w:rsid w:val="009932CF"/>
    <w:rsid w:val="00994216"/>
    <w:rsid w:val="00994A1B"/>
    <w:rsid w:val="009A033D"/>
    <w:rsid w:val="009A2C94"/>
    <w:rsid w:val="009A3085"/>
    <w:rsid w:val="009A415E"/>
    <w:rsid w:val="009A7EBD"/>
    <w:rsid w:val="009B3098"/>
    <w:rsid w:val="009B3916"/>
    <w:rsid w:val="009B546E"/>
    <w:rsid w:val="009B5BD5"/>
    <w:rsid w:val="009B6408"/>
    <w:rsid w:val="009B7BB0"/>
    <w:rsid w:val="009C399B"/>
    <w:rsid w:val="009C3A2E"/>
    <w:rsid w:val="009C766A"/>
    <w:rsid w:val="009D007E"/>
    <w:rsid w:val="009D24E5"/>
    <w:rsid w:val="009D2F31"/>
    <w:rsid w:val="009D3592"/>
    <w:rsid w:val="009D65D2"/>
    <w:rsid w:val="009D68A1"/>
    <w:rsid w:val="009D6D6B"/>
    <w:rsid w:val="009E3EEF"/>
    <w:rsid w:val="009E4050"/>
    <w:rsid w:val="009E50B5"/>
    <w:rsid w:val="009F085D"/>
    <w:rsid w:val="009F0BC4"/>
    <w:rsid w:val="009F1583"/>
    <w:rsid w:val="009F244B"/>
    <w:rsid w:val="009F52BE"/>
    <w:rsid w:val="009F60FB"/>
    <w:rsid w:val="009F77FF"/>
    <w:rsid w:val="009F7932"/>
    <w:rsid w:val="00A004B7"/>
    <w:rsid w:val="00A035BA"/>
    <w:rsid w:val="00A056B3"/>
    <w:rsid w:val="00A1003D"/>
    <w:rsid w:val="00A10654"/>
    <w:rsid w:val="00A1122B"/>
    <w:rsid w:val="00A12A9B"/>
    <w:rsid w:val="00A13050"/>
    <w:rsid w:val="00A17AC9"/>
    <w:rsid w:val="00A17DE5"/>
    <w:rsid w:val="00A17F87"/>
    <w:rsid w:val="00A21614"/>
    <w:rsid w:val="00A242B6"/>
    <w:rsid w:val="00A25F75"/>
    <w:rsid w:val="00A27A0F"/>
    <w:rsid w:val="00A30F81"/>
    <w:rsid w:val="00A3185E"/>
    <w:rsid w:val="00A33500"/>
    <w:rsid w:val="00A33C45"/>
    <w:rsid w:val="00A34A56"/>
    <w:rsid w:val="00A36559"/>
    <w:rsid w:val="00A41457"/>
    <w:rsid w:val="00A439E1"/>
    <w:rsid w:val="00A44DC1"/>
    <w:rsid w:val="00A45610"/>
    <w:rsid w:val="00A45B6C"/>
    <w:rsid w:val="00A47F49"/>
    <w:rsid w:val="00A56B6F"/>
    <w:rsid w:val="00A60E80"/>
    <w:rsid w:val="00A61662"/>
    <w:rsid w:val="00A62E54"/>
    <w:rsid w:val="00A64449"/>
    <w:rsid w:val="00A65046"/>
    <w:rsid w:val="00A70EF3"/>
    <w:rsid w:val="00A74FF4"/>
    <w:rsid w:val="00A75CF1"/>
    <w:rsid w:val="00A77D5A"/>
    <w:rsid w:val="00A80806"/>
    <w:rsid w:val="00A84B32"/>
    <w:rsid w:val="00A8510C"/>
    <w:rsid w:val="00A871D6"/>
    <w:rsid w:val="00A91556"/>
    <w:rsid w:val="00A91DFB"/>
    <w:rsid w:val="00A93EAA"/>
    <w:rsid w:val="00A94528"/>
    <w:rsid w:val="00A961AB"/>
    <w:rsid w:val="00AA1B93"/>
    <w:rsid w:val="00AA48F9"/>
    <w:rsid w:val="00AA6047"/>
    <w:rsid w:val="00AA69C5"/>
    <w:rsid w:val="00AB112C"/>
    <w:rsid w:val="00AB1D83"/>
    <w:rsid w:val="00AB42E6"/>
    <w:rsid w:val="00AC0C49"/>
    <w:rsid w:val="00AC306E"/>
    <w:rsid w:val="00AC339C"/>
    <w:rsid w:val="00AC684F"/>
    <w:rsid w:val="00AC6FD8"/>
    <w:rsid w:val="00AC7258"/>
    <w:rsid w:val="00AC7406"/>
    <w:rsid w:val="00AD11F8"/>
    <w:rsid w:val="00AD3D7C"/>
    <w:rsid w:val="00AD4338"/>
    <w:rsid w:val="00AD51DB"/>
    <w:rsid w:val="00AD562E"/>
    <w:rsid w:val="00AD7FE4"/>
    <w:rsid w:val="00AE1433"/>
    <w:rsid w:val="00AE1CB1"/>
    <w:rsid w:val="00AE27CE"/>
    <w:rsid w:val="00AE2EDC"/>
    <w:rsid w:val="00AE36A4"/>
    <w:rsid w:val="00AE6074"/>
    <w:rsid w:val="00AE70E7"/>
    <w:rsid w:val="00AE7557"/>
    <w:rsid w:val="00AE797A"/>
    <w:rsid w:val="00AF0364"/>
    <w:rsid w:val="00AF071B"/>
    <w:rsid w:val="00AF49C1"/>
    <w:rsid w:val="00AF61DD"/>
    <w:rsid w:val="00AF68E7"/>
    <w:rsid w:val="00B006C4"/>
    <w:rsid w:val="00B00758"/>
    <w:rsid w:val="00B01D2D"/>
    <w:rsid w:val="00B049A0"/>
    <w:rsid w:val="00B04E60"/>
    <w:rsid w:val="00B067AB"/>
    <w:rsid w:val="00B113BA"/>
    <w:rsid w:val="00B1176A"/>
    <w:rsid w:val="00B145EB"/>
    <w:rsid w:val="00B20B92"/>
    <w:rsid w:val="00B23130"/>
    <w:rsid w:val="00B25034"/>
    <w:rsid w:val="00B25B55"/>
    <w:rsid w:val="00B27807"/>
    <w:rsid w:val="00B27DB5"/>
    <w:rsid w:val="00B30471"/>
    <w:rsid w:val="00B311AD"/>
    <w:rsid w:val="00B3357B"/>
    <w:rsid w:val="00B35564"/>
    <w:rsid w:val="00B36AB9"/>
    <w:rsid w:val="00B36B6A"/>
    <w:rsid w:val="00B5302F"/>
    <w:rsid w:val="00B53972"/>
    <w:rsid w:val="00B564CD"/>
    <w:rsid w:val="00B6463D"/>
    <w:rsid w:val="00B677FC"/>
    <w:rsid w:val="00B7191E"/>
    <w:rsid w:val="00B7251A"/>
    <w:rsid w:val="00B7393A"/>
    <w:rsid w:val="00B75AC2"/>
    <w:rsid w:val="00B8028D"/>
    <w:rsid w:val="00B80FD7"/>
    <w:rsid w:val="00B81E3D"/>
    <w:rsid w:val="00B83C29"/>
    <w:rsid w:val="00B91273"/>
    <w:rsid w:val="00B915A8"/>
    <w:rsid w:val="00B91820"/>
    <w:rsid w:val="00B9403E"/>
    <w:rsid w:val="00BA0C67"/>
    <w:rsid w:val="00BA1060"/>
    <w:rsid w:val="00BA1F19"/>
    <w:rsid w:val="00BA28B5"/>
    <w:rsid w:val="00BA4EA3"/>
    <w:rsid w:val="00BB1F80"/>
    <w:rsid w:val="00BB213C"/>
    <w:rsid w:val="00BB23D1"/>
    <w:rsid w:val="00BB2FA2"/>
    <w:rsid w:val="00BB656F"/>
    <w:rsid w:val="00BB7AC5"/>
    <w:rsid w:val="00BC1F05"/>
    <w:rsid w:val="00BC25D1"/>
    <w:rsid w:val="00BC30EA"/>
    <w:rsid w:val="00BC47BE"/>
    <w:rsid w:val="00BC4CCD"/>
    <w:rsid w:val="00BC741C"/>
    <w:rsid w:val="00BD0807"/>
    <w:rsid w:val="00BD1A8E"/>
    <w:rsid w:val="00BD1C85"/>
    <w:rsid w:val="00BD4B6B"/>
    <w:rsid w:val="00BD7860"/>
    <w:rsid w:val="00BD7A79"/>
    <w:rsid w:val="00BE2AAB"/>
    <w:rsid w:val="00BE39D3"/>
    <w:rsid w:val="00BE446A"/>
    <w:rsid w:val="00BE68B3"/>
    <w:rsid w:val="00BF06C6"/>
    <w:rsid w:val="00BF0B6B"/>
    <w:rsid w:val="00BF43D4"/>
    <w:rsid w:val="00C01B46"/>
    <w:rsid w:val="00C10C48"/>
    <w:rsid w:val="00C12309"/>
    <w:rsid w:val="00C14B59"/>
    <w:rsid w:val="00C2010D"/>
    <w:rsid w:val="00C2578A"/>
    <w:rsid w:val="00C34618"/>
    <w:rsid w:val="00C374EC"/>
    <w:rsid w:val="00C37A6C"/>
    <w:rsid w:val="00C43B83"/>
    <w:rsid w:val="00C44241"/>
    <w:rsid w:val="00C44F4F"/>
    <w:rsid w:val="00C45300"/>
    <w:rsid w:val="00C46390"/>
    <w:rsid w:val="00C47E92"/>
    <w:rsid w:val="00C51065"/>
    <w:rsid w:val="00C52A81"/>
    <w:rsid w:val="00C5325B"/>
    <w:rsid w:val="00C54320"/>
    <w:rsid w:val="00C552DB"/>
    <w:rsid w:val="00C619AF"/>
    <w:rsid w:val="00C6393E"/>
    <w:rsid w:val="00C6482F"/>
    <w:rsid w:val="00C66AB4"/>
    <w:rsid w:val="00C72511"/>
    <w:rsid w:val="00C72B49"/>
    <w:rsid w:val="00C740F4"/>
    <w:rsid w:val="00C742C1"/>
    <w:rsid w:val="00C77572"/>
    <w:rsid w:val="00C80B13"/>
    <w:rsid w:val="00C812B4"/>
    <w:rsid w:val="00C83D0A"/>
    <w:rsid w:val="00C843F5"/>
    <w:rsid w:val="00C853D9"/>
    <w:rsid w:val="00C8638C"/>
    <w:rsid w:val="00C8653C"/>
    <w:rsid w:val="00C870BC"/>
    <w:rsid w:val="00C904D3"/>
    <w:rsid w:val="00C91361"/>
    <w:rsid w:val="00C916D8"/>
    <w:rsid w:val="00C926DF"/>
    <w:rsid w:val="00C92F45"/>
    <w:rsid w:val="00C939EA"/>
    <w:rsid w:val="00C94D9D"/>
    <w:rsid w:val="00C95F9E"/>
    <w:rsid w:val="00C9732A"/>
    <w:rsid w:val="00CA086E"/>
    <w:rsid w:val="00CA0B8F"/>
    <w:rsid w:val="00CA3CE0"/>
    <w:rsid w:val="00CA44F4"/>
    <w:rsid w:val="00CA567C"/>
    <w:rsid w:val="00CA567D"/>
    <w:rsid w:val="00CA6CFE"/>
    <w:rsid w:val="00CA7F2A"/>
    <w:rsid w:val="00CB37D7"/>
    <w:rsid w:val="00CC231D"/>
    <w:rsid w:val="00CD0BB8"/>
    <w:rsid w:val="00CD133B"/>
    <w:rsid w:val="00CD39BB"/>
    <w:rsid w:val="00CD4B7D"/>
    <w:rsid w:val="00CD576E"/>
    <w:rsid w:val="00CD5AE6"/>
    <w:rsid w:val="00CD5E17"/>
    <w:rsid w:val="00CD72D7"/>
    <w:rsid w:val="00CE2F62"/>
    <w:rsid w:val="00CE648D"/>
    <w:rsid w:val="00CE681F"/>
    <w:rsid w:val="00CF2668"/>
    <w:rsid w:val="00CF285F"/>
    <w:rsid w:val="00CF3756"/>
    <w:rsid w:val="00CF52A7"/>
    <w:rsid w:val="00CF5465"/>
    <w:rsid w:val="00CF55C6"/>
    <w:rsid w:val="00D015DA"/>
    <w:rsid w:val="00D039F5"/>
    <w:rsid w:val="00D05623"/>
    <w:rsid w:val="00D0662C"/>
    <w:rsid w:val="00D06D88"/>
    <w:rsid w:val="00D07596"/>
    <w:rsid w:val="00D07FAE"/>
    <w:rsid w:val="00D14C17"/>
    <w:rsid w:val="00D156ED"/>
    <w:rsid w:val="00D21867"/>
    <w:rsid w:val="00D2207F"/>
    <w:rsid w:val="00D22DE5"/>
    <w:rsid w:val="00D23975"/>
    <w:rsid w:val="00D24B82"/>
    <w:rsid w:val="00D257C9"/>
    <w:rsid w:val="00D321FD"/>
    <w:rsid w:val="00D3286E"/>
    <w:rsid w:val="00D3483F"/>
    <w:rsid w:val="00D41D31"/>
    <w:rsid w:val="00D437C5"/>
    <w:rsid w:val="00D44221"/>
    <w:rsid w:val="00D44257"/>
    <w:rsid w:val="00D46645"/>
    <w:rsid w:val="00D4710E"/>
    <w:rsid w:val="00D50AA7"/>
    <w:rsid w:val="00D51A00"/>
    <w:rsid w:val="00D5390D"/>
    <w:rsid w:val="00D53CFF"/>
    <w:rsid w:val="00D53E53"/>
    <w:rsid w:val="00D60131"/>
    <w:rsid w:val="00D610E1"/>
    <w:rsid w:val="00D627F7"/>
    <w:rsid w:val="00D645CC"/>
    <w:rsid w:val="00D66D01"/>
    <w:rsid w:val="00D67183"/>
    <w:rsid w:val="00D70617"/>
    <w:rsid w:val="00D711C5"/>
    <w:rsid w:val="00D72097"/>
    <w:rsid w:val="00D73321"/>
    <w:rsid w:val="00D82ABF"/>
    <w:rsid w:val="00D901D3"/>
    <w:rsid w:val="00D91CDE"/>
    <w:rsid w:val="00D93A60"/>
    <w:rsid w:val="00D979CB"/>
    <w:rsid w:val="00DA021E"/>
    <w:rsid w:val="00DA0451"/>
    <w:rsid w:val="00DA2A6E"/>
    <w:rsid w:val="00DA52CB"/>
    <w:rsid w:val="00DA68D6"/>
    <w:rsid w:val="00DB4AF2"/>
    <w:rsid w:val="00DB5066"/>
    <w:rsid w:val="00DB5C1B"/>
    <w:rsid w:val="00DB79D8"/>
    <w:rsid w:val="00DB7D28"/>
    <w:rsid w:val="00DC2850"/>
    <w:rsid w:val="00DC33E3"/>
    <w:rsid w:val="00DC38E0"/>
    <w:rsid w:val="00DC3F8F"/>
    <w:rsid w:val="00DC4F41"/>
    <w:rsid w:val="00DC5026"/>
    <w:rsid w:val="00DC7B1D"/>
    <w:rsid w:val="00DD02AD"/>
    <w:rsid w:val="00DD3A8B"/>
    <w:rsid w:val="00DD435B"/>
    <w:rsid w:val="00DD4888"/>
    <w:rsid w:val="00DE1B6A"/>
    <w:rsid w:val="00DE2720"/>
    <w:rsid w:val="00DE440F"/>
    <w:rsid w:val="00DE5507"/>
    <w:rsid w:val="00DE71C9"/>
    <w:rsid w:val="00DF017E"/>
    <w:rsid w:val="00DF1F3F"/>
    <w:rsid w:val="00DF341A"/>
    <w:rsid w:val="00DF3916"/>
    <w:rsid w:val="00DF50A3"/>
    <w:rsid w:val="00DF71E1"/>
    <w:rsid w:val="00E00110"/>
    <w:rsid w:val="00E001BB"/>
    <w:rsid w:val="00E00376"/>
    <w:rsid w:val="00E01BD6"/>
    <w:rsid w:val="00E02994"/>
    <w:rsid w:val="00E04411"/>
    <w:rsid w:val="00E048E2"/>
    <w:rsid w:val="00E05D3C"/>
    <w:rsid w:val="00E0703D"/>
    <w:rsid w:val="00E079CE"/>
    <w:rsid w:val="00E10BCC"/>
    <w:rsid w:val="00E13425"/>
    <w:rsid w:val="00E13470"/>
    <w:rsid w:val="00E1410F"/>
    <w:rsid w:val="00E20116"/>
    <w:rsid w:val="00E20C96"/>
    <w:rsid w:val="00E23A89"/>
    <w:rsid w:val="00E2545E"/>
    <w:rsid w:val="00E25E63"/>
    <w:rsid w:val="00E26718"/>
    <w:rsid w:val="00E274A9"/>
    <w:rsid w:val="00E27E7A"/>
    <w:rsid w:val="00E31A8F"/>
    <w:rsid w:val="00E3477C"/>
    <w:rsid w:val="00E35269"/>
    <w:rsid w:val="00E35890"/>
    <w:rsid w:val="00E359B2"/>
    <w:rsid w:val="00E41176"/>
    <w:rsid w:val="00E4233B"/>
    <w:rsid w:val="00E427A7"/>
    <w:rsid w:val="00E42C70"/>
    <w:rsid w:val="00E44BF4"/>
    <w:rsid w:val="00E45287"/>
    <w:rsid w:val="00E46C67"/>
    <w:rsid w:val="00E47624"/>
    <w:rsid w:val="00E5091C"/>
    <w:rsid w:val="00E50E2D"/>
    <w:rsid w:val="00E55976"/>
    <w:rsid w:val="00E61D92"/>
    <w:rsid w:val="00E6425E"/>
    <w:rsid w:val="00E67EE0"/>
    <w:rsid w:val="00E710B0"/>
    <w:rsid w:val="00E72DA7"/>
    <w:rsid w:val="00E730FB"/>
    <w:rsid w:val="00E7317F"/>
    <w:rsid w:val="00E749C2"/>
    <w:rsid w:val="00E818AC"/>
    <w:rsid w:val="00E84275"/>
    <w:rsid w:val="00E87CFE"/>
    <w:rsid w:val="00E90B08"/>
    <w:rsid w:val="00E91AD0"/>
    <w:rsid w:val="00E91CE2"/>
    <w:rsid w:val="00E934ED"/>
    <w:rsid w:val="00E945A6"/>
    <w:rsid w:val="00E94CC5"/>
    <w:rsid w:val="00E972CE"/>
    <w:rsid w:val="00E979E0"/>
    <w:rsid w:val="00E97CD0"/>
    <w:rsid w:val="00EA19E9"/>
    <w:rsid w:val="00EA3D2C"/>
    <w:rsid w:val="00EA5663"/>
    <w:rsid w:val="00EA5A2B"/>
    <w:rsid w:val="00EA6524"/>
    <w:rsid w:val="00EA72EA"/>
    <w:rsid w:val="00EB2055"/>
    <w:rsid w:val="00EB23AB"/>
    <w:rsid w:val="00EB3D43"/>
    <w:rsid w:val="00EB629A"/>
    <w:rsid w:val="00EB6E0A"/>
    <w:rsid w:val="00EB73EB"/>
    <w:rsid w:val="00EB74BB"/>
    <w:rsid w:val="00EC0269"/>
    <w:rsid w:val="00EC1BDB"/>
    <w:rsid w:val="00EC1EC3"/>
    <w:rsid w:val="00EC3726"/>
    <w:rsid w:val="00EC3D89"/>
    <w:rsid w:val="00EC6FE8"/>
    <w:rsid w:val="00ED0C62"/>
    <w:rsid w:val="00ED2179"/>
    <w:rsid w:val="00ED59DC"/>
    <w:rsid w:val="00ED6868"/>
    <w:rsid w:val="00EE04FC"/>
    <w:rsid w:val="00EE0976"/>
    <w:rsid w:val="00EE2C0D"/>
    <w:rsid w:val="00EF57F7"/>
    <w:rsid w:val="00EF763A"/>
    <w:rsid w:val="00EF76B5"/>
    <w:rsid w:val="00EF7C04"/>
    <w:rsid w:val="00F03DA5"/>
    <w:rsid w:val="00F05E2F"/>
    <w:rsid w:val="00F10673"/>
    <w:rsid w:val="00F10F99"/>
    <w:rsid w:val="00F12E68"/>
    <w:rsid w:val="00F1463A"/>
    <w:rsid w:val="00F14CD2"/>
    <w:rsid w:val="00F14E5D"/>
    <w:rsid w:val="00F177F9"/>
    <w:rsid w:val="00F207E3"/>
    <w:rsid w:val="00F21854"/>
    <w:rsid w:val="00F22D6B"/>
    <w:rsid w:val="00F2498F"/>
    <w:rsid w:val="00F27146"/>
    <w:rsid w:val="00F31B52"/>
    <w:rsid w:val="00F33485"/>
    <w:rsid w:val="00F33B87"/>
    <w:rsid w:val="00F34919"/>
    <w:rsid w:val="00F35971"/>
    <w:rsid w:val="00F366E9"/>
    <w:rsid w:val="00F36850"/>
    <w:rsid w:val="00F36F1E"/>
    <w:rsid w:val="00F378BA"/>
    <w:rsid w:val="00F41330"/>
    <w:rsid w:val="00F475FE"/>
    <w:rsid w:val="00F47F66"/>
    <w:rsid w:val="00F53FF2"/>
    <w:rsid w:val="00F57982"/>
    <w:rsid w:val="00F57ECE"/>
    <w:rsid w:val="00F609A4"/>
    <w:rsid w:val="00F61724"/>
    <w:rsid w:val="00F61C90"/>
    <w:rsid w:val="00F64679"/>
    <w:rsid w:val="00F6469F"/>
    <w:rsid w:val="00F67F2E"/>
    <w:rsid w:val="00F71EAF"/>
    <w:rsid w:val="00F722A3"/>
    <w:rsid w:val="00F73BF8"/>
    <w:rsid w:val="00F73F59"/>
    <w:rsid w:val="00F7494A"/>
    <w:rsid w:val="00F760D9"/>
    <w:rsid w:val="00F7712D"/>
    <w:rsid w:val="00F81D10"/>
    <w:rsid w:val="00F8212A"/>
    <w:rsid w:val="00F837AF"/>
    <w:rsid w:val="00F843B5"/>
    <w:rsid w:val="00F85C61"/>
    <w:rsid w:val="00F93D1D"/>
    <w:rsid w:val="00F968FA"/>
    <w:rsid w:val="00F97F21"/>
    <w:rsid w:val="00FA1D68"/>
    <w:rsid w:val="00FA35CB"/>
    <w:rsid w:val="00FA3D76"/>
    <w:rsid w:val="00FA44A2"/>
    <w:rsid w:val="00FA4CB6"/>
    <w:rsid w:val="00FA5864"/>
    <w:rsid w:val="00FA68EC"/>
    <w:rsid w:val="00FB5AB9"/>
    <w:rsid w:val="00FC14EE"/>
    <w:rsid w:val="00FC3324"/>
    <w:rsid w:val="00FC39C1"/>
    <w:rsid w:val="00FC45BF"/>
    <w:rsid w:val="00FC4C44"/>
    <w:rsid w:val="00FD0AE3"/>
    <w:rsid w:val="00FD1A0E"/>
    <w:rsid w:val="00FD23ED"/>
    <w:rsid w:val="00FD319B"/>
    <w:rsid w:val="00FD6044"/>
    <w:rsid w:val="00FD610E"/>
    <w:rsid w:val="00FD7B03"/>
    <w:rsid w:val="00FE117B"/>
    <w:rsid w:val="00FE183E"/>
    <w:rsid w:val="00FE1EB1"/>
    <w:rsid w:val="00FE2C4D"/>
    <w:rsid w:val="00FE3E4D"/>
    <w:rsid w:val="00FE47EB"/>
    <w:rsid w:val="00FE4B19"/>
    <w:rsid w:val="00FE4D19"/>
    <w:rsid w:val="00FE6430"/>
    <w:rsid w:val="00FF0CC6"/>
    <w:rsid w:val="00FF2718"/>
    <w:rsid w:val="00FF2AB5"/>
    <w:rsid w:val="00FF73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F58AA10-2D16-4EC7-A893-2BF858C0F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D44257"/>
    <w:pPr>
      <w:spacing w:after="0" w:line="360" w:lineRule="auto"/>
      <w:ind w:firstLine="624"/>
      <w:jc w:val="both"/>
    </w:pPr>
    <w:rPr>
      <w:rFonts w:ascii="Times New Roman" w:hAnsi="Times New Roman"/>
      <w:sz w:val="24"/>
    </w:rPr>
  </w:style>
  <w:style w:type="paragraph" w:styleId="1">
    <w:name w:val="heading 1"/>
    <w:basedOn w:val="a0"/>
    <w:next w:val="a0"/>
    <w:link w:val="10"/>
    <w:uiPriority w:val="9"/>
    <w:qFormat/>
    <w:rsid w:val="00EA5A2B"/>
    <w:pPr>
      <w:keepNext/>
      <w:keepLines/>
      <w:pageBreakBefore/>
      <w:spacing w:after="200"/>
      <w:ind w:firstLine="0"/>
      <w:jc w:val="left"/>
      <w:outlineLvl w:val="0"/>
    </w:pPr>
    <w:rPr>
      <w:rFonts w:eastAsiaTheme="majorEastAsia" w:cstheme="majorBidi"/>
      <w:b/>
      <w:bCs/>
      <w:caps/>
      <w:sz w:val="28"/>
      <w:szCs w:val="28"/>
    </w:rPr>
  </w:style>
  <w:style w:type="paragraph" w:styleId="2">
    <w:name w:val="heading 2"/>
    <w:basedOn w:val="a0"/>
    <w:next w:val="a0"/>
    <w:link w:val="20"/>
    <w:uiPriority w:val="9"/>
    <w:unhideWhenUsed/>
    <w:qFormat/>
    <w:rsid w:val="00DA2A6E"/>
    <w:pPr>
      <w:keepNext/>
      <w:keepLines/>
      <w:spacing w:after="200"/>
      <w:ind w:firstLine="0"/>
      <w:jc w:val="left"/>
      <w:outlineLvl w:val="1"/>
    </w:pPr>
    <w:rPr>
      <w:rFonts w:eastAsiaTheme="majorEastAsia" w:cstheme="majorBidi"/>
      <w:b/>
      <w:bCs/>
      <w:sz w:val="28"/>
      <w:szCs w:val="26"/>
    </w:rPr>
  </w:style>
  <w:style w:type="paragraph" w:styleId="3">
    <w:name w:val="heading 3"/>
    <w:basedOn w:val="a0"/>
    <w:next w:val="a0"/>
    <w:link w:val="30"/>
    <w:uiPriority w:val="9"/>
    <w:unhideWhenUsed/>
    <w:qFormat/>
    <w:rsid w:val="00DA2A6E"/>
    <w:pPr>
      <w:keepNext/>
      <w:keepLines/>
      <w:spacing w:after="200"/>
      <w:ind w:firstLine="0"/>
      <w:jc w:val="left"/>
      <w:outlineLvl w:val="2"/>
    </w:pPr>
    <w:rPr>
      <w:rFonts w:eastAsiaTheme="majorEastAsia" w:cstheme="majorBidi"/>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SVEwithoutindent">
    <w:name w:val="SVE without indent"/>
    <w:basedOn w:val="a0"/>
    <w:next w:val="a0"/>
    <w:qFormat/>
    <w:rsid w:val="00EA5A2B"/>
    <w:pPr>
      <w:ind w:firstLine="0"/>
    </w:pPr>
    <w:rPr>
      <w:lang w:val="en-US"/>
    </w:rPr>
  </w:style>
  <w:style w:type="paragraph" w:customStyle="1" w:styleId="SVEcentered">
    <w:name w:val="SVE centered"/>
    <w:basedOn w:val="SVEwithoutindent"/>
    <w:next w:val="a0"/>
    <w:qFormat/>
    <w:rsid w:val="00326EBD"/>
    <w:pPr>
      <w:jc w:val="center"/>
    </w:pPr>
  </w:style>
  <w:style w:type="character" w:customStyle="1" w:styleId="10">
    <w:name w:val="Заголовок 1 Знак"/>
    <w:basedOn w:val="a1"/>
    <w:link w:val="1"/>
    <w:uiPriority w:val="9"/>
    <w:rsid w:val="00EA5A2B"/>
    <w:rPr>
      <w:rFonts w:ascii="Times New Roman" w:eastAsiaTheme="majorEastAsia" w:hAnsi="Times New Roman" w:cstheme="majorBidi"/>
      <w:b/>
      <w:bCs/>
      <w:caps/>
      <w:sz w:val="28"/>
      <w:szCs w:val="28"/>
    </w:rPr>
  </w:style>
  <w:style w:type="character" w:customStyle="1" w:styleId="20">
    <w:name w:val="Заголовок 2 Знак"/>
    <w:basedOn w:val="a1"/>
    <w:link w:val="2"/>
    <w:uiPriority w:val="9"/>
    <w:rsid w:val="00DA2A6E"/>
    <w:rPr>
      <w:rFonts w:ascii="Times New Roman" w:eastAsiaTheme="majorEastAsia" w:hAnsi="Times New Roman" w:cstheme="majorBidi"/>
      <w:b/>
      <w:bCs/>
      <w:sz w:val="28"/>
      <w:szCs w:val="26"/>
    </w:rPr>
  </w:style>
  <w:style w:type="character" w:customStyle="1" w:styleId="30">
    <w:name w:val="Заголовок 3 Знак"/>
    <w:basedOn w:val="a1"/>
    <w:link w:val="3"/>
    <w:uiPriority w:val="9"/>
    <w:rsid w:val="00DA2A6E"/>
    <w:rPr>
      <w:rFonts w:ascii="Times New Roman" w:eastAsiaTheme="majorEastAsia" w:hAnsi="Times New Roman" w:cstheme="majorBidi"/>
      <w:b/>
      <w:bCs/>
      <w:sz w:val="24"/>
    </w:rPr>
  </w:style>
  <w:style w:type="paragraph" w:customStyle="1" w:styleId="SVEfigurecaption">
    <w:name w:val="SVE figure caption"/>
    <w:basedOn w:val="SVEcentered"/>
    <w:next w:val="a0"/>
    <w:qFormat/>
    <w:rsid w:val="00256E63"/>
    <w:pPr>
      <w:keepNext/>
      <w:numPr>
        <w:numId w:val="2"/>
      </w:numPr>
      <w:spacing w:after="240"/>
      <w:ind w:left="0" w:firstLine="0"/>
    </w:pPr>
    <w:rPr>
      <w:i/>
    </w:rPr>
  </w:style>
  <w:style w:type="paragraph" w:customStyle="1" w:styleId="SVEfigure">
    <w:name w:val="SVE figure"/>
    <w:basedOn w:val="SVEcentered"/>
    <w:next w:val="SVEfigurecaption"/>
    <w:qFormat/>
    <w:rsid w:val="00AD562E"/>
    <w:pPr>
      <w:keepNext/>
      <w:spacing w:before="240"/>
    </w:pPr>
  </w:style>
  <w:style w:type="character" w:styleId="a4">
    <w:name w:val="Hyperlink"/>
    <w:basedOn w:val="a1"/>
    <w:uiPriority w:val="99"/>
    <w:unhideWhenUsed/>
    <w:rsid w:val="00143AA2"/>
    <w:rPr>
      <w:color w:val="0000FF" w:themeColor="hyperlink"/>
      <w:u w:val="single"/>
    </w:rPr>
  </w:style>
  <w:style w:type="character" w:customStyle="1" w:styleId="11">
    <w:name w:val="Неразрешенное упоминание1"/>
    <w:basedOn w:val="a1"/>
    <w:uiPriority w:val="99"/>
    <w:semiHidden/>
    <w:unhideWhenUsed/>
    <w:rsid w:val="00143AA2"/>
    <w:rPr>
      <w:color w:val="808080"/>
      <w:shd w:val="clear" w:color="auto" w:fill="E6E6E6"/>
    </w:rPr>
  </w:style>
  <w:style w:type="character" w:styleId="a5">
    <w:name w:val="Placeholder Text"/>
    <w:basedOn w:val="a1"/>
    <w:uiPriority w:val="99"/>
    <w:semiHidden/>
    <w:rsid w:val="00462468"/>
    <w:rPr>
      <w:color w:val="808080"/>
    </w:rPr>
  </w:style>
  <w:style w:type="paragraph" w:customStyle="1" w:styleId="SVEtableheader">
    <w:name w:val="SVE table header"/>
    <w:basedOn w:val="SVEfigurecaption"/>
    <w:next w:val="a0"/>
    <w:qFormat/>
    <w:rsid w:val="00871AAC"/>
    <w:pPr>
      <w:numPr>
        <w:numId w:val="0"/>
      </w:numPr>
      <w:spacing w:after="0"/>
    </w:pPr>
    <w:rPr>
      <w:b/>
      <w:i w:val="0"/>
      <w:sz w:val="22"/>
    </w:rPr>
  </w:style>
  <w:style w:type="paragraph" w:customStyle="1" w:styleId="SVEtablecontent">
    <w:name w:val="SVE table content"/>
    <w:basedOn w:val="SVEfigurecaption"/>
    <w:next w:val="a0"/>
    <w:qFormat/>
    <w:rsid w:val="00256E63"/>
    <w:pPr>
      <w:keepNext w:val="0"/>
      <w:numPr>
        <w:numId w:val="0"/>
      </w:numPr>
      <w:spacing w:after="0"/>
      <w:jc w:val="left"/>
    </w:pPr>
    <w:rPr>
      <w:i w:val="0"/>
      <w:sz w:val="22"/>
    </w:rPr>
  </w:style>
  <w:style w:type="table" w:styleId="a6">
    <w:name w:val="Table Grid"/>
    <w:basedOn w:val="a2"/>
    <w:uiPriority w:val="59"/>
    <w:unhideWhenUsed/>
    <w:rsid w:val="00FA586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VEtablecaption">
    <w:name w:val="SVE table caption"/>
    <w:basedOn w:val="SVEfigurecaption"/>
    <w:next w:val="a0"/>
    <w:qFormat/>
    <w:rsid w:val="00256E63"/>
    <w:pPr>
      <w:keepLines/>
      <w:numPr>
        <w:numId w:val="1"/>
      </w:numPr>
      <w:spacing w:before="240" w:after="0"/>
      <w:jc w:val="right"/>
    </w:pPr>
    <w:rPr>
      <w:i w:val="0"/>
    </w:rPr>
  </w:style>
  <w:style w:type="paragraph" w:styleId="a7">
    <w:name w:val="No Spacing"/>
    <w:uiPriority w:val="1"/>
    <w:qFormat/>
    <w:rsid w:val="00AD562E"/>
    <w:pPr>
      <w:spacing w:after="0" w:line="240" w:lineRule="auto"/>
      <w:jc w:val="both"/>
    </w:pPr>
    <w:rPr>
      <w:rFonts w:ascii="Times New Roman" w:hAnsi="Times New Roman"/>
      <w:sz w:val="24"/>
    </w:rPr>
  </w:style>
  <w:style w:type="paragraph" w:customStyle="1" w:styleId="SVEwithindent">
    <w:name w:val="SVE with indent"/>
    <w:basedOn w:val="SVEwithoutindent"/>
    <w:qFormat/>
    <w:rsid w:val="00563087"/>
    <w:pPr>
      <w:ind w:left="4536"/>
    </w:pPr>
    <w:rPr>
      <w:szCs w:val="24"/>
    </w:rPr>
  </w:style>
  <w:style w:type="character" w:customStyle="1" w:styleId="SVEunderlined">
    <w:name w:val="SVE underlined"/>
    <w:basedOn w:val="a1"/>
    <w:uiPriority w:val="1"/>
    <w:qFormat/>
    <w:rsid w:val="00563087"/>
    <w:rPr>
      <w:u w:val="single"/>
    </w:rPr>
  </w:style>
  <w:style w:type="character" w:customStyle="1" w:styleId="SVEemphsized">
    <w:name w:val="SVE emphsized"/>
    <w:basedOn w:val="a1"/>
    <w:uiPriority w:val="1"/>
    <w:qFormat/>
    <w:rsid w:val="00563087"/>
    <w:rPr>
      <w:b/>
      <w:szCs w:val="24"/>
      <w:lang w:val="en-US"/>
    </w:rPr>
  </w:style>
  <w:style w:type="paragraph" w:styleId="a8">
    <w:name w:val="Balloon Text"/>
    <w:basedOn w:val="a0"/>
    <w:link w:val="a9"/>
    <w:uiPriority w:val="99"/>
    <w:semiHidden/>
    <w:unhideWhenUsed/>
    <w:rsid w:val="008A11BB"/>
    <w:pPr>
      <w:spacing w:line="240" w:lineRule="auto"/>
    </w:pPr>
    <w:rPr>
      <w:rFonts w:ascii="Tahoma" w:hAnsi="Tahoma" w:cs="Tahoma"/>
      <w:sz w:val="16"/>
      <w:szCs w:val="16"/>
    </w:rPr>
  </w:style>
  <w:style w:type="character" w:customStyle="1" w:styleId="a9">
    <w:name w:val="Текст выноски Знак"/>
    <w:basedOn w:val="a1"/>
    <w:link w:val="a8"/>
    <w:uiPriority w:val="99"/>
    <w:semiHidden/>
    <w:rsid w:val="008A11BB"/>
    <w:rPr>
      <w:rFonts w:ascii="Tahoma" w:hAnsi="Tahoma" w:cs="Tahoma"/>
      <w:sz w:val="16"/>
      <w:szCs w:val="16"/>
    </w:rPr>
  </w:style>
  <w:style w:type="paragraph" w:styleId="a">
    <w:name w:val="List Bullet"/>
    <w:basedOn w:val="a0"/>
    <w:uiPriority w:val="99"/>
    <w:unhideWhenUsed/>
    <w:rsid w:val="00256E63"/>
    <w:pPr>
      <w:numPr>
        <w:numId w:val="3"/>
      </w:numPr>
      <w:contextualSpacing/>
    </w:pPr>
  </w:style>
  <w:style w:type="character" w:customStyle="1" w:styleId="21">
    <w:name w:val="Неразрешенное упоминание2"/>
    <w:basedOn w:val="a1"/>
    <w:uiPriority w:val="99"/>
    <w:semiHidden/>
    <w:unhideWhenUsed/>
    <w:rsid w:val="00934A90"/>
    <w:rPr>
      <w:color w:val="808080"/>
      <w:shd w:val="clear" w:color="auto" w:fill="E6E6E6"/>
    </w:rPr>
  </w:style>
  <w:style w:type="character" w:customStyle="1" w:styleId="shorttext">
    <w:name w:val="short_text"/>
    <w:basedOn w:val="a1"/>
    <w:rsid w:val="00934A90"/>
  </w:style>
  <w:style w:type="paragraph" w:styleId="aa">
    <w:name w:val="List Paragraph"/>
    <w:basedOn w:val="a0"/>
    <w:uiPriority w:val="34"/>
    <w:qFormat/>
    <w:rsid w:val="00C47E92"/>
    <w:pPr>
      <w:ind w:left="720"/>
      <w:contextualSpacing/>
    </w:pPr>
  </w:style>
  <w:style w:type="paragraph" w:customStyle="1" w:styleId="SVEquation">
    <w:name w:val="SV Equation"/>
    <w:basedOn w:val="a0"/>
    <w:qFormat/>
    <w:rsid w:val="00E001BB"/>
    <w:pPr>
      <w:tabs>
        <w:tab w:val="center" w:pos="4678"/>
        <w:tab w:val="right" w:pos="9356"/>
      </w:tabs>
      <w:spacing w:before="240" w:after="240"/>
      <w:ind w:firstLine="0"/>
      <w:contextualSpacing/>
      <w:jc w:val="left"/>
    </w:pPr>
    <w:rPr>
      <w:lang w:eastAsia="ru-RU"/>
    </w:rPr>
  </w:style>
  <w:style w:type="paragraph" w:styleId="ab">
    <w:name w:val="caption"/>
    <w:aliases w:val="Caption"/>
    <w:basedOn w:val="a0"/>
    <w:next w:val="a0"/>
    <w:uiPriority w:val="35"/>
    <w:unhideWhenUsed/>
    <w:qFormat/>
    <w:rsid w:val="00DC3F8F"/>
    <w:pPr>
      <w:ind w:firstLine="0"/>
      <w:jc w:val="left"/>
    </w:pPr>
    <w:rPr>
      <w:iCs/>
      <w:szCs w:val="18"/>
    </w:rPr>
  </w:style>
  <w:style w:type="paragraph" w:styleId="ac">
    <w:name w:val="Normal (Web)"/>
    <w:basedOn w:val="a0"/>
    <w:uiPriority w:val="99"/>
    <w:semiHidden/>
    <w:unhideWhenUsed/>
    <w:rsid w:val="00C72B49"/>
    <w:pPr>
      <w:spacing w:before="100" w:beforeAutospacing="1" w:after="100" w:afterAutospacing="1" w:line="240" w:lineRule="auto"/>
      <w:ind w:firstLine="0"/>
      <w:jc w:val="left"/>
    </w:pPr>
    <w:rPr>
      <w:rFonts w:eastAsia="Times New Roman" w:cs="Times New Roman"/>
      <w:szCs w:val="24"/>
      <w:lang w:eastAsia="ru-RU"/>
    </w:rPr>
  </w:style>
  <w:style w:type="character" w:customStyle="1" w:styleId="SSUnderlined">
    <w:name w:val="SS Underlined"/>
    <w:basedOn w:val="a1"/>
    <w:uiPriority w:val="1"/>
    <w:qFormat/>
    <w:rsid w:val="00D44257"/>
    <w:rPr>
      <w:u w:val="single"/>
    </w:rPr>
  </w:style>
  <w:style w:type="character" w:customStyle="1" w:styleId="SSBold">
    <w:name w:val="SS Bold"/>
    <w:basedOn w:val="a1"/>
    <w:uiPriority w:val="1"/>
    <w:qFormat/>
    <w:rsid w:val="00D44257"/>
    <w:rPr>
      <w:b/>
      <w:lang w:val="en-US"/>
    </w:rPr>
  </w:style>
  <w:style w:type="paragraph" w:customStyle="1" w:styleId="SSwithleftindent8cm">
    <w:name w:val="SS with left indent 8 cm"/>
    <w:basedOn w:val="a0"/>
    <w:qFormat/>
    <w:rsid w:val="00D44257"/>
    <w:pPr>
      <w:ind w:left="4536" w:firstLine="0"/>
    </w:pPr>
    <w:rPr>
      <w:rFonts w:cs="Times New Roman"/>
    </w:rPr>
  </w:style>
  <w:style w:type="paragraph" w:customStyle="1" w:styleId="Style1">
    <w:name w:val="Style1"/>
    <w:basedOn w:val="a0"/>
    <w:next w:val="a0"/>
    <w:qFormat/>
    <w:rsid w:val="00D44257"/>
    <w:rPr>
      <w:rFonts w:cs="Times New Roman"/>
      <w:lang w:val="en-GB"/>
    </w:rPr>
  </w:style>
  <w:style w:type="paragraph" w:styleId="22">
    <w:name w:val="toc 2"/>
    <w:basedOn w:val="a0"/>
    <w:next w:val="a0"/>
    <w:autoRedefine/>
    <w:uiPriority w:val="39"/>
    <w:unhideWhenUsed/>
    <w:rsid w:val="00D44257"/>
    <w:pPr>
      <w:tabs>
        <w:tab w:val="right" w:leader="underscore" w:pos="9345"/>
      </w:tabs>
      <w:spacing w:after="100"/>
    </w:pPr>
  </w:style>
  <w:style w:type="paragraph" w:styleId="31">
    <w:name w:val="toc 3"/>
    <w:basedOn w:val="a0"/>
    <w:next w:val="a0"/>
    <w:autoRedefine/>
    <w:uiPriority w:val="39"/>
    <w:unhideWhenUsed/>
    <w:rsid w:val="00D44257"/>
    <w:pPr>
      <w:spacing w:after="100"/>
      <w:ind w:left="480"/>
    </w:pPr>
  </w:style>
  <w:style w:type="paragraph" w:styleId="ad">
    <w:name w:val="TOC Heading"/>
    <w:basedOn w:val="1"/>
    <w:next w:val="a0"/>
    <w:uiPriority w:val="39"/>
    <w:unhideWhenUsed/>
    <w:qFormat/>
    <w:rsid w:val="00D44257"/>
    <w:pPr>
      <w:pageBreakBefore w:val="0"/>
      <w:spacing w:before="240" w:after="0" w:line="259" w:lineRule="auto"/>
      <w:outlineLvl w:val="9"/>
    </w:pPr>
    <w:rPr>
      <w:rFonts w:asciiTheme="majorHAnsi" w:hAnsiTheme="majorHAnsi"/>
      <w:b w:val="0"/>
      <w:bCs w:val="0"/>
      <w:caps w:val="0"/>
      <w:color w:val="365F91" w:themeColor="accent1" w:themeShade="BF"/>
      <w:sz w:val="32"/>
      <w:szCs w:val="32"/>
      <w:lang w:val="en-GB" w:eastAsia="en-GB"/>
    </w:rPr>
  </w:style>
  <w:style w:type="character" w:customStyle="1" w:styleId="addmd">
    <w:name w:val="addmd"/>
    <w:basedOn w:val="a1"/>
    <w:rsid w:val="00F12E68"/>
  </w:style>
  <w:style w:type="paragraph" w:styleId="ae">
    <w:name w:val="footnote text"/>
    <w:basedOn w:val="a0"/>
    <w:link w:val="af"/>
    <w:uiPriority w:val="99"/>
    <w:unhideWhenUsed/>
    <w:rsid w:val="00DB5066"/>
    <w:pPr>
      <w:spacing w:line="240" w:lineRule="auto"/>
    </w:pPr>
    <w:rPr>
      <w:sz w:val="20"/>
      <w:szCs w:val="20"/>
    </w:rPr>
  </w:style>
  <w:style w:type="character" w:customStyle="1" w:styleId="af">
    <w:name w:val="Текст сноски Знак"/>
    <w:basedOn w:val="a1"/>
    <w:link w:val="ae"/>
    <w:uiPriority w:val="99"/>
    <w:rsid w:val="00DB5066"/>
    <w:rPr>
      <w:rFonts w:ascii="Times New Roman" w:hAnsi="Times New Roman"/>
      <w:sz w:val="20"/>
      <w:szCs w:val="20"/>
    </w:rPr>
  </w:style>
  <w:style w:type="character" w:styleId="af0">
    <w:name w:val="footnote reference"/>
    <w:basedOn w:val="a1"/>
    <w:uiPriority w:val="99"/>
    <w:semiHidden/>
    <w:unhideWhenUsed/>
    <w:rsid w:val="00DB5066"/>
    <w:rPr>
      <w:vertAlign w:val="superscript"/>
    </w:rPr>
  </w:style>
  <w:style w:type="paragraph" w:styleId="12">
    <w:name w:val="toc 1"/>
    <w:basedOn w:val="a0"/>
    <w:next w:val="a0"/>
    <w:autoRedefine/>
    <w:uiPriority w:val="39"/>
    <w:unhideWhenUsed/>
    <w:rsid w:val="006A1A98"/>
    <w:pPr>
      <w:spacing w:after="100"/>
    </w:pPr>
  </w:style>
  <w:style w:type="character" w:customStyle="1" w:styleId="article-content">
    <w:name w:val="article-content"/>
    <w:basedOn w:val="a1"/>
    <w:rsid w:val="00EB6E0A"/>
  </w:style>
  <w:style w:type="character" w:customStyle="1" w:styleId="name">
    <w:name w:val="name"/>
    <w:basedOn w:val="a1"/>
    <w:rsid w:val="006C568D"/>
  </w:style>
  <w:style w:type="paragraph" w:styleId="af1">
    <w:name w:val="endnote text"/>
    <w:basedOn w:val="a0"/>
    <w:link w:val="af2"/>
    <w:uiPriority w:val="99"/>
    <w:semiHidden/>
    <w:unhideWhenUsed/>
    <w:rsid w:val="0041705E"/>
    <w:pPr>
      <w:spacing w:line="240" w:lineRule="auto"/>
    </w:pPr>
    <w:rPr>
      <w:sz w:val="20"/>
      <w:szCs w:val="20"/>
    </w:rPr>
  </w:style>
  <w:style w:type="character" w:customStyle="1" w:styleId="af2">
    <w:name w:val="Текст концевой сноски Знак"/>
    <w:basedOn w:val="a1"/>
    <w:link w:val="af1"/>
    <w:uiPriority w:val="99"/>
    <w:semiHidden/>
    <w:rsid w:val="0041705E"/>
    <w:rPr>
      <w:rFonts w:ascii="Times New Roman" w:hAnsi="Times New Roman"/>
      <w:sz w:val="20"/>
      <w:szCs w:val="20"/>
    </w:rPr>
  </w:style>
  <w:style w:type="character" w:styleId="af3">
    <w:name w:val="endnote reference"/>
    <w:basedOn w:val="a1"/>
    <w:uiPriority w:val="99"/>
    <w:semiHidden/>
    <w:unhideWhenUsed/>
    <w:rsid w:val="0041705E"/>
    <w:rPr>
      <w:vertAlign w:val="superscript"/>
    </w:rPr>
  </w:style>
  <w:style w:type="character" w:styleId="af4">
    <w:name w:val="FollowedHyperlink"/>
    <w:basedOn w:val="a1"/>
    <w:uiPriority w:val="99"/>
    <w:semiHidden/>
    <w:unhideWhenUsed/>
    <w:rsid w:val="00E730FB"/>
    <w:rPr>
      <w:color w:val="800080" w:themeColor="followedHyperlink"/>
      <w:u w:val="single"/>
    </w:rPr>
  </w:style>
  <w:style w:type="table" w:styleId="32">
    <w:name w:val="Plain Table 3"/>
    <w:basedOn w:val="a2"/>
    <w:uiPriority w:val="43"/>
    <w:rsid w:val="00DF50A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13">
    <w:name w:val="Plain Table 1"/>
    <w:basedOn w:val="a2"/>
    <w:uiPriority w:val="41"/>
    <w:rsid w:val="00DF50A3"/>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f5">
    <w:name w:val="Grid Table Light"/>
    <w:basedOn w:val="a2"/>
    <w:uiPriority w:val="40"/>
    <w:rsid w:val="00DF50A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5">
    <w:name w:val="Plain Table 5"/>
    <w:basedOn w:val="a2"/>
    <w:uiPriority w:val="45"/>
    <w:rsid w:val="00DF50A3"/>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4">
    <w:name w:val="Plain Table 4"/>
    <w:basedOn w:val="a2"/>
    <w:uiPriority w:val="44"/>
    <w:rsid w:val="00DF50A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1">
    <w:name w:val="Grid Table 1 Light"/>
    <w:basedOn w:val="a2"/>
    <w:uiPriority w:val="46"/>
    <w:rsid w:val="00DF50A3"/>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23">
    <w:name w:val="Plain Table 2"/>
    <w:basedOn w:val="a2"/>
    <w:uiPriority w:val="42"/>
    <w:rsid w:val="005C111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styleId="af6">
    <w:name w:val="header"/>
    <w:basedOn w:val="a0"/>
    <w:link w:val="af7"/>
    <w:uiPriority w:val="99"/>
    <w:unhideWhenUsed/>
    <w:rsid w:val="004E31F2"/>
    <w:pPr>
      <w:tabs>
        <w:tab w:val="center" w:pos="4677"/>
        <w:tab w:val="right" w:pos="9355"/>
      </w:tabs>
      <w:spacing w:line="240" w:lineRule="auto"/>
    </w:pPr>
  </w:style>
  <w:style w:type="character" w:customStyle="1" w:styleId="af7">
    <w:name w:val="Верхний колонтитул Знак"/>
    <w:basedOn w:val="a1"/>
    <w:link w:val="af6"/>
    <w:uiPriority w:val="99"/>
    <w:rsid w:val="004E31F2"/>
    <w:rPr>
      <w:rFonts w:ascii="Times New Roman" w:hAnsi="Times New Roman"/>
      <w:sz w:val="24"/>
    </w:rPr>
  </w:style>
  <w:style w:type="paragraph" w:styleId="af8">
    <w:name w:val="footer"/>
    <w:basedOn w:val="a0"/>
    <w:link w:val="af9"/>
    <w:uiPriority w:val="99"/>
    <w:unhideWhenUsed/>
    <w:rsid w:val="004E31F2"/>
    <w:pPr>
      <w:tabs>
        <w:tab w:val="center" w:pos="4677"/>
        <w:tab w:val="right" w:pos="9355"/>
      </w:tabs>
      <w:spacing w:line="240" w:lineRule="auto"/>
    </w:pPr>
  </w:style>
  <w:style w:type="character" w:customStyle="1" w:styleId="af9">
    <w:name w:val="Нижний колонтитул Знак"/>
    <w:basedOn w:val="a1"/>
    <w:link w:val="af8"/>
    <w:uiPriority w:val="99"/>
    <w:rsid w:val="004E31F2"/>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43503">
      <w:bodyDiv w:val="1"/>
      <w:marLeft w:val="0"/>
      <w:marRight w:val="0"/>
      <w:marTop w:val="0"/>
      <w:marBottom w:val="0"/>
      <w:divBdr>
        <w:top w:val="none" w:sz="0" w:space="0" w:color="auto"/>
        <w:left w:val="none" w:sz="0" w:space="0" w:color="auto"/>
        <w:bottom w:val="none" w:sz="0" w:space="0" w:color="auto"/>
        <w:right w:val="none" w:sz="0" w:space="0" w:color="auto"/>
      </w:divBdr>
      <w:divsChild>
        <w:div w:id="1089695718">
          <w:marLeft w:val="0"/>
          <w:marRight w:val="0"/>
          <w:marTop w:val="0"/>
          <w:marBottom w:val="0"/>
          <w:divBdr>
            <w:top w:val="none" w:sz="0" w:space="0" w:color="auto"/>
            <w:left w:val="none" w:sz="0" w:space="0" w:color="auto"/>
            <w:bottom w:val="none" w:sz="0" w:space="0" w:color="auto"/>
            <w:right w:val="none" w:sz="0" w:space="0" w:color="auto"/>
          </w:divBdr>
        </w:div>
        <w:div w:id="20401407">
          <w:marLeft w:val="0"/>
          <w:marRight w:val="0"/>
          <w:marTop w:val="0"/>
          <w:marBottom w:val="0"/>
          <w:divBdr>
            <w:top w:val="none" w:sz="0" w:space="0" w:color="auto"/>
            <w:left w:val="none" w:sz="0" w:space="0" w:color="auto"/>
            <w:bottom w:val="none" w:sz="0" w:space="0" w:color="auto"/>
            <w:right w:val="none" w:sz="0" w:space="0" w:color="auto"/>
          </w:divBdr>
        </w:div>
      </w:divsChild>
    </w:div>
    <w:div w:id="18773878">
      <w:bodyDiv w:val="1"/>
      <w:marLeft w:val="0"/>
      <w:marRight w:val="0"/>
      <w:marTop w:val="0"/>
      <w:marBottom w:val="0"/>
      <w:divBdr>
        <w:top w:val="none" w:sz="0" w:space="0" w:color="auto"/>
        <w:left w:val="none" w:sz="0" w:space="0" w:color="auto"/>
        <w:bottom w:val="none" w:sz="0" w:space="0" w:color="auto"/>
        <w:right w:val="none" w:sz="0" w:space="0" w:color="auto"/>
      </w:divBdr>
    </w:div>
    <w:div w:id="65568700">
      <w:bodyDiv w:val="1"/>
      <w:marLeft w:val="0"/>
      <w:marRight w:val="0"/>
      <w:marTop w:val="0"/>
      <w:marBottom w:val="0"/>
      <w:divBdr>
        <w:top w:val="none" w:sz="0" w:space="0" w:color="auto"/>
        <w:left w:val="none" w:sz="0" w:space="0" w:color="auto"/>
        <w:bottom w:val="none" w:sz="0" w:space="0" w:color="auto"/>
        <w:right w:val="none" w:sz="0" w:space="0" w:color="auto"/>
      </w:divBdr>
      <w:divsChild>
        <w:div w:id="800466036">
          <w:marLeft w:val="0"/>
          <w:marRight w:val="0"/>
          <w:marTop w:val="0"/>
          <w:marBottom w:val="0"/>
          <w:divBdr>
            <w:top w:val="none" w:sz="0" w:space="0" w:color="auto"/>
            <w:left w:val="none" w:sz="0" w:space="0" w:color="auto"/>
            <w:bottom w:val="none" w:sz="0" w:space="0" w:color="auto"/>
            <w:right w:val="none" w:sz="0" w:space="0" w:color="auto"/>
          </w:divBdr>
        </w:div>
        <w:div w:id="446586209">
          <w:marLeft w:val="0"/>
          <w:marRight w:val="0"/>
          <w:marTop w:val="0"/>
          <w:marBottom w:val="0"/>
          <w:divBdr>
            <w:top w:val="none" w:sz="0" w:space="0" w:color="auto"/>
            <w:left w:val="none" w:sz="0" w:space="0" w:color="auto"/>
            <w:bottom w:val="none" w:sz="0" w:space="0" w:color="auto"/>
            <w:right w:val="none" w:sz="0" w:space="0" w:color="auto"/>
          </w:divBdr>
        </w:div>
      </w:divsChild>
    </w:div>
    <w:div w:id="71397630">
      <w:bodyDiv w:val="1"/>
      <w:marLeft w:val="0"/>
      <w:marRight w:val="0"/>
      <w:marTop w:val="0"/>
      <w:marBottom w:val="0"/>
      <w:divBdr>
        <w:top w:val="none" w:sz="0" w:space="0" w:color="auto"/>
        <w:left w:val="none" w:sz="0" w:space="0" w:color="auto"/>
        <w:bottom w:val="none" w:sz="0" w:space="0" w:color="auto"/>
        <w:right w:val="none" w:sz="0" w:space="0" w:color="auto"/>
      </w:divBdr>
    </w:div>
    <w:div w:id="72553587">
      <w:bodyDiv w:val="1"/>
      <w:marLeft w:val="0"/>
      <w:marRight w:val="0"/>
      <w:marTop w:val="0"/>
      <w:marBottom w:val="0"/>
      <w:divBdr>
        <w:top w:val="none" w:sz="0" w:space="0" w:color="auto"/>
        <w:left w:val="none" w:sz="0" w:space="0" w:color="auto"/>
        <w:bottom w:val="none" w:sz="0" w:space="0" w:color="auto"/>
        <w:right w:val="none" w:sz="0" w:space="0" w:color="auto"/>
      </w:divBdr>
      <w:divsChild>
        <w:div w:id="1471089322">
          <w:marLeft w:val="0"/>
          <w:marRight w:val="0"/>
          <w:marTop w:val="0"/>
          <w:marBottom w:val="0"/>
          <w:divBdr>
            <w:top w:val="none" w:sz="0" w:space="0" w:color="auto"/>
            <w:left w:val="none" w:sz="0" w:space="0" w:color="auto"/>
            <w:bottom w:val="none" w:sz="0" w:space="0" w:color="auto"/>
            <w:right w:val="none" w:sz="0" w:space="0" w:color="auto"/>
          </w:divBdr>
        </w:div>
        <w:div w:id="538081524">
          <w:marLeft w:val="0"/>
          <w:marRight w:val="0"/>
          <w:marTop w:val="0"/>
          <w:marBottom w:val="0"/>
          <w:divBdr>
            <w:top w:val="none" w:sz="0" w:space="0" w:color="auto"/>
            <w:left w:val="none" w:sz="0" w:space="0" w:color="auto"/>
            <w:bottom w:val="none" w:sz="0" w:space="0" w:color="auto"/>
            <w:right w:val="none" w:sz="0" w:space="0" w:color="auto"/>
          </w:divBdr>
        </w:div>
        <w:div w:id="1615285043">
          <w:marLeft w:val="0"/>
          <w:marRight w:val="0"/>
          <w:marTop w:val="0"/>
          <w:marBottom w:val="0"/>
          <w:divBdr>
            <w:top w:val="none" w:sz="0" w:space="0" w:color="auto"/>
            <w:left w:val="none" w:sz="0" w:space="0" w:color="auto"/>
            <w:bottom w:val="none" w:sz="0" w:space="0" w:color="auto"/>
            <w:right w:val="none" w:sz="0" w:space="0" w:color="auto"/>
          </w:divBdr>
        </w:div>
        <w:div w:id="78211245">
          <w:marLeft w:val="0"/>
          <w:marRight w:val="0"/>
          <w:marTop w:val="0"/>
          <w:marBottom w:val="0"/>
          <w:divBdr>
            <w:top w:val="none" w:sz="0" w:space="0" w:color="auto"/>
            <w:left w:val="none" w:sz="0" w:space="0" w:color="auto"/>
            <w:bottom w:val="none" w:sz="0" w:space="0" w:color="auto"/>
            <w:right w:val="none" w:sz="0" w:space="0" w:color="auto"/>
          </w:divBdr>
        </w:div>
        <w:div w:id="1393768450">
          <w:marLeft w:val="0"/>
          <w:marRight w:val="0"/>
          <w:marTop w:val="0"/>
          <w:marBottom w:val="0"/>
          <w:divBdr>
            <w:top w:val="none" w:sz="0" w:space="0" w:color="auto"/>
            <w:left w:val="none" w:sz="0" w:space="0" w:color="auto"/>
            <w:bottom w:val="none" w:sz="0" w:space="0" w:color="auto"/>
            <w:right w:val="none" w:sz="0" w:space="0" w:color="auto"/>
          </w:divBdr>
        </w:div>
        <w:div w:id="1035541020">
          <w:marLeft w:val="0"/>
          <w:marRight w:val="0"/>
          <w:marTop w:val="0"/>
          <w:marBottom w:val="0"/>
          <w:divBdr>
            <w:top w:val="none" w:sz="0" w:space="0" w:color="auto"/>
            <w:left w:val="none" w:sz="0" w:space="0" w:color="auto"/>
            <w:bottom w:val="none" w:sz="0" w:space="0" w:color="auto"/>
            <w:right w:val="none" w:sz="0" w:space="0" w:color="auto"/>
          </w:divBdr>
        </w:div>
        <w:div w:id="940600170">
          <w:marLeft w:val="0"/>
          <w:marRight w:val="0"/>
          <w:marTop w:val="0"/>
          <w:marBottom w:val="0"/>
          <w:divBdr>
            <w:top w:val="none" w:sz="0" w:space="0" w:color="auto"/>
            <w:left w:val="none" w:sz="0" w:space="0" w:color="auto"/>
            <w:bottom w:val="none" w:sz="0" w:space="0" w:color="auto"/>
            <w:right w:val="none" w:sz="0" w:space="0" w:color="auto"/>
          </w:divBdr>
        </w:div>
        <w:div w:id="1490175488">
          <w:marLeft w:val="0"/>
          <w:marRight w:val="0"/>
          <w:marTop w:val="0"/>
          <w:marBottom w:val="0"/>
          <w:divBdr>
            <w:top w:val="none" w:sz="0" w:space="0" w:color="auto"/>
            <w:left w:val="none" w:sz="0" w:space="0" w:color="auto"/>
            <w:bottom w:val="none" w:sz="0" w:space="0" w:color="auto"/>
            <w:right w:val="none" w:sz="0" w:space="0" w:color="auto"/>
          </w:divBdr>
        </w:div>
      </w:divsChild>
    </w:div>
    <w:div w:id="114637930">
      <w:bodyDiv w:val="1"/>
      <w:marLeft w:val="0"/>
      <w:marRight w:val="0"/>
      <w:marTop w:val="0"/>
      <w:marBottom w:val="0"/>
      <w:divBdr>
        <w:top w:val="none" w:sz="0" w:space="0" w:color="auto"/>
        <w:left w:val="none" w:sz="0" w:space="0" w:color="auto"/>
        <w:bottom w:val="none" w:sz="0" w:space="0" w:color="auto"/>
        <w:right w:val="none" w:sz="0" w:space="0" w:color="auto"/>
      </w:divBdr>
      <w:divsChild>
        <w:div w:id="922564392">
          <w:marLeft w:val="0"/>
          <w:marRight w:val="0"/>
          <w:marTop w:val="0"/>
          <w:marBottom w:val="0"/>
          <w:divBdr>
            <w:top w:val="none" w:sz="0" w:space="0" w:color="auto"/>
            <w:left w:val="none" w:sz="0" w:space="0" w:color="auto"/>
            <w:bottom w:val="none" w:sz="0" w:space="0" w:color="auto"/>
            <w:right w:val="none" w:sz="0" w:space="0" w:color="auto"/>
          </w:divBdr>
        </w:div>
        <w:div w:id="27872786">
          <w:marLeft w:val="0"/>
          <w:marRight w:val="0"/>
          <w:marTop w:val="0"/>
          <w:marBottom w:val="0"/>
          <w:divBdr>
            <w:top w:val="none" w:sz="0" w:space="0" w:color="auto"/>
            <w:left w:val="none" w:sz="0" w:space="0" w:color="auto"/>
            <w:bottom w:val="none" w:sz="0" w:space="0" w:color="auto"/>
            <w:right w:val="none" w:sz="0" w:space="0" w:color="auto"/>
          </w:divBdr>
        </w:div>
        <w:div w:id="494805836">
          <w:marLeft w:val="0"/>
          <w:marRight w:val="0"/>
          <w:marTop w:val="0"/>
          <w:marBottom w:val="0"/>
          <w:divBdr>
            <w:top w:val="none" w:sz="0" w:space="0" w:color="auto"/>
            <w:left w:val="none" w:sz="0" w:space="0" w:color="auto"/>
            <w:bottom w:val="none" w:sz="0" w:space="0" w:color="auto"/>
            <w:right w:val="none" w:sz="0" w:space="0" w:color="auto"/>
          </w:divBdr>
        </w:div>
        <w:div w:id="890775975">
          <w:marLeft w:val="0"/>
          <w:marRight w:val="0"/>
          <w:marTop w:val="0"/>
          <w:marBottom w:val="0"/>
          <w:divBdr>
            <w:top w:val="none" w:sz="0" w:space="0" w:color="auto"/>
            <w:left w:val="none" w:sz="0" w:space="0" w:color="auto"/>
            <w:bottom w:val="none" w:sz="0" w:space="0" w:color="auto"/>
            <w:right w:val="none" w:sz="0" w:space="0" w:color="auto"/>
          </w:divBdr>
        </w:div>
      </w:divsChild>
    </w:div>
    <w:div w:id="118227148">
      <w:bodyDiv w:val="1"/>
      <w:marLeft w:val="0"/>
      <w:marRight w:val="0"/>
      <w:marTop w:val="0"/>
      <w:marBottom w:val="0"/>
      <w:divBdr>
        <w:top w:val="none" w:sz="0" w:space="0" w:color="auto"/>
        <w:left w:val="none" w:sz="0" w:space="0" w:color="auto"/>
        <w:bottom w:val="none" w:sz="0" w:space="0" w:color="auto"/>
        <w:right w:val="none" w:sz="0" w:space="0" w:color="auto"/>
      </w:divBdr>
    </w:div>
    <w:div w:id="172302224">
      <w:bodyDiv w:val="1"/>
      <w:marLeft w:val="0"/>
      <w:marRight w:val="0"/>
      <w:marTop w:val="0"/>
      <w:marBottom w:val="0"/>
      <w:divBdr>
        <w:top w:val="none" w:sz="0" w:space="0" w:color="auto"/>
        <w:left w:val="none" w:sz="0" w:space="0" w:color="auto"/>
        <w:bottom w:val="none" w:sz="0" w:space="0" w:color="auto"/>
        <w:right w:val="none" w:sz="0" w:space="0" w:color="auto"/>
      </w:divBdr>
    </w:div>
    <w:div w:id="179901984">
      <w:bodyDiv w:val="1"/>
      <w:marLeft w:val="0"/>
      <w:marRight w:val="0"/>
      <w:marTop w:val="0"/>
      <w:marBottom w:val="0"/>
      <w:divBdr>
        <w:top w:val="none" w:sz="0" w:space="0" w:color="auto"/>
        <w:left w:val="none" w:sz="0" w:space="0" w:color="auto"/>
        <w:bottom w:val="none" w:sz="0" w:space="0" w:color="auto"/>
        <w:right w:val="none" w:sz="0" w:space="0" w:color="auto"/>
      </w:divBdr>
    </w:div>
    <w:div w:id="193617892">
      <w:bodyDiv w:val="1"/>
      <w:marLeft w:val="0"/>
      <w:marRight w:val="0"/>
      <w:marTop w:val="0"/>
      <w:marBottom w:val="0"/>
      <w:divBdr>
        <w:top w:val="none" w:sz="0" w:space="0" w:color="auto"/>
        <w:left w:val="none" w:sz="0" w:space="0" w:color="auto"/>
        <w:bottom w:val="none" w:sz="0" w:space="0" w:color="auto"/>
        <w:right w:val="none" w:sz="0" w:space="0" w:color="auto"/>
      </w:divBdr>
      <w:divsChild>
        <w:div w:id="199170575">
          <w:marLeft w:val="0"/>
          <w:marRight w:val="0"/>
          <w:marTop w:val="0"/>
          <w:marBottom w:val="0"/>
          <w:divBdr>
            <w:top w:val="none" w:sz="0" w:space="0" w:color="auto"/>
            <w:left w:val="none" w:sz="0" w:space="0" w:color="auto"/>
            <w:bottom w:val="none" w:sz="0" w:space="0" w:color="auto"/>
            <w:right w:val="none" w:sz="0" w:space="0" w:color="auto"/>
          </w:divBdr>
        </w:div>
        <w:div w:id="1131167702">
          <w:marLeft w:val="0"/>
          <w:marRight w:val="0"/>
          <w:marTop w:val="0"/>
          <w:marBottom w:val="0"/>
          <w:divBdr>
            <w:top w:val="none" w:sz="0" w:space="0" w:color="auto"/>
            <w:left w:val="none" w:sz="0" w:space="0" w:color="auto"/>
            <w:bottom w:val="none" w:sz="0" w:space="0" w:color="auto"/>
            <w:right w:val="none" w:sz="0" w:space="0" w:color="auto"/>
          </w:divBdr>
        </w:div>
        <w:div w:id="314182943">
          <w:marLeft w:val="0"/>
          <w:marRight w:val="0"/>
          <w:marTop w:val="0"/>
          <w:marBottom w:val="0"/>
          <w:divBdr>
            <w:top w:val="none" w:sz="0" w:space="0" w:color="auto"/>
            <w:left w:val="none" w:sz="0" w:space="0" w:color="auto"/>
            <w:bottom w:val="none" w:sz="0" w:space="0" w:color="auto"/>
            <w:right w:val="none" w:sz="0" w:space="0" w:color="auto"/>
          </w:divBdr>
        </w:div>
        <w:div w:id="1638146507">
          <w:marLeft w:val="0"/>
          <w:marRight w:val="0"/>
          <w:marTop w:val="0"/>
          <w:marBottom w:val="0"/>
          <w:divBdr>
            <w:top w:val="none" w:sz="0" w:space="0" w:color="auto"/>
            <w:left w:val="none" w:sz="0" w:space="0" w:color="auto"/>
            <w:bottom w:val="none" w:sz="0" w:space="0" w:color="auto"/>
            <w:right w:val="none" w:sz="0" w:space="0" w:color="auto"/>
          </w:divBdr>
        </w:div>
        <w:div w:id="2103409186">
          <w:marLeft w:val="0"/>
          <w:marRight w:val="0"/>
          <w:marTop w:val="0"/>
          <w:marBottom w:val="0"/>
          <w:divBdr>
            <w:top w:val="none" w:sz="0" w:space="0" w:color="auto"/>
            <w:left w:val="none" w:sz="0" w:space="0" w:color="auto"/>
            <w:bottom w:val="none" w:sz="0" w:space="0" w:color="auto"/>
            <w:right w:val="none" w:sz="0" w:space="0" w:color="auto"/>
          </w:divBdr>
        </w:div>
      </w:divsChild>
    </w:div>
    <w:div w:id="214775352">
      <w:bodyDiv w:val="1"/>
      <w:marLeft w:val="0"/>
      <w:marRight w:val="0"/>
      <w:marTop w:val="0"/>
      <w:marBottom w:val="0"/>
      <w:divBdr>
        <w:top w:val="none" w:sz="0" w:space="0" w:color="auto"/>
        <w:left w:val="none" w:sz="0" w:space="0" w:color="auto"/>
        <w:bottom w:val="none" w:sz="0" w:space="0" w:color="auto"/>
        <w:right w:val="none" w:sz="0" w:space="0" w:color="auto"/>
      </w:divBdr>
    </w:div>
    <w:div w:id="223492894">
      <w:bodyDiv w:val="1"/>
      <w:marLeft w:val="0"/>
      <w:marRight w:val="0"/>
      <w:marTop w:val="0"/>
      <w:marBottom w:val="0"/>
      <w:divBdr>
        <w:top w:val="none" w:sz="0" w:space="0" w:color="auto"/>
        <w:left w:val="none" w:sz="0" w:space="0" w:color="auto"/>
        <w:bottom w:val="none" w:sz="0" w:space="0" w:color="auto"/>
        <w:right w:val="none" w:sz="0" w:space="0" w:color="auto"/>
      </w:divBdr>
      <w:divsChild>
        <w:div w:id="595014259">
          <w:marLeft w:val="0"/>
          <w:marRight w:val="0"/>
          <w:marTop w:val="0"/>
          <w:marBottom w:val="0"/>
          <w:divBdr>
            <w:top w:val="none" w:sz="0" w:space="0" w:color="auto"/>
            <w:left w:val="none" w:sz="0" w:space="0" w:color="auto"/>
            <w:bottom w:val="none" w:sz="0" w:space="0" w:color="auto"/>
            <w:right w:val="none" w:sz="0" w:space="0" w:color="auto"/>
          </w:divBdr>
        </w:div>
        <w:div w:id="2143232546">
          <w:marLeft w:val="0"/>
          <w:marRight w:val="0"/>
          <w:marTop w:val="0"/>
          <w:marBottom w:val="0"/>
          <w:divBdr>
            <w:top w:val="none" w:sz="0" w:space="0" w:color="auto"/>
            <w:left w:val="none" w:sz="0" w:space="0" w:color="auto"/>
            <w:bottom w:val="none" w:sz="0" w:space="0" w:color="auto"/>
            <w:right w:val="none" w:sz="0" w:space="0" w:color="auto"/>
          </w:divBdr>
        </w:div>
      </w:divsChild>
    </w:div>
    <w:div w:id="233443043">
      <w:bodyDiv w:val="1"/>
      <w:marLeft w:val="0"/>
      <w:marRight w:val="0"/>
      <w:marTop w:val="0"/>
      <w:marBottom w:val="0"/>
      <w:divBdr>
        <w:top w:val="none" w:sz="0" w:space="0" w:color="auto"/>
        <w:left w:val="none" w:sz="0" w:space="0" w:color="auto"/>
        <w:bottom w:val="none" w:sz="0" w:space="0" w:color="auto"/>
        <w:right w:val="none" w:sz="0" w:space="0" w:color="auto"/>
      </w:divBdr>
    </w:div>
    <w:div w:id="253368039">
      <w:bodyDiv w:val="1"/>
      <w:marLeft w:val="0"/>
      <w:marRight w:val="0"/>
      <w:marTop w:val="0"/>
      <w:marBottom w:val="0"/>
      <w:divBdr>
        <w:top w:val="none" w:sz="0" w:space="0" w:color="auto"/>
        <w:left w:val="none" w:sz="0" w:space="0" w:color="auto"/>
        <w:bottom w:val="none" w:sz="0" w:space="0" w:color="auto"/>
        <w:right w:val="none" w:sz="0" w:space="0" w:color="auto"/>
      </w:divBdr>
      <w:divsChild>
        <w:div w:id="737822779">
          <w:marLeft w:val="0"/>
          <w:marRight w:val="0"/>
          <w:marTop w:val="0"/>
          <w:marBottom w:val="0"/>
          <w:divBdr>
            <w:top w:val="none" w:sz="0" w:space="0" w:color="auto"/>
            <w:left w:val="none" w:sz="0" w:space="0" w:color="auto"/>
            <w:bottom w:val="none" w:sz="0" w:space="0" w:color="auto"/>
            <w:right w:val="none" w:sz="0" w:space="0" w:color="auto"/>
          </w:divBdr>
        </w:div>
      </w:divsChild>
    </w:div>
    <w:div w:id="279728781">
      <w:bodyDiv w:val="1"/>
      <w:marLeft w:val="0"/>
      <w:marRight w:val="0"/>
      <w:marTop w:val="0"/>
      <w:marBottom w:val="0"/>
      <w:divBdr>
        <w:top w:val="none" w:sz="0" w:space="0" w:color="auto"/>
        <w:left w:val="none" w:sz="0" w:space="0" w:color="auto"/>
        <w:bottom w:val="none" w:sz="0" w:space="0" w:color="auto"/>
        <w:right w:val="none" w:sz="0" w:space="0" w:color="auto"/>
      </w:divBdr>
    </w:div>
    <w:div w:id="283536515">
      <w:bodyDiv w:val="1"/>
      <w:marLeft w:val="0"/>
      <w:marRight w:val="0"/>
      <w:marTop w:val="0"/>
      <w:marBottom w:val="0"/>
      <w:divBdr>
        <w:top w:val="none" w:sz="0" w:space="0" w:color="auto"/>
        <w:left w:val="none" w:sz="0" w:space="0" w:color="auto"/>
        <w:bottom w:val="none" w:sz="0" w:space="0" w:color="auto"/>
        <w:right w:val="none" w:sz="0" w:space="0" w:color="auto"/>
      </w:divBdr>
    </w:div>
    <w:div w:id="312104879">
      <w:bodyDiv w:val="1"/>
      <w:marLeft w:val="0"/>
      <w:marRight w:val="0"/>
      <w:marTop w:val="0"/>
      <w:marBottom w:val="0"/>
      <w:divBdr>
        <w:top w:val="none" w:sz="0" w:space="0" w:color="auto"/>
        <w:left w:val="none" w:sz="0" w:space="0" w:color="auto"/>
        <w:bottom w:val="none" w:sz="0" w:space="0" w:color="auto"/>
        <w:right w:val="none" w:sz="0" w:space="0" w:color="auto"/>
      </w:divBdr>
    </w:div>
    <w:div w:id="326053876">
      <w:bodyDiv w:val="1"/>
      <w:marLeft w:val="0"/>
      <w:marRight w:val="0"/>
      <w:marTop w:val="0"/>
      <w:marBottom w:val="0"/>
      <w:divBdr>
        <w:top w:val="none" w:sz="0" w:space="0" w:color="auto"/>
        <w:left w:val="none" w:sz="0" w:space="0" w:color="auto"/>
        <w:bottom w:val="none" w:sz="0" w:space="0" w:color="auto"/>
        <w:right w:val="none" w:sz="0" w:space="0" w:color="auto"/>
      </w:divBdr>
    </w:div>
    <w:div w:id="390815550">
      <w:bodyDiv w:val="1"/>
      <w:marLeft w:val="0"/>
      <w:marRight w:val="0"/>
      <w:marTop w:val="0"/>
      <w:marBottom w:val="0"/>
      <w:divBdr>
        <w:top w:val="none" w:sz="0" w:space="0" w:color="auto"/>
        <w:left w:val="none" w:sz="0" w:space="0" w:color="auto"/>
        <w:bottom w:val="none" w:sz="0" w:space="0" w:color="auto"/>
        <w:right w:val="none" w:sz="0" w:space="0" w:color="auto"/>
      </w:divBdr>
    </w:div>
    <w:div w:id="423262685">
      <w:bodyDiv w:val="1"/>
      <w:marLeft w:val="0"/>
      <w:marRight w:val="0"/>
      <w:marTop w:val="0"/>
      <w:marBottom w:val="0"/>
      <w:divBdr>
        <w:top w:val="none" w:sz="0" w:space="0" w:color="auto"/>
        <w:left w:val="none" w:sz="0" w:space="0" w:color="auto"/>
        <w:bottom w:val="none" w:sz="0" w:space="0" w:color="auto"/>
        <w:right w:val="none" w:sz="0" w:space="0" w:color="auto"/>
      </w:divBdr>
    </w:div>
    <w:div w:id="424301896">
      <w:bodyDiv w:val="1"/>
      <w:marLeft w:val="0"/>
      <w:marRight w:val="0"/>
      <w:marTop w:val="0"/>
      <w:marBottom w:val="0"/>
      <w:divBdr>
        <w:top w:val="none" w:sz="0" w:space="0" w:color="auto"/>
        <w:left w:val="none" w:sz="0" w:space="0" w:color="auto"/>
        <w:bottom w:val="none" w:sz="0" w:space="0" w:color="auto"/>
        <w:right w:val="none" w:sz="0" w:space="0" w:color="auto"/>
      </w:divBdr>
      <w:divsChild>
        <w:div w:id="1527714407">
          <w:marLeft w:val="0"/>
          <w:marRight w:val="0"/>
          <w:marTop w:val="0"/>
          <w:marBottom w:val="0"/>
          <w:divBdr>
            <w:top w:val="none" w:sz="0" w:space="0" w:color="auto"/>
            <w:left w:val="none" w:sz="0" w:space="0" w:color="auto"/>
            <w:bottom w:val="none" w:sz="0" w:space="0" w:color="auto"/>
            <w:right w:val="none" w:sz="0" w:space="0" w:color="auto"/>
          </w:divBdr>
        </w:div>
      </w:divsChild>
    </w:div>
    <w:div w:id="441457591">
      <w:bodyDiv w:val="1"/>
      <w:marLeft w:val="0"/>
      <w:marRight w:val="0"/>
      <w:marTop w:val="0"/>
      <w:marBottom w:val="0"/>
      <w:divBdr>
        <w:top w:val="none" w:sz="0" w:space="0" w:color="auto"/>
        <w:left w:val="none" w:sz="0" w:space="0" w:color="auto"/>
        <w:bottom w:val="none" w:sz="0" w:space="0" w:color="auto"/>
        <w:right w:val="none" w:sz="0" w:space="0" w:color="auto"/>
      </w:divBdr>
    </w:div>
    <w:div w:id="502625176">
      <w:bodyDiv w:val="1"/>
      <w:marLeft w:val="0"/>
      <w:marRight w:val="0"/>
      <w:marTop w:val="0"/>
      <w:marBottom w:val="0"/>
      <w:divBdr>
        <w:top w:val="none" w:sz="0" w:space="0" w:color="auto"/>
        <w:left w:val="none" w:sz="0" w:space="0" w:color="auto"/>
        <w:bottom w:val="none" w:sz="0" w:space="0" w:color="auto"/>
        <w:right w:val="none" w:sz="0" w:space="0" w:color="auto"/>
      </w:divBdr>
    </w:div>
    <w:div w:id="528956499">
      <w:bodyDiv w:val="1"/>
      <w:marLeft w:val="0"/>
      <w:marRight w:val="0"/>
      <w:marTop w:val="0"/>
      <w:marBottom w:val="0"/>
      <w:divBdr>
        <w:top w:val="none" w:sz="0" w:space="0" w:color="auto"/>
        <w:left w:val="none" w:sz="0" w:space="0" w:color="auto"/>
        <w:bottom w:val="none" w:sz="0" w:space="0" w:color="auto"/>
        <w:right w:val="none" w:sz="0" w:space="0" w:color="auto"/>
      </w:divBdr>
    </w:div>
    <w:div w:id="537931083">
      <w:bodyDiv w:val="1"/>
      <w:marLeft w:val="0"/>
      <w:marRight w:val="0"/>
      <w:marTop w:val="0"/>
      <w:marBottom w:val="0"/>
      <w:divBdr>
        <w:top w:val="none" w:sz="0" w:space="0" w:color="auto"/>
        <w:left w:val="none" w:sz="0" w:space="0" w:color="auto"/>
        <w:bottom w:val="none" w:sz="0" w:space="0" w:color="auto"/>
        <w:right w:val="none" w:sz="0" w:space="0" w:color="auto"/>
      </w:divBdr>
      <w:divsChild>
        <w:div w:id="864445345">
          <w:marLeft w:val="90"/>
          <w:marRight w:val="90"/>
          <w:marTop w:val="0"/>
          <w:marBottom w:val="0"/>
          <w:divBdr>
            <w:top w:val="none" w:sz="0" w:space="0" w:color="auto"/>
            <w:left w:val="none" w:sz="0" w:space="0" w:color="auto"/>
            <w:bottom w:val="none" w:sz="0" w:space="0" w:color="auto"/>
            <w:right w:val="none" w:sz="0" w:space="0" w:color="auto"/>
          </w:divBdr>
          <w:divsChild>
            <w:div w:id="1351755763">
              <w:marLeft w:val="0"/>
              <w:marRight w:val="0"/>
              <w:marTop w:val="0"/>
              <w:marBottom w:val="0"/>
              <w:divBdr>
                <w:top w:val="none" w:sz="0" w:space="0" w:color="auto"/>
                <w:left w:val="none" w:sz="0" w:space="0" w:color="auto"/>
                <w:bottom w:val="none" w:sz="0" w:space="0" w:color="auto"/>
                <w:right w:val="none" w:sz="0" w:space="0" w:color="auto"/>
              </w:divBdr>
              <w:divsChild>
                <w:div w:id="474030895">
                  <w:marLeft w:val="105"/>
                  <w:marRight w:val="105"/>
                  <w:marTop w:val="0"/>
                  <w:marBottom w:val="0"/>
                  <w:divBdr>
                    <w:top w:val="none" w:sz="0" w:space="0" w:color="auto"/>
                    <w:left w:val="none" w:sz="0" w:space="0" w:color="auto"/>
                    <w:bottom w:val="none" w:sz="0" w:space="0" w:color="auto"/>
                    <w:right w:val="none" w:sz="0" w:space="0" w:color="auto"/>
                  </w:divBdr>
                  <w:divsChild>
                    <w:div w:id="119154418">
                      <w:marLeft w:val="0"/>
                      <w:marRight w:val="0"/>
                      <w:marTop w:val="0"/>
                      <w:marBottom w:val="0"/>
                      <w:divBdr>
                        <w:top w:val="none" w:sz="0" w:space="0" w:color="auto"/>
                        <w:left w:val="none" w:sz="0" w:space="0" w:color="auto"/>
                        <w:bottom w:val="none" w:sz="0" w:space="0" w:color="auto"/>
                        <w:right w:val="none" w:sz="0" w:space="0" w:color="auto"/>
                      </w:divBdr>
                      <w:divsChild>
                        <w:div w:id="222720188">
                          <w:marLeft w:val="0"/>
                          <w:marRight w:val="0"/>
                          <w:marTop w:val="0"/>
                          <w:marBottom w:val="0"/>
                          <w:divBdr>
                            <w:top w:val="none" w:sz="0" w:space="0" w:color="auto"/>
                            <w:left w:val="none" w:sz="0" w:space="0" w:color="auto"/>
                            <w:bottom w:val="none" w:sz="0" w:space="0" w:color="auto"/>
                            <w:right w:val="none" w:sz="0" w:space="0" w:color="auto"/>
                          </w:divBdr>
                          <w:divsChild>
                            <w:div w:id="182406623">
                              <w:marLeft w:val="0"/>
                              <w:marRight w:val="0"/>
                              <w:marTop w:val="0"/>
                              <w:marBottom w:val="0"/>
                              <w:divBdr>
                                <w:top w:val="none" w:sz="0" w:space="0" w:color="auto"/>
                                <w:left w:val="none" w:sz="0" w:space="0" w:color="auto"/>
                                <w:bottom w:val="none" w:sz="0" w:space="0" w:color="auto"/>
                                <w:right w:val="none" w:sz="0" w:space="0" w:color="auto"/>
                              </w:divBdr>
                              <w:divsChild>
                                <w:div w:id="499736366">
                                  <w:marLeft w:val="0"/>
                                  <w:marRight w:val="0"/>
                                  <w:marTop w:val="0"/>
                                  <w:marBottom w:val="0"/>
                                  <w:divBdr>
                                    <w:top w:val="none" w:sz="0" w:space="0" w:color="auto"/>
                                    <w:left w:val="none" w:sz="0" w:space="0" w:color="auto"/>
                                    <w:bottom w:val="none" w:sz="0" w:space="0" w:color="auto"/>
                                    <w:right w:val="none" w:sz="0" w:space="0" w:color="auto"/>
                                  </w:divBdr>
                                  <w:divsChild>
                                    <w:div w:id="1111707531">
                                      <w:marLeft w:val="0"/>
                                      <w:marRight w:val="0"/>
                                      <w:marTop w:val="0"/>
                                      <w:marBottom w:val="0"/>
                                      <w:divBdr>
                                        <w:top w:val="none" w:sz="0" w:space="0" w:color="auto"/>
                                        <w:left w:val="none" w:sz="0" w:space="0" w:color="auto"/>
                                        <w:bottom w:val="none" w:sz="0" w:space="0" w:color="auto"/>
                                        <w:right w:val="none" w:sz="0" w:space="0" w:color="auto"/>
                                      </w:divBdr>
                                      <w:divsChild>
                                        <w:div w:id="213351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7626450">
          <w:marLeft w:val="90"/>
          <w:marRight w:val="90"/>
          <w:marTop w:val="0"/>
          <w:marBottom w:val="0"/>
          <w:divBdr>
            <w:top w:val="none" w:sz="0" w:space="0" w:color="auto"/>
            <w:left w:val="none" w:sz="0" w:space="0" w:color="auto"/>
            <w:bottom w:val="none" w:sz="0" w:space="0" w:color="auto"/>
            <w:right w:val="none" w:sz="0" w:space="0" w:color="auto"/>
          </w:divBdr>
          <w:divsChild>
            <w:div w:id="979925638">
              <w:marLeft w:val="0"/>
              <w:marRight w:val="0"/>
              <w:marTop w:val="0"/>
              <w:marBottom w:val="0"/>
              <w:divBdr>
                <w:top w:val="none" w:sz="0" w:space="0" w:color="auto"/>
                <w:left w:val="none" w:sz="0" w:space="0" w:color="auto"/>
                <w:bottom w:val="none" w:sz="0" w:space="0" w:color="auto"/>
                <w:right w:val="none" w:sz="0" w:space="0" w:color="auto"/>
              </w:divBdr>
              <w:divsChild>
                <w:div w:id="115682048">
                  <w:marLeft w:val="0"/>
                  <w:marRight w:val="0"/>
                  <w:marTop w:val="0"/>
                  <w:marBottom w:val="0"/>
                  <w:divBdr>
                    <w:top w:val="none" w:sz="0" w:space="0" w:color="auto"/>
                    <w:left w:val="none" w:sz="0" w:space="0" w:color="auto"/>
                    <w:bottom w:val="none" w:sz="0" w:space="0" w:color="auto"/>
                    <w:right w:val="none" w:sz="0" w:space="0" w:color="auto"/>
                  </w:divBdr>
                  <w:divsChild>
                    <w:div w:id="1295212080">
                      <w:marLeft w:val="0"/>
                      <w:marRight w:val="0"/>
                      <w:marTop w:val="0"/>
                      <w:marBottom w:val="0"/>
                      <w:divBdr>
                        <w:top w:val="none" w:sz="0" w:space="0" w:color="auto"/>
                        <w:left w:val="none" w:sz="0" w:space="0" w:color="auto"/>
                        <w:bottom w:val="none" w:sz="0" w:space="0" w:color="auto"/>
                        <w:right w:val="none" w:sz="0" w:space="0" w:color="auto"/>
                      </w:divBdr>
                      <w:divsChild>
                        <w:div w:id="753741644">
                          <w:marLeft w:val="0"/>
                          <w:marRight w:val="0"/>
                          <w:marTop w:val="0"/>
                          <w:marBottom w:val="0"/>
                          <w:divBdr>
                            <w:top w:val="none" w:sz="0" w:space="0" w:color="auto"/>
                            <w:left w:val="none" w:sz="0" w:space="0" w:color="auto"/>
                            <w:bottom w:val="none" w:sz="0" w:space="0" w:color="auto"/>
                            <w:right w:val="none" w:sz="0" w:space="0" w:color="auto"/>
                          </w:divBdr>
                        </w:div>
                        <w:div w:id="191186133">
                          <w:marLeft w:val="0"/>
                          <w:marRight w:val="0"/>
                          <w:marTop w:val="0"/>
                          <w:marBottom w:val="0"/>
                          <w:divBdr>
                            <w:top w:val="none" w:sz="0" w:space="0" w:color="auto"/>
                            <w:left w:val="none" w:sz="0" w:space="0" w:color="auto"/>
                            <w:bottom w:val="none" w:sz="0" w:space="0" w:color="auto"/>
                            <w:right w:val="none" w:sz="0" w:space="0" w:color="auto"/>
                          </w:divBdr>
                        </w:div>
                        <w:div w:id="1890801579">
                          <w:marLeft w:val="0"/>
                          <w:marRight w:val="0"/>
                          <w:marTop w:val="0"/>
                          <w:marBottom w:val="0"/>
                          <w:divBdr>
                            <w:top w:val="none" w:sz="0" w:space="0" w:color="auto"/>
                            <w:left w:val="none" w:sz="0" w:space="0" w:color="auto"/>
                            <w:bottom w:val="none" w:sz="0" w:space="0" w:color="auto"/>
                            <w:right w:val="none" w:sz="0" w:space="0" w:color="auto"/>
                          </w:divBdr>
                          <w:divsChild>
                            <w:div w:id="10231386">
                              <w:marLeft w:val="0"/>
                              <w:marRight w:val="0"/>
                              <w:marTop w:val="0"/>
                              <w:marBottom w:val="0"/>
                              <w:divBdr>
                                <w:top w:val="none" w:sz="0" w:space="0" w:color="auto"/>
                                <w:left w:val="none" w:sz="0" w:space="0" w:color="auto"/>
                                <w:bottom w:val="none" w:sz="0" w:space="0" w:color="auto"/>
                                <w:right w:val="none" w:sz="0" w:space="0" w:color="auto"/>
                              </w:divBdr>
                              <w:divsChild>
                                <w:div w:id="1218590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7352162">
      <w:bodyDiv w:val="1"/>
      <w:marLeft w:val="0"/>
      <w:marRight w:val="0"/>
      <w:marTop w:val="0"/>
      <w:marBottom w:val="0"/>
      <w:divBdr>
        <w:top w:val="none" w:sz="0" w:space="0" w:color="auto"/>
        <w:left w:val="none" w:sz="0" w:space="0" w:color="auto"/>
        <w:bottom w:val="none" w:sz="0" w:space="0" w:color="auto"/>
        <w:right w:val="none" w:sz="0" w:space="0" w:color="auto"/>
      </w:divBdr>
      <w:divsChild>
        <w:div w:id="2125731744">
          <w:marLeft w:val="0"/>
          <w:marRight w:val="0"/>
          <w:marTop w:val="0"/>
          <w:marBottom w:val="0"/>
          <w:divBdr>
            <w:top w:val="none" w:sz="0" w:space="0" w:color="auto"/>
            <w:left w:val="none" w:sz="0" w:space="0" w:color="auto"/>
            <w:bottom w:val="none" w:sz="0" w:space="0" w:color="auto"/>
            <w:right w:val="none" w:sz="0" w:space="0" w:color="auto"/>
          </w:divBdr>
        </w:div>
        <w:div w:id="1886940030">
          <w:marLeft w:val="0"/>
          <w:marRight w:val="0"/>
          <w:marTop w:val="0"/>
          <w:marBottom w:val="0"/>
          <w:divBdr>
            <w:top w:val="none" w:sz="0" w:space="0" w:color="auto"/>
            <w:left w:val="none" w:sz="0" w:space="0" w:color="auto"/>
            <w:bottom w:val="none" w:sz="0" w:space="0" w:color="auto"/>
            <w:right w:val="none" w:sz="0" w:space="0" w:color="auto"/>
          </w:divBdr>
        </w:div>
        <w:div w:id="1543981539">
          <w:marLeft w:val="0"/>
          <w:marRight w:val="0"/>
          <w:marTop w:val="0"/>
          <w:marBottom w:val="0"/>
          <w:divBdr>
            <w:top w:val="none" w:sz="0" w:space="0" w:color="auto"/>
            <w:left w:val="none" w:sz="0" w:space="0" w:color="auto"/>
            <w:bottom w:val="none" w:sz="0" w:space="0" w:color="auto"/>
            <w:right w:val="none" w:sz="0" w:space="0" w:color="auto"/>
          </w:divBdr>
        </w:div>
        <w:div w:id="882058350">
          <w:marLeft w:val="0"/>
          <w:marRight w:val="0"/>
          <w:marTop w:val="0"/>
          <w:marBottom w:val="0"/>
          <w:divBdr>
            <w:top w:val="none" w:sz="0" w:space="0" w:color="auto"/>
            <w:left w:val="none" w:sz="0" w:space="0" w:color="auto"/>
            <w:bottom w:val="none" w:sz="0" w:space="0" w:color="auto"/>
            <w:right w:val="none" w:sz="0" w:space="0" w:color="auto"/>
          </w:divBdr>
        </w:div>
      </w:divsChild>
    </w:div>
    <w:div w:id="658463287">
      <w:bodyDiv w:val="1"/>
      <w:marLeft w:val="0"/>
      <w:marRight w:val="0"/>
      <w:marTop w:val="0"/>
      <w:marBottom w:val="0"/>
      <w:divBdr>
        <w:top w:val="none" w:sz="0" w:space="0" w:color="auto"/>
        <w:left w:val="none" w:sz="0" w:space="0" w:color="auto"/>
        <w:bottom w:val="none" w:sz="0" w:space="0" w:color="auto"/>
        <w:right w:val="none" w:sz="0" w:space="0" w:color="auto"/>
      </w:divBdr>
      <w:divsChild>
        <w:div w:id="300111013">
          <w:marLeft w:val="0"/>
          <w:marRight w:val="0"/>
          <w:marTop w:val="0"/>
          <w:marBottom w:val="0"/>
          <w:divBdr>
            <w:top w:val="none" w:sz="0" w:space="0" w:color="auto"/>
            <w:left w:val="none" w:sz="0" w:space="0" w:color="auto"/>
            <w:bottom w:val="none" w:sz="0" w:space="0" w:color="auto"/>
            <w:right w:val="none" w:sz="0" w:space="0" w:color="auto"/>
          </w:divBdr>
        </w:div>
        <w:div w:id="1333488761">
          <w:marLeft w:val="0"/>
          <w:marRight w:val="0"/>
          <w:marTop w:val="0"/>
          <w:marBottom w:val="0"/>
          <w:divBdr>
            <w:top w:val="none" w:sz="0" w:space="0" w:color="auto"/>
            <w:left w:val="none" w:sz="0" w:space="0" w:color="auto"/>
            <w:bottom w:val="none" w:sz="0" w:space="0" w:color="auto"/>
            <w:right w:val="none" w:sz="0" w:space="0" w:color="auto"/>
          </w:divBdr>
        </w:div>
        <w:div w:id="1958483991">
          <w:marLeft w:val="0"/>
          <w:marRight w:val="0"/>
          <w:marTop w:val="0"/>
          <w:marBottom w:val="0"/>
          <w:divBdr>
            <w:top w:val="none" w:sz="0" w:space="0" w:color="auto"/>
            <w:left w:val="none" w:sz="0" w:space="0" w:color="auto"/>
            <w:bottom w:val="none" w:sz="0" w:space="0" w:color="auto"/>
            <w:right w:val="none" w:sz="0" w:space="0" w:color="auto"/>
          </w:divBdr>
        </w:div>
      </w:divsChild>
    </w:div>
    <w:div w:id="658533156">
      <w:bodyDiv w:val="1"/>
      <w:marLeft w:val="0"/>
      <w:marRight w:val="0"/>
      <w:marTop w:val="0"/>
      <w:marBottom w:val="0"/>
      <w:divBdr>
        <w:top w:val="none" w:sz="0" w:space="0" w:color="auto"/>
        <w:left w:val="none" w:sz="0" w:space="0" w:color="auto"/>
        <w:bottom w:val="none" w:sz="0" w:space="0" w:color="auto"/>
        <w:right w:val="none" w:sz="0" w:space="0" w:color="auto"/>
      </w:divBdr>
    </w:div>
    <w:div w:id="720984764">
      <w:bodyDiv w:val="1"/>
      <w:marLeft w:val="0"/>
      <w:marRight w:val="0"/>
      <w:marTop w:val="0"/>
      <w:marBottom w:val="0"/>
      <w:divBdr>
        <w:top w:val="none" w:sz="0" w:space="0" w:color="auto"/>
        <w:left w:val="none" w:sz="0" w:space="0" w:color="auto"/>
        <w:bottom w:val="none" w:sz="0" w:space="0" w:color="auto"/>
        <w:right w:val="none" w:sz="0" w:space="0" w:color="auto"/>
      </w:divBdr>
      <w:divsChild>
        <w:div w:id="298804419">
          <w:marLeft w:val="0"/>
          <w:marRight w:val="0"/>
          <w:marTop w:val="0"/>
          <w:marBottom w:val="0"/>
          <w:divBdr>
            <w:top w:val="none" w:sz="0" w:space="0" w:color="auto"/>
            <w:left w:val="none" w:sz="0" w:space="0" w:color="auto"/>
            <w:bottom w:val="none" w:sz="0" w:space="0" w:color="auto"/>
            <w:right w:val="none" w:sz="0" w:space="0" w:color="auto"/>
          </w:divBdr>
        </w:div>
        <w:div w:id="1100416662">
          <w:marLeft w:val="0"/>
          <w:marRight w:val="0"/>
          <w:marTop w:val="0"/>
          <w:marBottom w:val="0"/>
          <w:divBdr>
            <w:top w:val="none" w:sz="0" w:space="0" w:color="auto"/>
            <w:left w:val="none" w:sz="0" w:space="0" w:color="auto"/>
            <w:bottom w:val="none" w:sz="0" w:space="0" w:color="auto"/>
            <w:right w:val="none" w:sz="0" w:space="0" w:color="auto"/>
          </w:divBdr>
        </w:div>
      </w:divsChild>
    </w:div>
    <w:div w:id="743836722">
      <w:bodyDiv w:val="1"/>
      <w:marLeft w:val="0"/>
      <w:marRight w:val="0"/>
      <w:marTop w:val="0"/>
      <w:marBottom w:val="0"/>
      <w:divBdr>
        <w:top w:val="none" w:sz="0" w:space="0" w:color="auto"/>
        <w:left w:val="none" w:sz="0" w:space="0" w:color="auto"/>
        <w:bottom w:val="none" w:sz="0" w:space="0" w:color="auto"/>
        <w:right w:val="none" w:sz="0" w:space="0" w:color="auto"/>
      </w:divBdr>
    </w:div>
    <w:div w:id="792137688">
      <w:bodyDiv w:val="1"/>
      <w:marLeft w:val="0"/>
      <w:marRight w:val="0"/>
      <w:marTop w:val="0"/>
      <w:marBottom w:val="0"/>
      <w:divBdr>
        <w:top w:val="none" w:sz="0" w:space="0" w:color="auto"/>
        <w:left w:val="none" w:sz="0" w:space="0" w:color="auto"/>
        <w:bottom w:val="none" w:sz="0" w:space="0" w:color="auto"/>
        <w:right w:val="none" w:sz="0" w:space="0" w:color="auto"/>
      </w:divBdr>
      <w:divsChild>
        <w:div w:id="1620602909">
          <w:marLeft w:val="0"/>
          <w:marRight w:val="0"/>
          <w:marTop w:val="0"/>
          <w:marBottom w:val="0"/>
          <w:divBdr>
            <w:top w:val="none" w:sz="0" w:space="0" w:color="auto"/>
            <w:left w:val="none" w:sz="0" w:space="0" w:color="auto"/>
            <w:bottom w:val="none" w:sz="0" w:space="0" w:color="auto"/>
            <w:right w:val="none" w:sz="0" w:space="0" w:color="auto"/>
          </w:divBdr>
        </w:div>
      </w:divsChild>
    </w:div>
    <w:div w:id="807239083">
      <w:bodyDiv w:val="1"/>
      <w:marLeft w:val="0"/>
      <w:marRight w:val="0"/>
      <w:marTop w:val="0"/>
      <w:marBottom w:val="0"/>
      <w:divBdr>
        <w:top w:val="none" w:sz="0" w:space="0" w:color="auto"/>
        <w:left w:val="none" w:sz="0" w:space="0" w:color="auto"/>
        <w:bottom w:val="none" w:sz="0" w:space="0" w:color="auto"/>
        <w:right w:val="none" w:sz="0" w:space="0" w:color="auto"/>
      </w:divBdr>
      <w:divsChild>
        <w:div w:id="1678727001">
          <w:marLeft w:val="0"/>
          <w:marRight w:val="0"/>
          <w:marTop w:val="0"/>
          <w:marBottom w:val="0"/>
          <w:divBdr>
            <w:top w:val="none" w:sz="0" w:space="0" w:color="auto"/>
            <w:left w:val="none" w:sz="0" w:space="0" w:color="auto"/>
            <w:bottom w:val="none" w:sz="0" w:space="0" w:color="auto"/>
            <w:right w:val="none" w:sz="0" w:space="0" w:color="auto"/>
          </w:divBdr>
        </w:div>
        <w:div w:id="95442875">
          <w:marLeft w:val="0"/>
          <w:marRight w:val="0"/>
          <w:marTop w:val="0"/>
          <w:marBottom w:val="0"/>
          <w:divBdr>
            <w:top w:val="none" w:sz="0" w:space="0" w:color="auto"/>
            <w:left w:val="none" w:sz="0" w:space="0" w:color="auto"/>
            <w:bottom w:val="none" w:sz="0" w:space="0" w:color="auto"/>
            <w:right w:val="none" w:sz="0" w:space="0" w:color="auto"/>
          </w:divBdr>
        </w:div>
      </w:divsChild>
    </w:div>
    <w:div w:id="860241386">
      <w:bodyDiv w:val="1"/>
      <w:marLeft w:val="0"/>
      <w:marRight w:val="0"/>
      <w:marTop w:val="0"/>
      <w:marBottom w:val="0"/>
      <w:divBdr>
        <w:top w:val="none" w:sz="0" w:space="0" w:color="auto"/>
        <w:left w:val="none" w:sz="0" w:space="0" w:color="auto"/>
        <w:bottom w:val="none" w:sz="0" w:space="0" w:color="auto"/>
        <w:right w:val="none" w:sz="0" w:space="0" w:color="auto"/>
      </w:divBdr>
      <w:divsChild>
        <w:div w:id="1901817526">
          <w:marLeft w:val="0"/>
          <w:marRight w:val="525"/>
          <w:marTop w:val="600"/>
          <w:marBottom w:val="0"/>
          <w:divBdr>
            <w:top w:val="single" w:sz="2" w:space="0" w:color="04284A"/>
            <w:left w:val="single" w:sz="2" w:space="0" w:color="04284A"/>
            <w:bottom w:val="single" w:sz="2" w:space="0" w:color="04284A"/>
            <w:right w:val="single" w:sz="2" w:space="0" w:color="04284A"/>
          </w:divBdr>
          <w:divsChild>
            <w:div w:id="1539125965">
              <w:marLeft w:val="0"/>
              <w:marRight w:val="0"/>
              <w:marTop w:val="0"/>
              <w:marBottom w:val="0"/>
              <w:divBdr>
                <w:top w:val="single" w:sz="2" w:space="0" w:color="04284A"/>
                <w:left w:val="single" w:sz="2" w:space="0" w:color="04284A"/>
                <w:bottom w:val="single" w:sz="2" w:space="0" w:color="04284A"/>
                <w:right w:val="single" w:sz="2" w:space="0" w:color="04284A"/>
              </w:divBdr>
              <w:divsChild>
                <w:div w:id="695665656">
                  <w:marLeft w:val="0"/>
                  <w:marRight w:val="0"/>
                  <w:marTop w:val="0"/>
                  <w:marBottom w:val="0"/>
                  <w:divBdr>
                    <w:top w:val="single" w:sz="2" w:space="0" w:color="04284A"/>
                    <w:left w:val="single" w:sz="2" w:space="0" w:color="04284A"/>
                    <w:bottom w:val="single" w:sz="2" w:space="0" w:color="04284A"/>
                    <w:right w:val="single" w:sz="2" w:space="0" w:color="04284A"/>
                  </w:divBdr>
                </w:div>
              </w:divsChild>
            </w:div>
          </w:divsChild>
        </w:div>
        <w:div w:id="1772965739">
          <w:marLeft w:val="0"/>
          <w:marRight w:val="525"/>
          <w:marTop w:val="600"/>
          <w:marBottom w:val="0"/>
          <w:divBdr>
            <w:top w:val="single" w:sz="2" w:space="0" w:color="04284A"/>
            <w:left w:val="single" w:sz="2" w:space="0" w:color="04284A"/>
            <w:bottom w:val="single" w:sz="2" w:space="0" w:color="04284A"/>
            <w:right w:val="single" w:sz="2" w:space="0" w:color="04284A"/>
          </w:divBdr>
          <w:divsChild>
            <w:div w:id="1614626852">
              <w:marLeft w:val="0"/>
              <w:marRight w:val="0"/>
              <w:marTop w:val="0"/>
              <w:marBottom w:val="120"/>
              <w:divBdr>
                <w:top w:val="single" w:sz="2" w:space="0" w:color="04284A"/>
                <w:left w:val="single" w:sz="2" w:space="0" w:color="04284A"/>
                <w:bottom w:val="single" w:sz="2" w:space="0" w:color="04284A"/>
                <w:right w:val="single" w:sz="2" w:space="0" w:color="04284A"/>
              </w:divBdr>
            </w:div>
            <w:div w:id="546260606">
              <w:marLeft w:val="0"/>
              <w:marRight w:val="0"/>
              <w:marTop w:val="0"/>
              <w:marBottom w:val="0"/>
              <w:divBdr>
                <w:top w:val="single" w:sz="2" w:space="0" w:color="04284A"/>
                <w:left w:val="single" w:sz="2" w:space="0" w:color="04284A"/>
                <w:bottom w:val="single" w:sz="2" w:space="0" w:color="04284A"/>
                <w:right w:val="single" w:sz="2" w:space="0" w:color="04284A"/>
              </w:divBdr>
              <w:divsChild>
                <w:div w:id="992561571">
                  <w:marLeft w:val="0"/>
                  <w:marRight w:val="0"/>
                  <w:marTop w:val="0"/>
                  <w:marBottom w:val="0"/>
                  <w:divBdr>
                    <w:top w:val="single" w:sz="2" w:space="0" w:color="04284A"/>
                    <w:left w:val="single" w:sz="2" w:space="0" w:color="04284A"/>
                    <w:bottom w:val="single" w:sz="2" w:space="0" w:color="04284A"/>
                    <w:right w:val="single" w:sz="2" w:space="0" w:color="04284A"/>
                  </w:divBdr>
                </w:div>
              </w:divsChild>
            </w:div>
          </w:divsChild>
        </w:div>
      </w:divsChild>
    </w:div>
    <w:div w:id="896433847">
      <w:bodyDiv w:val="1"/>
      <w:marLeft w:val="0"/>
      <w:marRight w:val="0"/>
      <w:marTop w:val="0"/>
      <w:marBottom w:val="0"/>
      <w:divBdr>
        <w:top w:val="none" w:sz="0" w:space="0" w:color="auto"/>
        <w:left w:val="none" w:sz="0" w:space="0" w:color="auto"/>
        <w:bottom w:val="none" w:sz="0" w:space="0" w:color="auto"/>
        <w:right w:val="none" w:sz="0" w:space="0" w:color="auto"/>
      </w:divBdr>
    </w:div>
    <w:div w:id="966353558">
      <w:bodyDiv w:val="1"/>
      <w:marLeft w:val="0"/>
      <w:marRight w:val="0"/>
      <w:marTop w:val="0"/>
      <w:marBottom w:val="0"/>
      <w:divBdr>
        <w:top w:val="none" w:sz="0" w:space="0" w:color="auto"/>
        <w:left w:val="none" w:sz="0" w:space="0" w:color="auto"/>
        <w:bottom w:val="none" w:sz="0" w:space="0" w:color="auto"/>
        <w:right w:val="none" w:sz="0" w:space="0" w:color="auto"/>
      </w:divBdr>
    </w:div>
    <w:div w:id="977108505">
      <w:bodyDiv w:val="1"/>
      <w:marLeft w:val="0"/>
      <w:marRight w:val="0"/>
      <w:marTop w:val="0"/>
      <w:marBottom w:val="0"/>
      <w:divBdr>
        <w:top w:val="none" w:sz="0" w:space="0" w:color="auto"/>
        <w:left w:val="none" w:sz="0" w:space="0" w:color="auto"/>
        <w:bottom w:val="none" w:sz="0" w:space="0" w:color="auto"/>
        <w:right w:val="none" w:sz="0" w:space="0" w:color="auto"/>
      </w:divBdr>
    </w:div>
    <w:div w:id="997617728">
      <w:bodyDiv w:val="1"/>
      <w:marLeft w:val="0"/>
      <w:marRight w:val="0"/>
      <w:marTop w:val="0"/>
      <w:marBottom w:val="0"/>
      <w:divBdr>
        <w:top w:val="none" w:sz="0" w:space="0" w:color="auto"/>
        <w:left w:val="none" w:sz="0" w:space="0" w:color="auto"/>
        <w:bottom w:val="none" w:sz="0" w:space="0" w:color="auto"/>
        <w:right w:val="none" w:sz="0" w:space="0" w:color="auto"/>
      </w:divBdr>
      <w:divsChild>
        <w:div w:id="683434188">
          <w:marLeft w:val="0"/>
          <w:marRight w:val="0"/>
          <w:marTop w:val="0"/>
          <w:marBottom w:val="0"/>
          <w:divBdr>
            <w:top w:val="none" w:sz="0" w:space="0" w:color="auto"/>
            <w:left w:val="none" w:sz="0" w:space="0" w:color="auto"/>
            <w:bottom w:val="none" w:sz="0" w:space="0" w:color="auto"/>
            <w:right w:val="none" w:sz="0" w:space="0" w:color="auto"/>
          </w:divBdr>
        </w:div>
        <w:div w:id="538934989">
          <w:marLeft w:val="0"/>
          <w:marRight w:val="0"/>
          <w:marTop w:val="0"/>
          <w:marBottom w:val="0"/>
          <w:divBdr>
            <w:top w:val="none" w:sz="0" w:space="0" w:color="auto"/>
            <w:left w:val="none" w:sz="0" w:space="0" w:color="auto"/>
            <w:bottom w:val="none" w:sz="0" w:space="0" w:color="auto"/>
            <w:right w:val="none" w:sz="0" w:space="0" w:color="auto"/>
          </w:divBdr>
        </w:div>
      </w:divsChild>
    </w:div>
    <w:div w:id="1107576656">
      <w:bodyDiv w:val="1"/>
      <w:marLeft w:val="0"/>
      <w:marRight w:val="0"/>
      <w:marTop w:val="0"/>
      <w:marBottom w:val="0"/>
      <w:divBdr>
        <w:top w:val="none" w:sz="0" w:space="0" w:color="auto"/>
        <w:left w:val="none" w:sz="0" w:space="0" w:color="auto"/>
        <w:bottom w:val="none" w:sz="0" w:space="0" w:color="auto"/>
        <w:right w:val="none" w:sz="0" w:space="0" w:color="auto"/>
      </w:divBdr>
      <w:divsChild>
        <w:div w:id="997029014">
          <w:marLeft w:val="0"/>
          <w:marRight w:val="0"/>
          <w:marTop w:val="0"/>
          <w:marBottom w:val="0"/>
          <w:divBdr>
            <w:top w:val="none" w:sz="0" w:space="0" w:color="auto"/>
            <w:left w:val="none" w:sz="0" w:space="0" w:color="auto"/>
            <w:bottom w:val="none" w:sz="0" w:space="0" w:color="auto"/>
            <w:right w:val="none" w:sz="0" w:space="0" w:color="auto"/>
          </w:divBdr>
        </w:div>
      </w:divsChild>
    </w:div>
    <w:div w:id="1169564432">
      <w:bodyDiv w:val="1"/>
      <w:marLeft w:val="0"/>
      <w:marRight w:val="0"/>
      <w:marTop w:val="0"/>
      <w:marBottom w:val="0"/>
      <w:divBdr>
        <w:top w:val="none" w:sz="0" w:space="0" w:color="auto"/>
        <w:left w:val="none" w:sz="0" w:space="0" w:color="auto"/>
        <w:bottom w:val="none" w:sz="0" w:space="0" w:color="auto"/>
        <w:right w:val="none" w:sz="0" w:space="0" w:color="auto"/>
      </w:divBdr>
    </w:div>
    <w:div w:id="1186751656">
      <w:bodyDiv w:val="1"/>
      <w:marLeft w:val="0"/>
      <w:marRight w:val="0"/>
      <w:marTop w:val="0"/>
      <w:marBottom w:val="0"/>
      <w:divBdr>
        <w:top w:val="none" w:sz="0" w:space="0" w:color="auto"/>
        <w:left w:val="none" w:sz="0" w:space="0" w:color="auto"/>
        <w:bottom w:val="none" w:sz="0" w:space="0" w:color="auto"/>
        <w:right w:val="none" w:sz="0" w:space="0" w:color="auto"/>
      </w:divBdr>
    </w:div>
    <w:div w:id="1194809043">
      <w:bodyDiv w:val="1"/>
      <w:marLeft w:val="0"/>
      <w:marRight w:val="0"/>
      <w:marTop w:val="0"/>
      <w:marBottom w:val="0"/>
      <w:divBdr>
        <w:top w:val="none" w:sz="0" w:space="0" w:color="auto"/>
        <w:left w:val="none" w:sz="0" w:space="0" w:color="auto"/>
        <w:bottom w:val="none" w:sz="0" w:space="0" w:color="auto"/>
        <w:right w:val="none" w:sz="0" w:space="0" w:color="auto"/>
      </w:divBdr>
    </w:div>
    <w:div w:id="1252548778">
      <w:bodyDiv w:val="1"/>
      <w:marLeft w:val="0"/>
      <w:marRight w:val="0"/>
      <w:marTop w:val="0"/>
      <w:marBottom w:val="0"/>
      <w:divBdr>
        <w:top w:val="none" w:sz="0" w:space="0" w:color="auto"/>
        <w:left w:val="none" w:sz="0" w:space="0" w:color="auto"/>
        <w:bottom w:val="none" w:sz="0" w:space="0" w:color="auto"/>
        <w:right w:val="none" w:sz="0" w:space="0" w:color="auto"/>
      </w:divBdr>
    </w:div>
    <w:div w:id="1314025749">
      <w:bodyDiv w:val="1"/>
      <w:marLeft w:val="0"/>
      <w:marRight w:val="0"/>
      <w:marTop w:val="0"/>
      <w:marBottom w:val="0"/>
      <w:divBdr>
        <w:top w:val="none" w:sz="0" w:space="0" w:color="auto"/>
        <w:left w:val="none" w:sz="0" w:space="0" w:color="auto"/>
        <w:bottom w:val="none" w:sz="0" w:space="0" w:color="auto"/>
        <w:right w:val="none" w:sz="0" w:space="0" w:color="auto"/>
      </w:divBdr>
    </w:div>
    <w:div w:id="1321958829">
      <w:bodyDiv w:val="1"/>
      <w:marLeft w:val="0"/>
      <w:marRight w:val="0"/>
      <w:marTop w:val="0"/>
      <w:marBottom w:val="0"/>
      <w:divBdr>
        <w:top w:val="none" w:sz="0" w:space="0" w:color="auto"/>
        <w:left w:val="none" w:sz="0" w:space="0" w:color="auto"/>
        <w:bottom w:val="none" w:sz="0" w:space="0" w:color="auto"/>
        <w:right w:val="none" w:sz="0" w:space="0" w:color="auto"/>
      </w:divBdr>
      <w:divsChild>
        <w:div w:id="1122726457">
          <w:marLeft w:val="0"/>
          <w:marRight w:val="0"/>
          <w:marTop w:val="0"/>
          <w:marBottom w:val="0"/>
          <w:divBdr>
            <w:top w:val="none" w:sz="0" w:space="0" w:color="auto"/>
            <w:left w:val="none" w:sz="0" w:space="0" w:color="auto"/>
            <w:bottom w:val="none" w:sz="0" w:space="0" w:color="auto"/>
            <w:right w:val="none" w:sz="0" w:space="0" w:color="auto"/>
          </w:divBdr>
        </w:div>
        <w:div w:id="616448867">
          <w:marLeft w:val="0"/>
          <w:marRight w:val="0"/>
          <w:marTop w:val="0"/>
          <w:marBottom w:val="0"/>
          <w:divBdr>
            <w:top w:val="none" w:sz="0" w:space="0" w:color="auto"/>
            <w:left w:val="none" w:sz="0" w:space="0" w:color="auto"/>
            <w:bottom w:val="none" w:sz="0" w:space="0" w:color="auto"/>
            <w:right w:val="none" w:sz="0" w:space="0" w:color="auto"/>
          </w:divBdr>
        </w:div>
        <w:div w:id="1505978465">
          <w:marLeft w:val="0"/>
          <w:marRight w:val="0"/>
          <w:marTop w:val="0"/>
          <w:marBottom w:val="0"/>
          <w:divBdr>
            <w:top w:val="none" w:sz="0" w:space="0" w:color="auto"/>
            <w:left w:val="none" w:sz="0" w:space="0" w:color="auto"/>
            <w:bottom w:val="none" w:sz="0" w:space="0" w:color="auto"/>
            <w:right w:val="none" w:sz="0" w:space="0" w:color="auto"/>
          </w:divBdr>
        </w:div>
        <w:div w:id="1935627747">
          <w:marLeft w:val="0"/>
          <w:marRight w:val="0"/>
          <w:marTop w:val="0"/>
          <w:marBottom w:val="0"/>
          <w:divBdr>
            <w:top w:val="none" w:sz="0" w:space="0" w:color="auto"/>
            <w:left w:val="none" w:sz="0" w:space="0" w:color="auto"/>
            <w:bottom w:val="none" w:sz="0" w:space="0" w:color="auto"/>
            <w:right w:val="none" w:sz="0" w:space="0" w:color="auto"/>
          </w:divBdr>
        </w:div>
        <w:div w:id="181938682">
          <w:marLeft w:val="0"/>
          <w:marRight w:val="0"/>
          <w:marTop w:val="0"/>
          <w:marBottom w:val="0"/>
          <w:divBdr>
            <w:top w:val="none" w:sz="0" w:space="0" w:color="auto"/>
            <w:left w:val="none" w:sz="0" w:space="0" w:color="auto"/>
            <w:bottom w:val="none" w:sz="0" w:space="0" w:color="auto"/>
            <w:right w:val="none" w:sz="0" w:space="0" w:color="auto"/>
          </w:divBdr>
        </w:div>
        <w:div w:id="1628005281">
          <w:marLeft w:val="0"/>
          <w:marRight w:val="0"/>
          <w:marTop w:val="0"/>
          <w:marBottom w:val="0"/>
          <w:divBdr>
            <w:top w:val="none" w:sz="0" w:space="0" w:color="auto"/>
            <w:left w:val="none" w:sz="0" w:space="0" w:color="auto"/>
            <w:bottom w:val="none" w:sz="0" w:space="0" w:color="auto"/>
            <w:right w:val="none" w:sz="0" w:space="0" w:color="auto"/>
          </w:divBdr>
        </w:div>
        <w:div w:id="1113790547">
          <w:marLeft w:val="0"/>
          <w:marRight w:val="0"/>
          <w:marTop w:val="0"/>
          <w:marBottom w:val="0"/>
          <w:divBdr>
            <w:top w:val="none" w:sz="0" w:space="0" w:color="auto"/>
            <w:left w:val="none" w:sz="0" w:space="0" w:color="auto"/>
            <w:bottom w:val="none" w:sz="0" w:space="0" w:color="auto"/>
            <w:right w:val="none" w:sz="0" w:space="0" w:color="auto"/>
          </w:divBdr>
        </w:div>
        <w:div w:id="941693791">
          <w:marLeft w:val="0"/>
          <w:marRight w:val="0"/>
          <w:marTop w:val="0"/>
          <w:marBottom w:val="0"/>
          <w:divBdr>
            <w:top w:val="none" w:sz="0" w:space="0" w:color="auto"/>
            <w:left w:val="none" w:sz="0" w:space="0" w:color="auto"/>
            <w:bottom w:val="none" w:sz="0" w:space="0" w:color="auto"/>
            <w:right w:val="none" w:sz="0" w:space="0" w:color="auto"/>
          </w:divBdr>
        </w:div>
        <w:div w:id="399325539">
          <w:marLeft w:val="0"/>
          <w:marRight w:val="0"/>
          <w:marTop w:val="0"/>
          <w:marBottom w:val="0"/>
          <w:divBdr>
            <w:top w:val="none" w:sz="0" w:space="0" w:color="auto"/>
            <w:left w:val="none" w:sz="0" w:space="0" w:color="auto"/>
            <w:bottom w:val="none" w:sz="0" w:space="0" w:color="auto"/>
            <w:right w:val="none" w:sz="0" w:space="0" w:color="auto"/>
          </w:divBdr>
        </w:div>
        <w:div w:id="419257558">
          <w:marLeft w:val="0"/>
          <w:marRight w:val="0"/>
          <w:marTop w:val="0"/>
          <w:marBottom w:val="0"/>
          <w:divBdr>
            <w:top w:val="none" w:sz="0" w:space="0" w:color="auto"/>
            <w:left w:val="none" w:sz="0" w:space="0" w:color="auto"/>
            <w:bottom w:val="none" w:sz="0" w:space="0" w:color="auto"/>
            <w:right w:val="none" w:sz="0" w:space="0" w:color="auto"/>
          </w:divBdr>
        </w:div>
        <w:div w:id="495191316">
          <w:marLeft w:val="0"/>
          <w:marRight w:val="0"/>
          <w:marTop w:val="0"/>
          <w:marBottom w:val="0"/>
          <w:divBdr>
            <w:top w:val="none" w:sz="0" w:space="0" w:color="auto"/>
            <w:left w:val="none" w:sz="0" w:space="0" w:color="auto"/>
            <w:bottom w:val="none" w:sz="0" w:space="0" w:color="auto"/>
            <w:right w:val="none" w:sz="0" w:space="0" w:color="auto"/>
          </w:divBdr>
        </w:div>
      </w:divsChild>
    </w:div>
    <w:div w:id="1322004817">
      <w:bodyDiv w:val="1"/>
      <w:marLeft w:val="0"/>
      <w:marRight w:val="0"/>
      <w:marTop w:val="0"/>
      <w:marBottom w:val="0"/>
      <w:divBdr>
        <w:top w:val="none" w:sz="0" w:space="0" w:color="auto"/>
        <w:left w:val="none" w:sz="0" w:space="0" w:color="auto"/>
        <w:bottom w:val="none" w:sz="0" w:space="0" w:color="auto"/>
        <w:right w:val="none" w:sz="0" w:space="0" w:color="auto"/>
      </w:divBdr>
      <w:divsChild>
        <w:div w:id="1036809071">
          <w:marLeft w:val="0"/>
          <w:marRight w:val="0"/>
          <w:marTop w:val="0"/>
          <w:marBottom w:val="0"/>
          <w:divBdr>
            <w:top w:val="none" w:sz="0" w:space="0" w:color="auto"/>
            <w:left w:val="none" w:sz="0" w:space="0" w:color="auto"/>
            <w:bottom w:val="none" w:sz="0" w:space="0" w:color="auto"/>
            <w:right w:val="none" w:sz="0" w:space="0" w:color="auto"/>
          </w:divBdr>
        </w:div>
        <w:div w:id="236283812">
          <w:marLeft w:val="0"/>
          <w:marRight w:val="0"/>
          <w:marTop w:val="0"/>
          <w:marBottom w:val="0"/>
          <w:divBdr>
            <w:top w:val="none" w:sz="0" w:space="0" w:color="auto"/>
            <w:left w:val="none" w:sz="0" w:space="0" w:color="auto"/>
            <w:bottom w:val="none" w:sz="0" w:space="0" w:color="auto"/>
            <w:right w:val="none" w:sz="0" w:space="0" w:color="auto"/>
          </w:divBdr>
        </w:div>
        <w:div w:id="913734857">
          <w:marLeft w:val="0"/>
          <w:marRight w:val="0"/>
          <w:marTop w:val="0"/>
          <w:marBottom w:val="0"/>
          <w:divBdr>
            <w:top w:val="none" w:sz="0" w:space="0" w:color="auto"/>
            <w:left w:val="none" w:sz="0" w:space="0" w:color="auto"/>
            <w:bottom w:val="none" w:sz="0" w:space="0" w:color="auto"/>
            <w:right w:val="none" w:sz="0" w:space="0" w:color="auto"/>
          </w:divBdr>
        </w:div>
      </w:divsChild>
    </w:div>
    <w:div w:id="1382902087">
      <w:bodyDiv w:val="1"/>
      <w:marLeft w:val="0"/>
      <w:marRight w:val="0"/>
      <w:marTop w:val="0"/>
      <w:marBottom w:val="0"/>
      <w:divBdr>
        <w:top w:val="none" w:sz="0" w:space="0" w:color="auto"/>
        <w:left w:val="none" w:sz="0" w:space="0" w:color="auto"/>
        <w:bottom w:val="none" w:sz="0" w:space="0" w:color="auto"/>
        <w:right w:val="none" w:sz="0" w:space="0" w:color="auto"/>
      </w:divBdr>
    </w:div>
    <w:div w:id="1387995809">
      <w:bodyDiv w:val="1"/>
      <w:marLeft w:val="0"/>
      <w:marRight w:val="0"/>
      <w:marTop w:val="0"/>
      <w:marBottom w:val="0"/>
      <w:divBdr>
        <w:top w:val="none" w:sz="0" w:space="0" w:color="auto"/>
        <w:left w:val="none" w:sz="0" w:space="0" w:color="auto"/>
        <w:bottom w:val="none" w:sz="0" w:space="0" w:color="auto"/>
        <w:right w:val="none" w:sz="0" w:space="0" w:color="auto"/>
      </w:divBdr>
    </w:div>
    <w:div w:id="1397244650">
      <w:bodyDiv w:val="1"/>
      <w:marLeft w:val="0"/>
      <w:marRight w:val="0"/>
      <w:marTop w:val="0"/>
      <w:marBottom w:val="0"/>
      <w:divBdr>
        <w:top w:val="none" w:sz="0" w:space="0" w:color="auto"/>
        <w:left w:val="none" w:sz="0" w:space="0" w:color="auto"/>
        <w:bottom w:val="none" w:sz="0" w:space="0" w:color="auto"/>
        <w:right w:val="none" w:sz="0" w:space="0" w:color="auto"/>
      </w:divBdr>
    </w:div>
    <w:div w:id="1399396683">
      <w:bodyDiv w:val="1"/>
      <w:marLeft w:val="0"/>
      <w:marRight w:val="0"/>
      <w:marTop w:val="0"/>
      <w:marBottom w:val="0"/>
      <w:divBdr>
        <w:top w:val="none" w:sz="0" w:space="0" w:color="auto"/>
        <w:left w:val="none" w:sz="0" w:space="0" w:color="auto"/>
        <w:bottom w:val="none" w:sz="0" w:space="0" w:color="auto"/>
        <w:right w:val="none" w:sz="0" w:space="0" w:color="auto"/>
      </w:divBdr>
      <w:divsChild>
        <w:div w:id="2061438615">
          <w:marLeft w:val="90"/>
          <w:marRight w:val="90"/>
          <w:marTop w:val="0"/>
          <w:marBottom w:val="0"/>
          <w:divBdr>
            <w:top w:val="none" w:sz="0" w:space="0" w:color="auto"/>
            <w:left w:val="none" w:sz="0" w:space="0" w:color="auto"/>
            <w:bottom w:val="none" w:sz="0" w:space="0" w:color="auto"/>
            <w:right w:val="none" w:sz="0" w:space="0" w:color="auto"/>
          </w:divBdr>
          <w:divsChild>
            <w:div w:id="1490976169">
              <w:marLeft w:val="0"/>
              <w:marRight w:val="0"/>
              <w:marTop w:val="0"/>
              <w:marBottom w:val="0"/>
              <w:divBdr>
                <w:top w:val="none" w:sz="0" w:space="0" w:color="auto"/>
                <w:left w:val="none" w:sz="0" w:space="0" w:color="auto"/>
                <w:bottom w:val="none" w:sz="0" w:space="0" w:color="auto"/>
                <w:right w:val="none" w:sz="0" w:space="0" w:color="auto"/>
              </w:divBdr>
              <w:divsChild>
                <w:div w:id="1862624786">
                  <w:marLeft w:val="105"/>
                  <w:marRight w:val="105"/>
                  <w:marTop w:val="0"/>
                  <w:marBottom w:val="0"/>
                  <w:divBdr>
                    <w:top w:val="none" w:sz="0" w:space="0" w:color="auto"/>
                    <w:left w:val="none" w:sz="0" w:space="0" w:color="auto"/>
                    <w:bottom w:val="none" w:sz="0" w:space="0" w:color="auto"/>
                    <w:right w:val="none" w:sz="0" w:space="0" w:color="auto"/>
                  </w:divBdr>
                  <w:divsChild>
                    <w:div w:id="1190028475">
                      <w:marLeft w:val="0"/>
                      <w:marRight w:val="0"/>
                      <w:marTop w:val="0"/>
                      <w:marBottom w:val="0"/>
                      <w:divBdr>
                        <w:top w:val="none" w:sz="0" w:space="0" w:color="auto"/>
                        <w:left w:val="none" w:sz="0" w:space="0" w:color="auto"/>
                        <w:bottom w:val="none" w:sz="0" w:space="0" w:color="auto"/>
                        <w:right w:val="none" w:sz="0" w:space="0" w:color="auto"/>
                      </w:divBdr>
                      <w:divsChild>
                        <w:div w:id="1251697789">
                          <w:marLeft w:val="0"/>
                          <w:marRight w:val="0"/>
                          <w:marTop w:val="0"/>
                          <w:marBottom w:val="0"/>
                          <w:divBdr>
                            <w:top w:val="none" w:sz="0" w:space="0" w:color="auto"/>
                            <w:left w:val="none" w:sz="0" w:space="0" w:color="auto"/>
                            <w:bottom w:val="none" w:sz="0" w:space="0" w:color="auto"/>
                            <w:right w:val="none" w:sz="0" w:space="0" w:color="auto"/>
                          </w:divBdr>
                          <w:divsChild>
                            <w:div w:id="262080424">
                              <w:marLeft w:val="0"/>
                              <w:marRight w:val="0"/>
                              <w:marTop w:val="0"/>
                              <w:marBottom w:val="0"/>
                              <w:divBdr>
                                <w:top w:val="none" w:sz="0" w:space="0" w:color="auto"/>
                                <w:left w:val="none" w:sz="0" w:space="0" w:color="auto"/>
                                <w:bottom w:val="none" w:sz="0" w:space="0" w:color="auto"/>
                                <w:right w:val="none" w:sz="0" w:space="0" w:color="auto"/>
                              </w:divBdr>
                              <w:divsChild>
                                <w:div w:id="1486313645">
                                  <w:marLeft w:val="0"/>
                                  <w:marRight w:val="0"/>
                                  <w:marTop w:val="0"/>
                                  <w:marBottom w:val="0"/>
                                  <w:divBdr>
                                    <w:top w:val="none" w:sz="0" w:space="0" w:color="auto"/>
                                    <w:left w:val="none" w:sz="0" w:space="0" w:color="auto"/>
                                    <w:bottom w:val="none" w:sz="0" w:space="0" w:color="auto"/>
                                    <w:right w:val="none" w:sz="0" w:space="0" w:color="auto"/>
                                  </w:divBdr>
                                  <w:divsChild>
                                    <w:div w:id="1280988595">
                                      <w:marLeft w:val="0"/>
                                      <w:marRight w:val="0"/>
                                      <w:marTop w:val="0"/>
                                      <w:marBottom w:val="0"/>
                                      <w:divBdr>
                                        <w:top w:val="none" w:sz="0" w:space="0" w:color="auto"/>
                                        <w:left w:val="none" w:sz="0" w:space="0" w:color="auto"/>
                                        <w:bottom w:val="none" w:sz="0" w:space="0" w:color="auto"/>
                                        <w:right w:val="none" w:sz="0" w:space="0" w:color="auto"/>
                                      </w:divBdr>
                                      <w:divsChild>
                                        <w:div w:id="107631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75379413">
          <w:marLeft w:val="90"/>
          <w:marRight w:val="90"/>
          <w:marTop w:val="0"/>
          <w:marBottom w:val="0"/>
          <w:divBdr>
            <w:top w:val="none" w:sz="0" w:space="0" w:color="auto"/>
            <w:left w:val="none" w:sz="0" w:space="0" w:color="auto"/>
            <w:bottom w:val="none" w:sz="0" w:space="0" w:color="auto"/>
            <w:right w:val="none" w:sz="0" w:space="0" w:color="auto"/>
          </w:divBdr>
          <w:divsChild>
            <w:div w:id="652684372">
              <w:marLeft w:val="0"/>
              <w:marRight w:val="0"/>
              <w:marTop w:val="0"/>
              <w:marBottom w:val="0"/>
              <w:divBdr>
                <w:top w:val="none" w:sz="0" w:space="0" w:color="auto"/>
                <w:left w:val="none" w:sz="0" w:space="0" w:color="auto"/>
                <w:bottom w:val="none" w:sz="0" w:space="0" w:color="auto"/>
                <w:right w:val="none" w:sz="0" w:space="0" w:color="auto"/>
              </w:divBdr>
              <w:divsChild>
                <w:div w:id="1130828445">
                  <w:marLeft w:val="0"/>
                  <w:marRight w:val="0"/>
                  <w:marTop w:val="0"/>
                  <w:marBottom w:val="0"/>
                  <w:divBdr>
                    <w:top w:val="none" w:sz="0" w:space="0" w:color="auto"/>
                    <w:left w:val="none" w:sz="0" w:space="0" w:color="auto"/>
                    <w:bottom w:val="none" w:sz="0" w:space="0" w:color="auto"/>
                    <w:right w:val="none" w:sz="0" w:space="0" w:color="auto"/>
                  </w:divBdr>
                  <w:divsChild>
                    <w:div w:id="1521045351">
                      <w:marLeft w:val="0"/>
                      <w:marRight w:val="0"/>
                      <w:marTop w:val="0"/>
                      <w:marBottom w:val="0"/>
                      <w:divBdr>
                        <w:top w:val="none" w:sz="0" w:space="0" w:color="auto"/>
                        <w:left w:val="none" w:sz="0" w:space="0" w:color="auto"/>
                        <w:bottom w:val="none" w:sz="0" w:space="0" w:color="auto"/>
                        <w:right w:val="none" w:sz="0" w:space="0" w:color="auto"/>
                      </w:divBdr>
                      <w:divsChild>
                        <w:div w:id="1283030278">
                          <w:marLeft w:val="0"/>
                          <w:marRight w:val="0"/>
                          <w:marTop w:val="0"/>
                          <w:marBottom w:val="0"/>
                          <w:divBdr>
                            <w:top w:val="none" w:sz="0" w:space="0" w:color="auto"/>
                            <w:left w:val="none" w:sz="0" w:space="0" w:color="auto"/>
                            <w:bottom w:val="none" w:sz="0" w:space="0" w:color="auto"/>
                            <w:right w:val="none" w:sz="0" w:space="0" w:color="auto"/>
                          </w:divBdr>
                        </w:div>
                        <w:div w:id="22170696">
                          <w:marLeft w:val="0"/>
                          <w:marRight w:val="0"/>
                          <w:marTop w:val="0"/>
                          <w:marBottom w:val="0"/>
                          <w:divBdr>
                            <w:top w:val="none" w:sz="0" w:space="0" w:color="auto"/>
                            <w:left w:val="none" w:sz="0" w:space="0" w:color="auto"/>
                            <w:bottom w:val="none" w:sz="0" w:space="0" w:color="auto"/>
                            <w:right w:val="none" w:sz="0" w:space="0" w:color="auto"/>
                          </w:divBdr>
                        </w:div>
                        <w:div w:id="477963135">
                          <w:marLeft w:val="0"/>
                          <w:marRight w:val="0"/>
                          <w:marTop w:val="0"/>
                          <w:marBottom w:val="0"/>
                          <w:divBdr>
                            <w:top w:val="none" w:sz="0" w:space="0" w:color="auto"/>
                            <w:left w:val="none" w:sz="0" w:space="0" w:color="auto"/>
                            <w:bottom w:val="none" w:sz="0" w:space="0" w:color="auto"/>
                            <w:right w:val="none" w:sz="0" w:space="0" w:color="auto"/>
                          </w:divBdr>
                          <w:divsChild>
                            <w:div w:id="1989552849">
                              <w:marLeft w:val="0"/>
                              <w:marRight w:val="0"/>
                              <w:marTop w:val="0"/>
                              <w:marBottom w:val="0"/>
                              <w:divBdr>
                                <w:top w:val="none" w:sz="0" w:space="0" w:color="auto"/>
                                <w:left w:val="none" w:sz="0" w:space="0" w:color="auto"/>
                                <w:bottom w:val="none" w:sz="0" w:space="0" w:color="auto"/>
                                <w:right w:val="none" w:sz="0" w:space="0" w:color="auto"/>
                              </w:divBdr>
                              <w:divsChild>
                                <w:div w:id="20371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9666685">
      <w:bodyDiv w:val="1"/>
      <w:marLeft w:val="0"/>
      <w:marRight w:val="0"/>
      <w:marTop w:val="0"/>
      <w:marBottom w:val="0"/>
      <w:divBdr>
        <w:top w:val="none" w:sz="0" w:space="0" w:color="auto"/>
        <w:left w:val="none" w:sz="0" w:space="0" w:color="auto"/>
        <w:bottom w:val="none" w:sz="0" w:space="0" w:color="auto"/>
        <w:right w:val="none" w:sz="0" w:space="0" w:color="auto"/>
      </w:divBdr>
    </w:div>
    <w:div w:id="1420449443">
      <w:bodyDiv w:val="1"/>
      <w:marLeft w:val="0"/>
      <w:marRight w:val="0"/>
      <w:marTop w:val="0"/>
      <w:marBottom w:val="0"/>
      <w:divBdr>
        <w:top w:val="none" w:sz="0" w:space="0" w:color="auto"/>
        <w:left w:val="none" w:sz="0" w:space="0" w:color="auto"/>
        <w:bottom w:val="none" w:sz="0" w:space="0" w:color="auto"/>
        <w:right w:val="none" w:sz="0" w:space="0" w:color="auto"/>
      </w:divBdr>
    </w:div>
    <w:div w:id="1432625680">
      <w:bodyDiv w:val="1"/>
      <w:marLeft w:val="0"/>
      <w:marRight w:val="0"/>
      <w:marTop w:val="0"/>
      <w:marBottom w:val="0"/>
      <w:divBdr>
        <w:top w:val="none" w:sz="0" w:space="0" w:color="auto"/>
        <w:left w:val="none" w:sz="0" w:space="0" w:color="auto"/>
        <w:bottom w:val="none" w:sz="0" w:space="0" w:color="auto"/>
        <w:right w:val="none" w:sz="0" w:space="0" w:color="auto"/>
      </w:divBdr>
      <w:divsChild>
        <w:div w:id="430274955">
          <w:marLeft w:val="0"/>
          <w:marRight w:val="0"/>
          <w:marTop w:val="0"/>
          <w:marBottom w:val="0"/>
          <w:divBdr>
            <w:top w:val="none" w:sz="0" w:space="0" w:color="auto"/>
            <w:left w:val="none" w:sz="0" w:space="0" w:color="auto"/>
            <w:bottom w:val="none" w:sz="0" w:space="0" w:color="auto"/>
            <w:right w:val="none" w:sz="0" w:space="0" w:color="auto"/>
          </w:divBdr>
        </w:div>
        <w:div w:id="2063677920">
          <w:marLeft w:val="0"/>
          <w:marRight w:val="0"/>
          <w:marTop w:val="0"/>
          <w:marBottom w:val="0"/>
          <w:divBdr>
            <w:top w:val="none" w:sz="0" w:space="0" w:color="auto"/>
            <w:left w:val="none" w:sz="0" w:space="0" w:color="auto"/>
            <w:bottom w:val="none" w:sz="0" w:space="0" w:color="auto"/>
            <w:right w:val="none" w:sz="0" w:space="0" w:color="auto"/>
          </w:divBdr>
        </w:div>
      </w:divsChild>
    </w:div>
    <w:div w:id="1464890115">
      <w:bodyDiv w:val="1"/>
      <w:marLeft w:val="0"/>
      <w:marRight w:val="0"/>
      <w:marTop w:val="0"/>
      <w:marBottom w:val="0"/>
      <w:divBdr>
        <w:top w:val="none" w:sz="0" w:space="0" w:color="auto"/>
        <w:left w:val="none" w:sz="0" w:space="0" w:color="auto"/>
        <w:bottom w:val="none" w:sz="0" w:space="0" w:color="auto"/>
        <w:right w:val="none" w:sz="0" w:space="0" w:color="auto"/>
      </w:divBdr>
    </w:div>
    <w:div w:id="1495293412">
      <w:bodyDiv w:val="1"/>
      <w:marLeft w:val="0"/>
      <w:marRight w:val="0"/>
      <w:marTop w:val="0"/>
      <w:marBottom w:val="0"/>
      <w:divBdr>
        <w:top w:val="none" w:sz="0" w:space="0" w:color="auto"/>
        <w:left w:val="none" w:sz="0" w:space="0" w:color="auto"/>
        <w:bottom w:val="none" w:sz="0" w:space="0" w:color="auto"/>
        <w:right w:val="none" w:sz="0" w:space="0" w:color="auto"/>
      </w:divBdr>
    </w:div>
    <w:div w:id="1510025090">
      <w:bodyDiv w:val="1"/>
      <w:marLeft w:val="0"/>
      <w:marRight w:val="0"/>
      <w:marTop w:val="0"/>
      <w:marBottom w:val="0"/>
      <w:divBdr>
        <w:top w:val="none" w:sz="0" w:space="0" w:color="auto"/>
        <w:left w:val="none" w:sz="0" w:space="0" w:color="auto"/>
        <w:bottom w:val="none" w:sz="0" w:space="0" w:color="auto"/>
        <w:right w:val="none" w:sz="0" w:space="0" w:color="auto"/>
      </w:divBdr>
    </w:div>
    <w:div w:id="1513185171">
      <w:bodyDiv w:val="1"/>
      <w:marLeft w:val="0"/>
      <w:marRight w:val="0"/>
      <w:marTop w:val="0"/>
      <w:marBottom w:val="0"/>
      <w:divBdr>
        <w:top w:val="none" w:sz="0" w:space="0" w:color="auto"/>
        <w:left w:val="none" w:sz="0" w:space="0" w:color="auto"/>
        <w:bottom w:val="none" w:sz="0" w:space="0" w:color="auto"/>
        <w:right w:val="none" w:sz="0" w:space="0" w:color="auto"/>
      </w:divBdr>
    </w:div>
    <w:div w:id="1514149543">
      <w:bodyDiv w:val="1"/>
      <w:marLeft w:val="0"/>
      <w:marRight w:val="0"/>
      <w:marTop w:val="0"/>
      <w:marBottom w:val="0"/>
      <w:divBdr>
        <w:top w:val="none" w:sz="0" w:space="0" w:color="auto"/>
        <w:left w:val="none" w:sz="0" w:space="0" w:color="auto"/>
        <w:bottom w:val="none" w:sz="0" w:space="0" w:color="auto"/>
        <w:right w:val="none" w:sz="0" w:space="0" w:color="auto"/>
      </w:divBdr>
      <w:divsChild>
        <w:div w:id="2087534535">
          <w:marLeft w:val="0"/>
          <w:marRight w:val="0"/>
          <w:marTop w:val="225"/>
          <w:marBottom w:val="225"/>
          <w:divBdr>
            <w:top w:val="none" w:sz="0" w:space="0" w:color="auto"/>
            <w:left w:val="none" w:sz="0" w:space="0" w:color="auto"/>
            <w:bottom w:val="none" w:sz="0" w:space="0" w:color="auto"/>
            <w:right w:val="none" w:sz="0" w:space="0" w:color="auto"/>
          </w:divBdr>
          <w:divsChild>
            <w:div w:id="1002582983">
              <w:marLeft w:val="0"/>
              <w:marRight w:val="0"/>
              <w:marTop w:val="0"/>
              <w:marBottom w:val="0"/>
              <w:divBdr>
                <w:top w:val="none" w:sz="0" w:space="0" w:color="auto"/>
                <w:left w:val="none" w:sz="0" w:space="0" w:color="auto"/>
                <w:bottom w:val="none" w:sz="0" w:space="0" w:color="auto"/>
                <w:right w:val="none" w:sz="0" w:space="0" w:color="auto"/>
              </w:divBdr>
              <w:divsChild>
                <w:div w:id="1712923348">
                  <w:marLeft w:val="0"/>
                  <w:marRight w:val="0"/>
                  <w:marTop w:val="0"/>
                  <w:marBottom w:val="0"/>
                  <w:divBdr>
                    <w:top w:val="none" w:sz="0" w:space="0" w:color="auto"/>
                    <w:left w:val="none" w:sz="0" w:space="0" w:color="auto"/>
                    <w:bottom w:val="none" w:sz="0" w:space="0" w:color="auto"/>
                    <w:right w:val="none" w:sz="0" w:space="0" w:color="auto"/>
                  </w:divBdr>
                  <w:divsChild>
                    <w:div w:id="181629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9849880">
      <w:bodyDiv w:val="1"/>
      <w:marLeft w:val="0"/>
      <w:marRight w:val="0"/>
      <w:marTop w:val="0"/>
      <w:marBottom w:val="0"/>
      <w:divBdr>
        <w:top w:val="none" w:sz="0" w:space="0" w:color="auto"/>
        <w:left w:val="none" w:sz="0" w:space="0" w:color="auto"/>
        <w:bottom w:val="none" w:sz="0" w:space="0" w:color="auto"/>
        <w:right w:val="none" w:sz="0" w:space="0" w:color="auto"/>
      </w:divBdr>
      <w:divsChild>
        <w:div w:id="1954243406">
          <w:marLeft w:val="0"/>
          <w:marRight w:val="0"/>
          <w:marTop w:val="0"/>
          <w:marBottom w:val="0"/>
          <w:divBdr>
            <w:top w:val="none" w:sz="0" w:space="0" w:color="auto"/>
            <w:left w:val="none" w:sz="0" w:space="0" w:color="auto"/>
            <w:bottom w:val="none" w:sz="0" w:space="0" w:color="auto"/>
            <w:right w:val="none" w:sz="0" w:space="0" w:color="auto"/>
          </w:divBdr>
        </w:div>
      </w:divsChild>
    </w:div>
    <w:div w:id="1594128525">
      <w:bodyDiv w:val="1"/>
      <w:marLeft w:val="0"/>
      <w:marRight w:val="0"/>
      <w:marTop w:val="0"/>
      <w:marBottom w:val="0"/>
      <w:divBdr>
        <w:top w:val="none" w:sz="0" w:space="0" w:color="auto"/>
        <w:left w:val="none" w:sz="0" w:space="0" w:color="auto"/>
        <w:bottom w:val="none" w:sz="0" w:space="0" w:color="auto"/>
        <w:right w:val="none" w:sz="0" w:space="0" w:color="auto"/>
      </w:divBdr>
      <w:divsChild>
        <w:div w:id="1106467035">
          <w:marLeft w:val="0"/>
          <w:marRight w:val="0"/>
          <w:marTop w:val="0"/>
          <w:marBottom w:val="0"/>
          <w:divBdr>
            <w:top w:val="none" w:sz="0" w:space="0" w:color="auto"/>
            <w:left w:val="none" w:sz="0" w:space="0" w:color="auto"/>
            <w:bottom w:val="none" w:sz="0" w:space="0" w:color="auto"/>
            <w:right w:val="none" w:sz="0" w:space="0" w:color="auto"/>
          </w:divBdr>
        </w:div>
      </w:divsChild>
    </w:div>
    <w:div w:id="1693385835">
      <w:bodyDiv w:val="1"/>
      <w:marLeft w:val="0"/>
      <w:marRight w:val="0"/>
      <w:marTop w:val="0"/>
      <w:marBottom w:val="0"/>
      <w:divBdr>
        <w:top w:val="none" w:sz="0" w:space="0" w:color="auto"/>
        <w:left w:val="none" w:sz="0" w:space="0" w:color="auto"/>
        <w:bottom w:val="none" w:sz="0" w:space="0" w:color="auto"/>
        <w:right w:val="none" w:sz="0" w:space="0" w:color="auto"/>
      </w:divBdr>
    </w:div>
    <w:div w:id="1714646722">
      <w:bodyDiv w:val="1"/>
      <w:marLeft w:val="0"/>
      <w:marRight w:val="0"/>
      <w:marTop w:val="0"/>
      <w:marBottom w:val="0"/>
      <w:divBdr>
        <w:top w:val="none" w:sz="0" w:space="0" w:color="auto"/>
        <w:left w:val="none" w:sz="0" w:space="0" w:color="auto"/>
        <w:bottom w:val="none" w:sz="0" w:space="0" w:color="auto"/>
        <w:right w:val="none" w:sz="0" w:space="0" w:color="auto"/>
      </w:divBdr>
    </w:div>
    <w:div w:id="1725643118">
      <w:bodyDiv w:val="1"/>
      <w:marLeft w:val="0"/>
      <w:marRight w:val="0"/>
      <w:marTop w:val="0"/>
      <w:marBottom w:val="0"/>
      <w:divBdr>
        <w:top w:val="none" w:sz="0" w:space="0" w:color="auto"/>
        <w:left w:val="none" w:sz="0" w:space="0" w:color="auto"/>
        <w:bottom w:val="none" w:sz="0" w:space="0" w:color="auto"/>
        <w:right w:val="none" w:sz="0" w:space="0" w:color="auto"/>
      </w:divBdr>
    </w:div>
    <w:div w:id="1858737322">
      <w:bodyDiv w:val="1"/>
      <w:marLeft w:val="0"/>
      <w:marRight w:val="0"/>
      <w:marTop w:val="0"/>
      <w:marBottom w:val="0"/>
      <w:divBdr>
        <w:top w:val="none" w:sz="0" w:space="0" w:color="auto"/>
        <w:left w:val="none" w:sz="0" w:space="0" w:color="auto"/>
        <w:bottom w:val="none" w:sz="0" w:space="0" w:color="auto"/>
        <w:right w:val="none" w:sz="0" w:space="0" w:color="auto"/>
      </w:divBdr>
      <w:divsChild>
        <w:div w:id="1893034933">
          <w:marLeft w:val="0"/>
          <w:marRight w:val="0"/>
          <w:marTop w:val="0"/>
          <w:marBottom w:val="0"/>
          <w:divBdr>
            <w:top w:val="none" w:sz="0" w:space="0" w:color="auto"/>
            <w:left w:val="none" w:sz="0" w:space="0" w:color="auto"/>
            <w:bottom w:val="none" w:sz="0" w:space="0" w:color="auto"/>
            <w:right w:val="none" w:sz="0" w:space="0" w:color="auto"/>
          </w:divBdr>
        </w:div>
        <w:div w:id="345790357">
          <w:marLeft w:val="0"/>
          <w:marRight w:val="0"/>
          <w:marTop w:val="0"/>
          <w:marBottom w:val="0"/>
          <w:divBdr>
            <w:top w:val="none" w:sz="0" w:space="0" w:color="auto"/>
            <w:left w:val="none" w:sz="0" w:space="0" w:color="auto"/>
            <w:bottom w:val="none" w:sz="0" w:space="0" w:color="auto"/>
            <w:right w:val="none" w:sz="0" w:space="0" w:color="auto"/>
          </w:divBdr>
        </w:div>
        <w:div w:id="565535967">
          <w:marLeft w:val="0"/>
          <w:marRight w:val="0"/>
          <w:marTop w:val="0"/>
          <w:marBottom w:val="0"/>
          <w:divBdr>
            <w:top w:val="none" w:sz="0" w:space="0" w:color="auto"/>
            <w:left w:val="none" w:sz="0" w:space="0" w:color="auto"/>
            <w:bottom w:val="none" w:sz="0" w:space="0" w:color="auto"/>
            <w:right w:val="none" w:sz="0" w:space="0" w:color="auto"/>
          </w:divBdr>
        </w:div>
      </w:divsChild>
    </w:div>
    <w:div w:id="1902015729">
      <w:bodyDiv w:val="1"/>
      <w:marLeft w:val="0"/>
      <w:marRight w:val="0"/>
      <w:marTop w:val="0"/>
      <w:marBottom w:val="0"/>
      <w:divBdr>
        <w:top w:val="none" w:sz="0" w:space="0" w:color="auto"/>
        <w:left w:val="none" w:sz="0" w:space="0" w:color="auto"/>
        <w:bottom w:val="none" w:sz="0" w:space="0" w:color="auto"/>
        <w:right w:val="none" w:sz="0" w:space="0" w:color="auto"/>
      </w:divBdr>
    </w:div>
    <w:div w:id="1909609621">
      <w:bodyDiv w:val="1"/>
      <w:marLeft w:val="0"/>
      <w:marRight w:val="0"/>
      <w:marTop w:val="0"/>
      <w:marBottom w:val="0"/>
      <w:divBdr>
        <w:top w:val="none" w:sz="0" w:space="0" w:color="auto"/>
        <w:left w:val="none" w:sz="0" w:space="0" w:color="auto"/>
        <w:bottom w:val="none" w:sz="0" w:space="0" w:color="auto"/>
        <w:right w:val="none" w:sz="0" w:space="0" w:color="auto"/>
      </w:divBdr>
      <w:divsChild>
        <w:div w:id="87893648">
          <w:marLeft w:val="0"/>
          <w:marRight w:val="0"/>
          <w:marTop w:val="0"/>
          <w:marBottom w:val="0"/>
          <w:divBdr>
            <w:top w:val="none" w:sz="0" w:space="0" w:color="auto"/>
            <w:left w:val="none" w:sz="0" w:space="0" w:color="auto"/>
            <w:bottom w:val="none" w:sz="0" w:space="0" w:color="auto"/>
            <w:right w:val="none" w:sz="0" w:space="0" w:color="auto"/>
          </w:divBdr>
          <w:divsChild>
            <w:div w:id="2108885683">
              <w:marLeft w:val="0"/>
              <w:marRight w:val="0"/>
              <w:marTop w:val="0"/>
              <w:marBottom w:val="0"/>
              <w:divBdr>
                <w:top w:val="none" w:sz="0" w:space="0" w:color="auto"/>
                <w:left w:val="none" w:sz="0" w:space="0" w:color="auto"/>
                <w:bottom w:val="none" w:sz="0" w:space="0" w:color="auto"/>
                <w:right w:val="none" w:sz="0" w:space="0" w:color="auto"/>
              </w:divBdr>
            </w:div>
            <w:div w:id="1928273565">
              <w:marLeft w:val="0"/>
              <w:marRight w:val="0"/>
              <w:marTop w:val="0"/>
              <w:marBottom w:val="0"/>
              <w:divBdr>
                <w:top w:val="none" w:sz="0" w:space="0" w:color="auto"/>
                <w:left w:val="none" w:sz="0" w:space="0" w:color="auto"/>
                <w:bottom w:val="none" w:sz="0" w:space="0" w:color="auto"/>
                <w:right w:val="none" w:sz="0" w:space="0" w:color="auto"/>
              </w:divBdr>
            </w:div>
            <w:div w:id="1955751768">
              <w:marLeft w:val="0"/>
              <w:marRight w:val="0"/>
              <w:marTop w:val="0"/>
              <w:marBottom w:val="0"/>
              <w:divBdr>
                <w:top w:val="none" w:sz="0" w:space="0" w:color="auto"/>
                <w:left w:val="none" w:sz="0" w:space="0" w:color="auto"/>
                <w:bottom w:val="none" w:sz="0" w:space="0" w:color="auto"/>
                <w:right w:val="none" w:sz="0" w:space="0" w:color="auto"/>
              </w:divBdr>
            </w:div>
            <w:div w:id="1214931010">
              <w:marLeft w:val="0"/>
              <w:marRight w:val="0"/>
              <w:marTop w:val="0"/>
              <w:marBottom w:val="0"/>
              <w:divBdr>
                <w:top w:val="none" w:sz="0" w:space="0" w:color="auto"/>
                <w:left w:val="none" w:sz="0" w:space="0" w:color="auto"/>
                <w:bottom w:val="none" w:sz="0" w:space="0" w:color="auto"/>
                <w:right w:val="none" w:sz="0" w:space="0" w:color="auto"/>
              </w:divBdr>
            </w:div>
            <w:div w:id="1439763492">
              <w:marLeft w:val="0"/>
              <w:marRight w:val="0"/>
              <w:marTop w:val="0"/>
              <w:marBottom w:val="0"/>
              <w:divBdr>
                <w:top w:val="none" w:sz="0" w:space="0" w:color="auto"/>
                <w:left w:val="none" w:sz="0" w:space="0" w:color="auto"/>
                <w:bottom w:val="none" w:sz="0" w:space="0" w:color="auto"/>
                <w:right w:val="none" w:sz="0" w:space="0" w:color="auto"/>
              </w:divBdr>
            </w:div>
            <w:div w:id="152181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704661">
      <w:bodyDiv w:val="1"/>
      <w:marLeft w:val="0"/>
      <w:marRight w:val="0"/>
      <w:marTop w:val="0"/>
      <w:marBottom w:val="0"/>
      <w:divBdr>
        <w:top w:val="none" w:sz="0" w:space="0" w:color="auto"/>
        <w:left w:val="none" w:sz="0" w:space="0" w:color="auto"/>
        <w:bottom w:val="none" w:sz="0" w:space="0" w:color="auto"/>
        <w:right w:val="none" w:sz="0" w:space="0" w:color="auto"/>
      </w:divBdr>
    </w:div>
    <w:div w:id="1918325399">
      <w:bodyDiv w:val="1"/>
      <w:marLeft w:val="0"/>
      <w:marRight w:val="0"/>
      <w:marTop w:val="0"/>
      <w:marBottom w:val="0"/>
      <w:divBdr>
        <w:top w:val="none" w:sz="0" w:space="0" w:color="auto"/>
        <w:left w:val="none" w:sz="0" w:space="0" w:color="auto"/>
        <w:bottom w:val="none" w:sz="0" w:space="0" w:color="auto"/>
        <w:right w:val="none" w:sz="0" w:space="0" w:color="auto"/>
      </w:divBdr>
    </w:div>
    <w:div w:id="1938638818">
      <w:bodyDiv w:val="1"/>
      <w:marLeft w:val="0"/>
      <w:marRight w:val="0"/>
      <w:marTop w:val="0"/>
      <w:marBottom w:val="0"/>
      <w:divBdr>
        <w:top w:val="none" w:sz="0" w:space="0" w:color="auto"/>
        <w:left w:val="none" w:sz="0" w:space="0" w:color="auto"/>
        <w:bottom w:val="none" w:sz="0" w:space="0" w:color="auto"/>
        <w:right w:val="none" w:sz="0" w:space="0" w:color="auto"/>
      </w:divBdr>
    </w:div>
    <w:div w:id="1950813471">
      <w:bodyDiv w:val="1"/>
      <w:marLeft w:val="0"/>
      <w:marRight w:val="0"/>
      <w:marTop w:val="0"/>
      <w:marBottom w:val="0"/>
      <w:divBdr>
        <w:top w:val="none" w:sz="0" w:space="0" w:color="auto"/>
        <w:left w:val="none" w:sz="0" w:space="0" w:color="auto"/>
        <w:bottom w:val="none" w:sz="0" w:space="0" w:color="auto"/>
        <w:right w:val="none" w:sz="0" w:space="0" w:color="auto"/>
      </w:divBdr>
      <w:divsChild>
        <w:div w:id="878708955">
          <w:marLeft w:val="0"/>
          <w:marRight w:val="0"/>
          <w:marTop w:val="0"/>
          <w:marBottom w:val="0"/>
          <w:divBdr>
            <w:top w:val="none" w:sz="0" w:space="0" w:color="auto"/>
            <w:left w:val="none" w:sz="0" w:space="0" w:color="auto"/>
            <w:bottom w:val="none" w:sz="0" w:space="0" w:color="auto"/>
            <w:right w:val="none" w:sz="0" w:space="0" w:color="auto"/>
          </w:divBdr>
        </w:div>
        <w:div w:id="982925329">
          <w:marLeft w:val="0"/>
          <w:marRight w:val="0"/>
          <w:marTop w:val="0"/>
          <w:marBottom w:val="0"/>
          <w:divBdr>
            <w:top w:val="none" w:sz="0" w:space="0" w:color="auto"/>
            <w:left w:val="none" w:sz="0" w:space="0" w:color="auto"/>
            <w:bottom w:val="none" w:sz="0" w:space="0" w:color="auto"/>
            <w:right w:val="none" w:sz="0" w:space="0" w:color="auto"/>
          </w:divBdr>
        </w:div>
      </w:divsChild>
    </w:div>
    <w:div w:id="1955364836">
      <w:bodyDiv w:val="1"/>
      <w:marLeft w:val="0"/>
      <w:marRight w:val="0"/>
      <w:marTop w:val="0"/>
      <w:marBottom w:val="0"/>
      <w:divBdr>
        <w:top w:val="none" w:sz="0" w:space="0" w:color="auto"/>
        <w:left w:val="none" w:sz="0" w:space="0" w:color="auto"/>
        <w:bottom w:val="none" w:sz="0" w:space="0" w:color="auto"/>
        <w:right w:val="none" w:sz="0" w:space="0" w:color="auto"/>
      </w:divBdr>
    </w:div>
    <w:div w:id="1997800783">
      <w:bodyDiv w:val="1"/>
      <w:marLeft w:val="0"/>
      <w:marRight w:val="0"/>
      <w:marTop w:val="0"/>
      <w:marBottom w:val="0"/>
      <w:divBdr>
        <w:top w:val="none" w:sz="0" w:space="0" w:color="auto"/>
        <w:left w:val="none" w:sz="0" w:space="0" w:color="auto"/>
        <w:bottom w:val="none" w:sz="0" w:space="0" w:color="auto"/>
        <w:right w:val="none" w:sz="0" w:space="0" w:color="auto"/>
      </w:divBdr>
    </w:div>
    <w:div w:id="2002466117">
      <w:bodyDiv w:val="1"/>
      <w:marLeft w:val="0"/>
      <w:marRight w:val="0"/>
      <w:marTop w:val="0"/>
      <w:marBottom w:val="0"/>
      <w:divBdr>
        <w:top w:val="none" w:sz="0" w:space="0" w:color="auto"/>
        <w:left w:val="none" w:sz="0" w:space="0" w:color="auto"/>
        <w:bottom w:val="none" w:sz="0" w:space="0" w:color="auto"/>
        <w:right w:val="none" w:sz="0" w:space="0" w:color="auto"/>
      </w:divBdr>
    </w:div>
    <w:div w:id="2065829659">
      <w:bodyDiv w:val="1"/>
      <w:marLeft w:val="0"/>
      <w:marRight w:val="0"/>
      <w:marTop w:val="0"/>
      <w:marBottom w:val="0"/>
      <w:divBdr>
        <w:top w:val="none" w:sz="0" w:space="0" w:color="auto"/>
        <w:left w:val="none" w:sz="0" w:space="0" w:color="auto"/>
        <w:bottom w:val="none" w:sz="0" w:space="0" w:color="auto"/>
        <w:right w:val="none" w:sz="0" w:space="0" w:color="auto"/>
      </w:divBdr>
    </w:div>
    <w:div w:id="2067603565">
      <w:bodyDiv w:val="1"/>
      <w:marLeft w:val="0"/>
      <w:marRight w:val="0"/>
      <w:marTop w:val="0"/>
      <w:marBottom w:val="0"/>
      <w:divBdr>
        <w:top w:val="none" w:sz="0" w:space="0" w:color="auto"/>
        <w:left w:val="none" w:sz="0" w:space="0" w:color="auto"/>
        <w:bottom w:val="none" w:sz="0" w:space="0" w:color="auto"/>
        <w:right w:val="none" w:sz="0" w:space="0" w:color="auto"/>
      </w:divBdr>
    </w:div>
    <w:div w:id="2069108747">
      <w:bodyDiv w:val="1"/>
      <w:marLeft w:val="0"/>
      <w:marRight w:val="0"/>
      <w:marTop w:val="0"/>
      <w:marBottom w:val="0"/>
      <w:divBdr>
        <w:top w:val="none" w:sz="0" w:space="0" w:color="auto"/>
        <w:left w:val="none" w:sz="0" w:space="0" w:color="auto"/>
        <w:bottom w:val="none" w:sz="0" w:space="0" w:color="auto"/>
        <w:right w:val="none" w:sz="0" w:space="0" w:color="auto"/>
      </w:divBdr>
    </w:div>
    <w:div w:id="2072456152">
      <w:bodyDiv w:val="1"/>
      <w:marLeft w:val="0"/>
      <w:marRight w:val="0"/>
      <w:marTop w:val="0"/>
      <w:marBottom w:val="0"/>
      <w:divBdr>
        <w:top w:val="none" w:sz="0" w:space="0" w:color="auto"/>
        <w:left w:val="none" w:sz="0" w:space="0" w:color="auto"/>
        <w:bottom w:val="none" w:sz="0" w:space="0" w:color="auto"/>
        <w:right w:val="none" w:sz="0" w:space="0" w:color="auto"/>
      </w:divBdr>
      <w:divsChild>
        <w:div w:id="573978468">
          <w:marLeft w:val="0"/>
          <w:marRight w:val="0"/>
          <w:marTop w:val="0"/>
          <w:marBottom w:val="0"/>
          <w:divBdr>
            <w:top w:val="none" w:sz="0" w:space="0" w:color="auto"/>
            <w:left w:val="none" w:sz="0" w:space="0" w:color="auto"/>
            <w:bottom w:val="none" w:sz="0" w:space="0" w:color="auto"/>
            <w:right w:val="none" w:sz="0" w:space="0" w:color="auto"/>
          </w:divBdr>
        </w:div>
        <w:div w:id="270623222">
          <w:marLeft w:val="0"/>
          <w:marRight w:val="0"/>
          <w:marTop w:val="0"/>
          <w:marBottom w:val="0"/>
          <w:divBdr>
            <w:top w:val="none" w:sz="0" w:space="0" w:color="auto"/>
            <w:left w:val="none" w:sz="0" w:space="0" w:color="auto"/>
            <w:bottom w:val="none" w:sz="0" w:space="0" w:color="auto"/>
            <w:right w:val="none" w:sz="0" w:space="0" w:color="auto"/>
          </w:divBdr>
        </w:div>
        <w:div w:id="1098714613">
          <w:marLeft w:val="0"/>
          <w:marRight w:val="0"/>
          <w:marTop w:val="0"/>
          <w:marBottom w:val="0"/>
          <w:divBdr>
            <w:top w:val="none" w:sz="0" w:space="0" w:color="auto"/>
            <w:left w:val="none" w:sz="0" w:space="0" w:color="auto"/>
            <w:bottom w:val="none" w:sz="0" w:space="0" w:color="auto"/>
            <w:right w:val="none" w:sz="0" w:space="0" w:color="auto"/>
          </w:divBdr>
        </w:div>
      </w:divsChild>
    </w:div>
    <w:div w:id="2074622080">
      <w:bodyDiv w:val="1"/>
      <w:marLeft w:val="0"/>
      <w:marRight w:val="0"/>
      <w:marTop w:val="0"/>
      <w:marBottom w:val="0"/>
      <w:divBdr>
        <w:top w:val="none" w:sz="0" w:space="0" w:color="auto"/>
        <w:left w:val="none" w:sz="0" w:space="0" w:color="auto"/>
        <w:bottom w:val="none" w:sz="0" w:space="0" w:color="auto"/>
        <w:right w:val="none" w:sz="0" w:space="0" w:color="auto"/>
      </w:divBdr>
      <w:divsChild>
        <w:div w:id="736901541">
          <w:marLeft w:val="0"/>
          <w:marRight w:val="0"/>
          <w:marTop w:val="0"/>
          <w:marBottom w:val="0"/>
          <w:divBdr>
            <w:top w:val="none" w:sz="0" w:space="0" w:color="auto"/>
            <w:left w:val="none" w:sz="0" w:space="0" w:color="auto"/>
            <w:bottom w:val="none" w:sz="0" w:space="0" w:color="auto"/>
            <w:right w:val="none" w:sz="0" w:space="0" w:color="auto"/>
          </w:divBdr>
          <w:divsChild>
            <w:div w:id="1326933597">
              <w:marLeft w:val="0"/>
              <w:marRight w:val="0"/>
              <w:marTop w:val="0"/>
              <w:marBottom w:val="0"/>
              <w:divBdr>
                <w:top w:val="none" w:sz="0" w:space="0" w:color="auto"/>
                <w:left w:val="none" w:sz="0" w:space="0" w:color="auto"/>
                <w:bottom w:val="none" w:sz="0" w:space="0" w:color="auto"/>
                <w:right w:val="none" w:sz="0" w:space="0" w:color="auto"/>
              </w:divBdr>
              <w:divsChild>
                <w:div w:id="1525630721">
                  <w:marLeft w:val="0"/>
                  <w:marRight w:val="0"/>
                  <w:marTop w:val="0"/>
                  <w:marBottom w:val="0"/>
                  <w:divBdr>
                    <w:top w:val="none" w:sz="0" w:space="0" w:color="auto"/>
                    <w:left w:val="none" w:sz="0" w:space="0" w:color="auto"/>
                    <w:bottom w:val="none" w:sz="0" w:space="0" w:color="auto"/>
                    <w:right w:val="none" w:sz="0" w:space="0" w:color="auto"/>
                  </w:divBdr>
                </w:div>
                <w:div w:id="123234231">
                  <w:marLeft w:val="0"/>
                  <w:marRight w:val="0"/>
                  <w:marTop w:val="0"/>
                  <w:marBottom w:val="0"/>
                  <w:divBdr>
                    <w:top w:val="none" w:sz="0" w:space="0" w:color="auto"/>
                    <w:left w:val="none" w:sz="0" w:space="0" w:color="auto"/>
                    <w:bottom w:val="none" w:sz="0" w:space="0" w:color="auto"/>
                    <w:right w:val="none" w:sz="0" w:space="0" w:color="auto"/>
                  </w:divBdr>
                </w:div>
                <w:div w:id="1862666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6849896">
      <w:bodyDiv w:val="1"/>
      <w:marLeft w:val="0"/>
      <w:marRight w:val="0"/>
      <w:marTop w:val="0"/>
      <w:marBottom w:val="0"/>
      <w:divBdr>
        <w:top w:val="none" w:sz="0" w:space="0" w:color="auto"/>
        <w:left w:val="none" w:sz="0" w:space="0" w:color="auto"/>
        <w:bottom w:val="none" w:sz="0" w:space="0" w:color="auto"/>
        <w:right w:val="none" w:sz="0" w:space="0" w:color="auto"/>
      </w:divBdr>
      <w:divsChild>
        <w:div w:id="1334532327">
          <w:marLeft w:val="0"/>
          <w:marRight w:val="0"/>
          <w:marTop w:val="0"/>
          <w:marBottom w:val="0"/>
          <w:divBdr>
            <w:top w:val="none" w:sz="0" w:space="0" w:color="auto"/>
            <w:left w:val="none" w:sz="0" w:space="0" w:color="auto"/>
            <w:bottom w:val="none" w:sz="0" w:space="0" w:color="auto"/>
            <w:right w:val="none" w:sz="0" w:space="0" w:color="auto"/>
          </w:divBdr>
        </w:div>
        <w:div w:id="1260600734">
          <w:marLeft w:val="0"/>
          <w:marRight w:val="0"/>
          <w:marTop w:val="0"/>
          <w:marBottom w:val="0"/>
          <w:divBdr>
            <w:top w:val="none" w:sz="0" w:space="0" w:color="auto"/>
            <w:left w:val="none" w:sz="0" w:space="0" w:color="auto"/>
            <w:bottom w:val="none" w:sz="0" w:space="0" w:color="auto"/>
            <w:right w:val="none" w:sz="0" w:space="0" w:color="auto"/>
          </w:divBdr>
        </w:div>
        <w:div w:id="1830750705">
          <w:marLeft w:val="0"/>
          <w:marRight w:val="0"/>
          <w:marTop w:val="0"/>
          <w:marBottom w:val="0"/>
          <w:divBdr>
            <w:top w:val="none" w:sz="0" w:space="0" w:color="auto"/>
            <w:left w:val="none" w:sz="0" w:space="0" w:color="auto"/>
            <w:bottom w:val="none" w:sz="0" w:space="0" w:color="auto"/>
            <w:right w:val="none" w:sz="0" w:space="0" w:color="auto"/>
          </w:divBdr>
        </w:div>
      </w:divsChild>
    </w:div>
    <w:div w:id="2086952287">
      <w:bodyDiv w:val="1"/>
      <w:marLeft w:val="0"/>
      <w:marRight w:val="0"/>
      <w:marTop w:val="0"/>
      <w:marBottom w:val="0"/>
      <w:divBdr>
        <w:top w:val="none" w:sz="0" w:space="0" w:color="auto"/>
        <w:left w:val="none" w:sz="0" w:space="0" w:color="auto"/>
        <w:bottom w:val="none" w:sz="0" w:space="0" w:color="auto"/>
        <w:right w:val="none" w:sz="0" w:space="0" w:color="auto"/>
      </w:divBdr>
    </w:div>
    <w:div w:id="2102606042">
      <w:bodyDiv w:val="1"/>
      <w:marLeft w:val="0"/>
      <w:marRight w:val="0"/>
      <w:marTop w:val="0"/>
      <w:marBottom w:val="0"/>
      <w:divBdr>
        <w:top w:val="none" w:sz="0" w:space="0" w:color="auto"/>
        <w:left w:val="none" w:sz="0" w:space="0" w:color="auto"/>
        <w:bottom w:val="none" w:sz="0" w:space="0" w:color="auto"/>
        <w:right w:val="none" w:sz="0" w:space="0" w:color="auto"/>
      </w:divBdr>
      <w:divsChild>
        <w:div w:id="1228103960">
          <w:marLeft w:val="0"/>
          <w:marRight w:val="0"/>
          <w:marTop w:val="0"/>
          <w:marBottom w:val="0"/>
          <w:divBdr>
            <w:top w:val="none" w:sz="0" w:space="0" w:color="auto"/>
            <w:left w:val="none" w:sz="0" w:space="0" w:color="auto"/>
            <w:bottom w:val="none" w:sz="0" w:space="0" w:color="auto"/>
            <w:right w:val="none" w:sz="0" w:space="0" w:color="auto"/>
          </w:divBdr>
        </w:div>
        <w:div w:id="2051487975">
          <w:marLeft w:val="0"/>
          <w:marRight w:val="0"/>
          <w:marTop w:val="0"/>
          <w:marBottom w:val="0"/>
          <w:divBdr>
            <w:top w:val="none" w:sz="0" w:space="0" w:color="auto"/>
            <w:left w:val="none" w:sz="0" w:space="0" w:color="auto"/>
            <w:bottom w:val="none" w:sz="0" w:space="0" w:color="auto"/>
            <w:right w:val="none" w:sz="0" w:space="0" w:color="auto"/>
          </w:divBdr>
        </w:div>
      </w:divsChild>
    </w:div>
    <w:div w:id="2116974523">
      <w:bodyDiv w:val="1"/>
      <w:marLeft w:val="0"/>
      <w:marRight w:val="0"/>
      <w:marTop w:val="0"/>
      <w:marBottom w:val="0"/>
      <w:divBdr>
        <w:top w:val="none" w:sz="0" w:space="0" w:color="auto"/>
        <w:left w:val="none" w:sz="0" w:space="0" w:color="auto"/>
        <w:bottom w:val="none" w:sz="0" w:space="0" w:color="auto"/>
        <w:right w:val="none" w:sz="0" w:space="0" w:color="auto"/>
      </w:divBdr>
    </w:div>
    <w:div w:id="2138835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hart" Target="charts/chart5.xml"/><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hyperlink" Target="https://www.eventstudytools.com/mergers-acquisitions"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hart" Target="charts/chart4.xml"/><Relationship Id="rId33" Type="http://schemas.openxmlformats.org/officeDocument/2006/relationships/hyperlink" Target="https://www.intechopen.com/books/financial-management-from-an-emerging-market-perspective/a-comparative-abnormal-return-analysis-of-mergers-and-acquisitions-in-the-emerging-markets" TargetMode="External"/><Relationship Id="rId38"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chart" Target="charts/chart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chart" Target="charts/chart3.xml"/><Relationship Id="rId32" Type="http://schemas.openxmlformats.org/officeDocument/2006/relationships/hyperlink" Target="https://www.bloomberg.com/news/articles/2019-04-15/shell-s-london-headquarters-vandalized-by-climate-protesters" TargetMode="External"/><Relationship Id="rId37" Type="http://schemas.openxmlformats.org/officeDocument/2006/relationships/footer" Target="footer3.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image" Target="media/image14.pn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hyperlink" Target="https://unfccc.int/files/essential_background/background_publications_htmlpdf/application/pdf/conveng.pdf"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hyperlink" Target="https://www.bp.com/content/dam/bp/business-sites/en/global/corporate/pdfs/energy-economics/energy-outlook/bp-energy-outlook-2020.pdf?utm_source=newsletter&amp;utm_medium=email&amp;utm_campaign=newsletter_axiosgenerate&amp;stream=top" TargetMode="External"/><Relationship Id="rId35" Type="http://schemas.openxmlformats.org/officeDocument/2006/relationships/image" Target="media/image13.png"/></Relationships>
</file>

<file path=word/_rels/footnotes.xml.rels><?xml version="1.0" encoding="UTF-8" standalone="yes"?>
<Relationships xmlns="http://schemas.openxmlformats.org/package/2006/relationships"><Relationship Id="rId8" Type="http://schemas.openxmlformats.org/officeDocument/2006/relationships/hyperlink" Target="https://www.fsb-tcfd.org/about/" TargetMode="External"/><Relationship Id="rId13" Type="http://schemas.openxmlformats.org/officeDocument/2006/relationships/hyperlink" Target="http://www.gsi-alliance.org/wp-content/uploads/2019/03/GSIR_Review2018.3.28.pdf" TargetMode="External"/><Relationship Id="rId18" Type="http://schemas.openxmlformats.org/officeDocument/2006/relationships/hyperlink" Target="https://www.mckinsey.com/industries/oil-and-gas/our-insights/the-big-choices-for-oil-and-gas-in-navigating-the-energy-transition" TargetMode="External"/><Relationship Id="rId3" Type="http://schemas.openxmlformats.org/officeDocument/2006/relationships/hyperlink" Target="https://unfccc.int/kyoto_protocol" TargetMode="External"/><Relationship Id="rId7" Type="http://schemas.openxmlformats.org/officeDocument/2006/relationships/hyperlink" Target="https://unfccc.int/files/essential_background/background_publications_htmlpdf/application/pdf/conveng.pdf" TargetMode="External"/><Relationship Id="rId12" Type="http://schemas.openxmlformats.org/officeDocument/2006/relationships/hyperlink" Target="https://www.bloomberg.com/news/articles/2019-04-15/shell-s-london-headquarters-vandalized-by-climate-protesters" TargetMode="External"/><Relationship Id="rId17" Type="http://schemas.openxmlformats.org/officeDocument/2006/relationships/hyperlink" Target="https://nor.deloitte.com/rs/712-CNF-326/images/DI-Oil-gas-and-the-energy-transition.pdf?_ga=2.189358571.1781744088.1620305824-454345659.1620305824" TargetMode="External"/><Relationship Id="rId2" Type="http://schemas.openxmlformats.org/officeDocument/2006/relationships/hyperlink" Target="https://www.spglobal.com/spdji/en/indices/esg/dow-jones-sustainability-world-index/" TargetMode="External"/><Relationship Id="rId16" Type="http://schemas.openxmlformats.org/officeDocument/2006/relationships/hyperlink" Target="https://ec.europa.eu/jrc/sites/jrcsh/files/4_3_cojoianu_presentation.pdf" TargetMode="External"/><Relationship Id="rId20" Type="http://schemas.openxmlformats.org/officeDocument/2006/relationships/hyperlink" Target="https://www.intechopen.com/books/financial-management-from-an-emerging-market-perspective/a-comparative-abnormal-return-analysis-of-mergers-and-acquisitions-in-the-emerging-markets" TargetMode="External"/><Relationship Id="rId1" Type="http://schemas.openxmlformats.org/officeDocument/2006/relationships/hyperlink" Target="https://www.spglobal.com/esg/csa/" TargetMode="External"/><Relationship Id="rId6" Type="http://schemas.openxmlformats.org/officeDocument/2006/relationships/hyperlink" Target="https://treaties.un.org/Pages/ViewDetails.aspx?src=TREATY&amp;mtdsg_no=XXVII-2-f&amp;chapter=27&amp;clang=_en" TargetMode="External"/><Relationship Id="rId11" Type="http://schemas.openxmlformats.org/officeDocument/2006/relationships/hyperlink" Target="https://www.bbc.com/news/world-us-canada-55816229" TargetMode="External"/><Relationship Id="rId5" Type="http://schemas.openxmlformats.org/officeDocument/2006/relationships/hyperlink" Target="https://www.unep.org/ozonaction/who-we-are/about-montreal-protocol" TargetMode="External"/><Relationship Id="rId15" Type="http://schemas.openxmlformats.org/officeDocument/2006/relationships/hyperlink" Target="https://www.forbes.com/sites/mikescott/2019/04/29/investors-demand-oil-gas-firms-adopt-climate-targets-but-they-must-also-apply-them-to-their-funds/?sh=f5c8c7f6e4e1" TargetMode="External"/><Relationship Id="rId10" Type="http://schemas.openxmlformats.org/officeDocument/2006/relationships/hyperlink" Target="https://www.energyresources.org.nz/dmsdocument/167" TargetMode="External"/><Relationship Id="rId19" Type="http://schemas.openxmlformats.org/officeDocument/2006/relationships/hyperlink" Target="https://www.power-technology.com/features/featurethe-worlds-most-used-renewable-power-sources-4160168/" TargetMode="External"/><Relationship Id="rId4" Type="http://schemas.openxmlformats.org/officeDocument/2006/relationships/hyperlink" Target="https://www.bp.com/content/dam/bp/business-sites/en/global/corporate/pdfs/energy-economics/energy-outlook/bp-energy-outlook-2020.pdf?utm_source=newsletter&amp;utm_medium=email&amp;utm_campaign=newsletter_axiosgenerate&amp;stream=top" TargetMode="External"/><Relationship Id="rId9" Type="http://schemas.openxmlformats.org/officeDocument/2006/relationships/hyperlink" Target="https://www.unpri.org/pri/what-are-the-principles-for-responsible-investment" TargetMode="External"/><Relationship Id="rId14" Type="http://schemas.openxmlformats.org/officeDocument/2006/relationships/hyperlink" Target="http://www.gsi-alliance.org/wp-content/uploads/2019/06/GSIR_Review2018F.pdf"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10347\Documents\&#1053;&#1072;&#1089;&#1090;&#1088;&#1072;&#1080;&#1074;&#1072;&#1077;&#1084;&#1099;&#1077;%20&#1096;&#1072;&#1073;&#1083;&#1086;&#1085;&#1099;%20Office\S1%20SviridovA.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810347\Downloads\M&amp;A,%20O&amp;G1%20(3)%20(1).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810347\Downloads\M&amp;A,%20O&amp;G1%20(3)%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810347\Downloads\M&amp;A,%20O&amp;G1%20(3)%20(1).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810347\Downloads\M&amp;A,%20O&amp;G1%20(3)%20(1).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810347\Downloads\M&amp;A,%20O&amp;G1%20(3)%20(1).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810347\Downloads\M&amp;A,%20O&amp;G1%20(3)%20(1).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810347\Downloads\M&amp;A,%20O&amp;G1%20(3)%20(1).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810347\Downloads\M&amp;A,%20O&amp;G1%20(3)%20(1).xlsx" TargetMode="External"/><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Deals by year</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spPr>
            <a:solidFill>
              <a:schemeClr val="dk1">
                <a:tint val="88500"/>
              </a:schemeClr>
            </a:solidFill>
            <a:ln>
              <a:noFill/>
            </a:ln>
            <a:effectLst/>
          </c:spPr>
          <c:invertIfNegative val="0"/>
          <c:cat>
            <c:numRef>
              <c:f>'M&amp;As list'!$C$101:$C$115</c:f>
              <c:numCache>
                <c:formatCode>General</c:formatCode>
                <c:ptCount val="15"/>
                <c:pt idx="0">
                  <c:v>2003</c:v>
                </c:pt>
                <c:pt idx="1">
                  <c:v>2005</c:v>
                </c:pt>
                <c:pt idx="2">
                  <c:v>2008</c:v>
                </c:pt>
                <c:pt idx="3">
                  <c:v>2009</c:v>
                </c:pt>
                <c:pt idx="4">
                  <c:v>2010</c:v>
                </c:pt>
                <c:pt idx="5">
                  <c:v>2011</c:v>
                </c:pt>
                <c:pt idx="6">
                  <c:v>2012</c:v>
                </c:pt>
                <c:pt idx="7">
                  <c:v>2013</c:v>
                </c:pt>
                <c:pt idx="8">
                  <c:v>2014</c:v>
                </c:pt>
                <c:pt idx="9">
                  <c:v>2015</c:v>
                </c:pt>
                <c:pt idx="10">
                  <c:v>2016</c:v>
                </c:pt>
                <c:pt idx="11">
                  <c:v>2017</c:v>
                </c:pt>
                <c:pt idx="12">
                  <c:v>2018</c:v>
                </c:pt>
                <c:pt idx="13">
                  <c:v>2019</c:v>
                </c:pt>
                <c:pt idx="14">
                  <c:v>2021</c:v>
                </c:pt>
              </c:numCache>
            </c:numRef>
          </c:cat>
          <c:val>
            <c:numRef>
              <c:f>'M&amp;As list'!$D$101:$D$115</c:f>
              <c:numCache>
                <c:formatCode>General</c:formatCode>
                <c:ptCount val="15"/>
                <c:pt idx="0">
                  <c:v>1</c:v>
                </c:pt>
                <c:pt idx="1">
                  <c:v>1</c:v>
                </c:pt>
                <c:pt idx="2">
                  <c:v>1</c:v>
                </c:pt>
                <c:pt idx="3">
                  <c:v>1</c:v>
                </c:pt>
                <c:pt idx="4">
                  <c:v>2</c:v>
                </c:pt>
                <c:pt idx="5">
                  <c:v>2</c:v>
                </c:pt>
                <c:pt idx="6">
                  <c:v>2</c:v>
                </c:pt>
                <c:pt idx="7">
                  <c:v>2</c:v>
                </c:pt>
                <c:pt idx="8">
                  <c:v>2</c:v>
                </c:pt>
                <c:pt idx="9">
                  <c:v>3</c:v>
                </c:pt>
                <c:pt idx="10">
                  <c:v>1</c:v>
                </c:pt>
                <c:pt idx="11">
                  <c:v>1</c:v>
                </c:pt>
                <c:pt idx="12">
                  <c:v>3</c:v>
                </c:pt>
                <c:pt idx="13">
                  <c:v>3</c:v>
                </c:pt>
                <c:pt idx="14">
                  <c:v>1</c:v>
                </c:pt>
              </c:numCache>
            </c:numRef>
          </c:val>
        </c:ser>
        <c:dLbls>
          <c:showLegendKey val="0"/>
          <c:showVal val="0"/>
          <c:showCatName val="0"/>
          <c:showSerName val="0"/>
          <c:showPercent val="0"/>
          <c:showBubbleSize val="0"/>
        </c:dLbls>
        <c:gapWidth val="219"/>
        <c:overlap val="-27"/>
        <c:axId val="461623584"/>
        <c:axId val="549363768"/>
      </c:barChart>
      <c:catAx>
        <c:axId val="461623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9363768"/>
        <c:crosses val="autoZero"/>
        <c:auto val="1"/>
        <c:lblAlgn val="ctr"/>
        <c:lblOffset val="100"/>
        <c:noMultiLvlLbl val="0"/>
      </c:catAx>
      <c:valAx>
        <c:axId val="549363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61623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Number of deals by a</a:t>
            </a:r>
            <a:r>
              <a:rPr lang="en-US" baseline="0"/>
              <a:t> company</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bar"/>
        <c:grouping val="clustered"/>
        <c:varyColors val="0"/>
        <c:ser>
          <c:idx val="0"/>
          <c:order val="0"/>
          <c:tx>
            <c:strRef>
              <c:f>'M&amp;As list'!$D$66</c:f>
              <c:strCache>
                <c:ptCount val="1"/>
                <c:pt idx="0">
                  <c:v>Number of deals</c:v>
                </c:pt>
              </c:strCache>
            </c:strRef>
          </c:tx>
          <c:spPr>
            <a:solidFill>
              <a:schemeClr val="dk1">
                <a:tint val="88500"/>
              </a:schemeClr>
            </a:solidFill>
            <a:ln>
              <a:noFill/>
            </a:ln>
            <a:effectLst/>
          </c:spPr>
          <c:invertIfNegative val="0"/>
          <c:cat>
            <c:strRef>
              <c:f>'M&amp;As list'!$C$67:$C$77</c:f>
              <c:strCache>
                <c:ptCount val="11"/>
                <c:pt idx="0">
                  <c:v>Engie SA (Gaz de France SA)</c:v>
                </c:pt>
                <c:pt idx="1">
                  <c:v>Equinor ASA (Statoil)</c:v>
                </c:pt>
                <c:pt idx="2">
                  <c:v>Snam SpA</c:v>
                </c:pt>
                <c:pt idx="3">
                  <c:v>Royal Dutch Shell PLC</c:v>
                </c:pt>
                <c:pt idx="4">
                  <c:v>Total SA</c:v>
                </c:pt>
                <c:pt idx="5">
                  <c:v>RWE AG</c:v>
                </c:pt>
                <c:pt idx="6">
                  <c:v>Suncor Energy Inc</c:v>
                </c:pt>
                <c:pt idx="7">
                  <c:v>Gas Natural SDG SA</c:v>
                </c:pt>
                <c:pt idx="8">
                  <c:v>TransCanada Corp</c:v>
                </c:pt>
                <c:pt idx="9">
                  <c:v>OMV AG</c:v>
                </c:pt>
                <c:pt idx="10">
                  <c:v>BP PLC</c:v>
                </c:pt>
              </c:strCache>
            </c:strRef>
          </c:cat>
          <c:val>
            <c:numRef>
              <c:f>'M&amp;As list'!$D$67:$D$77</c:f>
              <c:numCache>
                <c:formatCode>General</c:formatCode>
                <c:ptCount val="11"/>
                <c:pt idx="0">
                  <c:v>2</c:v>
                </c:pt>
                <c:pt idx="1">
                  <c:v>3</c:v>
                </c:pt>
                <c:pt idx="2">
                  <c:v>3</c:v>
                </c:pt>
                <c:pt idx="3">
                  <c:v>2</c:v>
                </c:pt>
                <c:pt idx="4">
                  <c:v>2</c:v>
                </c:pt>
                <c:pt idx="5">
                  <c:v>1</c:v>
                </c:pt>
                <c:pt idx="6">
                  <c:v>2</c:v>
                </c:pt>
                <c:pt idx="7">
                  <c:v>5</c:v>
                </c:pt>
                <c:pt idx="8">
                  <c:v>4</c:v>
                </c:pt>
                <c:pt idx="9">
                  <c:v>1</c:v>
                </c:pt>
                <c:pt idx="10">
                  <c:v>1</c:v>
                </c:pt>
              </c:numCache>
            </c:numRef>
          </c:val>
        </c:ser>
        <c:dLbls>
          <c:showLegendKey val="0"/>
          <c:showVal val="0"/>
          <c:showCatName val="0"/>
          <c:showSerName val="0"/>
          <c:showPercent val="0"/>
          <c:showBubbleSize val="0"/>
        </c:dLbls>
        <c:gapWidth val="182"/>
        <c:axId val="549364552"/>
        <c:axId val="549361416"/>
      </c:barChart>
      <c:catAx>
        <c:axId val="54936455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9361416"/>
        <c:crosses val="autoZero"/>
        <c:auto val="1"/>
        <c:lblAlgn val="ctr"/>
        <c:lblOffset val="100"/>
        <c:noMultiLvlLbl val="0"/>
      </c:catAx>
      <c:valAx>
        <c:axId val="54936141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936455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scatterChart>
        <c:scatterStyle val="lineMarker"/>
        <c:varyColors val="0"/>
        <c:ser>
          <c:idx val="0"/>
          <c:order val="0"/>
          <c:tx>
            <c:strRef>
              <c:f>'Results for short-term study'!$AL$3</c:f>
              <c:strCache>
                <c:ptCount val="1"/>
                <c:pt idx="0">
                  <c:v>AAR</c:v>
                </c:pt>
              </c:strCache>
            </c:strRef>
          </c:tx>
          <c:spPr>
            <a:ln w="19050"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xVal>
            <c:numRef>
              <c:f>'Results for short-term study'!$AK$4:$AK$10</c:f>
              <c:numCache>
                <c:formatCode>General</c:formatCode>
                <c:ptCount val="7"/>
                <c:pt idx="0">
                  <c:v>3</c:v>
                </c:pt>
                <c:pt idx="1">
                  <c:v>2</c:v>
                </c:pt>
                <c:pt idx="2">
                  <c:v>1</c:v>
                </c:pt>
                <c:pt idx="3">
                  <c:v>0</c:v>
                </c:pt>
                <c:pt idx="4">
                  <c:v>-1</c:v>
                </c:pt>
                <c:pt idx="5">
                  <c:v>-2</c:v>
                </c:pt>
                <c:pt idx="6">
                  <c:v>-3</c:v>
                </c:pt>
              </c:numCache>
            </c:numRef>
          </c:xVal>
          <c:yVal>
            <c:numRef>
              <c:f>'Results for short-term study'!$AL$4:$AL$10</c:f>
              <c:numCache>
                <c:formatCode>\+#,##0.00%;\-#,##0.00%;#,##0.00%;"--"</c:formatCode>
                <c:ptCount val="7"/>
                <c:pt idx="0">
                  <c:v>8.1966064433447558E-4</c:v>
                </c:pt>
                <c:pt idx="1">
                  <c:v>1.7505661750805278E-3</c:v>
                </c:pt>
                <c:pt idx="2">
                  <c:v>2.62479832577659E-3</c:v>
                </c:pt>
                <c:pt idx="3">
                  <c:v>-3.1699480316033824E-3</c:v>
                </c:pt>
                <c:pt idx="4">
                  <c:v>3.7778003566046299E-3</c:v>
                </c:pt>
                <c:pt idx="5">
                  <c:v>-4.5244701729488411E-3</c:v>
                </c:pt>
                <c:pt idx="6">
                  <c:v>1.2903711441605657E-3</c:v>
                </c:pt>
              </c:numCache>
            </c:numRef>
          </c:yVal>
          <c:smooth val="0"/>
        </c:ser>
        <c:dLbls>
          <c:showLegendKey val="0"/>
          <c:showVal val="0"/>
          <c:showCatName val="0"/>
          <c:showSerName val="0"/>
          <c:showPercent val="0"/>
          <c:showBubbleSize val="0"/>
        </c:dLbls>
        <c:axId val="549361808"/>
        <c:axId val="549362200"/>
      </c:scatterChart>
      <c:valAx>
        <c:axId val="549361808"/>
        <c:scaling>
          <c:orientation val="minMax"/>
          <c:max val="3"/>
          <c:min val="-3"/>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9362200"/>
        <c:crosses val="autoZero"/>
        <c:crossBetween val="midCat"/>
      </c:valAx>
      <c:valAx>
        <c:axId val="549362200"/>
        <c:scaling>
          <c:orientation val="minMax"/>
        </c:scaling>
        <c:delete val="0"/>
        <c:axPos val="l"/>
        <c:majorGridlines>
          <c:spPr>
            <a:ln w="9525" cap="flat" cmpd="sng" algn="ctr">
              <a:solidFill>
                <a:schemeClr val="tx1">
                  <a:lumMod val="15000"/>
                  <a:lumOff val="85000"/>
                </a:schemeClr>
              </a:solidFill>
              <a:round/>
            </a:ln>
            <a:effectLst/>
          </c:spPr>
        </c:majorGridlines>
        <c:numFmt formatCode="\+#,##0.00%;\-#,##0.00%;#,##0.00%;&quot;--&quot;"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9361808"/>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scatterChart>
        <c:scatterStyle val="lineMarker"/>
        <c:varyColors val="0"/>
        <c:ser>
          <c:idx val="0"/>
          <c:order val="0"/>
          <c:tx>
            <c:strRef>
              <c:f>'Results for short-term study'!$AM$3</c:f>
              <c:strCache>
                <c:ptCount val="1"/>
                <c:pt idx="0">
                  <c:v>CAAR</c:v>
                </c:pt>
              </c:strCache>
            </c:strRef>
          </c:tx>
          <c:spPr>
            <a:ln w="19050"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xVal>
            <c:numRef>
              <c:f>'Results for short-term study'!$AK$4:$AK$10</c:f>
              <c:numCache>
                <c:formatCode>General</c:formatCode>
                <c:ptCount val="7"/>
                <c:pt idx="0">
                  <c:v>3</c:v>
                </c:pt>
                <c:pt idx="1">
                  <c:v>2</c:v>
                </c:pt>
                <c:pt idx="2">
                  <c:v>1</c:v>
                </c:pt>
                <c:pt idx="3">
                  <c:v>0</c:v>
                </c:pt>
                <c:pt idx="4">
                  <c:v>-1</c:v>
                </c:pt>
                <c:pt idx="5">
                  <c:v>-2</c:v>
                </c:pt>
                <c:pt idx="6">
                  <c:v>-3</c:v>
                </c:pt>
              </c:numCache>
            </c:numRef>
          </c:xVal>
          <c:yVal>
            <c:numRef>
              <c:f>'Results for short-term study'!$AM$4:$AM$10</c:f>
              <c:numCache>
                <c:formatCode>\+#,##0.00%;\-#,##0.00%;#,##0.00%;"--"</c:formatCode>
                <c:ptCount val="7"/>
                <c:pt idx="0">
                  <c:v>2.5687784414045647E-3</c:v>
                </c:pt>
                <c:pt idx="1">
                  <c:v>1.7491177970700891E-3</c:v>
                </c:pt>
                <c:pt idx="2">
                  <c:v>-1.4483780104387368E-6</c:v>
                </c:pt>
                <c:pt idx="3">
                  <c:v>-2.6262467037870278E-3</c:v>
                </c:pt>
                <c:pt idx="4">
                  <c:v>5.4370132781635452E-4</c:v>
                </c:pt>
                <c:pt idx="5">
                  <c:v>-3.2340990287882754E-3</c:v>
                </c:pt>
                <c:pt idx="6">
                  <c:v>1.2903711441605657E-3</c:v>
                </c:pt>
              </c:numCache>
            </c:numRef>
          </c:yVal>
          <c:smooth val="0"/>
        </c:ser>
        <c:dLbls>
          <c:showLegendKey val="0"/>
          <c:showVal val="0"/>
          <c:showCatName val="0"/>
          <c:showSerName val="0"/>
          <c:showPercent val="0"/>
          <c:showBubbleSize val="0"/>
        </c:dLbls>
        <c:axId val="549362984"/>
        <c:axId val="470016008"/>
      </c:scatterChart>
      <c:valAx>
        <c:axId val="549362984"/>
        <c:scaling>
          <c:orientation val="minMax"/>
          <c:max val="3"/>
          <c:min val="-3"/>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0016008"/>
        <c:crosses val="autoZero"/>
        <c:crossBetween val="midCat"/>
      </c:valAx>
      <c:valAx>
        <c:axId val="470016008"/>
        <c:scaling>
          <c:orientation val="minMax"/>
        </c:scaling>
        <c:delete val="0"/>
        <c:axPos val="l"/>
        <c:majorGridlines>
          <c:spPr>
            <a:ln w="9525" cap="flat" cmpd="sng" algn="ctr">
              <a:solidFill>
                <a:schemeClr val="tx1">
                  <a:lumMod val="15000"/>
                  <a:lumOff val="85000"/>
                </a:schemeClr>
              </a:solidFill>
              <a:round/>
            </a:ln>
            <a:effectLst/>
          </c:spPr>
        </c:majorGridlines>
        <c:numFmt formatCode="\+#,##0.00%;\-#,##0.00%;#,##0.00%;&quot;--&quot;"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4936298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AAR comparison</a:t>
            </a:r>
            <a:endParaRPr lang="ru-RU"/>
          </a:p>
        </c:rich>
      </c:tx>
      <c:layout>
        <c:manualLayout>
          <c:xMode val="edge"/>
          <c:yMode val="edge"/>
          <c:x val="0.36151377952755903"/>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scatterChart>
        <c:scatterStyle val="lineMarker"/>
        <c:varyColors val="0"/>
        <c:ser>
          <c:idx val="0"/>
          <c:order val="0"/>
          <c:tx>
            <c:strRef>
              <c:f>'Results for short-term study'!$R$172</c:f>
              <c:strCache>
                <c:ptCount val="1"/>
                <c:pt idx="0">
                  <c:v>AAR (oth)</c:v>
                </c:pt>
              </c:strCache>
            </c:strRef>
          </c:tx>
          <c:spPr>
            <a:ln w="19050"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trendline>
            <c:spPr>
              <a:ln w="19050" cap="rnd">
                <a:solidFill>
                  <a:schemeClr val="dk1">
                    <a:tint val="88500"/>
                  </a:schemeClr>
                </a:solidFill>
                <a:prstDash val="sysDot"/>
              </a:ln>
              <a:effectLst/>
            </c:spPr>
            <c:trendlineType val="linear"/>
            <c:dispRSqr val="0"/>
            <c:dispEq val="0"/>
          </c:trendline>
          <c:xVal>
            <c:numRef>
              <c:f>'Results for short-term study'!$Q$173:$Q$179</c:f>
              <c:numCache>
                <c:formatCode>General</c:formatCode>
                <c:ptCount val="7"/>
                <c:pt idx="0">
                  <c:v>3</c:v>
                </c:pt>
                <c:pt idx="1">
                  <c:v>2</c:v>
                </c:pt>
                <c:pt idx="2">
                  <c:v>1</c:v>
                </c:pt>
                <c:pt idx="3">
                  <c:v>0</c:v>
                </c:pt>
                <c:pt idx="4">
                  <c:v>-1</c:v>
                </c:pt>
                <c:pt idx="5">
                  <c:v>-2</c:v>
                </c:pt>
                <c:pt idx="6">
                  <c:v>-3</c:v>
                </c:pt>
              </c:numCache>
            </c:numRef>
          </c:xVal>
          <c:yVal>
            <c:numRef>
              <c:f>'Results for short-term study'!$R$173:$R$179</c:f>
              <c:numCache>
                <c:formatCode>\+#,##0.00%;\-#,##0.00%;#,##0.00%;"--"</c:formatCode>
                <c:ptCount val="7"/>
                <c:pt idx="0">
                  <c:v>1.1726784408995388E-3</c:v>
                </c:pt>
                <c:pt idx="1">
                  <c:v>-5.8686801569580234E-4</c:v>
                </c:pt>
                <c:pt idx="2">
                  <c:v>6.5563353228201247E-3</c:v>
                </c:pt>
                <c:pt idx="3">
                  <c:v>-5.588086631763016E-3</c:v>
                </c:pt>
                <c:pt idx="4">
                  <c:v>2.7766244823088601E-3</c:v>
                </c:pt>
                <c:pt idx="5">
                  <c:v>-1.0106960772691225E-2</c:v>
                </c:pt>
                <c:pt idx="6">
                  <c:v>2.3179109046610824E-3</c:v>
                </c:pt>
              </c:numCache>
            </c:numRef>
          </c:yVal>
          <c:smooth val="0"/>
        </c:ser>
        <c:ser>
          <c:idx val="1"/>
          <c:order val="1"/>
          <c:tx>
            <c:strRef>
              <c:f>'Results for short-term study'!$T$172</c:f>
              <c:strCache>
                <c:ptCount val="1"/>
                <c:pt idx="0">
                  <c:v>AAR (w+s)</c:v>
                </c:pt>
              </c:strCache>
            </c:strRef>
          </c:tx>
          <c:spPr>
            <a:ln w="19050" cap="rnd">
              <a:solidFill>
                <a:schemeClr val="dk1">
                  <a:tint val="55000"/>
                </a:schemeClr>
              </a:solidFill>
              <a:round/>
            </a:ln>
            <a:effectLst/>
          </c:spPr>
          <c:marker>
            <c:symbol val="circle"/>
            <c:size val="5"/>
            <c:spPr>
              <a:solidFill>
                <a:schemeClr val="dk1">
                  <a:tint val="55000"/>
                </a:schemeClr>
              </a:solidFill>
              <a:ln w="9525">
                <a:solidFill>
                  <a:schemeClr val="dk1">
                    <a:tint val="55000"/>
                  </a:schemeClr>
                </a:solidFill>
              </a:ln>
              <a:effectLst/>
            </c:spPr>
          </c:marker>
          <c:trendline>
            <c:spPr>
              <a:ln w="19050" cap="rnd">
                <a:solidFill>
                  <a:schemeClr val="dk1">
                    <a:tint val="55000"/>
                  </a:schemeClr>
                </a:solidFill>
                <a:prstDash val="sysDot"/>
              </a:ln>
              <a:effectLst/>
            </c:spPr>
            <c:trendlineType val="linear"/>
            <c:dispRSqr val="0"/>
            <c:dispEq val="0"/>
          </c:trendline>
          <c:xVal>
            <c:numRef>
              <c:f>'Results for short-term study'!$Q$173:$Q$179</c:f>
              <c:numCache>
                <c:formatCode>General</c:formatCode>
                <c:ptCount val="7"/>
                <c:pt idx="0">
                  <c:v>3</c:v>
                </c:pt>
                <c:pt idx="1">
                  <c:v>2</c:v>
                </c:pt>
                <c:pt idx="2">
                  <c:v>1</c:v>
                </c:pt>
                <c:pt idx="3">
                  <c:v>0</c:v>
                </c:pt>
                <c:pt idx="4">
                  <c:v>-1</c:v>
                </c:pt>
                <c:pt idx="5">
                  <c:v>-2</c:v>
                </c:pt>
                <c:pt idx="6">
                  <c:v>-3</c:v>
                </c:pt>
              </c:numCache>
            </c:numRef>
          </c:xVal>
          <c:yVal>
            <c:numRef>
              <c:f>'Results for short-term study'!$T$173:$T$179</c:f>
              <c:numCache>
                <c:formatCode>\+#,##0.00%;\-#,##0.00%;#,##0.00%;"--"</c:formatCode>
                <c:ptCount val="7"/>
                <c:pt idx="0">
                  <c:v>4.9379806288980257E-4</c:v>
                </c:pt>
                <c:pt idx="1">
                  <c:v>3.9081977357971398E-3</c:v>
                </c:pt>
                <c:pt idx="2">
                  <c:v>-1.0043127484174431E-3</c:v>
                </c:pt>
                <c:pt idx="3">
                  <c:v>-9.3782009299448843E-4</c:v>
                </c:pt>
                <c:pt idx="4">
                  <c:v>4.7019627021084179E-3</c:v>
                </c:pt>
                <c:pt idx="5">
                  <c:v>6.2859807296720461E-4</c:v>
                </c:pt>
                <c:pt idx="6">
                  <c:v>3.4187290369854938E-4</c:v>
                </c:pt>
              </c:numCache>
            </c:numRef>
          </c:yVal>
          <c:smooth val="0"/>
        </c:ser>
        <c:dLbls>
          <c:showLegendKey val="0"/>
          <c:showVal val="0"/>
          <c:showCatName val="0"/>
          <c:showSerName val="0"/>
          <c:showPercent val="0"/>
          <c:showBubbleSize val="0"/>
        </c:dLbls>
        <c:axId val="470016792"/>
        <c:axId val="470017576"/>
      </c:scatterChart>
      <c:valAx>
        <c:axId val="470016792"/>
        <c:scaling>
          <c:orientation val="minMax"/>
          <c:max val="3"/>
          <c:min val="-3"/>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0017576"/>
        <c:crosses val="autoZero"/>
        <c:crossBetween val="midCat"/>
      </c:valAx>
      <c:valAx>
        <c:axId val="470017576"/>
        <c:scaling>
          <c:orientation val="minMax"/>
        </c:scaling>
        <c:delete val="0"/>
        <c:axPos val="l"/>
        <c:majorGridlines>
          <c:spPr>
            <a:ln w="9525" cap="flat" cmpd="sng" algn="ctr">
              <a:solidFill>
                <a:schemeClr val="tx1">
                  <a:lumMod val="15000"/>
                  <a:lumOff val="85000"/>
                </a:schemeClr>
              </a:solidFill>
              <a:round/>
            </a:ln>
            <a:effectLst/>
          </c:spPr>
        </c:majorGridlines>
        <c:numFmt formatCode="\+#,##0.00%;\-#,##0.00%;#,##0.00%;&quot;--&quot;"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001679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CAAR</a:t>
            </a:r>
            <a:r>
              <a:rPr lang="en-GB" baseline="0"/>
              <a:t> comparison</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scatterChart>
        <c:scatterStyle val="lineMarker"/>
        <c:varyColors val="0"/>
        <c:ser>
          <c:idx val="0"/>
          <c:order val="0"/>
          <c:tx>
            <c:strRef>
              <c:f>'Results for short-term study'!$S$172</c:f>
              <c:strCache>
                <c:ptCount val="1"/>
                <c:pt idx="0">
                  <c:v>CAAR (oth)</c:v>
                </c:pt>
              </c:strCache>
            </c:strRef>
          </c:tx>
          <c:spPr>
            <a:ln w="19050"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trendline>
            <c:spPr>
              <a:ln w="19050" cap="rnd">
                <a:solidFill>
                  <a:schemeClr val="dk1">
                    <a:tint val="88500"/>
                  </a:schemeClr>
                </a:solidFill>
                <a:prstDash val="sysDot"/>
              </a:ln>
              <a:effectLst/>
            </c:spPr>
            <c:trendlineType val="linear"/>
            <c:dispRSqr val="0"/>
            <c:dispEq val="0"/>
          </c:trendline>
          <c:xVal>
            <c:numRef>
              <c:f>'Results for short-term study'!$Q$173:$Q$179</c:f>
              <c:numCache>
                <c:formatCode>General</c:formatCode>
                <c:ptCount val="7"/>
                <c:pt idx="0">
                  <c:v>3</c:v>
                </c:pt>
                <c:pt idx="1">
                  <c:v>2</c:v>
                </c:pt>
                <c:pt idx="2">
                  <c:v>1</c:v>
                </c:pt>
                <c:pt idx="3">
                  <c:v>0</c:v>
                </c:pt>
                <c:pt idx="4">
                  <c:v>-1</c:v>
                </c:pt>
                <c:pt idx="5">
                  <c:v>-2</c:v>
                </c:pt>
                <c:pt idx="6">
                  <c:v>-3</c:v>
                </c:pt>
              </c:numCache>
            </c:numRef>
          </c:xVal>
          <c:yVal>
            <c:numRef>
              <c:f>'Results for short-term study'!$S$173:$S$179</c:f>
              <c:numCache>
                <c:formatCode>\+#,##0.00%;\-#,##0.00%;#,##0.00%;"--"</c:formatCode>
                <c:ptCount val="7"/>
                <c:pt idx="0">
                  <c:v>-3.4583662694604366E-3</c:v>
                </c:pt>
                <c:pt idx="1">
                  <c:v>-4.6310447103599757E-3</c:v>
                </c:pt>
                <c:pt idx="2">
                  <c:v>-4.0441766946641734E-3</c:v>
                </c:pt>
                <c:pt idx="3">
                  <c:v>-1.0600512017484298E-2</c:v>
                </c:pt>
                <c:pt idx="4">
                  <c:v>-5.0124253857212822E-3</c:v>
                </c:pt>
                <c:pt idx="5">
                  <c:v>-7.7890498680301427E-3</c:v>
                </c:pt>
                <c:pt idx="6">
                  <c:v>2.3179109046610824E-3</c:v>
                </c:pt>
              </c:numCache>
            </c:numRef>
          </c:yVal>
          <c:smooth val="0"/>
        </c:ser>
        <c:ser>
          <c:idx val="1"/>
          <c:order val="1"/>
          <c:tx>
            <c:strRef>
              <c:f>'Results for short-term study'!$U$172</c:f>
              <c:strCache>
                <c:ptCount val="1"/>
                <c:pt idx="0">
                  <c:v>CAAR (w+s)</c:v>
                </c:pt>
              </c:strCache>
            </c:strRef>
          </c:tx>
          <c:spPr>
            <a:ln w="19050" cap="rnd">
              <a:solidFill>
                <a:schemeClr val="dk1">
                  <a:tint val="55000"/>
                </a:schemeClr>
              </a:solidFill>
              <a:round/>
            </a:ln>
            <a:effectLst/>
          </c:spPr>
          <c:marker>
            <c:symbol val="circle"/>
            <c:size val="5"/>
            <c:spPr>
              <a:solidFill>
                <a:schemeClr val="dk1">
                  <a:tint val="55000"/>
                </a:schemeClr>
              </a:solidFill>
              <a:ln w="9525">
                <a:solidFill>
                  <a:schemeClr val="dk1">
                    <a:tint val="55000"/>
                  </a:schemeClr>
                </a:solidFill>
              </a:ln>
              <a:effectLst/>
            </c:spPr>
          </c:marker>
          <c:trendline>
            <c:spPr>
              <a:ln w="19050" cap="rnd">
                <a:solidFill>
                  <a:schemeClr val="dk1">
                    <a:tint val="55000"/>
                  </a:schemeClr>
                </a:solidFill>
                <a:prstDash val="sysDot"/>
              </a:ln>
              <a:effectLst/>
            </c:spPr>
            <c:trendlineType val="linear"/>
            <c:dispRSqr val="0"/>
            <c:dispEq val="0"/>
          </c:trendline>
          <c:xVal>
            <c:numRef>
              <c:f>'Results for short-term study'!$Q$173:$Q$179</c:f>
              <c:numCache>
                <c:formatCode>General</c:formatCode>
                <c:ptCount val="7"/>
                <c:pt idx="0">
                  <c:v>3</c:v>
                </c:pt>
                <c:pt idx="1">
                  <c:v>2</c:v>
                </c:pt>
                <c:pt idx="2">
                  <c:v>1</c:v>
                </c:pt>
                <c:pt idx="3">
                  <c:v>0</c:v>
                </c:pt>
                <c:pt idx="4">
                  <c:v>-1</c:v>
                </c:pt>
                <c:pt idx="5">
                  <c:v>-2</c:v>
                </c:pt>
                <c:pt idx="6">
                  <c:v>-3</c:v>
                </c:pt>
              </c:numCache>
            </c:numRef>
          </c:xVal>
          <c:yVal>
            <c:numRef>
              <c:f>'Results for short-term study'!$U$173:$U$179</c:f>
              <c:numCache>
                <c:formatCode>\+#,##0.00%;\-#,##0.00%;#,##0.00%;"--"</c:formatCode>
                <c:ptCount val="7"/>
                <c:pt idx="0">
                  <c:v>8.1322966360491827E-3</c:v>
                </c:pt>
                <c:pt idx="1">
                  <c:v>7.6384985731593798E-3</c:v>
                </c:pt>
                <c:pt idx="2">
                  <c:v>3.7303008373622401E-3</c:v>
                </c:pt>
                <c:pt idx="3">
                  <c:v>4.7346135857796829E-3</c:v>
                </c:pt>
                <c:pt idx="4">
                  <c:v>5.6724336787741716E-3</c:v>
                </c:pt>
                <c:pt idx="5">
                  <c:v>9.7047097666575399E-4</c:v>
                </c:pt>
                <c:pt idx="6">
                  <c:v>3.4187290369854938E-4</c:v>
                </c:pt>
              </c:numCache>
            </c:numRef>
          </c:yVal>
          <c:smooth val="0"/>
        </c:ser>
        <c:dLbls>
          <c:showLegendKey val="0"/>
          <c:showVal val="0"/>
          <c:showCatName val="0"/>
          <c:showSerName val="0"/>
          <c:showPercent val="0"/>
          <c:showBubbleSize val="0"/>
        </c:dLbls>
        <c:axId val="470018360"/>
        <c:axId val="470015616"/>
      </c:scatterChart>
      <c:valAx>
        <c:axId val="470018360"/>
        <c:scaling>
          <c:orientation val="minMax"/>
          <c:max val="3"/>
          <c:min val="-3"/>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0015616"/>
        <c:crosses val="autoZero"/>
        <c:crossBetween val="midCat"/>
      </c:valAx>
      <c:valAx>
        <c:axId val="470015616"/>
        <c:scaling>
          <c:orientation val="minMax"/>
        </c:scaling>
        <c:delete val="0"/>
        <c:axPos val="l"/>
        <c:majorGridlines>
          <c:spPr>
            <a:ln w="9525" cap="flat" cmpd="sng" algn="ctr">
              <a:solidFill>
                <a:schemeClr val="tx1">
                  <a:lumMod val="15000"/>
                  <a:lumOff val="85000"/>
                </a:schemeClr>
              </a:solidFill>
              <a:round/>
            </a:ln>
            <a:effectLst/>
          </c:spPr>
        </c:majorGridlines>
        <c:numFmt formatCode="\+#,##0.00%;\-#,##0.00%;#,##0.00%;&quot;--&quot;"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70018360"/>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ABHAR</a:t>
            </a:r>
            <a:endParaRPr lang="ru-RU"/>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scatterChart>
        <c:scatterStyle val="lineMarker"/>
        <c:varyColors val="0"/>
        <c:ser>
          <c:idx val="0"/>
          <c:order val="0"/>
          <c:spPr>
            <a:ln w="19050"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trendline>
            <c:spPr>
              <a:ln w="19050" cap="rnd">
                <a:solidFill>
                  <a:schemeClr val="dk1">
                    <a:tint val="88500"/>
                  </a:schemeClr>
                </a:solidFill>
                <a:prstDash val="sysDot"/>
              </a:ln>
              <a:effectLst/>
            </c:spPr>
            <c:trendlineType val="linear"/>
            <c:dispRSqr val="0"/>
            <c:dispEq val="0"/>
          </c:trendline>
          <c:xVal>
            <c:numRef>
              <c:f>'Results for long-term study'!$D$5:$D$29</c:f>
              <c:numCache>
                <c:formatCode>General</c:formatCode>
                <c:ptCount val="25"/>
                <c:pt idx="0">
                  <c:v>24</c:v>
                </c:pt>
                <c:pt idx="1">
                  <c:v>23</c:v>
                </c:pt>
                <c:pt idx="2">
                  <c:v>22</c:v>
                </c:pt>
                <c:pt idx="3">
                  <c:v>21</c:v>
                </c:pt>
                <c:pt idx="4">
                  <c:v>20</c:v>
                </c:pt>
                <c:pt idx="5">
                  <c:v>19</c:v>
                </c:pt>
                <c:pt idx="6">
                  <c:v>18</c:v>
                </c:pt>
                <c:pt idx="7">
                  <c:v>17</c:v>
                </c:pt>
                <c:pt idx="8">
                  <c:v>16</c:v>
                </c:pt>
                <c:pt idx="9">
                  <c:v>15</c:v>
                </c:pt>
                <c:pt idx="10">
                  <c:v>14</c:v>
                </c:pt>
                <c:pt idx="11">
                  <c:v>13</c:v>
                </c:pt>
                <c:pt idx="12">
                  <c:v>12</c:v>
                </c:pt>
                <c:pt idx="13">
                  <c:v>11</c:v>
                </c:pt>
                <c:pt idx="14">
                  <c:v>10</c:v>
                </c:pt>
                <c:pt idx="15">
                  <c:v>9</c:v>
                </c:pt>
                <c:pt idx="16">
                  <c:v>8</c:v>
                </c:pt>
                <c:pt idx="17">
                  <c:v>7</c:v>
                </c:pt>
                <c:pt idx="18">
                  <c:v>6</c:v>
                </c:pt>
                <c:pt idx="19">
                  <c:v>5</c:v>
                </c:pt>
                <c:pt idx="20">
                  <c:v>4</c:v>
                </c:pt>
                <c:pt idx="21">
                  <c:v>3</c:v>
                </c:pt>
                <c:pt idx="22">
                  <c:v>2</c:v>
                </c:pt>
                <c:pt idx="23">
                  <c:v>1</c:v>
                </c:pt>
                <c:pt idx="24">
                  <c:v>0</c:v>
                </c:pt>
              </c:numCache>
            </c:numRef>
          </c:xVal>
          <c:yVal>
            <c:numRef>
              <c:f>'Results for long-term study'!$U$5:$U$29</c:f>
              <c:numCache>
                <c:formatCode>\+#,##0.000%;\-#,##0.000%;#,##0.000%;"--"</c:formatCode>
                <c:ptCount val="25"/>
                <c:pt idx="0">
                  <c:v>0.14343859963948041</c:v>
                </c:pt>
                <c:pt idx="1">
                  <c:v>0.14279683972535495</c:v>
                </c:pt>
                <c:pt idx="2">
                  <c:v>0.14087896999875188</c:v>
                </c:pt>
                <c:pt idx="3">
                  <c:v>8.5742357263217078E-2</c:v>
                </c:pt>
                <c:pt idx="4">
                  <c:v>7.5991682283565842E-2</c:v>
                </c:pt>
                <c:pt idx="5">
                  <c:v>8.5623964413303943E-2</c:v>
                </c:pt>
                <c:pt idx="6">
                  <c:v>7.5652444732388247E-2</c:v>
                </c:pt>
                <c:pt idx="7">
                  <c:v>6.4384885281505683E-2</c:v>
                </c:pt>
                <c:pt idx="8">
                  <c:v>4.4218108346943896E-2</c:v>
                </c:pt>
                <c:pt idx="9">
                  <c:v>3.3587550883552232E-2</c:v>
                </c:pt>
                <c:pt idx="10">
                  <c:v>-1.5615048941046525E-2</c:v>
                </c:pt>
                <c:pt idx="11">
                  <c:v>-3.9569610816966236E-3</c:v>
                </c:pt>
                <c:pt idx="12">
                  <c:v>9.5582369883324275E-4</c:v>
                </c:pt>
                <c:pt idx="13">
                  <c:v>8.8017497077062801E-3</c:v>
                </c:pt>
                <c:pt idx="14">
                  <c:v>4.2216315329132004E-2</c:v>
                </c:pt>
                <c:pt idx="15">
                  <c:v>-9.3069876671168714E-3</c:v>
                </c:pt>
                <c:pt idx="16">
                  <c:v>4.4209941422181792E-4</c:v>
                </c:pt>
                <c:pt idx="17">
                  <c:v>8.9605287039148593E-3</c:v>
                </c:pt>
                <c:pt idx="18">
                  <c:v>-1.1508579576499575E-3</c:v>
                </c:pt>
                <c:pt idx="19">
                  <c:v>-3.0969500066931055E-4</c:v>
                </c:pt>
                <c:pt idx="20">
                  <c:v>-3.4859658061227455E-3</c:v>
                </c:pt>
                <c:pt idx="21">
                  <c:v>2.5899774585316712E-3</c:v>
                </c:pt>
                <c:pt idx="22">
                  <c:v>2.0467086265464528E-2</c:v>
                </c:pt>
                <c:pt idx="23">
                  <c:v>1.6568092058991471E-3</c:v>
                </c:pt>
                <c:pt idx="24">
                  <c:v>7.3503472930219957E-3</c:v>
                </c:pt>
              </c:numCache>
            </c:numRef>
          </c:yVal>
          <c:smooth val="0"/>
        </c:ser>
        <c:dLbls>
          <c:showLegendKey val="0"/>
          <c:showVal val="0"/>
          <c:showCatName val="0"/>
          <c:showSerName val="0"/>
          <c:showPercent val="0"/>
          <c:showBubbleSize val="0"/>
        </c:dLbls>
        <c:axId val="456069280"/>
        <c:axId val="456068104"/>
      </c:scatterChart>
      <c:valAx>
        <c:axId val="456069280"/>
        <c:scaling>
          <c:orientation val="minMax"/>
          <c:max val="24"/>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6068104"/>
        <c:crosses val="autoZero"/>
        <c:crossBetween val="midCat"/>
        <c:majorUnit val="1"/>
      </c:valAx>
      <c:valAx>
        <c:axId val="456068104"/>
        <c:scaling>
          <c:orientation val="minMax"/>
        </c:scaling>
        <c:delete val="0"/>
        <c:axPos val="l"/>
        <c:majorGridlines>
          <c:spPr>
            <a:ln w="9525" cap="flat" cmpd="sng" algn="ctr">
              <a:solidFill>
                <a:schemeClr val="tx1">
                  <a:lumMod val="15000"/>
                  <a:lumOff val="85000"/>
                </a:schemeClr>
              </a:solidFill>
              <a:round/>
            </a:ln>
            <a:effectLst/>
          </c:spPr>
        </c:majorGridlines>
        <c:numFmt formatCode="\+#,##0.000%;\-#,##0.000%;#,##0.000%;&quot;--&quot;"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6069280"/>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1"/>
    </mc:Choice>
    <mc:Fallback>
      <c:style val="1"/>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800" b="0" i="0" baseline="0">
                <a:effectLst/>
              </a:rPr>
              <a:t>Comparison by type of target</a:t>
            </a:r>
            <a:endParaRPr lang="ru-RU">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scatterChart>
        <c:scatterStyle val="lineMarker"/>
        <c:varyColors val="0"/>
        <c:ser>
          <c:idx val="0"/>
          <c:order val="0"/>
          <c:tx>
            <c:strRef>
              <c:f>'Results for long-term study'!$P$40</c:f>
              <c:strCache>
                <c:ptCount val="1"/>
                <c:pt idx="0">
                  <c:v>ABHAR (oth)</c:v>
                </c:pt>
              </c:strCache>
            </c:strRef>
          </c:tx>
          <c:spPr>
            <a:ln w="19050" cap="rnd">
              <a:solidFill>
                <a:schemeClr val="dk1">
                  <a:tint val="88500"/>
                </a:schemeClr>
              </a:solidFill>
              <a:round/>
            </a:ln>
            <a:effectLst/>
          </c:spPr>
          <c:marker>
            <c:symbol val="circle"/>
            <c:size val="5"/>
            <c:spPr>
              <a:solidFill>
                <a:schemeClr val="dk1">
                  <a:tint val="88500"/>
                </a:schemeClr>
              </a:solidFill>
              <a:ln w="9525">
                <a:solidFill>
                  <a:schemeClr val="dk1">
                    <a:tint val="88500"/>
                  </a:schemeClr>
                </a:solidFill>
              </a:ln>
              <a:effectLst/>
            </c:spPr>
          </c:marker>
          <c:trendline>
            <c:spPr>
              <a:ln w="19050" cap="rnd">
                <a:solidFill>
                  <a:schemeClr val="dk1">
                    <a:tint val="88500"/>
                  </a:schemeClr>
                </a:solidFill>
                <a:prstDash val="sysDot"/>
              </a:ln>
              <a:effectLst/>
            </c:spPr>
            <c:trendlineType val="linear"/>
            <c:dispRSqr val="0"/>
            <c:dispEq val="0"/>
          </c:trendline>
          <c:xVal>
            <c:numRef>
              <c:f>'Results for long-term study'!$O$41:$O$65</c:f>
              <c:numCache>
                <c:formatCode>General</c:formatCode>
                <c:ptCount val="25"/>
                <c:pt idx="0">
                  <c:v>24</c:v>
                </c:pt>
                <c:pt idx="1">
                  <c:v>23</c:v>
                </c:pt>
                <c:pt idx="2">
                  <c:v>22</c:v>
                </c:pt>
                <c:pt idx="3">
                  <c:v>21</c:v>
                </c:pt>
                <c:pt idx="4">
                  <c:v>20</c:v>
                </c:pt>
                <c:pt idx="5">
                  <c:v>19</c:v>
                </c:pt>
                <c:pt idx="6">
                  <c:v>18</c:v>
                </c:pt>
                <c:pt idx="7">
                  <c:v>17</c:v>
                </c:pt>
                <c:pt idx="8">
                  <c:v>16</c:v>
                </c:pt>
                <c:pt idx="9">
                  <c:v>15</c:v>
                </c:pt>
                <c:pt idx="10">
                  <c:v>14</c:v>
                </c:pt>
                <c:pt idx="11">
                  <c:v>13</c:v>
                </c:pt>
                <c:pt idx="12">
                  <c:v>12</c:v>
                </c:pt>
                <c:pt idx="13">
                  <c:v>11</c:v>
                </c:pt>
                <c:pt idx="14">
                  <c:v>10</c:v>
                </c:pt>
                <c:pt idx="15">
                  <c:v>9</c:v>
                </c:pt>
                <c:pt idx="16">
                  <c:v>8</c:v>
                </c:pt>
                <c:pt idx="17">
                  <c:v>7</c:v>
                </c:pt>
                <c:pt idx="18">
                  <c:v>6</c:v>
                </c:pt>
                <c:pt idx="19">
                  <c:v>5</c:v>
                </c:pt>
                <c:pt idx="20">
                  <c:v>4</c:v>
                </c:pt>
                <c:pt idx="21">
                  <c:v>3</c:v>
                </c:pt>
                <c:pt idx="22">
                  <c:v>2</c:v>
                </c:pt>
                <c:pt idx="23">
                  <c:v>1</c:v>
                </c:pt>
                <c:pt idx="24">
                  <c:v>0</c:v>
                </c:pt>
              </c:numCache>
            </c:numRef>
          </c:xVal>
          <c:yVal>
            <c:numRef>
              <c:f>'Results for long-term study'!$P$41:$P$65</c:f>
              <c:numCache>
                <c:formatCode>\+#,##0.000%;\-#,##0.000%;#,##0.000%;"--"</c:formatCode>
                <c:ptCount val="25"/>
                <c:pt idx="0">
                  <c:v>0.15503371572913563</c:v>
                </c:pt>
                <c:pt idx="1">
                  <c:v>0.10987851573072628</c:v>
                </c:pt>
                <c:pt idx="2">
                  <c:v>0.14199026014350105</c:v>
                </c:pt>
                <c:pt idx="3">
                  <c:v>6.299112275981944E-2</c:v>
                </c:pt>
                <c:pt idx="4">
                  <c:v>5.5688025371990482E-2</c:v>
                </c:pt>
                <c:pt idx="5">
                  <c:v>9.3308390920200504E-2</c:v>
                </c:pt>
                <c:pt idx="6">
                  <c:v>6.1880522304152627E-2</c:v>
                </c:pt>
                <c:pt idx="7">
                  <c:v>6.6738776442532663E-2</c:v>
                </c:pt>
                <c:pt idx="8">
                  <c:v>4.1903779730933809E-2</c:v>
                </c:pt>
                <c:pt idx="9">
                  <c:v>3.3094988763838713E-2</c:v>
                </c:pt>
                <c:pt idx="10">
                  <c:v>9.7369753110794523E-3</c:v>
                </c:pt>
                <c:pt idx="11">
                  <c:v>3.0652408902735462E-2</c:v>
                </c:pt>
                <c:pt idx="12">
                  <c:v>5.162263003540795E-2</c:v>
                </c:pt>
                <c:pt idx="13">
                  <c:v>5.2285433617266848E-2</c:v>
                </c:pt>
                <c:pt idx="14">
                  <c:v>0.12127886349420017</c:v>
                </c:pt>
                <c:pt idx="15">
                  <c:v>9.3094794834879785E-2</c:v>
                </c:pt>
                <c:pt idx="16">
                  <c:v>0.11375530026432498</c:v>
                </c:pt>
                <c:pt idx="17">
                  <c:v>9.0420654141931095E-2</c:v>
                </c:pt>
                <c:pt idx="18">
                  <c:v>6.7182546250080244E-2</c:v>
                </c:pt>
                <c:pt idx="19">
                  <c:v>4.1030295538108774E-2</c:v>
                </c:pt>
                <c:pt idx="20">
                  <c:v>1.8246391117822575E-2</c:v>
                </c:pt>
                <c:pt idx="21">
                  <c:v>4.7294883370346423E-2</c:v>
                </c:pt>
                <c:pt idx="22">
                  <c:v>5.7284786063312602E-2</c:v>
                </c:pt>
                <c:pt idx="23">
                  <c:v>3.8332171974184814E-2</c:v>
                </c:pt>
                <c:pt idx="24">
                  <c:v>4.6067732775191508E-2</c:v>
                </c:pt>
              </c:numCache>
            </c:numRef>
          </c:yVal>
          <c:smooth val="0"/>
        </c:ser>
        <c:ser>
          <c:idx val="1"/>
          <c:order val="1"/>
          <c:tx>
            <c:strRef>
              <c:f>'Results for long-term study'!$Q$40</c:f>
              <c:strCache>
                <c:ptCount val="1"/>
                <c:pt idx="0">
                  <c:v>ABHAR (w+s)</c:v>
                </c:pt>
              </c:strCache>
            </c:strRef>
          </c:tx>
          <c:spPr>
            <a:ln w="19050" cap="rnd">
              <a:solidFill>
                <a:schemeClr val="dk1">
                  <a:tint val="55000"/>
                </a:schemeClr>
              </a:solidFill>
              <a:round/>
            </a:ln>
            <a:effectLst/>
          </c:spPr>
          <c:marker>
            <c:symbol val="circle"/>
            <c:size val="5"/>
            <c:spPr>
              <a:solidFill>
                <a:schemeClr val="dk1">
                  <a:tint val="55000"/>
                </a:schemeClr>
              </a:solidFill>
              <a:ln w="9525">
                <a:solidFill>
                  <a:schemeClr val="dk1">
                    <a:tint val="55000"/>
                  </a:schemeClr>
                </a:solidFill>
              </a:ln>
              <a:effectLst/>
            </c:spPr>
          </c:marker>
          <c:trendline>
            <c:spPr>
              <a:ln w="19050" cap="rnd">
                <a:solidFill>
                  <a:schemeClr val="dk1">
                    <a:tint val="55000"/>
                  </a:schemeClr>
                </a:solidFill>
                <a:prstDash val="sysDot"/>
              </a:ln>
              <a:effectLst/>
            </c:spPr>
            <c:trendlineType val="linear"/>
            <c:dispRSqr val="0"/>
            <c:dispEq val="0"/>
          </c:trendline>
          <c:xVal>
            <c:numRef>
              <c:f>'Results for long-term study'!$O$41:$O$65</c:f>
              <c:numCache>
                <c:formatCode>General</c:formatCode>
                <c:ptCount val="25"/>
                <c:pt idx="0">
                  <c:v>24</c:v>
                </c:pt>
                <c:pt idx="1">
                  <c:v>23</c:v>
                </c:pt>
                <c:pt idx="2">
                  <c:v>22</c:v>
                </c:pt>
                <c:pt idx="3">
                  <c:v>21</c:v>
                </c:pt>
                <c:pt idx="4">
                  <c:v>20</c:v>
                </c:pt>
                <c:pt idx="5">
                  <c:v>19</c:v>
                </c:pt>
                <c:pt idx="6">
                  <c:v>18</c:v>
                </c:pt>
                <c:pt idx="7">
                  <c:v>17</c:v>
                </c:pt>
                <c:pt idx="8">
                  <c:v>16</c:v>
                </c:pt>
                <c:pt idx="9">
                  <c:v>15</c:v>
                </c:pt>
                <c:pt idx="10">
                  <c:v>14</c:v>
                </c:pt>
                <c:pt idx="11">
                  <c:v>13</c:v>
                </c:pt>
                <c:pt idx="12">
                  <c:v>12</c:v>
                </c:pt>
                <c:pt idx="13">
                  <c:v>11</c:v>
                </c:pt>
                <c:pt idx="14">
                  <c:v>10</c:v>
                </c:pt>
                <c:pt idx="15">
                  <c:v>9</c:v>
                </c:pt>
                <c:pt idx="16">
                  <c:v>8</c:v>
                </c:pt>
                <c:pt idx="17">
                  <c:v>7</c:v>
                </c:pt>
                <c:pt idx="18">
                  <c:v>6</c:v>
                </c:pt>
                <c:pt idx="19">
                  <c:v>5</c:v>
                </c:pt>
                <c:pt idx="20">
                  <c:v>4</c:v>
                </c:pt>
                <c:pt idx="21">
                  <c:v>3</c:v>
                </c:pt>
                <c:pt idx="22">
                  <c:v>2</c:v>
                </c:pt>
                <c:pt idx="23">
                  <c:v>1</c:v>
                </c:pt>
                <c:pt idx="24">
                  <c:v>0</c:v>
                </c:pt>
              </c:numCache>
            </c:numRef>
          </c:xVal>
          <c:yVal>
            <c:numRef>
              <c:f>'Results for long-term study'!$Q$41:$Q$65</c:f>
              <c:numCache>
                <c:formatCode>\+#,##0.000%;\-#,##0.000%;#,##0.000%;"--"</c:formatCode>
                <c:ptCount val="25"/>
                <c:pt idx="0">
                  <c:v>0.15553578481725833</c:v>
                </c:pt>
                <c:pt idx="1">
                  <c:v>0.2004291667318141</c:v>
                </c:pt>
                <c:pt idx="2">
                  <c:v>0.18257650424808591</c:v>
                </c:pt>
                <c:pt idx="3">
                  <c:v>0.15783867095502524</c:v>
                </c:pt>
                <c:pt idx="4">
                  <c:v>0.15073079758589147</c:v>
                </c:pt>
                <c:pt idx="5">
                  <c:v>0.1352752856308238</c:v>
                </c:pt>
                <c:pt idx="6">
                  <c:v>0.16471687214025943</c:v>
                </c:pt>
                <c:pt idx="7">
                  <c:v>0.13718237279880188</c:v>
                </c:pt>
                <c:pt idx="8">
                  <c:v>0.11331928916461524</c:v>
                </c:pt>
                <c:pt idx="9">
                  <c:v>0.10187424376752476</c:v>
                </c:pt>
                <c:pt idx="10">
                  <c:v>2.1686672007806336E-2</c:v>
                </c:pt>
                <c:pt idx="11">
                  <c:v>3.4170398433597197E-2</c:v>
                </c:pt>
                <c:pt idx="12">
                  <c:v>4.8860227115532076E-2</c:v>
                </c:pt>
                <c:pt idx="13">
                  <c:v>4.9526407505046249E-2</c:v>
                </c:pt>
                <c:pt idx="14">
                  <c:v>4.7559623259812812E-2</c:v>
                </c:pt>
                <c:pt idx="15">
                  <c:v>-2.3231154565313019E-2</c:v>
                </c:pt>
                <c:pt idx="16">
                  <c:v>-2.8383280508044714E-2</c:v>
                </c:pt>
                <c:pt idx="17">
                  <c:v>-5.2337705547478176E-3</c:v>
                </c:pt>
                <c:pt idx="18">
                  <c:v>-1.8627962142957429E-2</c:v>
                </c:pt>
                <c:pt idx="19">
                  <c:v>-3.5302561521882835E-3</c:v>
                </c:pt>
                <c:pt idx="20">
                  <c:v>3.289034804939645E-3</c:v>
                </c:pt>
                <c:pt idx="21">
                  <c:v>-4.5719239767582076E-3</c:v>
                </c:pt>
                <c:pt idx="22">
                  <c:v>2.1985944473142147E-2</c:v>
                </c:pt>
                <c:pt idx="23">
                  <c:v>-6.0333609926176303E-5</c:v>
                </c:pt>
                <c:pt idx="24">
                  <c:v>2.5317511981149121E-3</c:v>
                </c:pt>
              </c:numCache>
            </c:numRef>
          </c:yVal>
          <c:smooth val="0"/>
        </c:ser>
        <c:dLbls>
          <c:showLegendKey val="0"/>
          <c:showVal val="0"/>
          <c:showCatName val="0"/>
          <c:showSerName val="0"/>
          <c:showPercent val="0"/>
          <c:showBubbleSize val="0"/>
        </c:dLbls>
        <c:axId val="456069672"/>
        <c:axId val="456066144"/>
      </c:scatterChart>
      <c:valAx>
        <c:axId val="456069672"/>
        <c:scaling>
          <c:orientation val="minMax"/>
          <c:max val="24"/>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6066144"/>
        <c:crosses val="autoZero"/>
        <c:crossBetween val="midCat"/>
        <c:majorUnit val="1"/>
      </c:valAx>
      <c:valAx>
        <c:axId val="456066144"/>
        <c:scaling>
          <c:orientation val="minMax"/>
        </c:scaling>
        <c:delete val="0"/>
        <c:axPos val="l"/>
        <c:majorGridlines>
          <c:spPr>
            <a:ln w="9525" cap="flat" cmpd="sng" algn="ctr">
              <a:solidFill>
                <a:schemeClr val="tx1">
                  <a:lumMod val="15000"/>
                  <a:lumOff val="85000"/>
                </a:schemeClr>
              </a:solidFill>
              <a:round/>
            </a:ln>
            <a:effectLst/>
          </c:spPr>
        </c:majorGridlines>
        <c:numFmt formatCode="\+#,##0.000%;\-#,##0.000%;#,##0.000%;&quot;--&quot;"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6069672"/>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2.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3.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4.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6.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7.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8.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B961E9-D415-4E7B-96B1-9D34693FB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S1 SviridovA</Template>
  <TotalTime>14532</TotalTime>
  <Pages>72</Pages>
  <Words>20559</Words>
  <Characters>117192</Characters>
  <Application>Microsoft Office Word</Application>
  <DocSecurity>0</DocSecurity>
  <Lines>976</Lines>
  <Paragraphs>274</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137477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810347</dc:creator>
  <cp:lastModifiedBy>Свиридов Артем Евгеньевич</cp:lastModifiedBy>
  <cp:revision>616</cp:revision>
  <dcterms:created xsi:type="dcterms:W3CDTF">2021-03-16T22:23:00Z</dcterms:created>
  <dcterms:modified xsi:type="dcterms:W3CDTF">2021-06-03T20:37:00Z</dcterms:modified>
</cp:coreProperties>
</file>