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2240" w14:textId="77777777" w:rsidR="00381AF8" w:rsidRPr="00CA78BD" w:rsidRDefault="00462FC9" w:rsidP="00D53099">
      <w:pPr>
        <w:jc w:val="center"/>
        <w:rPr>
          <w:rFonts w:ascii="Times New Roman" w:hAnsi="Times New Roman" w:cs="Times New Roman"/>
          <w:sz w:val="28"/>
          <w:szCs w:val="28"/>
        </w:rPr>
      </w:pPr>
      <w:r w:rsidRPr="00CA78BD">
        <w:rPr>
          <w:rFonts w:ascii="Times New Roman" w:hAnsi="Times New Roman" w:cs="Times New Roman"/>
          <w:sz w:val="28"/>
          <w:szCs w:val="28"/>
        </w:rPr>
        <w:t>Санкт-Петербургский государственный университет</w:t>
      </w:r>
    </w:p>
    <w:p w14:paraId="39EADF9F" w14:textId="77777777" w:rsidR="00462FC9" w:rsidRPr="00CA78BD" w:rsidRDefault="00462FC9" w:rsidP="00D53099">
      <w:pPr>
        <w:jc w:val="center"/>
        <w:rPr>
          <w:rFonts w:ascii="Times New Roman" w:hAnsi="Times New Roman" w:cs="Times New Roman"/>
          <w:sz w:val="28"/>
          <w:szCs w:val="28"/>
        </w:rPr>
      </w:pPr>
    </w:p>
    <w:p w14:paraId="02919FAC" w14:textId="77777777" w:rsidR="00462FC9" w:rsidRPr="00CA78BD" w:rsidRDefault="00462FC9" w:rsidP="00D53099">
      <w:pPr>
        <w:jc w:val="center"/>
        <w:rPr>
          <w:rFonts w:ascii="Times New Roman" w:hAnsi="Times New Roman" w:cs="Times New Roman"/>
          <w:sz w:val="28"/>
          <w:szCs w:val="28"/>
        </w:rPr>
      </w:pPr>
    </w:p>
    <w:p w14:paraId="27A732D9" w14:textId="77777777" w:rsidR="00EC1C71" w:rsidRPr="00CA78BD" w:rsidRDefault="00EC1C71" w:rsidP="00D53099">
      <w:pPr>
        <w:jc w:val="center"/>
        <w:rPr>
          <w:rFonts w:ascii="Times New Roman" w:hAnsi="Times New Roman" w:cs="Times New Roman"/>
          <w:sz w:val="28"/>
          <w:szCs w:val="28"/>
        </w:rPr>
      </w:pPr>
    </w:p>
    <w:p w14:paraId="54566C80" w14:textId="77777777" w:rsidR="00D53099" w:rsidRPr="00CA78BD" w:rsidRDefault="00D53099" w:rsidP="00C95A49">
      <w:pPr>
        <w:jc w:val="center"/>
        <w:rPr>
          <w:rFonts w:ascii="Times New Roman" w:hAnsi="Times New Roman" w:cs="Times New Roman"/>
          <w:sz w:val="28"/>
          <w:szCs w:val="28"/>
        </w:rPr>
      </w:pPr>
    </w:p>
    <w:p w14:paraId="128D47CA" w14:textId="77777777" w:rsidR="00D53099" w:rsidRPr="00CA78BD" w:rsidRDefault="00D53099" w:rsidP="00D53099">
      <w:pPr>
        <w:jc w:val="center"/>
        <w:rPr>
          <w:rFonts w:ascii="Times New Roman" w:hAnsi="Times New Roman" w:cs="Times New Roman"/>
          <w:sz w:val="28"/>
          <w:szCs w:val="28"/>
        </w:rPr>
      </w:pPr>
    </w:p>
    <w:p w14:paraId="5107C954" w14:textId="77777777" w:rsidR="00D53099" w:rsidRPr="00CA78BD" w:rsidRDefault="00D53099" w:rsidP="00D53099">
      <w:pPr>
        <w:jc w:val="center"/>
        <w:rPr>
          <w:rFonts w:ascii="Times New Roman" w:hAnsi="Times New Roman" w:cs="Times New Roman"/>
          <w:sz w:val="28"/>
          <w:szCs w:val="28"/>
        </w:rPr>
      </w:pPr>
    </w:p>
    <w:p w14:paraId="32C37727" w14:textId="77777777" w:rsidR="00D53099" w:rsidRPr="00CA78BD" w:rsidRDefault="00D53099" w:rsidP="00D53099">
      <w:pPr>
        <w:jc w:val="center"/>
        <w:rPr>
          <w:rFonts w:ascii="Times New Roman" w:hAnsi="Times New Roman" w:cs="Times New Roman"/>
          <w:sz w:val="28"/>
          <w:szCs w:val="28"/>
        </w:rPr>
      </w:pPr>
    </w:p>
    <w:p w14:paraId="0FBEF2A1" w14:textId="77777777" w:rsidR="00462FC9" w:rsidRPr="00CA78BD" w:rsidRDefault="00462FC9" w:rsidP="00D53099">
      <w:pPr>
        <w:jc w:val="center"/>
        <w:rPr>
          <w:rFonts w:ascii="Times New Roman" w:hAnsi="Times New Roman" w:cs="Times New Roman"/>
          <w:b/>
          <w:sz w:val="28"/>
          <w:szCs w:val="28"/>
        </w:rPr>
      </w:pPr>
      <w:r w:rsidRPr="00CA78BD">
        <w:rPr>
          <w:rFonts w:ascii="Times New Roman" w:hAnsi="Times New Roman" w:cs="Times New Roman"/>
          <w:b/>
          <w:sz w:val="28"/>
          <w:szCs w:val="28"/>
        </w:rPr>
        <w:t>СКИРДОВА Юлиана Олеговна</w:t>
      </w:r>
    </w:p>
    <w:p w14:paraId="2B6ECDB3" w14:textId="77777777" w:rsidR="00462FC9" w:rsidRPr="00CA78BD" w:rsidRDefault="00462FC9" w:rsidP="00D53099">
      <w:pPr>
        <w:jc w:val="center"/>
        <w:rPr>
          <w:rFonts w:ascii="Times New Roman" w:hAnsi="Times New Roman" w:cs="Times New Roman"/>
          <w:b/>
          <w:sz w:val="28"/>
          <w:szCs w:val="28"/>
        </w:rPr>
      </w:pPr>
    </w:p>
    <w:p w14:paraId="54D6233E" w14:textId="77777777" w:rsidR="00462FC9" w:rsidRPr="00CA78BD" w:rsidRDefault="00462FC9" w:rsidP="00D53099">
      <w:pPr>
        <w:jc w:val="center"/>
        <w:rPr>
          <w:rFonts w:ascii="Times New Roman" w:hAnsi="Times New Roman" w:cs="Times New Roman"/>
          <w:sz w:val="28"/>
          <w:szCs w:val="28"/>
        </w:rPr>
      </w:pPr>
      <w:r w:rsidRPr="00CA78BD">
        <w:rPr>
          <w:rFonts w:ascii="Times New Roman" w:hAnsi="Times New Roman" w:cs="Times New Roman"/>
          <w:sz w:val="28"/>
          <w:szCs w:val="28"/>
        </w:rPr>
        <w:t>Выпускная квалификационная работа</w:t>
      </w:r>
    </w:p>
    <w:p w14:paraId="3612EBD9" w14:textId="77777777" w:rsidR="00462FC9" w:rsidRPr="00CA78BD" w:rsidRDefault="00462FC9" w:rsidP="00D53099">
      <w:pPr>
        <w:jc w:val="center"/>
        <w:rPr>
          <w:rFonts w:ascii="Times New Roman" w:hAnsi="Times New Roman" w:cs="Times New Roman"/>
          <w:b/>
          <w:sz w:val="28"/>
          <w:szCs w:val="28"/>
        </w:rPr>
      </w:pPr>
      <w:r w:rsidRPr="00CA78BD">
        <w:rPr>
          <w:rFonts w:ascii="Times New Roman" w:hAnsi="Times New Roman" w:cs="Times New Roman"/>
          <w:b/>
          <w:sz w:val="28"/>
          <w:szCs w:val="28"/>
        </w:rPr>
        <w:t>Зелёная повестка в Институтах Европейского Союза: соотношение сил групп интересов и их влияние на экологическую политику</w:t>
      </w:r>
    </w:p>
    <w:p w14:paraId="0EEEB402" w14:textId="77777777" w:rsidR="00462FC9" w:rsidRPr="00CA78BD" w:rsidRDefault="00462FC9" w:rsidP="00D53099">
      <w:pPr>
        <w:jc w:val="center"/>
        <w:rPr>
          <w:rFonts w:ascii="Times New Roman" w:hAnsi="Times New Roman" w:cs="Times New Roman"/>
          <w:sz w:val="28"/>
          <w:szCs w:val="28"/>
        </w:rPr>
      </w:pPr>
    </w:p>
    <w:p w14:paraId="767C71D6" w14:textId="77777777" w:rsidR="00D53099" w:rsidRPr="00CA78BD" w:rsidRDefault="00D53099" w:rsidP="00D53099">
      <w:pPr>
        <w:jc w:val="center"/>
        <w:rPr>
          <w:rFonts w:ascii="Times New Roman" w:hAnsi="Times New Roman" w:cs="Times New Roman"/>
          <w:sz w:val="28"/>
          <w:szCs w:val="28"/>
        </w:rPr>
      </w:pPr>
    </w:p>
    <w:p w14:paraId="1F281907" w14:textId="77777777" w:rsidR="00462FC9" w:rsidRPr="00CA78BD" w:rsidRDefault="00462FC9" w:rsidP="00D53099">
      <w:pPr>
        <w:jc w:val="center"/>
        <w:rPr>
          <w:rFonts w:ascii="Times New Roman" w:hAnsi="Times New Roman" w:cs="Times New Roman"/>
          <w:sz w:val="28"/>
          <w:szCs w:val="28"/>
        </w:rPr>
      </w:pPr>
      <w:r w:rsidRPr="00CA78BD">
        <w:rPr>
          <w:rFonts w:ascii="Times New Roman" w:hAnsi="Times New Roman" w:cs="Times New Roman"/>
          <w:sz w:val="28"/>
          <w:szCs w:val="28"/>
        </w:rPr>
        <w:t>Уровень образования: Бакалавриат</w:t>
      </w:r>
    </w:p>
    <w:p w14:paraId="6054E5CD" w14:textId="77777777" w:rsidR="00462FC9" w:rsidRPr="00CA78BD" w:rsidRDefault="00462FC9" w:rsidP="00D53099">
      <w:pPr>
        <w:jc w:val="center"/>
        <w:rPr>
          <w:rFonts w:ascii="Times New Roman" w:hAnsi="Times New Roman" w:cs="Times New Roman"/>
          <w:sz w:val="28"/>
          <w:szCs w:val="28"/>
        </w:rPr>
      </w:pPr>
      <w:r w:rsidRPr="00CA78BD">
        <w:rPr>
          <w:rFonts w:ascii="Times New Roman" w:hAnsi="Times New Roman" w:cs="Times New Roman"/>
          <w:sz w:val="28"/>
          <w:szCs w:val="28"/>
        </w:rPr>
        <w:t>Направление 41.03.05 «Международные отношения»</w:t>
      </w:r>
    </w:p>
    <w:p w14:paraId="3400D585" w14:textId="77777777" w:rsidR="00D53099" w:rsidRPr="00CA78BD" w:rsidRDefault="00462FC9" w:rsidP="00D53099">
      <w:pPr>
        <w:jc w:val="center"/>
        <w:rPr>
          <w:rFonts w:ascii="Times New Roman" w:hAnsi="Times New Roman" w:cs="Times New Roman"/>
          <w:sz w:val="28"/>
          <w:szCs w:val="28"/>
        </w:rPr>
      </w:pPr>
      <w:r w:rsidRPr="00CA78BD">
        <w:rPr>
          <w:rFonts w:ascii="Times New Roman" w:hAnsi="Times New Roman" w:cs="Times New Roman"/>
          <w:sz w:val="28"/>
          <w:szCs w:val="28"/>
        </w:rPr>
        <w:t>Основная образовательная программа</w:t>
      </w:r>
    </w:p>
    <w:p w14:paraId="1F0C264F" w14:textId="77777777" w:rsidR="00462FC9" w:rsidRPr="00CA78BD" w:rsidRDefault="00462FC9" w:rsidP="00D53099">
      <w:pPr>
        <w:jc w:val="center"/>
        <w:rPr>
          <w:rFonts w:ascii="Times New Roman" w:hAnsi="Times New Roman" w:cs="Times New Roman"/>
          <w:sz w:val="28"/>
          <w:szCs w:val="28"/>
        </w:rPr>
      </w:pPr>
      <w:r w:rsidRPr="00CA78BD">
        <w:rPr>
          <w:rFonts w:ascii="Times New Roman" w:hAnsi="Times New Roman" w:cs="Times New Roman"/>
          <w:sz w:val="28"/>
          <w:szCs w:val="28"/>
        </w:rPr>
        <w:t>СВ.5034.2016 «Международные отношения»</w:t>
      </w:r>
    </w:p>
    <w:p w14:paraId="30267A1E" w14:textId="77777777" w:rsidR="00462FC9" w:rsidRPr="00CA78BD" w:rsidRDefault="00462FC9" w:rsidP="00D53099">
      <w:pPr>
        <w:jc w:val="center"/>
        <w:rPr>
          <w:rFonts w:ascii="Times New Roman" w:hAnsi="Times New Roman" w:cs="Times New Roman"/>
          <w:i/>
          <w:sz w:val="28"/>
          <w:szCs w:val="28"/>
        </w:rPr>
      </w:pPr>
    </w:p>
    <w:p w14:paraId="4F27AD6F" w14:textId="77777777" w:rsidR="00EC1C71" w:rsidRPr="00CA78BD" w:rsidRDefault="00EC1C71" w:rsidP="00D53099">
      <w:pPr>
        <w:jc w:val="center"/>
        <w:rPr>
          <w:rFonts w:ascii="Times New Roman" w:hAnsi="Times New Roman" w:cs="Times New Roman"/>
          <w:i/>
          <w:sz w:val="28"/>
          <w:szCs w:val="28"/>
        </w:rPr>
      </w:pPr>
    </w:p>
    <w:p w14:paraId="403561AD" w14:textId="77777777" w:rsidR="00C95A49" w:rsidRPr="00CA78BD" w:rsidRDefault="00C95A49" w:rsidP="00D53099">
      <w:pPr>
        <w:jc w:val="center"/>
        <w:rPr>
          <w:rFonts w:ascii="Times New Roman" w:hAnsi="Times New Roman" w:cs="Times New Roman"/>
          <w:i/>
          <w:sz w:val="28"/>
          <w:szCs w:val="28"/>
        </w:rPr>
      </w:pPr>
    </w:p>
    <w:p w14:paraId="5AF10855" w14:textId="77777777" w:rsidR="00EC1C71" w:rsidRPr="00CA78BD" w:rsidRDefault="00EC1C71" w:rsidP="00D53099">
      <w:pPr>
        <w:jc w:val="center"/>
        <w:rPr>
          <w:rFonts w:ascii="Times New Roman" w:hAnsi="Times New Roman" w:cs="Times New Roman"/>
          <w:i/>
          <w:sz w:val="28"/>
          <w:szCs w:val="28"/>
        </w:rPr>
      </w:pPr>
    </w:p>
    <w:p w14:paraId="6BD98097" w14:textId="77777777" w:rsidR="00462FC9" w:rsidRPr="00CA78BD" w:rsidRDefault="00462FC9" w:rsidP="00D53099">
      <w:pPr>
        <w:ind w:left="3540"/>
        <w:jc w:val="right"/>
        <w:rPr>
          <w:rFonts w:ascii="Times New Roman" w:hAnsi="Times New Roman" w:cs="Times New Roman"/>
          <w:sz w:val="28"/>
          <w:szCs w:val="28"/>
        </w:rPr>
      </w:pPr>
      <w:r w:rsidRPr="00CA78BD">
        <w:rPr>
          <w:rFonts w:ascii="Times New Roman" w:hAnsi="Times New Roman" w:cs="Times New Roman"/>
          <w:sz w:val="28"/>
          <w:szCs w:val="28"/>
        </w:rPr>
        <w:t>Научный руководитель:</w:t>
      </w:r>
    </w:p>
    <w:p w14:paraId="12270749" w14:textId="77777777" w:rsidR="00D53099" w:rsidRPr="00CA78BD" w:rsidRDefault="00EC1C71" w:rsidP="00D53099">
      <w:pPr>
        <w:ind w:left="3540"/>
        <w:jc w:val="right"/>
        <w:rPr>
          <w:rFonts w:ascii="Times New Roman" w:hAnsi="Times New Roman" w:cs="Times New Roman"/>
          <w:sz w:val="28"/>
          <w:szCs w:val="28"/>
        </w:rPr>
      </w:pPr>
      <w:r w:rsidRPr="00CA78BD">
        <w:rPr>
          <w:rFonts w:ascii="Times New Roman" w:hAnsi="Times New Roman" w:cs="Times New Roman"/>
          <w:sz w:val="28"/>
          <w:szCs w:val="28"/>
        </w:rPr>
        <w:t>Доцент кафедры европейских</w:t>
      </w:r>
      <w:r w:rsidR="00D53099" w:rsidRPr="00CA78BD">
        <w:rPr>
          <w:rFonts w:ascii="Times New Roman" w:hAnsi="Times New Roman" w:cs="Times New Roman"/>
          <w:sz w:val="28"/>
          <w:szCs w:val="28"/>
        </w:rPr>
        <w:t xml:space="preserve"> </w:t>
      </w:r>
      <w:r w:rsidRPr="00CA78BD">
        <w:rPr>
          <w:rFonts w:ascii="Times New Roman" w:hAnsi="Times New Roman" w:cs="Times New Roman"/>
          <w:sz w:val="28"/>
          <w:szCs w:val="28"/>
        </w:rPr>
        <w:t>исследований,</w:t>
      </w:r>
    </w:p>
    <w:p w14:paraId="7E4F3AAE" w14:textId="77777777" w:rsidR="00EC1C71" w:rsidRPr="00CA78BD" w:rsidRDefault="00EC1C71" w:rsidP="00D53099">
      <w:pPr>
        <w:ind w:left="3540"/>
        <w:jc w:val="right"/>
        <w:rPr>
          <w:rFonts w:ascii="Times New Roman" w:hAnsi="Times New Roman" w:cs="Times New Roman"/>
          <w:sz w:val="28"/>
          <w:szCs w:val="28"/>
        </w:rPr>
      </w:pPr>
      <w:r w:rsidRPr="00CA78BD">
        <w:rPr>
          <w:rFonts w:ascii="Times New Roman" w:hAnsi="Times New Roman" w:cs="Times New Roman"/>
          <w:sz w:val="28"/>
          <w:szCs w:val="28"/>
        </w:rPr>
        <w:t>кандидат политических наук,</w:t>
      </w:r>
    </w:p>
    <w:p w14:paraId="408B2A22" w14:textId="77777777" w:rsidR="00462FC9" w:rsidRPr="00CA78BD" w:rsidRDefault="00EC1C71" w:rsidP="00D53099">
      <w:pPr>
        <w:ind w:left="3540"/>
        <w:jc w:val="right"/>
        <w:rPr>
          <w:rFonts w:ascii="Times New Roman" w:hAnsi="Times New Roman" w:cs="Times New Roman"/>
          <w:sz w:val="28"/>
          <w:szCs w:val="28"/>
        </w:rPr>
      </w:pPr>
      <w:r w:rsidRPr="00CA78BD">
        <w:rPr>
          <w:rFonts w:ascii="Times New Roman" w:hAnsi="Times New Roman" w:cs="Times New Roman"/>
          <w:sz w:val="28"/>
          <w:szCs w:val="28"/>
        </w:rPr>
        <w:t>Леви Дмитрий Андреевич</w:t>
      </w:r>
    </w:p>
    <w:p w14:paraId="35DC3D2F" w14:textId="77777777" w:rsidR="00EC1C71" w:rsidRPr="00CA78BD" w:rsidRDefault="00EC1C71" w:rsidP="00D53099">
      <w:pPr>
        <w:ind w:left="2832"/>
        <w:jc w:val="right"/>
        <w:rPr>
          <w:rFonts w:ascii="Times New Roman" w:hAnsi="Times New Roman" w:cs="Times New Roman"/>
          <w:sz w:val="28"/>
          <w:szCs w:val="28"/>
        </w:rPr>
      </w:pPr>
    </w:p>
    <w:p w14:paraId="5D23FDF4" w14:textId="77777777" w:rsidR="00EC1C71" w:rsidRPr="00CA78BD" w:rsidRDefault="00EC1C71" w:rsidP="00D53099">
      <w:pPr>
        <w:ind w:left="2832"/>
        <w:jc w:val="right"/>
        <w:rPr>
          <w:rFonts w:ascii="Times New Roman" w:hAnsi="Times New Roman" w:cs="Times New Roman"/>
          <w:sz w:val="28"/>
          <w:szCs w:val="28"/>
        </w:rPr>
      </w:pPr>
      <w:r w:rsidRPr="00CA78BD">
        <w:rPr>
          <w:rFonts w:ascii="Times New Roman" w:hAnsi="Times New Roman" w:cs="Times New Roman"/>
          <w:sz w:val="28"/>
          <w:szCs w:val="28"/>
        </w:rPr>
        <w:t>Рецензент:</w:t>
      </w:r>
    </w:p>
    <w:p w14:paraId="48D2573A" w14:textId="77777777" w:rsidR="00D53099" w:rsidRPr="00CA78BD" w:rsidRDefault="00EC1C71" w:rsidP="00D53099">
      <w:pPr>
        <w:ind w:left="2832"/>
        <w:jc w:val="right"/>
        <w:rPr>
          <w:rFonts w:ascii="Times New Roman" w:hAnsi="Times New Roman" w:cs="Times New Roman"/>
          <w:sz w:val="28"/>
          <w:szCs w:val="28"/>
        </w:rPr>
      </w:pPr>
      <w:r w:rsidRPr="00CA78BD">
        <w:rPr>
          <w:rFonts w:ascii="Times New Roman" w:hAnsi="Times New Roman" w:cs="Times New Roman"/>
          <w:sz w:val="28"/>
          <w:szCs w:val="28"/>
        </w:rPr>
        <w:t>Доцент кафедры американских</w:t>
      </w:r>
      <w:r w:rsidR="00D53099" w:rsidRPr="00CA78BD">
        <w:rPr>
          <w:rFonts w:ascii="Times New Roman" w:hAnsi="Times New Roman" w:cs="Times New Roman"/>
          <w:sz w:val="28"/>
          <w:szCs w:val="28"/>
        </w:rPr>
        <w:t xml:space="preserve"> </w:t>
      </w:r>
      <w:r w:rsidRPr="00CA78BD">
        <w:rPr>
          <w:rFonts w:ascii="Times New Roman" w:hAnsi="Times New Roman" w:cs="Times New Roman"/>
          <w:sz w:val="28"/>
          <w:szCs w:val="28"/>
        </w:rPr>
        <w:t>исследований,</w:t>
      </w:r>
    </w:p>
    <w:p w14:paraId="486920E4" w14:textId="77777777" w:rsidR="00EC1C71" w:rsidRPr="00CA78BD" w:rsidRDefault="00EC1C71" w:rsidP="00D53099">
      <w:pPr>
        <w:ind w:left="2832"/>
        <w:jc w:val="right"/>
        <w:rPr>
          <w:rFonts w:ascii="Times New Roman" w:hAnsi="Times New Roman" w:cs="Times New Roman"/>
          <w:sz w:val="28"/>
          <w:szCs w:val="28"/>
        </w:rPr>
      </w:pPr>
      <w:r w:rsidRPr="00CA78BD">
        <w:rPr>
          <w:rFonts w:ascii="Times New Roman" w:hAnsi="Times New Roman" w:cs="Times New Roman"/>
          <w:sz w:val="28"/>
          <w:szCs w:val="28"/>
        </w:rPr>
        <w:t>кандидат политических наук,</w:t>
      </w:r>
    </w:p>
    <w:p w14:paraId="041F95FC" w14:textId="77777777" w:rsidR="00EC1C71" w:rsidRPr="00CA78BD" w:rsidRDefault="00EC1C71" w:rsidP="00D53099">
      <w:pPr>
        <w:ind w:left="2832"/>
        <w:jc w:val="right"/>
        <w:rPr>
          <w:rFonts w:ascii="Times New Roman" w:hAnsi="Times New Roman" w:cs="Times New Roman"/>
          <w:sz w:val="28"/>
          <w:szCs w:val="28"/>
        </w:rPr>
      </w:pPr>
      <w:r w:rsidRPr="00CA78BD">
        <w:rPr>
          <w:rFonts w:ascii="Times New Roman" w:hAnsi="Times New Roman" w:cs="Times New Roman"/>
          <w:sz w:val="28"/>
          <w:szCs w:val="28"/>
        </w:rPr>
        <w:t>Ярыгин Григорий Олегович</w:t>
      </w:r>
    </w:p>
    <w:p w14:paraId="4AC99F24" w14:textId="77777777" w:rsidR="001038FD" w:rsidRPr="00CA78BD" w:rsidRDefault="001038FD" w:rsidP="00D53099">
      <w:pPr>
        <w:jc w:val="center"/>
        <w:rPr>
          <w:rFonts w:ascii="Times New Roman" w:hAnsi="Times New Roman" w:cs="Times New Roman"/>
          <w:sz w:val="28"/>
          <w:szCs w:val="28"/>
        </w:rPr>
      </w:pPr>
    </w:p>
    <w:p w14:paraId="33EB0391" w14:textId="77777777" w:rsidR="001038FD" w:rsidRPr="00CA78BD" w:rsidRDefault="001038FD" w:rsidP="00D53099">
      <w:pPr>
        <w:jc w:val="center"/>
        <w:rPr>
          <w:rFonts w:ascii="Times New Roman" w:hAnsi="Times New Roman" w:cs="Times New Roman"/>
          <w:sz w:val="28"/>
          <w:szCs w:val="28"/>
        </w:rPr>
      </w:pPr>
    </w:p>
    <w:p w14:paraId="59F4A332" w14:textId="77777777" w:rsidR="001038FD" w:rsidRPr="00CA78BD" w:rsidRDefault="001038FD" w:rsidP="00D53099">
      <w:pPr>
        <w:jc w:val="center"/>
        <w:rPr>
          <w:rFonts w:ascii="Times New Roman" w:hAnsi="Times New Roman" w:cs="Times New Roman"/>
          <w:sz w:val="28"/>
          <w:szCs w:val="28"/>
        </w:rPr>
      </w:pPr>
    </w:p>
    <w:p w14:paraId="1925A6FC" w14:textId="77777777" w:rsidR="001038FD" w:rsidRPr="00CA78BD" w:rsidRDefault="001038FD" w:rsidP="00D53099">
      <w:pPr>
        <w:jc w:val="center"/>
        <w:rPr>
          <w:rFonts w:ascii="Times New Roman" w:hAnsi="Times New Roman" w:cs="Times New Roman"/>
          <w:sz w:val="28"/>
          <w:szCs w:val="28"/>
        </w:rPr>
      </w:pPr>
    </w:p>
    <w:p w14:paraId="5483C1A6" w14:textId="77777777" w:rsidR="001038FD" w:rsidRPr="00CA78BD" w:rsidRDefault="001038FD" w:rsidP="00D53099">
      <w:pPr>
        <w:jc w:val="center"/>
        <w:rPr>
          <w:rFonts w:ascii="Times New Roman" w:hAnsi="Times New Roman" w:cs="Times New Roman"/>
          <w:sz w:val="28"/>
          <w:szCs w:val="28"/>
        </w:rPr>
      </w:pPr>
    </w:p>
    <w:p w14:paraId="5DA8EEAB" w14:textId="77777777" w:rsidR="00D53099" w:rsidRPr="00CA78BD" w:rsidRDefault="00D53099" w:rsidP="00C95A49">
      <w:pPr>
        <w:jc w:val="center"/>
        <w:rPr>
          <w:rFonts w:ascii="Times New Roman" w:hAnsi="Times New Roman" w:cs="Times New Roman"/>
          <w:sz w:val="28"/>
          <w:szCs w:val="28"/>
        </w:rPr>
      </w:pPr>
    </w:p>
    <w:p w14:paraId="34D90F82" w14:textId="77777777" w:rsidR="00C95A49" w:rsidRPr="00CA78BD" w:rsidRDefault="00C95A49" w:rsidP="00C95A49">
      <w:pPr>
        <w:jc w:val="center"/>
        <w:rPr>
          <w:rFonts w:ascii="Times New Roman" w:hAnsi="Times New Roman" w:cs="Times New Roman"/>
          <w:sz w:val="28"/>
          <w:szCs w:val="28"/>
        </w:rPr>
      </w:pPr>
    </w:p>
    <w:p w14:paraId="0634AB99" w14:textId="77777777" w:rsidR="009D21D6" w:rsidRPr="00CA78BD" w:rsidRDefault="009D21D6" w:rsidP="00D53099">
      <w:pPr>
        <w:jc w:val="center"/>
        <w:rPr>
          <w:rFonts w:ascii="Times New Roman" w:hAnsi="Times New Roman" w:cs="Times New Roman"/>
          <w:sz w:val="28"/>
          <w:szCs w:val="28"/>
        </w:rPr>
      </w:pPr>
    </w:p>
    <w:p w14:paraId="2DA7B6FE" w14:textId="77777777" w:rsidR="00EC1C71" w:rsidRPr="00CA78BD" w:rsidRDefault="00EC1C71" w:rsidP="00D53099">
      <w:pPr>
        <w:jc w:val="center"/>
        <w:rPr>
          <w:rFonts w:ascii="Times New Roman" w:hAnsi="Times New Roman" w:cs="Times New Roman"/>
          <w:sz w:val="28"/>
          <w:szCs w:val="28"/>
        </w:rPr>
      </w:pPr>
      <w:r w:rsidRPr="00CA78BD">
        <w:rPr>
          <w:rFonts w:ascii="Times New Roman" w:hAnsi="Times New Roman" w:cs="Times New Roman"/>
          <w:sz w:val="28"/>
          <w:szCs w:val="28"/>
        </w:rPr>
        <w:t>Санкт-Петербург</w:t>
      </w:r>
    </w:p>
    <w:p w14:paraId="162400C6" w14:textId="77777777" w:rsidR="000B5462" w:rsidRPr="00CA78BD" w:rsidRDefault="00EC1C71" w:rsidP="00E50441">
      <w:pPr>
        <w:jc w:val="center"/>
        <w:rPr>
          <w:rFonts w:ascii="Times New Roman" w:hAnsi="Times New Roman" w:cs="Times New Roman"/>
          <w:sz w:val="28"/>
          <w:szCs w:val="28"/>
        </w:rPr>
      </w:pPr>
      <w:r w:rsidRPr="00CA78BD">
        <w:rPr>
          <w:rFonts w:ascii="Times New Roman" w:hAnsi="Times New Roman" w:cs="Times New Roman"/>
          <w:sz w:val="28"/>
          <w:szCs w:val="28"/>
        </w:rPr>
        <w:t>2021</w:t>
      </w:r>
    </w:p>
    <w:p w14:paraId="7E3E5EE1" w14:textId="77777777" w:rsidR="00E50441" w:rsidRPr="00CA78BD" w:rsidRDefault="001038FD" w:rsidP="00E50441">
      <w:pPr>
        <w:jc w:val="center"/>
        <w:rPr>
          <w:rFonts w:ascii="Times New Roman" w:hAnsi="Times New Roman" w:cs="Times New Roman"/>
          <w:b/>
        </w:rPr>
      </w:pPr>
      <w:r w:rsidRPr="00CA78BD">
        <w:rPr>
          <w:rFonts w:ascii="Times New Roman" w:hAnsi="Times New Roman" w:cs="Times New Roman"/>
          <w:b/>
        </w:rPr>
        <w:br w:type="page"/>
      </w:r>
      <w:r w:rsidR="00E50441" w:rsidRPr="00CA78BD">
        <w:rPr>
          <w:rFonts w:ascii="Times New Roman" w:hAnsi="Times New Roman" w:cs="Times New Roman"/>
          <w:b/>
        </w:rPr>
        <w:lastRenderedPageBreak/>
        <w:t>Оглавление</w:t>
      </w:r>
    </w:p>
    <w:sdt>
      <w:sdtPr>
        <w:rPr>
          <w:rFonts w:asciiTheme="minorHAnsi" w:eastAsiaTheme="minorHAnsi" w:hAnsiTheme="minorHAnsi" w:cstheme="minorBidi"/>
          <w:b w:val="0"/>
          <w:bCs w:val="0"/>
          <w:color w:val="auto"/>
          <w:sz w:val="24"/>
          <w:szCs w:val="24"/>
          <w:lang w:eastAsia="en-US"/>
        </w:rPr>
        <w:id w:val="1721400325"/>
        <w:docPartObj>
          <w:docPartGallery w:val="Table of Contents"/>
          <w:docPartUnique/>
        </w:docPartObj>
      </w:sdtPr>
      <w:sdtEndPr>
        <w:rPr>
          <w:noProof/>
        </w:rPr>
      </w:sdtEndPr>
      <w:sdtContent>
        <w:p w14:paraId="39CACB5C" w14:textId="77777777" w:rsidR="00E50441" w:rsidRPr="00E50441" w:rsidRDefault="00E50441" w:rsidP="0080758E">
          <w:pPr>
            <w:pStyle w:val="af6"/>
            <w:spacing w:line="360" w:lineRule="auto"/>
            <w:rPr>
              <w:sz w:val="24"/>
              <w:szCs w:val="24"/>
            </w:rPr>
          </w:pPr>
        </w:p>
        <w:p w14:paraId="33E8585F" w14:textId="77777777" w:rsidR="0080758E" w:rsidRPr="00CA78BD" w:rsidRDefault="00E50441" w:rsidP="0080758E">
          <w:pPr>
            <w:pStyle w:val="11"/>
            <w:spacing w:line="360" w:lineRule="auto"/>
            <w:rPr>
              <w:rFonts w:ascii="Times New Roman" w:eastAsiaTheme="minorEastAsia" w:hAnsi="Times New Roman" w:cs="Times New Roman"/>
              <w:b w:val="0"/>
              <w:bCs w:val="0"/>
              <w:iCs w:val="0"/>
              <w:lang w:eastAsia="ru-RU"/>
            </w:rPr>
          </w:pPr>
          <w:r w:rsidRPr="00E50441">
            <w:rPr>
              <w:noProof w:val="0"/>
            </w:rPr>
            <w:fldChar w:fldCharType="begin"/>
          </w:r>
          <w:r w:rsidRPr="00E50441">
            <w:instrText>TOC \o "1-3" \h \z \u</w:instrText>
          </w:r>
          <w:r w:rsidRPr="00E50441">
            <w:rPr>
              <w:noProof w:val="0"/>
            </w:rPr>
            <w:fldChar w:fldCharType="separate"/>
          </w:r>
          <w:hyperlink w:anchor="_Toc72956529" w:history="1">
            <w:r w:rsidR="0080758E" w:rsidRPr="00CA78BD">
              <w:rPr>
                <w:rStyle w:val="a4"/>
                <w:rFonts w:ascii="Times New Roman" w:hAnsi="Times New Roman" w:cs="Times New Roman"/>
              </w:rPr>
              <w:t>Введение</w:t>
            </w:r>
            <w:r w:rsidR="0080758E" w:rsidRPr="00CA78BD">
              <w:rPr>
                <w:rFonts w:ascii="Times New Roman" w:hAnsi="Times New Roman" w:cs="Times New Roman"/>
                <w:webHidden/>
              </w:rPr>
              <w:tab/>
            </w:r>
            <w:r w:rsidR="0080758E" w:rsidRPr="00CA78BD">
              <w:rPr>
                <w:rFonts w:ascii="Times New Roman" w:hAnsi="Times New Roman" w:cs="Times New Roman"/>
                <w:webHidden/>
              </w:rPr>
              <w:fldChar w:fldCharType="begin"/>
            </w:r>
            <w:r w:rsidR="0080758E" w:rsidRPr="00CA78BD">
              <w:rPr>
                <w:rFonts w:ascii="Times New Roman" w:hAnsi="Times New Roman" w:cs="Times New Roman"/>
                <w:webHidden/>
              </w:rPr>
              <w:instrText xml:space="preserve"> PAGEREF _Toc72956529 \h </w:instrText>
            </w:r>
            <w:r w:rsidR="0080758E" w:rsidRPr="00CA78BD">
              <w:rPr>
                <w:rFonts w:ascii="Times New Roman" w:hAnsi="Times New Roman" w:cs="Times New Roman"/>
                <w:webHidden/>
              </w:rPr>
            </w:r>
            <w:r w:rsidR="0080758E" w:rsidRPr="00CA78BD">
              <w:rPr>
                <w:rFonts w:ascii="Times New Roman" w:hAnsi="Times New Roman" w:cs="Times New Roman"/>
                <w:webHidden/>
              </w:rPr>
              <w:fldChar w:fldCharType="separate"/>
            </w:r>
            <w:r w:rsidR="0080758E" w:rsidRPr="00CA78BD">
              <w:rPr>
                <w:rFonts w:ascii="Times New Roman" w:hAnsi="Times New Roman" w:cs="Times New Roman"/>
                <w:webHidden/>
              </w:rPr>
              <w:t>3</w:t>
            </w:r>
            <w:r w:rsidR="0080758E" w:rsidRPr="00CA78BD">
              <w:rPr>
                <w:rFonts w:ascii="Times New Roman" w:hAnsi="Times New Roman" w:cs="Times New Roman"/>
                <w:webHidden/>
              </w:rPr>
              <w:fldChar w:fldCharType="end"/>
            </w:r>
          </w:hyperlink>
        </w:p>
        <w:p w14:paraId="73930714" w14:textId="77777777" w:rsidR="0080758E" w:rsidRPr="00CA78BD" w:rsidRDefault="00F12102" w:rsidP="0080758E">
          <w:pPr>
            <w:pStyle w:val="11"/>
            <w:spacing w:line="360" w:lineRule="auto"/>
            <w:rPr>
              <w:rFonts w:ascii="Times New Roman" w:eastAsiaTheme="minorEastAsia" w:hAnsi="Times New Roman" w:cs="Times New Roman"/>
              <w:b w:val="0"/>
              <w:bCs w:val="0"/>
              <w:iCs w:val="0"/>
              <w:lang w:eastAsia="ru-RU"/>
            </w:rPr>
          </w:pPr>
          <w:hyperlink w:anchor="_Toc72956530" w:history="1">
            <w:r w:rsidR="0080758E" w:rsidRPr="00CA78BD">
              <w:rPr>
                <w:rStyle w:val="a4"/>
                <w:rFonts w:ascii="Times New Roman" w:hAnsi="Times New Roman" w:cs="Times New Roman"/>
                <w:lang w:eastAsia="ru-RU"/>
              </w:rPr>
              <w:t>1. Роль групп интересов в европейской политике</w:t>
            </w:r>
            <w:r w:rsidR="0080758E" w:rsidRPr="00CA78BD">
              <w:rPr>
                <w:rFonts w:ascii="Times New Roman" w:hAnsi="Times New Roman" w:cs="Times New Roman"/>
                <w:webHidden/>
              </w:rPr>
              <w:tab/>
            </w:r>
            <w:r w:rsidR="0080758E" w:rsidRPr="00CA78BD">
              <w:rPr>
                <w:rFonts w:ascii="Times New Roman" w:hAnsi="Times New Roman" w:cs="Times New Roman"/>
                <w:webHidden/>
              </w:rPr>
              <w:fldChar w:fldCharType="begin"/>
            </w:r>
            <w:r w:rsidR="0080758E" w:rsidRPr="00CA78BD">
              <w:rPr>
                <w:rFonts w:ascii="Times New Roman" w:hAnsi="Times New Roman" w:cs="Times New Roman"/>
                <w:webHidden/>
              </w:rPr>
              <w:instrText xml:space="preserve"> PAGEREF _Toc72956530 \h </w:instrText>
            </w:r>
            <w:r w:rsidR="0080758E" w:rsidRPr="00CA78BD">
              <w:rPr>
                <w:rFonts w:ascii="Times New Roman" w:hAnsi="Times New Roman" w:cs="Times New Roman"/>
                <w:webHidden/>
              </w:rPr>
            </w:r>
            <w:r w:rsidR="0080758E" w:rsidRPr="00CA78BD">
              <w:rPr>
                <w:rFonts w:ascii="Times New Roman" w:hAnsi="Times New Roman" w:cs="Times New Roman"/>
                <w:webHidden/>
              </w:rPr>
              <w:fldChar w:fldCharType="separate"/>
            </w:r>
            <w:r w:rsidR="0080758E" w:rsidRPr="00CA78BD">
              <w:rPr>
                <w:rFonts w:ascii="Times New Roman" w:hAnsi="Times New Roman" w:cs="Times New Roman"/>
                <w:webHidden/>
              </w:rPr>
              <w:t>6</w:t>
            </w:r>
            <w:r w:rsidR="0080758E" w:rsidRPr="00CA78BD">
              <w:rPr>
                <w:rFonts w:ascii="Times New Roman" w:hAnsi="Times New Roman" w:cs="Times New Roman"/>
                <w:webHidden/>
              </w:rPr>
              <w:fldChar w:fldCharType="end"/>
            </w:r>
          </w:hyperlink>
        </w:p>
        <w:p w14:paraId="6A8390E9" w14:textId="77777777" w:rsidR="0080758E" w:rsidRPr="00CA78BD" w:rsidRDefault="00F12102" w:rsidP="0080758E">
          <w:pPr>
            <w:pStyle w:val="22"/>
            <w:spacing w:line="360" w:lineRule="auto"/>
            <w:rPr>
              <w:rFonts w:ascii="Times New Roman" w:eastAsiaTheme="minorEastAsia" w:hAnsi="Times New Roman" w:cs="Times New Roman"/>
              <w:b w:val="0"/>
              <w:bCs w:val="0"/>
              <w:noProof/>
              <w:sz w:val="24"/>
              <w:szCs w:val="24"/>
              <w:lang w:eastAsia="ru-RU"/>
            </w:rPr>
          </w:pPr>
          <w:hyperlink w:anchor="_Toc72956531" w:history="1">
            <w:r w:rsidR="0080758E" w:rsidRPr="00CA78BD">
              <w:rPr>
                <w:rStyle w:val="a4"/>
                <w:rFonts w:ascii="Times New Roman" w:hAnsi="Times New Roman" w:cs="Times New Roman"/>
                <w:b w:val="0"/>
                <w:noProof/>
                <w:lang w:eastAsia="ru-RU"/>
              </w:rPr>
              <w:t>1.1 Политические решения через призму теории групп интересов</w:t>
            </w:r>
            <w:r w:rsidR="0080758E" w:rsidRPr="00CA78BD">
              <w:rPr>
                <w:rFonts w:ascii="Times New Roman" w:hAnsi="Times New Roman" w:cs="Times New Roman"/>
                <w:b w:val="0"/>
                <w:noProof/>
                <w:webHidden/>
              </w:rPr>
              <w:tab/>
            </w:r>
            <w:r w:rsidR="0080758E" w:rsidRPr="00CA78BD">
              <w:rPr>
                <w:rFonts w:ascii="Times New Roman" w:hAnsi="Times New Roman" w:cs="Times New Roman"/>
                <w:b w:val="0"/>
                <w:noProof/>
                <w:webHidden/>
              </w:rPr>
              <w:fldChar w:fldCharType="begin"/>
            </w:r>
            <w:r w:rsidR="0080758E" w:rsidRPr="00CA78BD">
              <w:rPr>
                <w:rFonts w:ascii="Times New Roman" w:hAnsi="Times New Roman" w:cs="Times New Roman"/>
                <w:b w:val="0"/>
                <w:noProof/>
                <w:webHidden/>
              </w:rPr>
              <w:instrText xml:space="preserve"> PAGEREF _Toc72956531 \h </w:instrText>
            </w:r>
            <w:r w:rsidR="0080758E" w:rsidRPr="00CA78BD">
              <w:rPr>
                <w:rFonts w:ascii="Times New Roman" w:hAnsi="Times New Roman" w:cs="Times New Roman"/>
                <w:b w:val="0"/>
                <w:noProof/>
                <w:webHidden/>
              </w:rPr>
            </w:r>
            <w:r w:rsidR="0080758E" w:rsidRPr="00CA78BD">
              <w:rPr>
                <w:rFonts w:ascii="Times New Roman" w:hAnsi="Times New Roman" w:cs="Times New Roman"/>
                <w:b w:val="0"/>
                <w:noProof/>
                <w:webHidden/>
              </w:rPr>
              <w:fldChar w:fldCharType="separate"/>
            </w:r>
            <w:r w:rsidR="0080758E" w:rsidRPr="00CA78BD">
              <w:rPr>
                <w:rFonts w:ascii="Times New Roman" w:hAnsi="Times New Roman" w:cs="Times New Roman"/>
                <w:b w:val="0"/>
                <w:noProof/>
                <w:webHidden/>
              </w:rPr>
              <w:t>6</w:t>
            </w:r>
            <w:r w:rsidR="0080758E" w:rsidRPr="00CA78BD">
              <w:rPr>
                <w:rFonts w:ascii="Times New Roman" w:hAnsi="Times New Roman" w:cs="Times New Roman"/>
                <w:b w:val="0"/>
                <w:noProof/>
                <w:webHidden/>
              </w:rPr>
              <w:fldChar w:fldCharType="end"/>
            </w:r>
          </w:hyperlink>
        </w:p>
        <w:p w14:paraId="545B2438" w14:textId="77777777" w:rsidR="0080758E" w:rsidRPr="00CA78BD" w:rsidRDefault="00F12102" w:rsidP="0080758E">
          <w:pPr>
            <w:pStyle w:val="22"/>
            <w:spacing w:line="360" w:lineRule="auto"/>
            <w:rPr>
              <w:rFonts w:ascii="Times New Roman" w:eastAsiaTheme="minorEastAsia" w:hAnsi="Times New Roman" w:cs="Times New Roman"/>
              <w:b w:val="0"/>
              <w:bCs w:val="0"/>
              <w:noProof/>
              <w:sz w:val="24"/>
              <w:szCs w:val="24"/>
              <w:lang w:eastAsia="ru-RU"/>
            </w:rPr>
          </w:pPr>
          <w:hyperlink w:anchor="_Toc72956532" w:history="1">
            <w:r w:rsidR="0080758E" w:rsidRPr="00CA78BD">
              <w:rPr>
                <w:rStyle w:val="a4"/>
                <w:rFonts w:ascii="Times New Roman" w:hAnsi="Times New Roman" w:cs="Times New Roman"/>
                <w:b w:val="0"/>
                <w:noProof/>
              </w:rPr>
              <w:t>1.2 Взаимодействие групп интересов с институтами Европейского союза</w:t>
            </w:r>
            <w:r w:rsidR="0080758E" w:rsidRPr="00CA78BD">
              <w:rPr>
                <w:rFonts w:ascii="Times New Roman" w:hAnsi="Times New Roman" w:cs="Times New Roman"/>
                <w:b w:val="0"/>
                <w:noProof/>
                <w:webHidden/>
              </w:rPr>
              <w:tab/>
            </w:r>
            <w:r w:rsidR="0080758E" w:rsidRPr="00CA78BD">
              <w:rPr>
                <w:rFonts w:ascii="Times New Roman" w:hAnsi="Times New Roman" w:cs="Times New Roman"/>
                <w:b w:val="0"/>
                <w:noProof/>
                <w:webHidden/>
              </w:rPr>
              <w:fldChar w:fldCharType="begin"/>
            </w:r>
            <w:r w:rsidR="0080758E" w:rsidRPr="00CA78BD">
              <w:rPr>
                <w:rFonts w:ascii="Times New Roman" w:hAnsi="Times New Roman" w:cs="Times New Roman"/>
                <w:b w:val="0"/>
                <w:noProof/>
                <w:webHidden/>
              </w:rPr>
              <w:instrText xml:space="preserve"> PAGEREF _Toc72956532 \h </w:instrText>
            </w:r>
            <w:r w:rsidR="0080758E" w:rsidRPr="00CA78BD">
              <w:rPr>
                <w:rFonts w:ascii="Times New Roman" w:hAnsi="Times New Roman" w:cs="Times New Roman"/>
                <w:b w:val="0"/>
                <w:noProof/>
                <w:webHidden/>
              </w:rPr>
            </w:r>
            <w:r w:rsidR="0080758E" w:rsidRPr="00CA78BD">
              <w:rPr>
                <w:rFonts w:ascii="Times New Roman" w:hAnsi="Times New Roman" w:cs="Times New Roman"/>
                <w:b w:val="0"/>
                <w:noProof/>
                <w:webHidden/>
              </w:rPr>
              <w:fldChar w:fldCharType="separate"/>
            </w:r>
            <w:r w:rsidR="0080758E" w:rsidRPr="00CA78BD">
              <w:rPr>
                <w:rFonts w:ascii="Times New Roman" w:hAnsi="Times New Roman" w:cs="Times New Roman"/>
                <w:b w:val="0"/>
                <w:noProof/>
                <w:webHidden/>
              </w:rPr>
              <w:t>17</w:t>
            </w:r>
            <w:r w:rsidR="0080758E" w:rsidRPr="00CA78BD">
              <w:rPr>
                <w:rFonts w:ascii="Times New Roman" w:hAnsi="Times New Roman" w:cs="Times New Roman"/>
                <w:b w:val="0"/>
                <w:noProof/>
                <w:webHidden/>
              </w:rPr>
              <w:fldChar w:fldCharType="end"/>
            </w:r>
          </w:hyperlink>
        </w:p>
        <w:p w14:paraId="47894F8F" w14:textId="77777777" w:rsidR="0080758E" w:rsidRPr="00CA78BD" w:rsidRDefault="00F12102" w:rsidP="0080758E">
          <w:pPr>
            <w:pStyle w:val="11"/>
            <w:spacing w:line="360" w:lineRule="auto"/>
            <w:rPr>
              <w:rFonts w:ascii="Times New Roman" w:eastAsiaTheme="minorEastAsia" w:hAnsi="Times New Roman" w:cs="Times New Roman"/>
              <w:b w:val="0"/>
              <w:bCs w:val="0"/>
              <w:iCs w:val="0"/>
              <w:lang w:eastAsia="ru-RU"/>
            </w:rPr>
          </w:pPr>
          <w:hyperlink w:anchor="_Toc72956533" w:history="1">
            <w:r w:rsidR="0080758E" w:rsidRPr="00CA78BD">
              <w:rPr>
                <w:rStyle w:val="a4"/>
                <w:rFonts w:ascii="Times New Roman" w:hAnsi="Times New Roman" w:cs="Times New Roman"/>
              </w:rPr>
              <w:t>2. Субъекты экологической политики Европейского союза</w:t>
            </w:r>
            <w:r w:rsidR="0080758E" w:rsidRPr="00CA78BD">
              <w:rPr>
                <w:rFonts w:ascii="Times New Roman" w:hAnsi="Times New Roman" w:cs="Times New Roman"/>
                <w:webHidden/>
              </w:rPr>
              <w:tab/>
            </w:r>
            <w:r w:rsidR="0080758E" w:rsidRPr="00CA78BD">
              <w:rPr>
                <w:rFonts w:ascii="Times New Roman" w:hAnsi="Times New Roman" w:cs="Times New Roman"/>
                <w:webHidden/>
              </w:rPr>
              <w:fldChar w:fldCharType="begin"/>
            </w:r>
            <w:r w:rsidR="0080758E" w:rsidRPr="00CA78BD">
              <w:rPr>
                <w:rFonts w:ascii="Times New Roman" w:hAnsi="Times New Roman" w:cs="Times New Roman"/>
                <w:webHidden/>
              </w:rPr>
              <w:instrText xml:space="preserve"> PAGEREF _Toc72956533 \h </w:instrText>
            </w:r>
            <w:r w:rsidR="0080758E" w:rsidRPr="00CA78BD">
              <w:rPr>
                <w:rFonts w:ascii="Times New Roman" w:hAnsi="Times New Roman" w:cs="Times New Roman"/>
                <w:webHidden/>
              </w:rPr>
            </w:r>
            <w:r w:rsidR="0080758E" w:rsidRPr="00CA78BD">
              <w:rPr>
                <w:rFonts w:ascii="Times New Roman" w:hAnsi="Times New Roman" w:cs="Times New Roman"/>
                <w:webHidden/>
              </w:rPr>
              <w:fldChar w:fldCharType="separate"/>
            </w:r>
            <w:r w:rsidR="0080758E" w:rsidRPr="00CA78BD">
              <w:rPr>
                <w:rFonts w:ascii="Times New Roman" w:hAnsi="Times New Roman" w:cs="Times New Roman"/>
                <w:webHidden/>
              </w:rPr>
              <w:t>28</w:t>
            </w:r>
            <w:r w:rsidR="0080758E" w:rsidRPr="00CA78BD">
              <w:rPr>
                <w:rFonts w:ascii="Times New Roman" w:hAnsi="Times New Roman" w:cs="Times New Roman"/>
                <w:webHidden/>
              </w:rPr>
              <w:fldChar w:fldCharType="end"/>
            </w:r>
          </w:hyperlink>
        </w:p>
        <w:p w14:paraId="79BE0B45" w14:textId="77777777" w:rsidR="0080758E" w:rsidRPr="00CA78BD" w:rsidRDefault="00F12102" w:rsidP="0080758E">
          <w:pPr>
            <w:pStyle w:val="22"/>
            <w:spacing w:line="360" w:lineRule="auto"/>
            <w:rPr>
              <w:rFonts w:ascii="Times New Roman" w:eastAsiaTheme="minorEastAsia" w:hAnsi="Times New Roman" w:cs="Times New Roman"/>
              <w:b w:val="0"/>
              <w:bCs w:val="0"/>
              <w:noProof/>
              <w:sz w:val="24"/>
              <w:szCs w:val="24"/>
              <w:lang w:eastAsia="ru-RU"/>
            </w:rPr>
          </w:pPr>
          <w:hyperlink w:anchor="_Toc72956534" w:history="1">
            <w:r w:rsidR="0080758E" w:rsidRPr="00CA78BD">
              <w:rPr>
                <w:rStyle w:val="a4"/>
                <w:rFonts w:ascii="Times New Roman" w:hAnsi="Times New Roman" w:cs="Times New Roman"/>
                <w:b w:val="0"/>
                <w:noProof/>
              </w:rPr>
              <w:t>2.1 Некоммерческие организации</w:t>
            </w:r>
            <w:r w:rsidR="0080758E" w:rsidRPr="00CA78BD">
              <w:rPr>
                <w:rFonts w:ascii="Times New Roman" w:hAnsi="Times New Roman" w:cs="Times New Roman"/>
                <w:b w:val="0"/>
                <w:noProof/>
                <w:webHidden/>
              </w:rPr>
              <w:tab/>
            </w:r>
            <w:r w:rsidR="0080758E" w:rsidRPr="00CA78BD">
              <w:rPr>
                <w:rFonts w:ascii="Times New Roman" w:hAnsi="Times New Roman" w:cs="Times New Roman"/>
                <w:b w:val="0"/>
                <w:noProof/>
                <w:webHidden/>
              </w:rPr>
              <w:fldChar w:fldCharType="begin"/>
            </w:r>
            <w:r w:rsidR="0080758E" w:rsidRPr="00CA78BD">
              <w:rPr>
                <w:rFonts w:ascii="Times New Roman" w:hAnsi="Times New Roman" w:cs="Times New Roman"/>
                <w:b w:val="0"/>
                <w:noProof/>
                <w:webHidden/>
              </w:rPr>
              <w:instrText xml:space="preserve"> PAGEREF _Toc72956534 \h </w:instrText>
            </w:r>
            <w:r w:rsidR="0080758E" w:rsidRPr="00CA78BD">
              <w:rPr>
                <w:rFonts w:ascii="Times New Roman" w:hAnsi="Times New Roman" w:cs="Times New Roman"/>
                <w:b w:val="0"/>
                <w:noProof/>
                <w:webHidden/>
              </w:rPr>
            </w:r>
            <w:r w:rsidR="0080758E" w:rsidRPr="00CA78BD">
              <w:rPr>
                <w:rFonts w:ascii="Times New Roman" w:hAnsi="Times New Roman" w:cs="Times New Roman"/>
                <w:b w:val="0"/>
                <w:noProof/>
                <w:webHidden/>
              </w:rPr>
              <w:fldChar w:fldCharType="separate"/>
            </w:r>
            <w:r w:rsidR="0080758E" w:rsidRPr="00CA78BD">
              <w:rPr>
                <w:rFonts w:ascii="Times New Roman" w:hAnsi="Times New Roman" w:cs="Times New Roman"/>
                <w:b w:val="0"/>
                <w:noProof/>
                <w:webHidden/>
              </w:rPr>
              <w:t>28</w:t>
            </w:r>
            <w:r w:rsidR="0080758E" w:rsidRPr="00CA78BD">
              <w:rPr>
                <w:rFonts w:ascii="Times New Roman" w:hAnsi="Times New Roman" w:cs="Times New Roman"/>
                <w:b w:val="0"/>
                <w:noProof/>
                <w:webHidden/>
              </w:rPr>
              <w:fldChar w:fldCharType="end"/>
            </w:r>
          </w:hyperlink>
        </w:p>
        <w:p w14:paraId="0AC34C9B" w14:textId="77777777" w:rsidR="0080758E" w:rsidRPr="00CA78BD" w:rsidRDefault="00F12102" w:rsidP="0080758E">
          <w:pPr>
            <w:pStyle w:val="22"/>
            <w:spacing w:line="360" w:lineRule="auto"/>
            <w:rPr>
              <w:rFonts w:ascii="Times New Roman" w:eastAsiaTheme="minorEastAsia" w:hAnsi="Times New Roman" w:cs="Times New Roman"/>
              <w:b w:val="0"/>
              <w:bCs w:val="0"/>
              <w:noProof/>
              <w:sz w:val="24"/>
              <w:szCs w:val="24"/>
              <w:lang w:eastAsia="ru-RU"/>
            </w:rPr>
          </w:pPr>
          <w:hyperlink w:anchor="_Toc72956535" w:history="1">
            <w:r w:rsidR="0080758E" w:rsidRPr="00CA78BD">
              <w:rPr>
                <w:rStyle w:val="a4"/>
                <w:rFonts w:ascii="Times New Roman" w:hAnsi="Times New Roman" w:cs="Times New Roman"/>
                <w:b w:val="0"/>
                <w:noProof/>
              </w:rPr>
              <w:t>2.2 Коммерческие организации и ассоциации бизнеса</w:t>
            </w:r>
            <w:r w:rsidR="0080758E" w:rsidRPr="00CA78BD">
              <w:rPr>
                <w:rFonts w:ascii="Times New Roman" w:hAnsi="Times New Roman" w:cs="Times New Roman"/>
                <w:b w:val="0"/>
                <w:noProof/>
                <w:webHidden/>
              </w:rPr>
              <w:tab/>
            </w:r>
            <w:r w:rsidR="0080758E" w:rsidRPr="00CA78BD">
              <w:rPr>
                <w:rFonts w:ascii="Times New Roman" w:hAnsi="Times New Roman" w:cs="Times New Roman"/>
                <w:b w:val="0"/>
                <w:noProof/>
                <w:webHidden/>
              </w:rPr>
              <w:fldChar w:fldCharType="begin"/>
            </w:r>
            <w:r w:rsidR="0080758E" w:rsidRPr="00CA78BD">
              <w:rPr>
                <w:rFonts w:ascii="Times New Roman" w:hAnsi="Times New Roman" w:cs="Times New Roman"/>
                <w:b w:val="0"/>
                <w:noProof/>
                <w:webHidden/>
              </w:rPr>
              <w:instrText xml:space="preserve"> PAGEREF _Toc72956535 \h </w:instrText>
            </w:r>
            <w:r w:rsidR="0080758E" w:rsidRPr="00CA78BD">
              <w:rPr>
                <w:rFonts w:ascii="Times New Roman" w:hAnsi="Times New Roman" w:cs="Times New Roman"/>
                <w:b w:val="0"/>
                <w:noProof/>
                <w:webHidden/>
              </w:rPr>
            </w:r>
            <w:r w:rsidR="0080758E" w:rsidRPr="00CA78BD">
              <w:rPr>
                <w:rFonts w:ascii="Times New Roman" w:hAnsi="Times New Roman" w:cs="Times New Roman"/>
                <w:b w:val="0"/>
                <w:noProof/>
                <w:webHidden/>
              </w:rPr>
              <w:fldChar w:fldCharType="separate"/>
            </w:r>
            <w:r w:rsidR="0080758E" w:rsidRPr="00CA78BD">
              <w:rPr>
                <w:rFonts w:ascii="Times New Roman" w:hAnsi="Times New Roman" w:cs="Times New Roman"/>
                <w:b w:val="0"/>
                <w:noProof/>
                <w:webHidden/>
              </w:rPr>
              <w:t>37</w:t>
            </w:r>
            <w:r w:rsidR="0080758E" w:rsidRPr="00CA78BD">
              <w:rPr>
                <w:rFonts w:ascii="Times New Roman" w:hAnsi="Times New Roman" w:cs="Times New Roman"/>
                <w:b w:val="0"/>
                <w:noProof/>
                <w:webHidden/>
              </w:rPr>
              <w:fldChar w:fldCharType="end"/>
            </w:r>
          </w:hyperlink>
        </w:p>
        <w:p w14:paraId="015E9793" w14:textId="77777777" w:rsidR="0080758E" w:rsidRPr="00CA78BD" w:rsidRDefault="00F12102" w:rsidP="0080758E">
          <w:pPr>
            <w:pStyle w:val="11"/>
            <w:spacing w:line="360" w:lineRule="auto"/>
            <w:rPr>
              <w:rFonts w:ascii="Times New Roman" w:eastAsiaTheme="minorEastAsia" w:hAnsi="Times New Roman" w:cs="Times New Roman"/>
              <w:b w:val="0"/>
              <w:bCs w:val="0"/>
              <w:iCs w:val="0"/>
              <w:lang w:eastAsia="ru-RU"/>
            </w:rPr>
          </w:pPr>
          <w:hyperlink w:anchor="_Toc72956536" w:history="1">
            <w:r w:rsidR="0080758E" w:rsidRPr="00CA78BD">
              <w:rPr>
                <w:rStyle w:val="a4"/>
                <w:rFonts w:ascii="Times New Roman" w:hAnsi="Times New Roman" w:cs="Times New Roman"/>
              </w:rPr>
              <w:t>3. Экологическая политика Европейского союза</w:t>
            </w:r>
            <w:r w:rsidR="0080758E" w:rsidRPr="00CA78BD">
              <w:rPr>
                <w:rFonts w:ascii="Times New Roman" w:hAnsi="Times New Roman" w:cs="Times New Roman"/>
                <w:webHidden/>
              </w:rPr>
              <w:tab/>
            </w:r>
            <w:r w:rsidR="0080758E" w:rsidRPr="00CA78BD">
              <w:rPr>
                <w:rFonts w:ascii="Times New Roman" w:hAnsi="Times New Roman" w:cs="Times New Roman"/>
                <w:webHidden/>
              </w:rPr>
              <w:fldChar w:fldCharType="begin"/>
            </w:r>
            <w:r w:rsidR="0080758E" w:rsidRPr="00CA78BD">
              <w:rPr>
                <w:rFonts w:ascii="Times New Roman" w:hAnsi="Times New Roman" w:cs="Times New Roman"/>
                <w:webHidden/>
              </w:rPr>
              <w:instrText xml:space="preserve"> PAGEREF _Toc72956536 \h </w:instrText>
            </w:r>
            <w:r w:rsidR="0080758E" w:rsidRPr="00CA78BD">
              <w:rPr>
                <w:rFonts w:ascii="Times New Roman" w:hAnsi="Times New Roman" w:cs="Times New Roman"/>
                <w:webHidden/>
              </w:rPr>
            </w:r>
            <w:r w:rsidR="0080758E" w:rsidRPr="00CA78BD">
              <w:rPr>
                <w:rFonts w:ascii="Times New Roman" w:hAnsi="Times New Roman" w:cs="Times New Roman"/>
                <w:webHidden/>
              </w:rPr>
              <w:fldChar w:fldCharType="separate"/>
            </w:r>
            <w:r w:rsidR="0080758E" w:rsidRPr="00CA78BD">
              <w:rPr>
                <w:rFonts w:ascii="Times New Roman" w:hAnsi="Times New Roman" w:cs="Times New Roman"/>
                <w:webHidden/>
              </w:rPr>
              <w:t>45</w:t>
            </w:r>
            <w:r w:rsidR="0080758E" w:rsidRPr="00CA78BD">
              <w:rPr>
                <w:rFonts w:ascii="Times New Roman" w:hAnsi="Times New Roman" w:cs="Times New Roman"/>
                <w:webHidden/>
              </w:rPr>
              <w:fldChar w:fldCharType="end"/>
            </w:r>
          </w:hyperlink>
        </w:p>
        <w:p w14:paraId="24E99DE6" w14:textId="77777777" w:rsidR="0080758E" w:rsidRPr="00CA78BD" w:rsidRDefault="00F12102" w:rsidP="0080758E">
          <w:pPr>
            <w:pStyle w:val="22"/>
            <w:spacing w:line="360" w:lineRule="auto"/>
            <w:rPr>
              <w:rFonts w:ascii="Times New Roman" w:eastAsiaTheme="minorEastAsia" w:hAnsi="Times New Roman" w:cs="Times New Roman"/>
              <w:b w:val="0"/>
              <w:bCs w:val="0"/>
              <w:noProof/>
              <w:sz w:val="24"/>
              <w:szCs w:val="24"/>
              <w:lang w:eastAsia="ru-RU"/>
            </w:rPr>
          </w:pPr>
          <w:hyperlink w:anchor="_Toc72956537" w:history="1">
            <w:r w:rsidR="0080758E" w:rsidRPr="00CA78BD">
              <w:rPr>
                <w:rStyle w:val="a4"/>
                <w:rFonts w:ascii="Times New Roman" w:eastAsia="Times New Roman" w:hAnsi="Times New Roman" w:cs="Times New Roman"/>
                <w:b w:val="0"/>
                <w:noProof/>
              </w:rPr>
              <w:t>3.1 Европейский зелёный курс</w:t>
            </w:r>
            <w:r w:rsidR="0080758E" w:rsidRPr="00CA78BD">
              <w:rPr>
                <w:rFonts w:ascii="Times New Roman" w:hAnsi="Times New Roman" w:cs="Times New Roman"/>
                <w:b w:val="0"/>
                <w:noProof/>
                <w:webHidden/>
              </w:rPr>
              <w:tab/>
            </w:r>
            <w:r w:rsidR="0080758E" w:rsidRPr="00CA78BD">
              <w:rPr>
                <w:rFonts w:ascii="Times New Roman" w:hAnsi="Times New Roman" w:cs="Times New Roman"/>
                <w:b w:val="0"/>
                <w:noProof/>
                <w:webHidden/>
              </w:rPr>
              <w:fldChar w:fldCharType="begin"/>
            </w:r>
            <w:r w:rsidR="0080758E" w:rsidRPr="00CA78BD">
              <w:rPr>
                <w:rFonts w:ascii="Times New Roman" w:hAnsi="Times New Roman" w:cs="Times New Roman"/>
                <w:b w:val="0"/>
                <w:noProof/>
                <w:webHidden/>
              </w:rPr>
              <w:instrText xml:space="preserve"> PAGEREF _Toc72956537 \h </w:instrText>
            </w:r>
            <w:r w:rsidR="0080758E" w:rsidRPr="00CA78BD">
              <w:rPr>
                <w:rFonts w:ascii="Times New Roman" w:hAnsi="Times New Roman" w:cs="Times New Roman"/>
                <w:b w:val="0"/>
                <w:noProof/>
                <w:webHidden/>
              </w:rPr>
            </w:r>
            <w:r w:rsidR="0080758E" w:rsidRPr="00CA78BD">
              <w:rPr>
                <w:rFonts w:ascii="Times New Roman" w:hAnsi="Times New Roman" w:cs="Times New Roman"/>
                <w:b w:val="0"/>
                <w:noProof/>
                <w:webHidden/>
              </w:rPr>
              <w:fldChar w:fldCharType="separate"/>
            </w:r>
            <w:r w:rsidR="0080758E" w:rsidRPr="00CA78BD">
              <w:rPr>
                <w:rFonts w:ascii="Times New Roman" w:hAnsi="Times New Roman" w:cs="Times New Roman"/>
                <w:b w:val="0"/>
                <w:noProof/>
                <w:webHidden/>
              </w:rPr>
              <w:t>45</w:t>
            </w:r>
            <w:r w:rsidR="0080758E" w:rsidRPr="00CA78BD">
              <w:rPr>
                <w:rFonts w:ascii="Times New Roman" w:hAnsi="Times New Roman" w:cs="Times New Roman"/>
                <w:b w:val="0"/>
                <w:noProof/>
                <w:webHidden/>
              </w:rPr>
              <w:fldChar w:fldCharType="end"/>
            </w:r>
          </w:hyperlink>
        </w:p>
        <w:p w14:paraId="315B3C93" w14:textId="77777777" w:rsidR="0080758E" w:rsidRPr="00CA78BD" w:rsidRDefault="00F12102" w:rsidP="0080758E">
          <w:pPr>
            <w:pStyle w:val="22"/>
            <w:spacing w:line="360" w:lineRule="auto"/>
            <w:rPr>
              <w:rFonts w:ascii="Times New Roman" w:eastAsiaTheme="minorEastAsia" w:hAnsi="Times New Roman" w:cs="Times New Roman"/>
              <w:b w:val="0"/>
              <w:bCs w:val="0"/>
              <w:noProof/>
              <w:sz w:val="24"/>
              <w:szCs w:val="24"/>
              <w:lang w:eastAsia="ru-RU"/>
            </w:rPr>
          </w:pPr>
          <w:hyperlink w:anchor="_Toc72956538" w:history="1">
            <w:r w:rsidR="0080758E" w:rsidRPr="00CA78BD">
              <w:rPr>
                <w:rStyle w:val="a4"/>
                <w:rFonts w:ascii="Times New Roman" w:hAnsi="Times New Roman" w:cs="Times New Roman"/>
                <w:b w:val="0"/>
                <w:noProof/>
              </w:rPr>
              <w:t xml:space="preserve">3.2 Зелёная повестка в условиях пандемии </w:t>
            </w:r>
            <w:r w:rsidR="0080758E" w:rsidRPr="00CA78BD">
              <w:rPr>
                <w:rStyle w:val="a4"/>
                <w:rFonts w:ascii="Times New Roman" w:hAnsi="Times New Roman" w:cs="Times New Roman"/>
                <w:b w:val="0"/>
                <w:noProof/>
                <w:lang w:val="en-US"/>
              </w:rPr>
              <w:t>COVID-19</w:t>
            </w:r>
            <w:r w:rsidR="0080758E" w:rsidRPr="00CA78BD">
              <w:rPr>
                <w:rFonts w:ascii="Times New Roman" w:hAnsi="Times New Roman" w:cs="Times New Roman"/>
                <w:b w:val="0"/>
                <w:noProof/>
                <w:webHidden/>
              </w:rPr>
              <w:tab/>
            </w:r>
            <w:r w:rsidR="0080758E" w:rsidRPr="00CA78BD">
              <w:rPr>
                <w:rFonts w:ascii="Times New Roman" w:hAnsi="Times New Roman" w:cs="Times New Roman"/>
                <w:b w:val="0"/>
                <w:noProof/>
                <w:webHidden/>
              </w:rPr>
              <w:fldChar w:fldCharType="begin"/>
            </w:r>
            <w:r w:rsidR="0080758E" w:rsidRPr="00CA78BD">
              <w:rPr>
                <w:rFonts w:ascii="Times New Roman" w:hAnsi="Times New Roman" w:cs="Times New Roman"/>
                <w:b w:val="0"/>
                <w:noProof/>
                <w:webHidden/>
              </w:rPr>
              <w:instrText xml:space="preserve"> PAGEREF _Toc72956538 \h </w:instrText>
            </w:r>
            <w:r w:rsidR="0080758E" w:rsidRPr="00CA78BD">
              <w:rPr>
                <w:rFonts w:ascii="Times New Roman" w:hAnsi="Times New Roman" w:cs="Times New Roman"/>
                <w:b w:val="0"/>
                <w:noProof/>
                <w:webHidden/>
              </w:rPr>
            </w:r>
            <w:r w:rsidR="0080758E" w:rsidRPr="00CA78BD">
              <w:rPr>
                <w:rFonts w:ascii="Times New Roman" w:hAnsi="Times New Roman" w:cs="Times New Roman"/>
                <w:b w:val="0"/>
                <w:noProof/>
                <w:webHidden/>
              </w:rPr>
              <w:fldChar w:fldCharType="separate"/>
            </w:r>
            <w:r w:rsidR="0080758E" w:rsidRPr="00CA78BD">
              <w:rPr>
                <w:rFonts w:ascii="Times New Roman" w:hAnsi="Times New Roman" w:cs="Times New Roman"/>
                <w:b w:val="0"/>
                <w:noProof/>
                <w:webHidden/>
              </w:rPr>
              <w:t>51</w:t>
            </w:r>
            <w:r w:rsidR="0080758E" w:rsidRPr="00CA78BD">
              <w:rPr>
                <w:rFonts w:ascii="Times New Roman" w:hAnsi="Times New Roman" w:cs="Times New Roman"/>
                <w:b w:val="0"/>
                <w:noProof/>
                <w:webHidden/>
              </w:rPr>
              <w:fldChar w:fldCharType="end"/>
            </w:r>
          </w:hyperlink>
        </w:p>
        <w:p w14:paraId="142FA557" w14:textId="77777777" w:rsidR="0080758E" w:rsidRPr="00CA78BD" w:rsidRDefault="00F12102" w:rsidP="0080758E">
          <w:pPr>
            <w:pStyle w:val="11"/>
            <w:spacing w:line="360" w:lineRule="auto"/>
            <w:rPr>
              <w:rFonts w:ascii="Times New Roman" w:eastAsiaTheme="minorEastAsia" w:hAnsi="Times New Roman" w:cs="Times New Roman"/>
              <w:b w:val="0"/>
              <w:bCs w:val="0"/>
              <w:iCs w:val="0"/>
              <w:lang w:eastAsia="ru-RU"/>
            </w:rPr>
          </w:pPr>
          <w:hyperlink w:anchor="_Toc72956539" w:history="1">
            <w:r w:rsidR="0080758E" w:rsidRPr="00CA78BD">
              <w:rPr>
                <w:rStyle w:val="a4"/>
                <w:rFonts w:ascii="Times New Roman" w:hAnsi="Times New Roman" w:cs="Times New Roman"/>
              </w:rPr>
              <w:t>Заключение</w:t>
            </w:r>
            <w:r w:rsidR="0080758E" w:rsidRPr="00CA78BD">
              <w:rPr>
                <w:rFonts w:ascii="Times New Roman" w:hAnsi="Times New Roman" w:cs="Times New Roman"/>
                <w:webHidden/>
              </w:rPr>
              <w:tab/>
            </w:r>
            <w:r w:rsidR="0080758E" w:rsidRPr="00CA78BD">
              <w:rPr>
                <w:rFonts w:ascii="Times New Roman" w:hAnsi="Times New Roman" w:cs="Times New Roman"/>
                <w:webHidden/>
              </w:rPr>
              <w:fldChar w:fldCharType="begin"/>
            </w:r>
            <w:r w:rsidR="0080758E" w:rsidRPr="00CA78BD">
              <w:rPr>
                <w:rFonts w:ascii="Times New Roman" w:hAnsi="Times New Roman" w:cs="Times New Roman"/>
                <w:webHidden/>
              </w:rPr>
              <w:instrText xml:space="preserve"> PAGEREF _Toc72956539 \h </w:instrText>
            </w:r>
            <w:r w:rsidR="0080758E" w:rsidRPr="00CA78BD">
              <w:rPr>
                <w:rFonts w:ascii="Times New Roman" w:hAnsi="Times New Roman" w:cs="Times New Roman"/>
                <w:webHidden/>
              </w:rPr>
            </w:r>
            <w:r w:rsidR="0080758E" w:rsidRPr="00CA78BD">
              <w:rPr>
                <w:rFonts w:ascii="Times New Roman" w:hAnsi="Times New Roman" w:cs="Times New Roman"/>
                <w:webHidden/>
              </w:rPr>
              <w:fldChar w:fldCharType="separate"/>
            </w:r>
            <w:r w:rsidR="0080758E" w:rsidRPr="00CA78BD">
              <w:rPr>
                <w:rFonts w:ascii="Times New Roman" w:hAnsi="Times New Roman" w:cs="Times New Roman"/>
                <w:webHidden/>
              </w:rPr>
              <w:t>58</w:t>
            </w:r>
            <w:r w:rsidR="0080758E" w:rsidRPr="00CA78BD">
              <w:rPr>
                <w:rFonts w:ascii="Times New Roman" w:hAnsi="Times New Roman" w:cs="Times New Roman"/>
                <w:webHidden/>
              </w:rPr>
              <w:fldChar w:fldCharType="end"/>
            </w:r>
          </w:hyperlink>
        </w:p>
        <w:p w14:paraId="02E6B2D8" w14:textId="77777777" w:rsidR="0080758E" w:rsidRPr="00CA78BD" w:rsidRDefault="00F12102" w:rsidP="0080758E">
          <w:pPr>
            <w:pStyle w:val="11"/>
            <w:spacing w:line="360" w:lineRule="auto"/>
            <w:rPr>
              <w:rFonts w:ascii="Times New Roman" w:eastAsiaTheme="minorEastAsia" w:hAnsi="Times New Roman" w:cs="Times New Roman"/>
              <w:b w:val="0"/>
              <w:bCs w:val="0"/>
              <w:iCs w:val="0"/>
              <w:lang w:eastAsia="ru-RU"/>
            </w:rPr>
          </w:pPr>
          <w:hyperlink w:anchor="_Toc72956540" w:history="1">
            <w:r w:rsidR="0080758E" w:rsidRPr="00CA78BD">
              <w:rPr>
                <w:rStyle w:val="a4"/>
                <w:rFonts w:ascii="Times New Roman" w:hAnsi="Times New Roman" w:cs="Times New Roman"/>
              </w:rPr>
              <w:t>Список источников и литературы</w:t>
            </w:r>
            <w:r w:rsidR="0080758E" w:rsidRPr="00CA78BD">
              <w:rPr>
                <w:rFonts w:ascii="Times New Roman" w:hAnsi="Times New Roman" w:cs="Times New Roman"/>
                <w:webHidden/>
              </w:rPr>
              <w:tab/>
            </w:r>
            <w:r w:rsidR="0080758E" w:rsidRPr="00CA78BD">
              <w:rPr>
                <w:rFonts w:ascii="Times New Roman" w:hAnsi="Times New Roman" w:cs="Times New Roman"/>
                <w:webHidden/>
              </w:rPr>
              <w:fldChar w:fldCharType="begin"/>
            </w:r>
            <w:r w:rsidR="0080758E" w:rsidRPr="00CA78BD">
              <w:rPr>
                <w:rFonts w:ascii="Times New Roman" w:hAnsi="Times New Roman" w:cs="Times New Roman"/>
                <w:webHidden/>
              </w:rPr>
              <w:instrText xml:space="preserve"> PAGEREF _Toc72956540 \h </w:instrText>
            </w:r>
            <w:r w:rsidR="0080758E" w:rsidRPr="00CA78BD">
              <w:rPr>
                <w:rFonts w:ascii="Times New Roman" w:hAnsi="Times New Roman" w:cs="Times New Roman"/>
                <w:webHidden/>
              </w:rPr>
            </w:r>
            <w:r w:rsidR="0080758E" w:rsidRPr="00CA78BD">
              <w:rPr>
                <w:rFonts w:ascii="Times New Roman" w:hAnsi="Times New Roman" w:cs="Times New Roman"/>
                <w:webHidden/>
              </w:rPr>
              <w:fldChar w:fldCharType="separate"/>
            </w:r>
            <w:r w:rsidR="0080758E" w:rsidRPr="00CA78BD">
              <w:rPr>
                <w:rFonts w:ascii="Times New Roman" w:hAnsi="Times New Roman" w:cs="Times New Roman"/>
                <w:webHidden/>
              </w:rPr>
              <w:t>61</w:t>
            </w:r>
            <w:r w:rsidR="0080758E" w:rsidRPr="00CA78BD">
              <w:rPr>
                <w:rFonts w:ascii="Times New Roman" w:hAnsi="Times New Roman" w:cs="Times New Roman"/>
                <w:webHidden/>
              </w:rPr>
              <w:fldChar w:fldCharType="end"/>
            </w:r>
          </w:hyperlink>
        </w:p>
        <w:p w14:paraId="6767B516" w14:textId="77777777" w:rsidR="0080758E" w:rsidRDefault="00F12102" w:rsidP="0080758E">
          <w:pPr>
            <w:pStyle w:val="11"/>
            <w:spacing w:line="360" w:lineRule="auto"/>
            <w:rPr>
              <w:rFonts w:asciiTheme="minorHAnsi" w:eastAsiaTheme="minorEastAsia" w:hAnsiTheme="minorHAnsi" w:cstheme="minorBidi"/>
              <w:b w:val="0"/>
              <w:bCs w:val="0"/>
              <w:iCs w:val="0"/>
              <w:lang w:eastAsia="ru-RU"/>
            </w:rPr>
          </w:pPr>
          <w:hyperlink w:anchor="_Toc72956541" w:history="1">
            <w:r w:rsidR="0080758E" w:rsidRPr="00CA78BD">
              <w:rPr>
                <w:rStyle w:val="a4"/>
                <w:rFonts w:ascii="Times New Roman" w:hAnsi="Times New Roman" w:cs="Times New Roman"/>
              </w:rPr>
              <w:t>Приложение</w:t>
            </w:r>
            <w:r w:rsidR="0080758E" w:rsidRPr="00CA78BD">
              <w:rPr>
                <w:rFonts w:ascii="Times New Roman" w:hAnsi="Times New Roman" w:cs="Times New Roman"/>
                <w:webHidden/>
              </w:rPr>
              <w:tab/>
            </w:r>
            <w:r w:rsidR="0080758E" w:rsidRPr="00CA78BD">
              <w:rPr>
                <w:rFonts w:ascii="Times New Roman" w:hAnsi="Times New Roman" w:cs="Times New Roman"/>
                <w:webHidden/>
              </w:rPr>
              <w:fldChar w:fldCharType="begin"/>
            </w:r>
            <w:r w:rsidR="0080758E" w:rsidRPr="00CA78BD">
              <w:rPr>
                <w:rFonts w:ascii="Times New Roman" w:hAnsi="Times New Roman" w:cs="Times New Roman"/>
                <w:webHidden/>
              </w:rPr>
              <w:instrText xml:space="preserve"> PAGEREF _Toc72956541 \h </w:instrText>
            </w:r>
            <w:r w:rsidR="0080758E" w:rsidRPr="00CA78BD">
              <w:rPr>
                <w:rFonts w:ascii="Times New Roman" w:hAnsi="Times New Roman" w:cs="Times New Roman"/>
                <w:webHidden/>
              </w:rPr>
            </w:r>
            <w:r w:rsidR="0080758E" w:rsidRPr="00CA78BD">
              <w:rPr>
                <w:rFonts w:ascii="Times New Roman" w:hAnsi="Times New Roman" w:cs="Times New Roman"/>
                <w:webHidden/>
              </w:rPr>
              <w:fldChar w:fldCharType="separate"/>
            </w:r>
            <w:r w:rsidR="0080758E" w:rsidRPr="00CA78BD">
              <w:rPr>
                <w:rFonts w:ascii="Times New Roman" w:hAnsi="Times New Roman" w:cs="Times New Roman"/>
                <w:webHidden/>
              </w:rPr>
              <w:t>65</w:t>
            </w:r>
            <w:r w:rsidR="0080758E" w:rsidRPr="00CA78BD">
              <w:rPr>
                <w:rFonts w:ascii="Times New Roman" w:hAnsi="Times New Roman" w:cs="Times New Roman"/>
                <w:webHidden/>
              </w:rPr>
              <w:fldChar w:fldCharType="end"/>
            </w:r>
          </w:hyperlink>
        </w:p>
        <w:p w14:paraId="109B006D" w14:textId="77777777" w:rsidR="00E50441" w:rsidRPr="00E50441" w:rsidRDefault="00E50441" w:rsidP="0080758E">
          <w:pPr>
            <w:spacing w:line="360" w:lineRule="auto"/>
          </w:pPr>
          <w:r w:rsidRPr="00E50441">
            <w:rPr>
              <w:b/>
              <w:bCs/>
              <w:noProof/>
            </w:rPr>
            <w:fldChar w:fldCharType="end"/>
          </w:r>
        </w:p>
      </w:sdtContent>
    </w:sdt>
    <w:p w14:paraId="256C05DA" w14:textId="77777777" w:rsidR="00E50441" w:rsidRPr="00E50441" w:rsidRDefault="00E50441" w:rsidP="00E50441">
      <w:pPr>
        <w:jc w:val="center"/>
        <w:rPr>
          <w:rFonts w:ascii="Cambria" w:hAnsi="Cambria" w:cs="Times New Roman"/>
          <w:b/>
        </w:rPr>
      </w:pPr>
    </w:p>
    <w:p w14:paraId="3C295523" w14:textId="77777777" w:rsidR="00E50441" w:rsidRDefault="00E50441" w:rsidP="00E50441">
      <w:pPr>
        <w:jc w:val="center"/>
        <w:rPr>
          <w:rFonts w:ascii="Cambria" w:hAnsi="Cambria" w:cs="Times New Roman"/>
          <w:b/>
        </w:rPr>
      </w:pPr>
    </w:p>
    <w:p w14:paraId="18B3EA7F" w14:textId="77777777" w:rsidR="001038FD" w:rsidRDefault="00E50441" w:rsidP="00E50441">
      <w:pPr>
        <w:rPr>
          <w:rFonts w:ascii="Cambria" w:hAnsi="Cambria" w:cs="Times New Roman"/>
          <w:b/>
        </w:rPr>
      </w:pPr>
      <w:r>
        <w:rPr>
          <w:rFonts w:ascii="Cambria" w:hAnsi="Cambria" w:cs="Times New Roman"/>
          <w:b/>
        </w:rPr>
        <w:br w:type="page"/>
      </w:r>
    </w:p>
    <w:p w14:paraId="4937C841" w14:textId="77777777" w:rsidR="001038FD" w:rsidRPr="00CA78BD" w:rsidRDefault="001038FD" w:rsidP="00E50441">
      <w:pPr>
        <w:pStyle w:val="1"/>
        <w:jc w:val="center"/>
        <w:rPr>
          <w:rFonts w:ascii="Times New Roman" w:hAnsi="Times New Roman" w:cs="Times New Roman"/>
          <w:b/>
          <w:color w:val="000000" w:themeColor="text1"/>
          <w:sz w:val="24"/>
          <w:szCs w:val="24"/>
        </w:rPr>
      </w:pPr>
      <w:bookmarkStart w:id="0" w:name="_Toc72956529"/>
      <w:r w:rsidRPr="00CA78BD">
        <w:rPr>
          <w:rFonts w:ascii="Times New Roman" w:hAnsi="Times New Roman" w:cs="Times New Roman"/>
          <w:b/>
          <w:color w:val="000000" w:themeColor="text1"/>
          <w:sz w:val="24"/>
          <w:szCs w:val="24"/>
        </w:rPr>
        <w:lastRenderedPageBreak/>
        <w:t>Введение</w:t>
      </w:r>
      <w:bookmarkEnd w:id="0"/>
    </w:p>
    <w:p w14:paraId="7C0A2F57" w14:textId="77777777" w:rsidR="001038FD" w:rsidRPr="00CA78BD" w:rsidRDefault="001038FD" w:rsidP="00EC1C71">
      <w:pPr>
        <w:spacing w:line="360" w:lineRule="auto"/>
        <w:jc w:val="center"/>
        <w:rPr>
          <w:rFonts w:ascii="Times New Roman" w:hAnsi="Times New Roman" w:cs="Times New Roman"/>
          <w:b/>
        </w:rPr>
      </w:pPr>
    </w:p>
    <w:p w14:paraId="2DC7129E" w14:textId="77777777" w:rsidR="005C35BF" w:rsidRPr="00CA78BD" w:rsidRDefault="005C35BF" w:rsidP="00E83833">
      <w:pPr>
        <w:spacing w:line="360" w:lineRule="auto"/>
        <w:ind w:firstLine="708"/>
        <w:jc w:val="both"/>
        <w:rPr>
          <w:rFonts w:ascii="Times New Roman" w:hAnsi="Times New Roman" w:cs="Times New Roman"/>
          <w:color w:val="000000"/>
          <w:lang w:eastAsia="ru-RU"/>
        </w:rPr>
      </w:pPr>
      <w:r w:rsidRPr="00CA78BD">
        <w:rPr>
          <w:rFonts w:ascii="Times New Roman" w:hAnsi="Times New Roman" w:cs="Times New Roman"/>
          <w:color w:val="000000"/>
          <w:lang w:eastAsia="ru-RU"/>
        </w:rPr>
        <w:t xml:space="preserve">На сегодняшний день Европейский союз по праву считается лидером в области экологической и климатической политики в мире. Проект новой 8-й Программы действий в области окружающей среды и «Европейский зелёный курс» комиссии фон дер </w:t>
      </w:r>
      <w:proofErr w:type="spellStart"/>
      <w:r w:rsidRPr="00CA78BD">
        <w:rPr>
          <w:rFonts w:ascii="Times New Roman" w:hAnsi="Times New Roman" w:cs="Times New Roman"/>
          <w:color w:val="000000"/>
          <w:lang w:eastAsia="ru-RU"/>
        </w:rPr>
        <w:t>Ляйен</w:t>
      </w:r>
      <w:proofErr w:type="spellEnd"/>
      <w:r w:rsidRPr="00CA78BD">
        <w:rPr>
          <w:rFonts w:ascii="Times New Roman" w:hAnsi="Times New Roman" w:cs="Times New Roman"/>
          <w:color w:val="000000"/>
          <w:lang w:eastAsia="ru-RU"/>
        </w:rPr>
        <w:t xml:space="preserve"> отличаются особенно высокими целями и решительными мерами, и реализация озвученных в декабре 2019 г. планов определённо требует жертв со стороны бизнес-сообщества и промышленных кругов. Планы новой комиссии не только ограничивают возможности целых отраслей экономики, но и в целом затрудняют экономическое восстановление единой Европы после кризиса, вызванного пандемией COVID-19. В этой связи бизнес предпринимает активные действия по вмешательству в процесс принятия решений с целью затормаживания реализации новых мер или же минимизации издержки от них. Институты Европейского союза испытывают давление как со стороны обеспокоенных бизнес-структур, так и со стороны экологических активистов. Бизнес, а также европейские отделения крупных некоммерческих экологических организаций находятся в постоянной борьбе за влияние на принимаемые в Европейском союзе решения. Конечно, они имеют разный потенциал и разные возможности для организации лоббистских компаний, однако кто в конечном итоге имеет преимущество в институтах Европейского союза остаётся неочевидным.</w:t>
      </w:r>
    </w:p>
    <w:p w14:paraId="49221489" w14:textId="77777777" w:rsidR="005C35BF" w:rsidRPr="00CA78BD" w:rsidRDefault="005C35BF" w:rsidP="005C35BF">
      <w:pPr>
        <w:spacing w:line="360" w:lineRule="auto"/>
        <w:ind w:firstLine="708"/>
        <w:jc w:val="both"/>
        <w:rPr>
          <w:rFonts w:ascii="Times New Roman" w:hAnsi="Times New Roman" w:cs="Times New Roman"/>
          <w:color w:val="000000"/>
          <w:lang w:eastAsia="ru-RU"/>
        </w:rPr>
      </w:pPr>
      <w:r w:rsidRPr="00CA78BD">
        <w:rPr>
          <w:rFonts w:ascii="Times New Roman" w:hAnsi="Times New Roman" w:cs="Times New Roman"/>
          <w:color w:val="000000"/>
          <w:lang w:eastAsia="ru-RU"/>
        </w:rPr>
        <w:t>В данной работе представлен объективный взгляд на позиции всех участников экологической политики Европейского союза. Проведённый количественный и качественный анализ задействованных групп интересов позволяет сделать вывод о реальном раскладе сил в экологическом направлении европейской политики, а также о восприимчивости наднациональных органов к запросам общественности. Рассмотрение политики через призму взаимодействия групп интересов при этом отражает современное состояние общества, его противоречивые потребности, уровень развития и готовность к переменам.</w:t>
      </w:r>
    </w:p>
    <w:p w14:paraId="3B7A9D24" w14:textId="77777777" w:rsidR="005C35BF" w:rsidRPr="00CA78BD" w:rsidRDefault="005C35BF" w:rsidP="005C35BF">
      <w:pPr>
        <w:autoSpaceDE w:val="0"/>
        <w:autoSpaceDN w:val="0"/>
        <w:adjustRightInd w:val="0"/>
        <w:spacing w:line="360" w:lineRule="auto"/>
        <w:ind w:firstLine="708"/>
        <w:jc w:val="both"/>
        <w:rPr>
          <w:rFonts w:ascii="Times New Roman" w:hAnsi="Times New Roman" w:cs="Times New Roman"/>
          <w:color w:val="000000"/>
          <w:lang w:eastAsia="ru-RU"/>
        </w:rPr>
      </w:pPr>
      <w:r w:rsidRPr="00CA78BD">
        <w:rPr>
          <w:rFonts w:ascii="Times New Roman" w:hAnsi="Times New Roman" w:cs="Times New Roman"/>
          <w:b/>
          <w:bCs/>
          <w:i/>
          <w:iCs/>
          <w:color w:val="000000"/>
          <w:lang w:eastAsia="ru-RU"/>
        </w:rPr>
        <w:t>Актуальность</w:t>
      </w:r>
      <w:r w:rsidRPr="00CA78BD">
        <w:rPr>
          <w:rFonts w:ascii="Times New Roman" w:hAnsi="Times New Roman" w:cs="Times New Roman"/>
          <w:color w:val="000000"/>
          <w:lang w:eastAsia="ru-RU"/>
        </w:rPr>
        <w:t xml:space="preserve"> работы обусловлена возрастающей тенденцией к переходу на более ответственное потребление и осознанный образ жизни в развитых экономиках мира. В контексте популярности идей «устойчивого развития» возрастает желание людей контролировать процесс принятия политических решений в их институтах власти. Обеспокоенность возможностями крупного бизнеса также усиливается в условиях пандемии и вызванного ею продолжительного экономического кризиса. Именно сейчас </w:t>
      </w:r>
      <w:r w:rsidRPr="00CA78BD">
        <w:rPr>
          <w:rFonts w:ascii="Times New Roman" w:hAnsi="Times New Roman" w:cs="Times New Roman"/>
          <w:color w:val="000000"/>
          <w:lang w:eastAsia="ru-RU"/>
        </w:rPr>
        <w:lastRenderedPageBreak/>
        <w:t xml:space="preserve">институтам власти наиболее важно провести правильную оценку состояния малого, среднего и крупного бизнеса и соотнести планы по восстановлению экономики с реализацией инициатив в области экологической политики. </w:t>
      </w:r>
    </w:p>
    <w:p w14:paraId="69EB51F5" w14:textId="77777777" w:rsidR="005C35BF" w:rsidRPr="00CA78BD" w:rsidRDefault="005C35BF" w:rsidP="005C35BF">
      <w:pPr>
        <w:autoSpaceDE w:val="0"/>
        <w:autoSpaceDN w:val="0"/>
        <w:adjustRightInd w:val="0"/>
        <w:spacing w:line="360" w:lineRule="auto"/>
        <w:jc w:val="both"/>
        <w:rPr>
          <w:rFonts w:ascii="Times New Roman" w:hAnsi="Times New Roman" w:cs="Times New Roman"/>
          <w:color w:val="000000"/>
          <w:lang w:eastAsia="ru-RU"/>
        </w:rPr>
      </w:pPr>
      <w:r w:rsidRPr="00CA78BD">
        <w:rPr>
          <w:rFonts w:ascii="Times New Roman" w:hAnsi="Times New Roman" w:cs="Times New Roman"/>
          <w:color w:val="000000"/>
          <w:lang w:eastAsia="ru-RU"/>
        </w:rPr>
        <w:tab/>
      </w:r>
      <w:r w:rsidRPr="00CA78BD">
        <w:rPr>
          <w:rFonts w:ascii="Times New Roman" w:hAnsi="Times New Roman" w:cs="Times New Roman"/>
          <w:b/>
          <w:i/>
          <w:color w:val="000000"/>
          <w:lang w:eastAsia="ru-RU"/>
        </w:rPr>
        <w:t>Новизна</w:t>
      </w:r>
      <w:r w:rsidRPr="00CA78BD">
        <w:rPr>
          <w:rFonts w:ascii="Times New Roman" w:hAnsi="Times New Roman" w:cs="Times New Roman"/>
          <w:color w:val="000000"/>
          <w:lang w:eastAsia="ru-RU"/>
        </w:rPr>
        <w:t xml:space="preserve"> работы заключается в комплексном подходе к анализу влияния на власть со стороны общественности. При определении возможностей групп интересов учитывались не только количественные данные, но и степень доверия, позиции в обществе, репутация и т.д. В контексте теории групп интересов, которая лежит в основе данной работы, политика рассматривается как отражение общественных настроений и устремлений, а значит, не может быть сведена к подсчёту затраченных на лоббизм материальных ресурсов.  </w:t>
      </w:r>
    </w:p>
    <w:p w14:paraId="03B402B8" w14:textId="77777777" w:rsidR="005C35BF" w:rsidRPr="00CA78BD" w:rsidRDefault="005C35BF" w:rsidP="005C35BF">
      <w:pPr>
        <w:autoSpaceDE w:val="0"/>
        <w:autoSpaceDN w:val="0"/>
        <w:adjustRightInd w:val="0"/>
        <w:spacing w:line="360" w:lineRule="auto"/>
        <w:jc w:val="both"/>
        <w:rPr>
          <w:rFonts w:ascii="Times New Roman" w:hAnsi="Times New Roman" w:cs="Times New Roman"/>
          <w:color w:val="000000"/>
          <w:lang w:eastAsia="ru-RU"/>
        </w:rPr>
      </w:pPr>
      <w:r w:rsidRPr="00CA78BD">
        <w:rPr>
          <w:rFonts w:ascii="Times New Roman" w:hAnsi="Times New Roman" w:cs="Times New Roman"/>
          <w:color w:val="000000"/>
          <w:lang w:eastAsia="ru-RU"/>
        </w:rPr>
        <w:tab/>
      </w:r>
      <w:r w:rsidRPr="00CA78BD">
        <w:rPr>
          <w:rFonts w:ascii="Times New Roman" w:hAnsi="Times New Roman" w:cs="Times New Roman"/>
          <w:b/>
          <w:bCs/>
          <w:i/>
          <w:iCs/>
          <w:color w:val="000000"/>
          <w:lang w:eastAsia="ru-RU"/>
        </w:rPr>
        <w:t>Цель</w:t>
      </w:r>
      <w:r w:rsidRPr="00CA78BD">
        <w:rPr>
          <w:rFonts w:ascii="Times New Roman" w:hAnsi="Times New Roman" w:cs="Times New Roman"/>
          <w:i/>
          <w:iCs/>
          <w:color w:val="000000"/>
          <w:lang w:eastAsia="ru-RU"/>
        </w:rPr>
        <w:t xml:space="preserve"> </w:t>
      </w:r>
      <w:r w:rsidRPr="00CA78BD">
        <w:rPr>
          <w:rFonts w:ascii="Times New Roman" w:hAnsi="Times New Roman" w:cs="Times New Roman"/>
          <w:color w:val="000000"/>
          <w:lang w:eastAsia="ru-RU"/>
        </w:rPr>
        <w:t xml:space="preserve">работы заключается в оценке потенциала экологических групп интересов противостоять крупному бизнесу в процессе влияния на органы власти, а также в определении эффективности организации их деятельности на уровне Европейского союза. </w:t>
      </w:r>
    </w:p>
    <w:p w14:paraId="2BD8F0BC" w14:textId="77777777" w:rsidR="005C35BF" w:rsidRPr="00CA78BD" w:rsidRDefault="005C35BF" w:rsidP="005C35BF">
      <w:pPr>
        <w:autoSpaceDE w:val="0"/>
        <w:autoSpaceDN w:val="0"/>
        <w:adjustRightInd w:val="0"/>
        <w:spacing w:line="360" w:lineRule="auto"/>
        <w:ind w:firstLine="720"/>
        <w:jc w:val="both"/>
        <w:rPr>
          <w:rFonts w:ascii="Times New Roman" w:hAnsi="Times New Roman" w:cs="Times New Roman"/>
          <w:color w:val="000000"/>
          <w:lang w:eastAsia="ru-RU"/>
        </w:rPr>
      </w:pPr>
      <w:r w:rsidRPr="00CA78BD">
        <w:rPr>
          <w:rFonts w:ascii="Times New Roman" w:hAnsi="Times New Roman" w:cs="Times New Roman"/>
          <w:b/>
          <w:bCs/>
          <w:i/>
          <w:iCs/>
          <w:color w:val="000000"/>
          <w:lang w:eastAsia="ru-RU"/>
        </w:rPr>
        <w:t>Предмет</w:t>
      </w:r>
      <w:r w:rsidRPr="00CA78BD">
        <w:rPr>
          <w:rFonts w:ascii="Times New Roman" w:hAnsi="Times New Roman" w:cs="Times New Roman"/>
          <w:b/>
          <w:bCs/>
          <w:color w:val="000000"/>
          <w:lang w:eastAsia="ru-RU"/>
        </w:rPr>
        <w:t xml:space="preserve"> </w:t>
      </w:r>
      <w:r w:rsidRPr="00CA78BD">
        <w:rPr>
          <w:rFonts w:ascii="Times New Roman" w:hAnsi="Times New Roman" w:cs="Times New Roman"/>
          <w:color w:val="000000"/>
          <w:lang w:eastAsia="ru-RU"/>
        </w:rPr>
        <w:t>— группы интересов, которые стремятся повлиять на основные институты Европейского союза</w:t>
      </w:r>
    </w:p>
    <w:p w14:paraId="3C98365C" w14:textId="77777777" w:rsidR="005C35BF" w:rsidRPr="00CA78BD" w:rsidRDefault="005C35BF" w:rsidP="005C35BF">
      <w:pPr>
        <w:pBdr>
          <w:top w:val="nil"/>
          <w:left w:val="nil"/>
          <w:bottom w:val="nil"/>
          <w:right w:val="nil"/>
          <w:between w:val="nil"/>
          <w:bar w:val="nil"/>
        </w:pBdr>
        <w:rPr>
          <w:rFonts w:ascii="Times New Roman" w:hAnsi="Times New Roman" w:cs="Times New Roman"/>
          <w:color w:val="000000"/>
          <w:lang w:eastAsia="ru-RU"/>
        </w:rPr>
      </w:pPr>
      <w:r w:rsidRPr="00CA78BD">
        <w:rPr>
          <w:rFonts w:ascii="Times New Roman" w:hAnsi="Times New Roman" w:cs="Times New Roman"/>
          <w:color w:val="000000"/>
          <w:lang w:eastAsia="ru-RU"/>
        </w:rPr>
        <w:tab/>
      </w:r>
      <w:r w:rsidRPr="00CA78BD">
        <w:rPr>
          <w:rFonts w:ascii="Times New Roman" w:hAnsi="Times New Roman" w:cs="Times New Roman"/>
          <w:b/>
          <w:bCs/>
          <w:i/>
          <w:iCs/>
          <w:color w:val="000000"/>
          <w:lang w:eastAsia="ru-RU"/>
        </w:rPr>
        <w:t>Объект</w:t>
      </w:r>
      <w:r w:rsidRPr="00CA78BD">
        <w:rPr>
          <w:rFonts w:ascii="Times New Roman" w:hAnsi="Times New Roman" w:cs="Times New Roman"/>
          <w:b/>
          <w:bCs/>
          <w:color w:val="000000"/>
          <w:lang w:eastAsia="ru-RU"/>
        </w:rPr>
        <w:t xml:space="preserve"> </w:t>
      </w:r>
      <w:r w:rsidRPr="00CA78BD">
        <w:rPr>
          <w:rFonts w:ascii="Times New Roman" w:hAnsi="Times New Roman" w:cs="Times New Roman"/>
          <w:color w:val="000000"/>
          <w:lang w:eastAsia="ru-RU"/>
        </w:rPr>
        <w:t>— влияние групп интересов на процесс принятия решений в области экологической политики в Европейском союзе</w:t>
      </w:r>
    </w:p>
    <w:p w14:paraId="366A4E00" w14:textId="77777777" w:rsidR="005C35BF" w:rsidRPr="00CA78BD" w:rsidRDefault="005C35BF" w:rsidP="005C35BF">
      <w:pPr>
        <w:autoSpaceDE w:val="0"/>
        <w:autoSpaceDN w:val="0"/>
        <w:adjustRightInd w:val="0"/>
        <w:spacing w:line="360" w:lineRule="auto"/>
        <w:jc w:val="both"/>
        <w:rPr>
          <w:rFonts w:ascii="Times New Roman" w:hAnsi="Times New Roman" w:cs="Times New Roman"/>
          <w:b/>
          <w:bCs/>
          <w:i/>
          <w:iCs/>
          <w:color w:val="000000"/>
          <w:lang w:eastAsia="ru-RU"/>
        </w:rPr>
      </w:pPr>
      <w:r w:rsidRPr="00CA78BD">
        <w:rPr>
          <w:rFonts w:ascii="Times New Roman" w:hAnsi="Times New Roman" w:cs="Times New Roman"/>
          <w:b/>
          <w:bCs/>
          <w:i/>
          <w:iCs/>
          <w:color w:val="000000"/>
          <w:lang w:eastAsia="ru-RU"/>
        </w:rPr>
        <w:tab/>
        <w:t>Задачи:</w:t>
      </w:r>
    </w:p>
    <w:p w14:paraId="273F2307" w14:textId="77777777" w:rsidR="005C35BF" w:rsidRPr="00CA78BD" w:rsidRDefault="005C35BF" w:rsidP="005C35BF">
      <w:pPr>
        <w:pStyle w:val="a3"/>
        <w:numPr>
          <w:ilvl w:val="0"/>
          <w:numId w:val="1"/>
        </w:numPr>
        <w:autoSpaceDE w:val="0"/>
        <w:autoSpaceDN w:val="0"/>
        <w:adjustRightInd w:val="0"/>
        <w:spacing w:line="360" w:lineRule="auto"/>
        <w:jc w:val="both"/>
        <w:rPr>
          <w:rFonts w:ascii="Times New Roman" w:hAnsi="Times New Roman" w:cs="Times New Roman"/>
          <w:color w:val="000000"/>
          <w:lang w:eastAsia="ru-RU"/>
        </w:rPr>
      </w:pPr>
      <w:r w:rsidRPr="00CA78BD">
        <w:rPr>
          <w:rFonts w:ascii="Times New Roman" w:hAnsi="Times New Roman" w:cs="Times New Roman"/>
          <w:color w:val="000000"/>
          <w:lang w:eastAsia="ru-RU"/>
        </w:rPr>
        <w:t>определить основные факторы влияния групп интересов на органы власти в контексте теории групп интересов</w:t>
      </w:r>
    </w:p>
    <w:p w14:paraId="3C2F92E5" w14:textId="77777777" w:rsidR="005C35BF" w:rsidRPr="00CA78BD" w:rsidRDefault="005C35BF" w:rsidP="005C35BF">
      <w:pPr>
        <w:pStyle w:val="a3"/>
        <w:numPr>
          <w:ilvl w:val="0"/>
          <w:numId w:val="1"/>
        </w:numPr>
        <w:autoSpaceDE w:val="0"/>
        <w:autoSpaceDN w:val="0"/>
        <w:adjustRightInd w:val="0"/>
        <w:spacing w:line="360" w:lineRule="auto"/>
        <w:jc w:val="both"/>
        <w:rPr>
          <w:rFonts w:ascii="Times New Roman" w:hAnsi="Times New Roman" w:cs="Times New Roman"/>
          <w:color w:val="000000"/>
          <w:lang w:eastAsia="ru-RU"/>
        </w:rPr>
      </w:pPr>
      <w:r w:rsidRPr="00CA78BD">
        <w:rPr>
          <w:rFonts w:ascii="Times New Roman" w:hAnsi="Times New Roman" w:cs="Times New Roman"/>
          <w:color w:val="000000"/>
          <w:lang w:eastAsia="ru-RU"/>
        </w:rPr>
        <w:t>рассмотреть процесс принятия решений в Европейском союзе и особенности взаимодействия его институтов с группами интересов</w:t>
      </w:r>
    </w:p>
    <w:p w14:paraId="08231C62" w14:textId="77777777" w:rsidR="005C35BF" w:rsidRPr="00CA78BD" w:rsidRDefault="005C35BF" w:rsidP="005C35BF">
      <w:pPr>
        <w:pStyle w:val="a3"/>
        <w:numPr>
          <w:ilvl w:val="0"/>
          <w:numId w:val="1"/>
        </w:numPr>
        <w:autoSpaceDE w:val="0"/>
        <w:autoSpaceDN w:val="0"/>
        <w:adjustRightInd w:val="0"/>
        <w:spacing w:line="360" w:lineRule="auto"/>
        <w:jc w:val="both"/>
        <w:rPr>
          <w:rFonts w:ascii="Times New Roman" w:hAnsi="Times New Roman" w:cs="Times New Roman"/>
          <w:color w:val="000000"/>
          <w:lang w:eastAsia="ru-RU"/>
        </w:rPr>
      </w:pPr>
      <w:r w:rsidRPr="00CA78BD">
        <w:rPr>
          <w:rFonts w:ascii="Times New Roman" w:hAnsi="Times New Roman" w:cs="Times New Roman"/>
          <w:color w:val="000000"/>
          <w:lang w:eastAsia="ru-RU"/>
        </w:rPr>
        <w:t>выявить возможности для групп интересов повлиять на выработку экологической политики в Европейском союзе</w:t>
      </w:r>
    </w:p>
    <w:p w14:paraId="46049020" w14:textId="77777777" w:rsidR="005C35BF" w:rsidRPr="00CA78BD" w:rsidRDefault="005C35BF" w:rsidP="005C35BF">
      <w:pPr>
        <w:pStyle w:val="a3"/>
        <w:numPr>
          <w:ilvl w:val="0"/>
          <w:numId w:val="1"/>
        </w:numPr>
        <w:autoSpaceDE w:val="0"/>
        <w:autoSpaceDN w:val="0"/>
        <w:adjustRightInd w:val="0"/>
        <w:spacing w:line="360" w:lineRule="auto"/>
        <w:jc w:val="both"/>
        <w:rPr>
          <w:rFonts w:ascii="Times New Roman" w:hAnsi="Times New Roman" w:cs="Times New Roman"/>
          <w:color w:val="000000"/>
          <w:lang w:eastAsia="ru-RU"/>
        </w:rPr>
      </w:pPr>
      <w:r w:rsidRPr="00CA78BD">
        <w:rPr>
          <w:rFonts w:ascii="Times New Roman" w:hAnsi="Times New Roman" w:cs="Times New Roman"/>
          <w:color w:val="000000"/>
          <w:lang w:eastAsia="ru-RU"/>
        </w:rPr>
        <w:t>определить основных участников процесса принятия решения по вопросам экологической политики со стороны некоммерческих групп интересов и бизнеса</w:t>
      </w:r>
    </w:p>
    <w:p w14:paraId="381A0221" w14:textId="77777777" w:rsidR="005C35BF" w:rsidRPr="00CA78BD" w:rsidRDefault="005C35BF" w:rsidP="005C35BF">
      <w:pPr>
        <w:pStyle w:val="a3"/>
        <w:numPr>
          <w:ilvl w:val="0"/>
          <w:numId w:val="1"/>
        </w:numPr>
        <w:autoSpaceDE w:val="0"/>
        <w:autoSpaceDN w:val="0"/>
        <w:adjustRightInd w:val="0"/>
        <w:spacing w:line="360" w:lineRule="auto"/>
        <w:jc w:val="both"/>
        <w:rPr>
          <w:rFonts w:ascii="Times New Roman" w:hAnsi="Times New Roman" w:cs="Times New Roman"/>
          <w:color w:val="000000"/>
          <w:lang w:eastAsia="ru-RU"/>
        </w:rPr>
      </w:pPr>
      <w:r w:rsidRPr="00CA78BD">
        <w:rPr>
          <w:rFonts w:ascii="Times New Roman" w:hAnsi="Times New Roman" w:cs="Times New Roman"/>
          <w:color w:val="000000"/>
          <w:lang w:eastAsia="ru-RU"/>
        </w:rPr>
        <w:t xml:space="preserve">провести оценку сил некоммерческих групп интересов и бизнес-структур в процессе принятия решений (объем располагаемых ресурсов, количество задействованных специалистов, участие в экспертных группах и число встреч) </w:t>
      </w:r>
    </w:p>
    <w:p w14:paraId="58D0720C" w14:textId="77777777" w:rsidR="005C35BF" w:rsidRPr="00CA78BD" w:rsidRDefault="005C35BF" w:rsidP="005C35BF">
      <w:pPr>
        <w:pStyle w:val="a3"/>
        <w:numPr>
          <w:ilvl w:val="0"/>
          <w:numId w:val="1"/>
        </w:numPr>
        <w:autoSpaceDE w:val="0"/>
        <w:autoSpaceDN w:val="0"/>
        <w:adjustRightInd w:val="0"/>
        <w:spacing w:line="360" w:lineRule="auto"/>
        <w:jc w:val="both"/>
        <w:rPr>
          <w:rFonts w:ascii="Times New Roman" w:hAnsi="Times New Roman" w:cs="Times New Roman"/>
          <w:color w:val="000000"/>
          <w:lang w:eastAsia="ru-RU"/>
        </w:rPr>
      </w:pPr>
      <w:r w:rsidRPr="00CA78BD">
        <w:rPr>
          <w:rFonts w:ascii="Times New Roman" w:hAnsi="Times New Roman" w:cs="Times New Roman"/>
          <w:color w:val="000000"/>
          <w:lang w:eastAsia="ru-RU"/>
        </w:rPr>
        <w:t xml:space="preserve"> рассмотреть основные вопросы </w:t>
      </w:r>
      <w:r w:rsidR="00670A78" w:rsidRPr="00CA78BD">
        <w:rPr>
          <w:rFonts w:ascii="Times New Roman" w:hAnsi="Times New Roman" w:cs="Times New Roman"/>
          <w:color w:val="000000"/>
          <w:lang w:eastAsia="ru-RU"/>
        </w:rPr>
        <w:t>экологической политики Европейского союза</w:t>
      </w:r>
      <w:r w:rsidRPr="00CA78BD">
        <w:rPr>
          <w:rFonts w:ascii="Times New Roman" w:hAnsi="Times New Roman" w:cs="Times New Roman"/>
          <w:color w:val="000000"/>
          <w:lang w:eastAsia="ru-RU"/>
        </w:rPr>
        <w:t xml:space="preserve"> и оценить действия групп интересов по этому поводу</w:t>
      </w:r>
    </w:p>
    <w:p w14:paraId="4FB409D4" w14:textId="77777777" w:rsidR="00E83833" w:rsidRPr="00CA78BD" w:rsidRDefault="00E83833" w:rsidP="00E83833">
      <w:pPr>
        <w:autoSpaceDE w:val="0"/>
        <w:autoSpaceDN w:val="0"/>
        <w:adjustRightInd w:val="0"/>
        <w:spacing w:line="360" w:lineRule="auto"/>
        <w:ind w:firstLine="708"/>
        <w:jc w:val="both"/>
        <w:rPr>
          <w:rFonts w:ascii="Times New Roman" w:hAnsi="Times New Roman" w:cs="Times New Roman"/>
          <w:b/>
          <w:i/>
          <w:color w:val="000000"/>
          <w:lang w:eastAsia="ru-RU"/>
        </w:rPr>
      </w:pPr>
      <w:r w:rsidRPr="00CA78BD">
        <w:rPr>
          <w:rFonts w:ascii="Times New Roman" w:hAnsi="Times New Roman" w:cs="Times New Roman"/>
          <w:b/>
          <w:i/>
          <w:color w:val="000000"/>
          <w:lang w:eastAsia="ru-RU"/>
        </w:rPr>
        <w:t xml:space="preserve">Обзор источников и литературы. </w:t>
      </w:r>
    </w:p>
    <w:p w14:paraId="48E9F131" w14:textId="77777777" w:rsidR="006A793E" w:rsidRPr="00CA78BD" w:rsidRDefault="00E83833" w:rsidP="001F44A8">
      <w:pPr>
        <w:autoSpaceDE w:val="0"/>
        <w:autoSpaceDN w:val="0"/>
        <w:adjustRightInd w:val="0"/>
        <w:spacing w:line="360" w:lineRule="auto"/>
        <w:ind w:firstLine="708"/>
        <w:jc w:val="both"/>
        <w:rPr>
          <w:rFonts w:ascii="Times New Roman" w:hAnsi="Times New Roman" w:cs="Times New Roman"/>
          <w:color w:val="000000"/>
          <w:lang w:eastAsia="ru-RU"/>
        </w:rPr>
      </w:pPr>
      <w:r w:rsidRPr="00CA78BD">
        <w:rPr>
          <w:rFonts w:ascii="Times New Roman" w:hAnsi="Times New Roman" w:cs="Times New Roman"/>
          <w:color w:val="000000"/>
          <w:lang w:eastAsia="ru-RU"/>
        </w:rPr>
        <w:t>Важнейшим источником информации при написании данной работы был Реестр прозрачности Европейского союза (</w:t>
      </w:r>
      <w:r w:rsidRPr="00CA78BD">
        <w:rPr>
          <w:rFonts w:ascii="Times New Roman" w:hAnsi="Times New Roman" w:cs="Times New Roman"/>
          <w:color w:val="000000"/>
          <w:lang w:val="en-US" w:eastAsia="ru-RU"/>
        </w:rPr>
        <w:t>Transparency</w:t>
      </w:r>
      <w:r w:rsidRPr="00CA78BD">
        <w:rPr>
          <w:rFonts w:ascii="Times New Roman" w:hAnsi="Times New Roman" w:cs="Times New Roman"/>
          <w:color w:val="000000"/>
          <w:lang w:eastAsia="ru-RU"/>
        </w:rPr>
        <w:t xml:space="preserve"> </w:t>
      </w:r>
      <w:r w:rsidRPr="00CA78BD">
        <w:rPr>
          <w:rFonts w:ascii="Times New Roman" w:hAnsi="Times New Roman" w:cs="Times New Roman"/>
          <w:color w:val="000000"/>
          <w:lang w:val="en-US" w:eastAsia="ru-RU"/>
        </w:rPr>
        <w:t>Register</w:t>
      </w:r>
      <w:r w:rsidRPr="00CA78BD">
        <w:rPr>
          <w:rFonts w:ascii="Times New Roman" w:hAnsi="Times New Roman" w:cs="Times New Roman"/>
          <w:color w:val="000000"/>
          <w:lang w:eastAsia="ru-RU"/>
        </w:rPr>
        <w:t xml:space="preserve">), на основе которого проводился </w:t>
      </w:r>
      <w:r w:rsidRPr="00CA78BD">
        <w:rPr>
          <w:rFonts w:ascii="Times New Roman" w:hAnsi="Times New Roman" w:cs="Times New Roman"/>
          <w:color w:val="000000"/>
          <w:lang w:eastAsia="ru-RU"/>
        </w:rPr>
        <w:lastRenderedPageBreak/>
        <w:t xml:space="preserve">сравнительный количественный анализ сил групп интересов. Другие источники </w:t>
      </w:r>
      <w:r w:rsidR="00E629C6" w:rsidRPr="00CA78BD">
        <w:rPr>
          <w:rFonts w:ascii="Times New Roman" w:hAnsi="Times New Roman" w:cs="Times New Roman"/>
          <w:color w:val="000000"/>
          <w:lang w:eastAsia="ru-RU"/>
        </w:rPr>
        <w:t xml:space="preserve">– многочисленные открытые письма ассоциаций бизнеса Европейской комиссии, отчёты аналитического центра </w:t>
      </w:r>
      <w:proofErr w:type="spellStart"/>
      <w:r w:rsidR="00E629C6" w:rsidRPr="00CA78BD">
        <w:rPr>
          <w:rFonts w:ascii="Times New Roman" w:hAnsi="Times New Roman" w:cs="Times New Roman"/>
          <w:color w:val="000000"/>
          <w:lang w:val="en-US" w:eastAsia="ru-RU"/>
        </w:rPr>
        <w:t>InfluenceMap</w:t>
      </w:r>
      <w:proofErr w:type="spellEnd"/>
      <w:r w:rsidR="00E629C6" w:rsidRPr="00CA78BD">
        <w:rPr>
          <w:rFonts w:ascii="Times New Roman" w:hAnsi="Times New Roman" w:cs="Times New Roman"/>
          <w:color w:val="000000"/>
          <w:lang w:eastAsia="ru-RU"/>
        </w:rPr>
        <w:t xml:space="preserve"> и материалы СМИ. Теоретическую основу работы составили фундаментальные труды таких зарубежных исследователей, как А. Бентли, Д. Трумана, М. Олсона</w:t>
      </w:r>
      <w:r w:rsidR="00E629C6" w:rsidRPr="00CA78BD">
        <w:rPr>
          <w:rFonts w:ascii="Times New Roman" w:hAnsi="Times New Roman" w:cs="Times New Roman"/>
        </w:rPr>
        <w:t>.</w:t>
      </w:r>
      <w:r w:rsidR="001F44A8" w:rsidRPr="00CA78BD">
        <w:rPr>
          <w:rFonts w:ascii="Times New Roman" w:hAnsi="Times New Roman" w:cs="Times New Roman"/>
        </w:rPr>
        <w:t xml:space="preserve"> </w:t>
      </w:r>
      <w:r w:rsidR="00392198" w:rsidRPr="00CA78BD">
        <w:rPr>
          <w:rFonts w:ascii="Times New Roman" w:hAnsi="Times New Roman" w:cs="Times New Roman"/>
        </w:rPr>
        <w:t xml:space="preserve">Среди исследований, посвященных представительству групп интересов в Европейском союзе, были использованы работы </w:t>
      </w:r>
      <w:r w:rsidR="001F44A8" w:rsidRPr="00CA78BD">
        <w:rPr>
          <w:rFonts w:ascii="Times New Roman" w:hAnsi="Times New Roman" w:cs="Times New Roman"/>
        </w:rPr>
        <w:t xml:space="preserve">Р. Айсинга, </w:t>
      </w:r>
      <w:r w:rsidR="00392198" w:rsidRPr="00CA78BD">
        <w:rPr>
          <w:rFonts w:ascii="Times New Roman" w:hAnsi="Times New Roman" w:cs="Times New Roman"/>
        </w:rPr>
        <w:t xml:space="preserve">Д. Панке, М. </w:t>
      </w:r>
      <w:proofErr w:type="spellStart"/>
      <w:r w:rsidR="00392198" w:rsidRPr="00CA78BD">
        <w:rPr>
          <w:rFonts w:ascii="Times New Roman" w:hAnsi="Times New Roman" w:cs="Times New Roman"/>
        </w:rPr>
        <w:t>Ханеграффа</w:t>
      </w:r>
      <w:proofErr w:type="spellEnd"/>
      <w:r w:rsidR="00392198" w:rsidRPr="00CA78BD">
        <w:rPr>
          <w:rFonts w:ascii="Times New Roman" w:hAnsi="Times New Roman" w:cs="Times New Roman"/>
        </w:rPr>
        <w:t xml:space="preserve">, А. </w:t>
      </w:r>
      <w:proofErr w:type="spellStart"/>
      <w:r w:rsidR="00392198" w:rsidRPr="00CA78BD">
        <w:rPr>
          <w:rFonts w:ascii="Times New Roman" w:hAnsi="Times New Roman" w:cs="Times New Roman"/>
        </w:rPr>
        <w:t>Чалмерса</w:t>
      </w:r>
      <w:proofErr w:type="spellEnd"/>
      <w:r w:rsidR="00392198" w:rsidRPr="00CA78BD">
        <w:rPr>
          <w:rFonts w:ascii="Times New Roman" w:hAnsi="Times New Roman" w:cs="Times New Roman"/>
        </w:rPr>
        <w:t xml:space="preserve">, П. </w:t>
      </w:r>
      <w:proofErr w:type="spellStart"/>
      <w:r w:rsidR="00392198" w:rsidRPr="00CA78BD">
        <w:rPr>
          <w:rFonts w:ascii="Times New Roman" w:hAnsi="Times New Roman" w:cs="Times New Roman"/>
        </w:rPr>
        <w:t>Боуена</w:t>
      </w:r>
      <w:proofErr w:type="spellEnd"/>
      <w:r w:rsidR="00910E18" w:rsidRPr="00CA78BD">
        <w:rPr>
          <w:rFonts w:ascii="Times New Roman" w:hAnsi="Times New Roman" w:cs="Times New Roman"/>
        </w:rPr>
        <w:t xml:space="preserve">, Д. Коэна, Дж. </w:t>
      </w:r>
      <w:proofErr w:type="spellStart"/>
      <w:r w:rsidR="00910E18" w:rsidRPr="00CA78BD">
        <w:rPr>
          <w:rFonts w:ascii="Times New Roman" w:hAnsi="Times New Roman" w:cs="Times New Roman"/>
        </w:rPr>
        <w:t>Бейерса</w:t>
      </w:r>
      <w:proofErr w:type="spellEnd"/>
      <w:r w:rsidR="00910E18" w:rsidRPr="00CA78BD">
        <w:rPr>
          <w:rFonts w:ascii="Times New Roman" w:hAnsi="Times New Roman" w:cs="Times New Roman"/>
        </w:rPr>
        <w:t xml:space="preserve">, Дж. Гринвуда и др. </w:t>
      </w:r>
    </w:p>
    <w:p w14:paraId="51D6C336" w14:textId="77777777" w:rsidR="006A793E" w:rsidRPr="00CA78BD" w:rsidRDefault="006A793E">
      <w:pPr>
        <w:rPr>
          <w:rFonts w:ascii="Times New Roman" w:hAnsi="Times New Roman" w:cs="Times New Roman"/>
        </w:rPr>
      </w:pPr>
      <w:r w:rsidRPr="00CA78BD">
        <w:rPr>
          <w:rFonts w:ascii="Times New Roman" w:hAnsi="Times New Roman" w:cs="Times New Roman"/>
        </w:rPr>
        <w:br w:type="page"/>
      </w:r>
    </w:p>
    <w:p w14:paraId="370BC35D" w14:textId="77777777" w:rsidR="00794573" w:rsidRPr="00CA78BD" w:rsidRDefault="00E50441" w:rsidP="00E50441">
      <w:pPr>
        <w:pStyle w:val="1"/>
        <w:spacing w:line="360" w:lineRule="auto"/>
        <w:ind w:firstLine="708"/>
        <w:jc w:val="both"/>
        <w:rPr>
          <w:rFonts w:ascii="Times New Roman" w:hAnsi="Times New Roman" w:cs="Times New Roman"/>
          <w:b/>
          <w:color w:val="000000" w:themeColor="text1"/>
          <w:sz w:val="24"/>
          <w:szCs w:val="24"/>
          <w:lang w:eastAsia="ru-RU"/>
        </w:rPr>
      </w:pPr>
      <w:bookmarkStart w:id="1" w:name="_Toc72956530"/>
      <w:r w:rsidRPr="00CA78BD">
        <w:rPr>
          <w:rFonts w:ascii="Times New Roman" w:hAnsi="Times New Roman" w:cs="Times New Roman"/>
          <w:b/>
          <w:color w:val="000000" w:themeColor="text1"/>
          <w:sz w:val="24"/>
          <w:szCs w:val="24"/>
          <w:lang w:eastAsia="ru-RU"/>
        </w:rPr>
        <w:lastRenderedPageBreak/>
        <w:t xml:space="preserve">1. </w:t>
      </w:r>
      <w:r w:rsidR="001C1BA4" w:rsidRPr="00CA78BD">
        <w:rPr>
          <w:rFonts w:ascii="Times New Roman" w:hAnsi="Times New Roman" w:cs="Times New Roman"/>
          <w:b/>
          <w:color w:val="000000" w:themeColor="text1"/>
          <w:sz w:val="24"/>
          <w:szCs w:val="24"/>
          <w:lang w:eastAsia="ru-RU"/>
        </w:rPr>
        <w:t>Роль групп интересов в европейской политике</w:t>
      </w:r>
      <w:bookmarkEnd w:id="1"/>
    </w:p>
    <w:p w14:paraId="59528AF8" w14:textId="77777777" w:rsidR="001C1BA4" w:rsidRPr="00CA78BD" w:rsidRDefault="00BE2F5F" w:rsidP="00E50441">
      <w:pPr>
        <w:pStyle w:val="2"/>
        <w:spacing w:line="360" w:lineRule="auto"/>
        <w:ind w:firstLine="708"/>
        <w:rPr>
          <w:rFonts w:ascii="Times New Roman" w:hAnsi="Times New Roman" w:cs="Times New Roman"/>
          <w:b/>
          <w:color w:val="000000" w:themeColor="text1"/>
          <w:sz w:val="24"/>
          <w:szCs w:val="24"/>
          <w:lang w:eastAsia="ru-RU"/>
        </w:rPr>
      </w:pPr>
      <w:bookmarkStart w:id="2" w:name="_Toc72956531"/>
      <w:r w:rsidRPr="00CA78BD">
        <w:rPr>
          <w:rFonts w:ascii="Times New Roman" w:hAnsi="Times New Roman" w:cs="Times New Roman"/>
          <w:b/>
          <w:color w:val="000000" w:themeColor="text1"/>
          <w:sz w:val="24"/>
          <w:szCs w:val="24"/>
          <w:lang w:eastAsia="ru-RU"/>
        </w:rPr>
        <w:t xml:space="preserve">1.1 </w:t>
      </w:r>
      <w:r w:rsidR="001C1BA4" w:rsidRPr="00CA78BD">
        <w:rPr>
          <w:rFonts w:ascii="Times New Roman" w:hAnsi="Times New Roman" w:cs="Times New Roman"/>
          <w:b/>
          <w:color w:val="000000" w:themeColor="text1"/>
          <w:sz w:val="24"/>
          <w:szCs w:val="24"/>
          <w:lang w:eastAsia="ru-RU"/>
        </w:rPr>
        <w:t>Политические решения через призму теории групп интересов</w:t>
      </w:r>
      <w:bookmarkEnd w:id="2"/>
      <w:r w:rsidR="001C1BA4" w:rsidRPr="00CA78BD">
        <w:rPr>
          <w:rFonts w:ascii="Times New Roman" w:hAnsi="Times New Roman" w:cs="Times New Roman"/>
          <w:b/>
          <w:color w:val="000000" w:themeColor="text1"/>
          <w:sz w:val="24"/>
          <w:szCs w:val="24"/>
          <w:lang w:eastAsia="ru-RU"/>
        </w:rPr>
        <w:t xml:space="preserve"> </w:t>
      </w:r>
    </w:p>
    <w:p w14:paraId="4EAA312C" w14:textId="77777777" w:rsidR="001C1BA4" w:rsidRPr="00CA78BD" w:rsidRDefault="001C1BA4" w:rsidP="001C1BA4">
      <w:pPr>
        <w:autoSpaceDE w:val="0"/>
        <w:autoSpaceDN w:val="0"/>
        <w:adjustRightInd w:val="0"/>
        <w:spacing w:line="360" w:lineRule="auto"/>
        <w:jc w:val="both"/>
        <w:rPr>
          <w:rFonts w:ascii="Times New Roman" w:hAnsi="Times New Roman" w:cs="Times New Roman"/>
          <w:color w:val="000000"/>
          <w:lang w:eastAsia="ru-RU"/>
        </w:rPr>
      </w:pPr>
    </w:p>
    <w:p w14:paraId="722D4018" w14:textId="77777777" w:rsidR="001C1BA4" w:rsidRPr="00CA78BD" w:rsidRDefault="001C1BA4" w:rsidP="001C1BA4">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Теория групп интересов представляет собой один из самых взвешенных подходов в исследовании политических процессов на современном этапе развития общества. Ключевое понятие нынешней эпохи — постмодерн. Это понятие обобщает все тенденции современного социально-экономического развития: повышение значимости информации, плюрализм мнений, многообразие путей развития и в целом размывание основ индустриального общества. В социальных науках отражением новой реальности, называемой постмодерном, стал </w:t>
      </w:r>
      <w:proofErr w:type="spellStart"/>
      <w:r w:rsidRPr="00CA78BD">
        <w:rPr>
          <w:rFonts w:ascii="Times New Roman" w:hAnsi="Times New Roman" w:cs="Times New Roman"/>
        </w:rPr>
        <w:t>постпозитивизм</w:t>
      </w:r>
      <w:proofErr w:type="spellEnd"/>
      <w:r w:rsidRPr="00CA78BD">
        <w:rPr>
          <w:rFonts w:ascii="Times New Roman" w:hAnsi="Times New Roman" w:cs="Times New Roman"/>
        </w:rPr>
        <w:t>, в теории международных отношений — конструктивизм.</w:t>
      </w:r>
    </w:p>
    <w:p w14:paraId="4D00D420" w14:textId="77777777" w:rsidR="001C1BA4" w:rsidRPr="00CA78BD" w:rsidRDefault="001C1BA4" w:rsidP="001C1BA4">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Конструктивизм предполагает отказ от единого стандарта социального прогресса и от идеи рационального </w:t>
      </w:r>
      <w:proofErr w:type="spellStart"/>
      <w:r w:rsidRPr="00CA78BD">
        <w:rPr>
          <w:rFonts w:ascii="Times New Roman" w:hAnsi="Times New Roman" w:cs="Times New Roman"/>
        </w:rPr>
        <w:t>актора</w:t>
      </w:r>
      <w:proofErr w:type="spellEnd"/>
      <w:r w:rsidRPr="00CA78BD">
        <w:rPr>
          <w:rFonts w:ascii="Times New Roman" w:hAnsi="Times New Roman" w:cs="Times New Roman"/>
        </w:rPr>
        <w:t xml:space="preserve"> международных отношений. В основе конструктивистской парадигмы — социальное конструирование норм и идентичностей. Из этого следует, что все социальные изменения, взгляды и предпочтения людей зависят от тенденций общественного развития в конкретный исторический период. Каждый индивид находится под постоянным воздействием новых смыслов, идей и символов, которые формируют его мировоззрение и политические взгляды. Политики не являются исключением, так как они также постоянно пребывают в определенном общественном дискурсе. Представления людей о том, что для них приемлемо, что их отличает и что должно стать нормой, изменчивы и обусловлены конкретным общественным дискурсом.</w:t>
      </w:r>
    </w:p>
    <w:p w14:paraId="33D6AFC2" w14:textId="77777777" w:rsidR="001C1BA4" w:rsidRPr="00CA78BD" w:rsidRDefault="001C1BA4" w:rsidP="001C1BA4">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Теория групп интересов органично встраивается в конструктивистскую парадигму, поскольку имеет аналогичный ряд теоретический допущений. В её основе также лежит отрицание модели рационального </w:t>
      </w:r>
      <w:proofErr w:type="spellStart"/>
      <w:r w:rsidRPr="00CA78BD">
        <w:rPr>
          <w:rFonts w:ascii="Times New Roman" w:hAnsi="Times New Roman" w:cs="Times New Roman"/>
        </w:rPr>
        <w:t>актора</w:t>
      </w:r>
      <w:proofErr w:type="spellEnd"/>
      <w:r w:rsidRPr="00CA78BD">
        <w:rPr>
          <w:rFonts w:ascii="Times New Roman" w:hAnsi="Times New Roman" w:cs="Times New Roman"/>
        </w:rPr>
        <w:t xml:space="preserve"> и пренебрежение логикой простых причинно-следственных связей в политике. Суть рассматриваемой теории сводится к убеждению, что любое политическое решение — это результат сложного процесса согласования групповых интересов. Общество имеет множество каналов выражения разнообразных групповых интересов, и заинтересованные группы конкурируют между собой за право быть услышанными в центре принятия решений</w:t>
      </w:r>
      <w:r w:rsidR="00FF3A75" w:rsidRPr="00CA78BD">
        <w:rPr>
          <w:rStyle w:val="ab"/>
          <w:rFonts w:ascii="Times New Roman" w:hAnsi="Times New Roman" w:cs="Times New Roman"/>
        </w:rPr>
        <w:footnoteReference w:id="1"/>
      </w:r>
      <w:r w:rsidRPr="00CA78BD">
        <w:rPr>
          <w:rFonts w:ascii="Times New Roman" w:hAnsi="Times New Roman" w:cs="Times New Roman"/>
        </w:rPr>
        <w:t xml:space="preserve">. </w:t>
      </w:r>
      <w:r w:rsidR="00FF3A75" w:rsidRPr="00CA78BD">
        <w:rPr>
          <w:rFonts w:ascii="Times New Roman" w:hAnsi="Times New Roman" w:cs="Times New Roman"/>
        </w:rPr>
        <w:t xml:space="preserve">Общество очевидно не может управляться только лишь из одного центра. Политическое управление предполагает </w:t>
      </w:r>
      <w:r w:rsidR="00FF3A75" w:rsidRPr="00CA78BD">
        <w:rPr>
          <w:rFonts w:ascii="Times New Roman" w:hAnsi="Times New Roman" w:cs="Times New Roman"/>
        </w:rPr>
        <w:lastRenderedPageBreak/>
        <w:t>учёт социальных запросов населения и их удовлетворение в целях повышения экономического благосостояния и обеспечения устойчивости политической системы. Социальный запрос артикулируют многочисленные группы интересов, которые стремятся тем или иным образом повлиять на власть и поспособствовать реализации своих инициатив.</w:t>
      </w:r>
    </w:p>
    <w:p w14:paraId="4E21810A" w14:textId="77777777" w:rsidR="008F7B97" w:rsidRPr="00CA78BD" w:rsidRDefault="00FF3A75" w:rsidP="008F7B97">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Следовательно, политические решения — это продукт деятельности не только органов власти, они вытекают из борьбы противоположных групп интересов. Такой подход при анализе политических процессов определенно имеет преимущество, поскольку представляет политическую жизнь общества многогранной и сложной. Его противопоставляют так называемому институциональному подходу, заключающемуся в рассмотрении деятельности официальных институтов власти, действующих в соответствии со своими конституционными полномочиями</w:t>
      </w:r>
      <w:r w:rsidRPr="00CA78BD">
        <w:rPr>
          <w:rFonts w:ascii="Times New Roman" w:eastAsia="Times New Roman" w:hAnsi="Times New Roman" w:cs="Times New Roman"/>
          <w:vertAlign w:val="superscript"/>
        </w:rPr>
        <w:footnoteReference w:id="2"/>
      </w:r>
      <w:r w:rsidRPr="00CA78BD">
        <w:rPr>
          <w:rFonts w:ascii="Times New Roman" w:hAnsi="Times New Roman" w:cs="Times New Roman"/>
        </w:rPr>
        <w:t>. Анализ конституционального устройства власти не позволяет понять, почему принимаются именно те или иные решения, и кто действительно влияет на власть. Политическая реальность намного динамичнее, чем кажется на первый взгляд, она включает в себя сложные переплетения интересов, взглядов, предпочтений и стереотипов поведения самых разных её участников.</w:t>
      </w:r>
    </w:p>
    <w:p w14:paraId="7660351F" w14:textId="77777777" w:rsidR="008F7B97" w:rsidRPr="00CA78BD" w:rsidRDefault="008F7B97" w:rsidP="008F7B97">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Внимание на роль групп интересов в политике исследователи начинали обращать по мере усложнения политических и социальных процессов, поэтому резкий скачок в развитии теории групп интересов произошел в первой половине ХХ века. Фундаментальной работой в развитии теории групп интересов можно считать книгу А. Бентли «Процесс управления. Изучение общественных давлений» 1908 г. Эта книга положила начало формированию теории групп интересов в дальнейшем.</w:t>
      </w:r>
    </w:p>
    <w:p w14:paraId="63E2D3F4" w14:textId="77777777" w:rsidR="008F7B97" w:rsidRPr="00CA78BD" w:rsidRDefault="008F7B97" w:rsidP="008F7B97">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В своей книге А. Бентли впервые разработал концепцию групп интересов, применимую в политологии. Согласно этой концепции, общество рассматривается как совокупность групп интересов, а политические решения – как результат соотношения сил между ними</w:t>
      </w:r>
      <w:r w:rsidRPr="00CA78BD">
        <w:rPr>
          <w:rFonts w:ascii="Times New Roman" w:eastAsia="Times New Roman" w:hAnsi="Times New Roman" w:cs="Times New Roman"/>
          <w:vertAlign w:val="superscript"/>
        </w:rPr>
        <w:footnoteReference w:id="3"/>
      </w:r>
      <w:r w:rsidRPr="00CA78BD">
        <w:rPr>
          <w:rFonts w:ascii="Times New Roman" w:hAnsi="Times New Roman" w:cs="Times New Roman"/>
        </w:rPr>
        <w:t>. Тогда изучение политики не ограничивается изучением законодательных норм и государственных институтов, оно предполагает анализ деятельности людей, добровольно объединяющихся в группы и стремящихся к достижению политических целей.</w:t>
      </w:r>
      <w:r w:rsidR="00DE6B91" w:rsidRPr="00CA78BD">
        <w:rPr>
          <w:rFonts w:ascii="Times New Roman" w:hAnsi="Times New Roman" w:cs="Times New Roman"/>
        </w:rPr>
        <w:t xml:space="preserve"> В свою очередь, государственные институты, </w:t>
      </w:r>
      <w:r w:rsidR="00DE6B91" w:rsidRPr="00CA78BD">
        <w:rPr>
          <w:rFonts w:ascii="Times New Roman" w:hAnsi="Times New Roman" w:cs="Times New Roman"/>
        </w:rPr>
        <w:lastRenderedPageBreak/>
        <w:t>согласно Бентли, являются выразителями баланса интересов различных групп. В их задачи входит поддержание общественного порядка и стабильности путём поиска консенсуса между наиболее крупными из активных групп интересов.</w:t>
      </w:r>
    </w:p>
    <w:p w14:paraId="0FEA34D9" w14:textId="77777777" w:rsidR="00E93B10" w:rsidRPr="00CA78BD" w:rsidRDefault="00234352" w:rsidP="00E93B10">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Количество групп интересов ограничивается лишь одним показателем — интересами, ради которых они созданы и действуют</w:t>
      </w:r>
      <w:r w:rsidRPr="00CA78BD">
        <w:rPr>
          <w:rFonts w:ascii="Times New Roman" w:eastAsia="Times New Roman" w:hAnsi="Times New Roman" w:cs="Times New Roman"/>
          <w:vertAlign w:val="superscript"/>
        </w:rPr>
        <w:footnoteReference w:id="4"/>
      </w:r>
      <w:r w:rsidRPr="00CA78BD">
        <w:rPr>
          <w:rFonts w:ascii="Times New Roman" w:hAnsi="Times New Roman" w:cs="Times New Roman"/>
        </w:rPr>
        <w:t xml:space="preserve">. Раса, пол, возраст или социальное положение не имеют значения при определении группы интересов до тех пор, пока они не становятся маркерами наличия общего интереса. Похожие друг на друга люди объединяются не потому, что они похожи, а потому, что они имеют одинаковые проблемы. Но определяющим фактором для группы интересов будет её активность. </w:t>
      </w:r>
      <w:r w:rsidR="00E93B10" w:rsidRPr="00CA78BD">
        <w:rPr>
          <w:rFonts w:ascii="Times New Roman" w:hAnsi="Times New Roman" w:cs="Times New Roman"/>
        </w:rPr>
        <w:t xml:space="preserve">Просто интересы и идеи сами по себе не имеют значения, они лишь приводят людей в действие и проявляются в конкретных ситуациях. Соответственно, с точки зрения теории групп интересов, важны лишь те группы, которые активно защищают свои права и интересы. Если группа интересов бездействует, она попросту не поддаётся изучению, поскольку мы не можем с уверенностью выделить её среди других. </w:t>
      </w:r>
    </w:p>
    <w:p w14:paraId="26FA3051" w14:textId="77777777" w:rsidR="00E93B10" w:rsidRPr="00CA78BD" w:rsidRDefault="00E93B10" w:rsidP="00E93B10">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Следовательно, идея имеет смысл только тогда, когда она выражена в конкретном социальном действии. Поэтому, по мнению А. Бентли, необходимо сосредоточиться на</w:t>
      </w:r>
      <w:r w:rsidRPr="00CA78BD">
        <w:rPr>
          <w:rFonts w:ascii="Times New Roman" w:hAnsi="Times New Roman" w:cs="Times New Roman"/>
          <w:lang w:val="fr-FR"/>
        </w:rPr>
        <w:t xml:space="preserve"> «</w:t>
      </w:r>
      <w:r w:rsidRPr="00CA78BD">
        <w:rPr>
          <w:rFonts w:ascii="Times New Roman" w:hAnsi="Times New Roman" w:cs="Times New Roman"/>
        </w:rPr>
        <w:t>социальной активности</w:t>
      </w:r>
      <w:r w:rsidRPr="00CA78BD">
        <w:rPr>
          <w:rFonts w:ascii="Times New Roman" w:hAnsi="Times New Roman" w:cs="Times New Roman"/>
          <w:lang w:val="it-IT"/>
        </w:rPr>
        <w:t>»</w:t>
      </w:r>
      <w:r w:rsidRPr="00CA78BD">
        <w:rPr>
          <w:rFonts w:ascii="Times New Roman" w:hAnsi="Times New Roman" w:cs="Times New Roman"/>
        </w:rPr>
        <w:t>,</w:t>
      </w:r>
      <w:r w:rsidRPr="00CA78BD">
        <w:rPr>
          <w:rFonts w:ascii="Times New Roman" w:hAnsi="Times New Roman" w:cs="Times New Roman"/>
          <w:lang w:val="it-IT"/>
        </w:rPr>
        <w:t xml:space="preserve"> </w:t>
      </w:r>
      <w:r w:rsidRPr="00CA78BD">
        <w:rPr>
          <w:rFonts w:ascii="Times New Roman" w:hAnsi="Times New Roman" w:cs="Times New Roman"/>
        </w:rPr>
        <w:t>в которой идеи проявляются. Однако к социальной активности могут привести лишь те интересы, которые противопоставлены другим в обществе. Нельзя говорить о каком-либо общем для всех интересе, как нельзя говорить и о консолидированном общественном мнении, ведь если бы наши интересы ничем не отличались, то не было бы необходимости о них говорить вовсе</w:t>
      </w:r>
      <w:r w:rsidRPr="00CA78BD">
        <w:rPr>
          <w:rFonts w:ascii="Times New Roman" w:eastAsia="Times New Roman" w:hAnsi="Times New Roman" w:cs="Times New Roman"/>
          <w:vertAlign w:val="superscript"/>
        </w:rPr>
        <w:footnoteReference w:id="5"/>
      </w:r>
      <w:r w:rsidRPr="00CA78BD">
        <w:rPr>
          <w:rFonts w:ascii="Times New Roman" w:hAnsi="Times New Roman" w:cs="Times New Roman"/>
        </w:rPr>
        <w:t xml:space="preserve">. </w:t>
      </w:r>
    </w:p>
    <w:p w14:paraId="671C51D7" w14:textId="77777777" w:rsidR="000C74FE" w:rsidRPr="00CA78BD" w:rsidRDefault="00B91048" w:rsidP="009B7335">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Дискуссия о переходе к более экологически-нейтральному образу жизни и защите окружающей среды от воздействия человека – хороший пример столкновения противоположных групп интересов в Европе. С одной стороны, есть ярко выраженный запрос на перемены преимущественно среди молодёжи, с другой, сопротивление расширению экологического законодательства, которое находит отклик среди консервативной части населения. </w:t>
      </w:r>
      <w:r w:rsidR="00F6264D" w:rsidRPr="00CA78BD">
        <w:rPr>
          <w:rFonts w:ascii="Times New Roman" w:hAnsi="Times New Roman" w:cs="Times New Roman"/>
        </w:rPr>
        <w:t xml:space="preserve">Первые – в основном активные потребители информации и жители развитых стран Западной Европы с высоким уровнем благосостояния. Вторые представлены в Европе в основном консервативными жителями Восточной Европы, </w:t>
      </w:r>
      <w:r w:rsidR="009B7335" w:rsidRPr="00CA78BD">
        <w:rPr>
          <w:rFonts w:ascii="Times New Roman" w:hAnsi="Times New Roman" w:cs="Times New Roman"/>
        </w:rPr>
        <w:t xml:space="preserve">где экологические инициативы не рассматриваются в </w:t>
      </w:r>
      <w:r w:rsidR="009B7335" w:rsidRPr="00CA78BD">
        <w:rPr>
          <w:rFonts w:ascii="Times New Roman" w:hAnsi="Times New Roman" w:cs="Times New Roman"/>
        </w:rPr>
        <w:lastRenderedPageBreak/>
        <w:t xml:space="preserve">качестве приоритетных направлений политики, поскольку население не готово к возможным негативным экономическим последствиям и значительному изменению образа жизни. </w:t>
      </w:r>
    </w:p>
    <w:p w14:paraId="447C8AB5" w14:textId="77777777" w:rsidR="003D5BE4" w:rsidRPr="00CA78BD" w:rsidRDefault="00772B22" w:rsidP="003177E4">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Посредством СМИ мы узнаём о деятельности одних и других – массовых акциях, </w:t>
      </w:r>
      <w:r w:rsidR="009B7335" w:rsidRPr="00CA78BD">
        <w:rPr>
          <w:rFonts w:ascii="Times New Roman" w:hAnsi="Times New Roman" w:cs="Times New Roman"/>
        </w:rPr>
        <w:t>публичных выступлениях</w:t>
      </w:r>
      <w:r w:rsidRPr="00CA78BD">
        <w:rPr>
          <w:rFonts w:ascii="Times New Roman" w:hAnsi="Times New Roman" w:cs="Times New Roman"/>
        </w:rPr>
        <w:t xml:space="preserve">, случаях лоббирования интересов в органах власти и др. </w:t>
      </w:r>
      <w:r w:rsidR="00F6264D" w:rsidRPr="00CA78BD">
        <w:rPr>
          <w:rFonts w:ascii="Times New Roman" w:hAnsi="Times New Roman" w:cs="Times New Roman"/>
        </w:rPr>
        <w:t>Это позволяет констатировать наличие активных групп интересов, а у</w:t>
      </w:r>
      <w:r w:rsidRPr="00CA78BD">
        <w:rPr>
          <w:rFonts w:ascii="Times New Roman" w:hAnsi="Times New Roman" w:cs="Times New Roman"/>
        </w:rPr>
        <w:t xml:space="preserve">силение </w:t>
      </w:r>
      <w:r w:rsidR="00F6264D" w:rsidRPr="00CA78BD">
        <w:rPr>
          <w:rFonts w:ascii="Times New Roman" w:hAnsi="Times New Roman" w:cs="Times New Roman"/>
        </w:rPr>
        <w:t xml:space="preserve">при этом </w:t>
      </w:r>
      <w:r w:rsidRPr="00CA78BD">
        <w:rPr>
          <w:rFonts w:ascii="Times New Roman" w:hAnsi="Times New Roman" w:cs="Times New Roman"/>
        </w:rPr>
        <w:t>дискуссии об экологических проблемах в публичном пространстве в последние годы свидетельствует о</w:t>
      </w:r>
      <w:r w:rsidR="00F6264D" w:rsidRPr="00CA78BD">
        <w:rPr>
          <w:rFonts w:ascii="Times New Roman" w:hAnsi="Times New Roman" w:cs="Times New Roman"/>
        </w:rPr>
        <w:t xml:space="preserve"> стабильном </w:t>
      </w:r>
      <w:r w:rsidRPr="00CA78BD">
        <w:rPr>
          <w:rFonts w:ascii="Times New Roman" w:hAnsi="Times New Roman" w:cs="Times New Roman"/>
        </w:rPr>
        <w:t>конфликт</w:t>
      </w:r>
      <w:r w:rsidR="00F6264D" w:rsidRPr="00CA78BD">
        <w:rPr>
          <w:rFonts w:ascii="Times New Roman" w:hAnsi="Times New Roman" w:cs="Times New Roman"/>
        </w:rPr>
        <w:t>е</w:t>
      </w:r>
      <w:r w:rsidRPr="00CA78BD">
        <w:rPr>
          <w:rFonts w:ascii="Times New Roman" w:hAnsi="Times New Roman" w:cs="Times New Roman"/>
        </w:rPr>
        <w:t xml:space="preserve"> </w:t>
      </w:r>
      <w:r w:rsidR="00F6264D" w:rsidRPr="00CA78BD">
        <w:rPr>
          <w:rFonts w:ascii="Times New Roman" w:hAnsi="Times New Roman" w:cs="Times New Roman"/>
        </w:rPr>
        <w:t xml:space="preserve">между ними. </w:t>
      </w:r>
      <w:r w:rsidR="009B7335" w:rsidRPr="00CA78BD">
        <w:rPr>
          <w:rFonts w:ascii="Times New Roman" w:hAnsi="Times New Roman" w:cs="Times New Roman"/>
        </w:rPr>
        <w:t>Несмотря н</w:t>
      </w:r>
      <w:r w:rsidR="000C74FE" w:rsidRPr="00CA78BD">
        <w:rPr>
          <w:rFonts w:ascii="Times New Roman" w:hAnsi="Times New Roman" w:cs="Times New Roman"/>
        </w:rPr>
        <w:t>а</w:t>
      </w:r>
      <w:r w:rsidR="009B7335" w:rsidRPr="00CA78BD">
        <w:rPr>
          <w:rFonts w:ascii="Times New Roman" w:hAnsi="Times New Roman" w:cs="Times New Roman"/>
        </w:rPr>
        <w:t xml:space="preserve"> то, кто в большинстве своём относится к первой, а кто ко второй группе интересов, институты власти не могут обойти дискуссию стороной, </w:t>
      </w:r>
      <w:r w:rsidR="003177E4" w:rsidRPr="00CA78BD">
        <w:rPr>
          <w:rFonts w:ascii="Times New Roman" w:hAnsi="Times New Roman" w:cs="Times New Roman"/>
        </w:rPr>
        <w:t xml:space="preserve">так как и те, и другие – избиратели. Так </w:t>
      </w:r>
      <w:r w:rsidR="009B7335" w:rsidRPr="00CA78BD">
        <w:rPr>
          <w:rFonts w:ascii="Times New Roman" w:hAnsi="Times New Roman" w:cs="Times New Roman"/>
        </w:rPr>
        <w:t xml:space="preserve">экологическая политика стала важнейшим пунктом избирательной кампании европейских политиков на всех уровнях. </w:t>
      </w:r>
      <w:r w:rsidR="008311BB" w:rsidRPr="00CA78BD">
        <w:rPr>
          <w:rFonts w:ascii="Times New Roman" w:hAnsi="Times New Roman" w:cs="Times New Roman"/>
        </w:rPr>
        <w:t>К</w:t>
      </w:r>
      <w:r w:rsidR="009B7335" w:rsidRPr="00CA78BD">
        <w:rPr>
          <w:rFonts w:ascii="Times New Roman" w:hAnsi="Times New Roman" w:cs="Times New Roman"/>
        </w:rPr>
        <w:t xml:space="preserve">онфликт интересов </w:t>
      </w:r>
      <w:r w:rsidR="000C74FE" w:rsidRPr="00CA78BD">
        <w:rPr>
          <w:rFonts w:ascii="Times New Roman" w:hAnsi="Times New Roman" w:cs="Times New Roman"/>
        </w:rPr>
        <w:t xml:space="preserve">перешёл в политическое измерение, и в соответствии с теорией групп интересов, стал непосредственно влиять на приоритетные направления политики в Европе. </w:t>
      </w:r>
    </w:p>
    <w:p w14:paraId="78E22747" w14:textId="77777777" w:rsidR="00E93B10" w:rsidRPr="00CA78BD" w:rsidRDefault="005D7D54" w:rsidP="00234352">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Через некоторое время после выхода книги А. Бентли на деятельность групп интересов обратил внимание </w:t>
      </w:r>
      <w:proofErr w:type="spellStart"/>
      <w:proofErr w:type="gramStart"/>
      <w:r w:rsidRPr="00CA78BD">
        <w:rPr>
          <w:rFonts w:ascii="Times New Roman" w:hAnsi="Times New Roman" w:cs="Times New Roman"/>
        </w:rPr>
        <w:t>Д,Труман</w:t>
      </w:r>
      <w:proofErr w:type="spellEnd"/>
      <w:proofErr w:type="gramEnd"/>
      <w:r w:rsidRPr="00CA78BD">
        <w:rPr>
          <w:rFonts w:ascii="Times New Roman" w:hAnsi="Times New Roman" w:cs="Times New Roman"/>
        </w:rPr>
        <w:t xml:space="preserve">. Под влиянием этого исследователя теория групп интересов получила своё дальнейшее развитие, и предложенная </w:t>
      </w:r>
      <w:proofErr w:type="spellStart"/>
      <w:r w:rsidRPr="00CA78BD">
        <w:rPr>
          <w:rFonts w:ascii="Times New Roman" w:hAnsi="Times New Roman" w:cs="Times New Roman"/>
        </w:rPr>
        <w:t>А.Бентли</w:t>
      </w:r>
      <w:proofErr w:type="spellEnd"/>
      <w:r w:rsidRPr="00CA78BD">
        <w:rPr>
          <w:rFonts w:ascii="Times New Roman" w:hAnsi="Times New Roman" w:cs="Times New Roman"/>
        </w:rPr>
        <w:t xml:space="preserve"> концепция стала предметом интереса многих академических работ.</w:t>
      </w:r>
    </w:p>
    <w:p w14:paraId="1709D3B8" w14:textId="77777777" w:rsidR="00D74A2B" w:rsidRPr="00CA78BD" w:rsidRDefault="005D7D54" w:rsidP="00234352">
      <w:pPr>
        <w:autoSpaceDE w:val="0"/>
        <w:autoSpaceDN w:val="0"/>
        <w:adjustRightInd w:val="0"/>
        <w:spacing w:line="360" w:lineRule="auto"/>
        <w:ind w:left="360" w:firstLine="348"/>
        <w:jc w:val="both"/>
        <w:rPr>
          <w:rFonts w:ascii="Times New Roman" w:hAnsi="Times New Roman" w:cs="Times New Roman"/>
        </w:rPr>
      </w:pPr>
      <w:proofErr w:type="spellStart"/>
      <w:r w:rsidRPr="00CA78BD">
        <w:rPr>
          <w:rFonts w:ascii="Times New Roman" w:hAnsi="Times New Roman" w:cs="Times New Roman"/>
        </w:rPr>
        <w:t>Д.Труман</w:t>
      </w:r>
      <w:proofErr w:type="spellEnd"/>
      <w:r w:rsidRPr="00CA78BD">
        <w:rPr>
          <w:rFonts w:ascii="Times New Roman" w:hAnsi="Times New Roman" w:cs="Times New Roman"/>
        </w:rPr>
        <w:t xml:space="preserve"> определил политический процесс как процесс групповой конкуренции в борьбе за власть над распределением ресурсов, а само общество — как множество групп, взаимодействующих друг с другом</w:t>
      </w:r>
      <w:r w:rsidRPr="00CA78BD">
        <w:rPr>
          <w:rFonts w:ascii="Times New Roman" w:eastAsia="Times New Roman" w:hAnsi="Times New Roman" w:cs="Times New Roman"/>
          <w:vertAlign w:val="superscript"/>
        </w:rPr>
        <w:footnoteReference w:id="6"/>
      </w:r>
      <w:r w:rsidRPr="00CA78BD">
        <w:rPr>
          <w:rFonts w:ascii="Times New Roman" w:hAnsi="Times New Roman" w:cs="Times New Roman"/>
        </w:rPr>
        <w:t xml:space="preserve">. </w:t>
      </w:r>
      <w:r w:rsidR="00D74A2B" w:rsidRPr="00CA78BD">
        <w:rPr>
          <w:rFonts w:ascii="Times New Roman" w:hAnsi="Times New Roman" w:cs="Times New Roman"/>
        </w:rPr>
        <w:t xml:space="preserve">Группой интересов </w:t>
      </w:r>
      <w:proofErr w:type="spellStart"/>
      <w:r w:rsidR="00D74A2B" w:rsidRPr="00CA78BD">
        <w:rPr>
          <w:rFonts w:ascii="Times New Roman" w:hAnsi="Times New Roman" w:cs="Times New Roman"/>
        </w:rPr>
        <w:t>Д.Труман</w:t>
      </w:r>
      <w:proofErr w:type="spellEnd"/>
      <w:r w:rsidR="00D74A2B" w:rsidRPr="00CA78BD">
        <w:rPr>
          <w:rFonts w:ascii="Times New Roman" w:hAnsi="Times New Roman" w:cs="Times New Roman"/>
        </w:rPr>
        <w:t xml:space="preserve"> называл группу, имеющую определенное отношение к чему-либо (оно представляет интерес), при этом особенностью такой группы является требование к другим группам, выдвигаемое на основе взглядов всех её членов с целью формирования определенных норм поведения</w:t>
      </w:r>
      <w:r w:rsidR="00D74A2B" w:rsidRPr="00CA78BD">
        <w:rPr>
          <w:rFonts w:ascii="Times New Roman" w:eastAsia="Times New Roman" w:hAnsi="Times New Roman" w:cs="Times New Roman"/>
          <w:vertAlign w:val="superscript"/>
        </w:rPr>
        <w:footnoteReference w:id="7"/>
      </w:r>
      <w:r w:rsidR="00D74A2B" w:rsidRPr="00CA78BD">
        <w:rPr>
          <w:rFonts w:ascii="Times New Roman" w:hAnsi="Times New Roman" w:cs="Times New Roman"/>
        </w:rPr>
        <w:t xml:space="preserve">. </w:t>
      </w:r>
    </w:p>
    <w:p w14:paraId="6F0BF64F" w14:textId="77777777" w:rsidR="00D74A2B" w:rsidRPr="00CA78BD" w:rsidRDefault="00D74A2B" w:rsidP="00D74A2B">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Заинтересованные группы действуют через государственные структуры власти, потому что власть имеет определенные ресурсы и выступает в качестве медиатора для таких групп интересов.  Группы, которые в своем стремлении достичь поставленных целей действуют через властные структуры, американский учёный называет политическими. Сейчас их чаще характеризуют как «группы давления». </w:t>
      </w:r>
      <w:r w:rsidR="005D7D54" w:rsidRPr="00CA78BD">
        <w:rPr>
          <w:rFonts w:ascii="Times New Roman" w:hAnsi="Times New Roman" w:cs="Times New Roman"/>
        </w:rPr>
        <w:t xml:space="preserve">При этом Д.  </w:t>
      </w:r>
      <w:r w:rsidR="005D7D54" w:rsidRPr="00CA78BD">
        <w:rPr>
          <w:rFonts w:ascii="Times New Roman" w:hAnsi="Times New Roman" w:cs="Times New Roman"/>
        </w:rPr>
        <w:lastRenderedPageBreak/>
        <w:t xml:space="preserve">Труман отметил, что в середине ХХ века рассуждения о роли групп интересов в политике приобрели ярко выраженную эмоциональную окраску. В обществе критиковали любое давление, оказываемое на власть, а организованную деятельность групп интересов приравнивали к узурпации власти. По мнению </w:t>
      </w:r>
      <w:proofErr w:type="spellStart"/>
      <w:r w:rsidR="005D7D54" w:rsidRPr="00CA78BD">
        <w:rPr>
          <w:rFonts w:ascii="Times New Roman" w:hAnsi="Times New Roman" w:cs="Times New Roman"/>
        </w:rPr>
        <w:t>Д.Трумана</w:t>
      </w:r>
      <w:proofErr w:type="spellEnd"/>
      <w:r w:rsidR="005D7D54" w:rsidRPr="00CA78BD">
        <w:rPr>
          <w:rFonts w:ascii="Times New Roman" w:hAnsi="Times New Roman" w:cs="Times New Roman"/>
        </w:rPr>
        <w:t>, давление на власть — лишь метод, который группы интересов используют для достижения своих целей, он нуждается в изучении, а столь негативная реакция со стороны общественности как раз доказывает наличие постоянного конфликта интересов</w:t>
      </w:r>
      <w:r w:rsidR="005D7D54" w:rsidRPr="00CA78BD">
        <w:rPr>
          <w:rFonts w:ascii="Times New Roman" w:eastAsia="Times New Roman" w:hAnsi="Times New Roman" w:cs="Times New Roman"/>
          <w:vertAlign w:val="superscript"/>
        </w:rPr>
        <w:footnoteReference w:id="8"/>
      </w:r>
      <w:r w:rsidR="005D7D54" w:rsidRPr="00CA78BD">
        <w:rPr>
          <w:rFonts w:ascii="Times New Roman" w:hAnsi="Times New Roman" w:cs="Times New Roman"/>
        </w:rPr>
        <w:t>. Научному сообществу необходима концепция, которая сможет адекватно отразить роль групп интересов в политической системе, и возможно, поможет переосмыслить суть представительной демократии и политических процессов в обществе.</w:t>
      </w:r>
    </w:p>
    <w:p w14:paraId="38F524F1" w14:textId="77777777" w:rsidR="00D74A2B" w:rsidRPr="00CA78BD" w:rsidRDefault="00D74A2B" w:rsidP="00D74A2B">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Отдельного внимания в работах </w:t>
      </w:r>
      <w:proofErr w:type="spellStart"/>
      <w:r w:rsidRPr="00CA78BD">
        <w:rPr>
          <w:rFonts w:ascii="Times New Roman" w:hAnsi="Times New Roman" w:cs="Times New Roman"/>
        </w:rPr>
        <w:t>Д.Трумана</w:t>
      </w:r>
      <w:proofErr w:type="spellEnd"/>
      <w:r w:rsidRPr="00CA78BD">
        <w:rPr>
          <w:rFonts w:ascii="Times New Roman" w:hAnsi="Times New Roman" w:cs="Times New Roman"/>
        </w:rPr>
        <w:t xml:space="preserve"> заслуживают так называемые «потенциальные группы». Под потенциальной группой </w:t>
      </w:r>
      <w:proofErr w:type="spellStart"/>
      <w:r w:rsidRPr="00CA78BD">
        <w:rPr>
          <w:rFonts w:ascii="Times New Roman" w:hAnsi="Times New Roman" w:cs="Times New Roman"/>
        </w:rPr>
        <w:t>Д.Труман</w:t>
      </w:r>
      <w:proofErr w:type="spellEnd"/>
      <w:r w:rsidRPr="00CA78BD">
        <w:rPr>
          <w:rFonts w:ascii="Times New Roman" w:hAnsi="Times New Roman" w:cs="Times New Roman"/>
        </w:rPr>
        <w:t xml:space="preserve"> понимает индивидов, разделяющих между собой определенные взгляды, но не взаимодействующих друг с другом. Такая группа не будет представлять собой фактическую группу до тех пор, пока в действиях других групп этими индивидами не будет усматриваться покушение на их общий интерес. </w:t>
      </w:r>
      <w:r w:rsidR="00295EFD" w:rsidRPr="00CA78BD">
        <w:rPr>
          <w:rFonts w:ascii="Times New Roman" w:hAnsi="Times New Roman" w:cs="Times New Roman"/>
        </w:rPr>
        <w:t>Е</w:t>
      </w:r>
      <w:r w:rsidRPr="00CA78BD">
        <w:rPr>
          <w:rFonts w:ascii="Times New Roman" w:hAnsi="Times New Roman" w:cs="Times New Roman"/>
        </w:rPr>
        <w:t xml:space="preserve">сли одна группа в данный момент времени слабо организована или потенциальная, это не значит, что она останется такой. События могут вызвать возросшую активность заинтересованных индивидов до </w:t>
      </w:r>
      <w:r w:rsidR="00DA6846" w:rsidRPr="00CA78BD">
        <w:rPr>
          <w:rFonts w:ascii="Times New Roman" w:hAnsi="Times New Roman" w:cs="Times New Roman"/>
        </w:rPr>
        <w:t>такой</w:t>
      </w:r>
      <w:r w:rsidRPr="00CA78BD">
        <w:rPr>
          <w:rFonts w:ascii="Times New Roman" w:hAnsi="Times New Roman" w:cs="Times New Roman"/>
        </w:rPr>
        <w:t xml:space="preserve"> степени, что возникнет формально организованная группа интересов, готовая к отстаиванию своих прав. </w:t>
      </w:r>
    </w:p>
    <w:p w14:paraId="2F970F4A" w14:textId="77777777" w:rsidR="00437CE1" w:rsidRPr="00CA78BD" w:rsidRDefault="00D74A2B" w:rsidP="00437CE1">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Наличие потенциальных групп, по мнению </w:t>
      </w:r>
      <w:proofErr w:type="spellStart"/>
      <w:r w:rsidRPr="00CA78BD">
        <w:rPr>
          <w:rFonts w:ascii="Times New Roman" w:hAnsi="Times New Roman" w:cs="Times New Roman"/>
        </w:rPr>
        <w:t>Д.Трумана</w:t>
      </w:r>
      <w:proofErr w:type="spellEnd"/>
      <w:r w:rsidRPr="00CA78BD">
        <w:rPr>
          <w:rFonts w:ascii="Times New Roman" w:hAnsi="Times New Roman" w:cs="Times New Roman"/>
        </w:rPr>
        <w:t>, способствует поддержанию стабильности в обществе. Перемены в деятельности групп интересов, вызванные изменениями в обществе в целом, нарушают привычное равновесие сил, провоцируют группы активизировать свою деятельность и в конечном итоге либо восстановить прежний баланс, либо установить новый. Такая волнообразная динамика обеспечивает устойчивый тип группового взаимодействия</w:t>
      </w:r>
      <w:r w:rsidRPr="00CA78BD">
        <w:rPr>
          <w:rFonts w:ascii="Times New Roman" w:eastAsia="Times New Roman" w:hAnsi="Times New Roman" w:cs="Times New Roman"/>
          <w:vertAlign w:val="superscript"/>
        </w:rPr>
        <w:footnoteReference w:id="9"/>
      </w:r>
      <w:r w:rsidRPr="00CA78BD">
        <w:rPr>
          <w:rFonts w:ascii="Times New Roman" w:hAnsi="Times New Roman" w:cs="Times New Roman"/>
        </w:rPr>
        <w:t xml:space="preserve">.  </w:t>
      </w:r>
    </w:p>
    <w:p w14:paraId="51324646" w14:textId="77777777" w:rsidR="000742E8" w:rsidRPr="00CA78BD" w:rsidRDefault="00295EFD" w:rsidP="00437CE1">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Так </w:t>
      </w:r>
      <w:r w:rsidR="008311BB" w:rsidRPr="00CA78BD">
        <w:rPr>
          <w:rFonts w:ascii="Times New Roman" w:hAnsi="Times New Roman" w:cs="Times New Roman"/>
        </w:rPr>
        <w:t xml:space="preserve">Д. Труман описал идеальную картину общества, </w:t>
      </w:r>
      <w:r w:rsidRPr="00CA78BD">
        <w:rPr>
          <w:rFonts w:ascii="Times New Roman" w:hAnsi="Times New Roman" w:cs="Times New Roman"/>
        </w:rPr>
        <w:t xml:space="preserve">в котором ни одна заинтересованная группа не сможет доминировать. Если </w:t>
      </w:r>
      <w:r w:rsidR="00437CE1" w:rsidRPr="00CA78BD">
        <w:rPr>
          <w:rFonts w:ascii="Times New Roman" w:hAnsi="Times New Roman" w:cs="Times New Roman"/>
        </w:rPr>
        <w:t xml:space="preserve">представители одной группы будут усиливать своё присутствие в органах власти, то представители другой начнут активно им противодействовать. В такой ситуации власть будет играть ключевую роль и нести ответственность за сохранение стабильности в обществе, потому что именно </w:t>
      </w:r>
      <w:r w:rsidR="00437CE1" w:rsidRPr="00CA78BD">
        <w:rPr>
          <w:rFonts w:ascii="Times New Roman" w:hAnsi="Times New Roman" w:cs="Times New Roman"/>
        </w:rPr>
        <w:lastRenderedPageBreak/>
        <w:t>она в конечном итоге отвечает за учёт реального баланса сил при принятии политических решений. Если политическое влияние отдельных групп возрастает несоразмерно с их реальной общественной значимостью, а политика, которую проводит правительство под давлением этих групп, не соответствует воли большинства, то возникает угроза утраты доверия. Рост оппозиционно настроенных групп ставит правительство перед выбором — либо изменение или корректировка официального курса, либо утрата общественно поддержки, общественные волнения и отстранение от власти.  Данная теория получила название теории демократического плюрализма или плюралистической демократии</w:t>
      </w:r>
      <w:r w:rsidR="00437CE1" w:rsidRPr="00CA78BD">
        <w:rPr>
          <w:rFonts w:ascii="Times New Roman" w:eastAsia="Times New Roman" w:hAnsi="Times New Roman" w:cs="Times New Roman"/>
          <w:vertAlign w:val="superscript"/>
        </w:rPr>
        <w:footnoteReference w:id="10"/>
      </w:r>
      <w:r w:rsidR="00437CE1" w:rsidRPr="00CA78BD">
        <w:rPr>
          <w:rFonts w:ascii="Times New Roman" w:hAnsi="Times New Roman" w:cs="Times New Roman"/>
        </w:rPr>
        <w:t>.</w:t>
      </w:r>
    </w:p>
    <w:p w14:paraId="10BED4B5" w14:textId="77777777" w:rsidR="00C36309" w:rsidRPr="00CA78BD" w:rsidRDefault="00437CE1" w:rsidP="00C36309">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 </w:t>
      </w:r>
      <w:r w:rsidR="000742E8" w:rsidRPr="00CA78BD">
        <w:rPr>
          <w:rFonts w:ascii="Times New Roman" w:hAnsi="Times New Roman" w:cs="Times New Roman"/>
        </w:rPr>
        <w:t xml:space="preserve">Дискуссии об экологической политике сегодня </w:t>
      </w:r>
      <w:r w:rsidR="00CD78EA" w:rsidRPr="00CA78BD">
        <w:rPr>
          <w:rFonts w:ascii="Times New Roman" w:hAnsi="Times New Roman" w:cs="Times New Roman"/>
        </w:rPr>
        <w:t xml:space="preserve">– </w:t>
      </w:r>
      <w:r w:rsidR="000742E8" w:rsidRPr="00CA78BD">
        <w:rPr>
          <w:rFonts w:ascii="Times New Roman" w:hAnsi="Times New Roman" w:cs="Times New Roman"/>
        </w:rPr>
        <w:t xml:space="preserve">как раз пример </w:t>
      </w:r>
      <w:r w:rsidR="00CD78EA" w:rsidRPr="00CA78BD">
        <w:rPr>
          <w:rFonts w:ascii="Times New Roman" w:hAnsi="Times New Roman" w:cs="Times New Roman"/>
        </w:rPr>
        <w:t>политизированной и эмоциональной общественной дискуссии</w:t>
      </w:r>
      <w:r w:rsidR="000742E8" w:rsidRPr="00CA78BD">
        <w:rPr>
          <w:rFonts w:ascii="Times New Roman" w:hAnsi="Times New Roman" w:cs="Times New Roman"/>
        </w:rPr>
        <w:t xml:space="preserve">. </w:t>
      </w:r>
      <w:r w:rsidR="00CD78EA" w:rsidRPr="00CA78BD">
        <w:rPr>
          <w:rFonts w:ascii="Times New Roman" w:hAnsi="Times New Roman" w:cs="Times New Roman"/>
        </w:rPr>
        <w:t xml:space="preserve">Власть подвергается критике как со стороны экологических активистов, так и со стороны крупного бизнеса. Первые легко могут обвинить политических лидеров в сговоре с промышленными кругами, а последние в свою очередь обвинят политиков в злоупотреблении экологическими проблемами с целью </w:t>
      </w:r>
      <w:r w:rsidR="00A073C9" w:rsidRPr="00CA78BD">
        <w:rPr>
          <w:rFonts w:ascii="Times New Roman" w:hAnsi="Times New Roman" w:cs="Times New Roman"/>
        </w:rPr>
        <w:t xml:space="preserve">заработать себе хорошую репутацию перед выборами. На деле власть оказывается в непростой ситуации, когда необходимо найти баланс между двумя противоположными силами. С одной стороны, крупный бизнес действительно обладает значительными ресурсами и обеспечивает экономический рост, но с другой, колоссальное общественное давление и угроза потери легитимности власти. Любая возможная экологическая катастрофа может обернуться огромными репутационными издержками для представителей правящих кругов. В этой связи власть имущие вынуждены прислушиваться к экспертам </w:t>
      </w:r>
      <w:r w:rsidR="000E022E" w:rsidRPr="00CA78BD">
        <w:rPr>
          <w:rFonts w:ascii="Times New Roman" w:hAnsi="Times New Roman" w:cs="Times New Roman"/>
        </w:rPr>
        <w:t xml:space="preserve">в области защиты окружающей среды, даже если те обладают меньшими ресурсами для влияния. </w:t>
      </w:r>
    </w:p>
    <w:p w14:paraId="03F2DF1A" w14:textId="77777777" w:rsidR="00C36309" w:rsidRPr="00CA78BD" w:rsidRDefault="000E022E" w:rsidP="00C36309">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Пр</w:t>
      </w:r>
      <w:r w:rsidR="00C36309" w:rsidRPr="00CA78BD">
        <w:rPr>
          <w:rFonts w:ascii="Times New Roman" w:hAnsi="Times New Roman" w:cs="Times New Roman"/>
        </w:rPr>
        <w:t>и этом пр</w:t>
      </w:r>
      <w:r w:rsidRPr="00CA78BD">
        <w:rPr>
          <w:rFonts w:ascii="Times New Roman" w:hAnsi="Times New Roman" w:cs="Times New Roman"/>
        </w:rPr>
        <w:t xml:space="preserve">облема разной степени представительства разных по размеру и объёму ресурсов групп – важнейшая проблема теории групп интересов. Так концепция </w:t>
      </w:r>
      <w:proofErr w:type="spellStart"/>
      <w:r w:rsidRPr="00CA78BD">
        <w:rPr>
          <w:rFonts w:ascii="Times New Roman" w:hAnsi="Times New Roman" w:cs="Times New Roman"/>
        </w:rPr>
        <w:t>А.Бентли</w:t>
      </w:r>
      <w:proofErr w:type="spellEnd"/>
      <w:r w:rsidRPr="00CA78BD">
        <w:rPr>
          <w:rFonts w:ascii="Times New Roman" w:hAnsi="Times New Roman" w:cs="Times New Roman"/>
        </w:rPr>
        <w:t xml:space="preserve">, в дальнейшем поддержанная </w:t>
      </w:r>
      <w:proofErr w:type="spellStart"/>
      <w:r w:rsidRPr="00CA78BD">
        <w:rPr>
          <w:rFonts w:ascii="Times New Roman" w:hAnsi="Times New Roman" w:cs="Times New Roman"/>
        </w:rPr>
        <w:t>Д.Труманом</w:t>
      </w:r>
      <w:proofErr w:type="spellEnd"/>
      <w:r w:rsidRPr="00CA78BD">
        <w:rPr>
          <w:rFonts w:ascii="Times New Roman" w:hAnsi="Times New Roman" w:cs="Times New Roman"/>
        </w:rPr>
        <w:t xml:space="preserve">, подверглась строгой критике </w:t>
      </w:r>
      <w:proofErr w:type="spellStart"/>
      <w:r w:rsidRPr="00CA78BD">
        <w:rPr>
          <w:rFonts w:ascii="Times New Roman" w:hAnsi="Times New Roman" w:cs="Times New Roman"/>
        </w:rPr>
        <w:t>М.Олсоном</w:t>
      </w:r>
      <w:proofErr w:type="spellEnd"/>
      <w:r w:rsidRPr="00CA78BD">
        <w:rPr>
          <w:rFonts w:ascii="Times New Roman" w:hAnsi="Times New Roman" w:cs="Times New Roman"/>
        </w:rPr>
        <w:t xml:space="preserve"> в его книге «Логика коллективных действий: общественные блага и теория групп». В названной книге </w:t>
      </w:r>
      <w:proofErr w:type="spellStart"/>
      <w:r w:rsidRPr="00CA78BD">
        <w:rPr>
          <w:rFonts w:ascii="Times New Roman" w:hAnsi="Times New Roman" w:cs="Times New Roman"/>
        </w:rPr>
        <w:t>М.Олсон</w:t>
      </w:r>
      <w:proofErr w:type="spellEnd"/>
      <w:r w:rsidRPr="00CA78BD">
        <w:rPr>
          <w:rFonts w:ascii="Times New Roman" w:hAnsi="Times New Roman" w:cs="Times New Roman"/>
        </w:rPr>
        <w:t xml:space="preserve"> поднимает вопрос эффективности различных по размеру групп интересов и последовательно опровергает идею равного участия групп интересов в конкурентной борьбе за влияние на центры принятия решений. Главный вывод </w:t>
      </w:r>
      <w:proofErr w:type="spellStart"/>
      <w:r w:rsidRPr="00CA78BD">
        <w:rPr>
          <w:rFonts w:ascii="Times New Roman" w:hAnsi="Times New Roman" w:cs="Times New Roman"/>
        </w:rPr>
        <w:t>М.Олсона</w:t>
      </w:r>
      <w:proofErr w:type="spellEnd"/>
      <w:r w:rsidRPr="00CA78BD">
        <w:rPr>
          <w:rFonts w:ascii="Times New Roman" w:hAnsi="Times New Roman" w:cs="Times New Roman"/>
        </w:rPr>
        <w:t xml:space="preserve"> заключается в том, что размер группы — это важнейший фактор, </w:t>
      </w:r>
      <w:r w:rsidRPr="00CA78BD">
        <w:rPr>
          <w:rFonts w:ascii="Times New Roman" w:hAnsi="Times New Roman" w:cs="Times New Roman"/>
        </w:rPr>
        <w:lastRenderedPageBreak/>
        <w:t>определяющий возможность согласованных действий индивидов</w:t>
      </w:r>
      <w:r w:rsidR="00C36309" w:rsidRPr="00CA78BD">
        <w:rPr>
          <w:rFonts w:ascii="Times New Roman" w:hAnsi="Times New Roman" w:cs="Times New Roman"/>
        </w:rPr>
        <w:t>, и соответственно, влияния на власть</w:t>
      </w:r>
      <w:r w:rsidRPr="00CA78BD">
        <w:rPr>
          <w:rFonts w:ascii="Times New Roman" w:hAnsi="Times New Roman" w:cs="Times New Roman"/>
        </w:rPr>
        <w:t>.</w:t>
      </w:r>
      <w:r w:rsidR="00C36309" w:rsidRPr="00CA78BD">
        <w:rPr>
          <w:rFonts w:ascii="Times New Roman" w:hAnsi="Times New Roman" w:cs="Times New Roman"/>
        </w:rPr>
        <w:t xml:space="preserve"> Чем больше группа интересов, тем сложнее ей организоваться</w:t>
      </w:r>
      <w:r w:rsidR="00C36309" w:rsidRPr="00CA78BD">
        <w:rPr>
          <w:rFonts w:ascii="Times New Roman" w:eastAsia="Times New Roman" w:hAnsi="Times New Roman" w:cs="Times New Roman"/>
          <w:vertAlign w:val="superscript"/>
        </w:rPr>
        <w:footnoteReference w:id="11"/>
      </w:r>
      <w:r w:rsidR="00C36309" w:rsidRPr="00CA78BD">
        <w:rPr>
          <w:rFonts w:ascii="Times New Roman" w:hAnsi="Times New Roman" w:cs="Times New Roman"/>
        </w:rPr>
        <w:t xml:space="preserve">. </w:t>
      </w:r>
    </w:p>
    <w:p w14:paraId="17659687" w14:textId="77777777" w:rsidR="00C36309" w:rsidRPr="00CA78BD" w:rsidRDefault="00C36309" w:rsidP="0012625B">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Таким образом, малые группы отличаются от больших не только количественно, но и качественно. У участников малых групп оказывается больше мотивов взять на себя организационные издержки, и потому они более действенные.</w:t>
      </w:r>
      <w:r w:rsidR="0012625B" w:rsidRPr="00CA78BD">
        <w:rPr>
          <w:rFonts w:ascii="Times New Roman" w:hAnsi="Times New Roman" w:cs="Times New Roman"/>
        </w:rPr>
        <w:t xml:space="preserve"> </w:t>
      </w:r>
      <w:r w:rsidRPr="00CA78BD">
        <w:rPr>
          <w:rFonts w:ascii="Times New Roman" w:hAnsi="Times New Roman" w:cs="Times New Roman"/>
        </w:rPr>
        <w:t xml:space="preserve">Следуя этой логике, </w:t>
      </w:r>
      <w:proofErr w:type="spellStart"/>
      <w:r w:rsidRPr="00CA78BD">
        <w:rPr>
          <w:rFonts w:ascii="Times New Roman" w:hAnsi="Times New Roman" w:cs="Times New Roman"/>
        </w:rPr>
        <w:t>М.Олсон</w:t>
      </w:r>
      <w:proofErr w:type="spellEnd"/>
      <w:r w:rsidRPr="00CA78BD">
        <w:rPr>
          <w:rFonts w:ascii="Times New Roman" w:hAnsi="Times New Roman" w:cs="Times New Roman"/>
        </w:rPr>
        <w:t xml:space="preserve"> критикует идею устойчивого группового взаимодействия </w:t>
      </w:r>
      <w:proofErr w:type="spellStart"/>
      <w:r w:rsidRPr="00CA78BD">
        <w:rPr>
          <w:rFonts w:ascii="Times New Roman" w:hAnsi="Times New Roman" w:cs="Times New Roman"/>
        </w:rPr>
        <w:t>Д.Трумана</w:t>
      </w:r>
      <w:proofErr w:type="spellEnd"/>
      <w:r w:rsidRPr="00CA78BD">
        <w:rPr>
          <w:rFonts w:ascii="Times New Roman" w:hAnsi="Times New Roman" w:cs="Times New Roman"/>
        </w:rPr>
        <w:t xml:space="preserve"> и концепци</w:t>
      </w:r>
      <w:r w:rsidR="0012625B" w:rsidRPr="00CA78BD">
        <w:rPr>
          <w:rFonts w:ascii="Times New Roman" w:hAnsi="Times New Roman" w:cs="Times New Roman"/>
        </w:rPr>
        <w:t>ю</w:t>
      </w:r>
      <w:r w:rsidRPr="00CA78BD">
        <w:rPr>
          <w:rFonts w:ascii="Times New Roman" w:hAnsi="Times New Roman" w:cs="Times New Roman"/>
        </w:rPr>
        <w:t xml:space="preserve"> баланса сил групп интересов в обществе. На практике получается, что малые и зачастую привилегированные группы интересов подавляют в своей деятельности большие и на первы</w:t>
      </w:r>
      <w:r w:rsidR="0012625B" w:rsidRPr="00CA78BD">
        <w:rPr>
          <w:rFonts w:ascii="Times New Roman" w:hAnsi="Times New Roman" w:cs="Times New Roman"/>
        </w:rPr>
        <w:t>й</w:t>
      </w:r>
      <w:r w:rsidRPr="00CA78BD">
        <w:rPr>
          <w:rFonts w:ascii="Times New Roman" w:hAnsi="Times New Roman" w:cs="Times New Roman"/>
        </w:rPr>
        <w:t xml:space="preserve"> взгляд доминирующие</w:t>
      </w:r>
      <w:r w:rsidRPr="00CA78BD">
        <w:rPr>
          <w:rFonts w:ascii="Times New Roman" w:eastAsia="Times New Roman" w:hAnsi="Times New Roman" w:cs="Times New Roman"/>
          <w:vertAlign w:val="superscript"/>
        </w:rPr>
        <w:footnoteReference w:id="12"/>
      </w:r>
      <w:r w:rsidRPr="00CA78BD">
        <w:rPr>
          <w:rFonts w:ascii="Times New Roman" w:hAnsi="Times New Roman" w:cs="Times New Roman"/>
        </w:rPr>
        <w:t xml:space="preserve">.  </w:t>
      </w:r>
    </w:p>
    <w:p w14:paraId="2F4C87B8" w14:textId="77777777" w:rsidR="006A5EA9" w:rsidRPr="00CA78BD" w:rsidRDefault="00AD25CD" w:rsidP="006A5EA9">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Примерно так представляют сегодня в обществе соотношение сил групп интересов по вопросам защиты окружающей среды. Наиболее активную деятельность по продвижению экологических инициатив в Европе ведут некоммерческие организации (НКО), которые существуют за счёт добровольных пожертвований своих членов. Им противостоят крупные транснациональные компании (ТНК) с несравнимыми доходами. На первый взгляд в этой ситуации теория М. Олсона полностью оправдалась, так как публичные интересы защищает очень малочисленная группа организаций, уступающая во многих отношениях представляющим частные интересы корпорациям нефтегазового сектора, фармацевтической индустрии, автомобильной промышленности и т.д. Однако такой подход представляется ограниченным в силу того, что во внимание принимаются лишь количественные показатели</w:t>
      </w:r>
      <w:r w:rsidR="00615876" w:rsidRPr="00CA78BD">
        <w:rPr>
          <w:rFonts w:ascii="Times New Roman" w:hAnsi="Times New Roman" w:cs="Times New Roman"/>
        </w:rPr>
        <w:t xml:space="preserve">. Между тем НКО экологической направленности располагают большими нематериальными ресурсами, а именно – репутацией, общественной поддержкой, а также экспертной информацией. Кроме того, уровень доверия к НКО, как правило, выше, так как от них меньше ждут неэтичных предложений. Так или иначе </w:t>
      </w:r>
      <w:r w:rsidR="009D31D0" w:rsidRPr="00CA78BD">
        <w:rPr>
          <w:rFonts w:ascii="Times New Roman" w:hAnsi="Times New Roman" w:cs="Times New Roman"/>
        </w:rPr>
        <w:t xml:space="preserve">законодатели должны оценивать реальное положение дел в обществе и на рынке, а не располагаемые ресурсы и организационные возможности отдельных групп интересов. Другими словами, важнее качество информации, аргументы и факты, а не демонстрация силы со стороны бизнес-гигантов. </w:t>
      </w:r>
    </w:p>
    <w:p w14:paraId="25FF6D0B" w14:textId="77777777" w:rsidR="006A5EA9" w:rsidRPr="00CA78BD" w:rsidRDefault="00493302" w:rsidP="006A5EA9">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Другой интересный вопрос, который важен для понимания возможностей групп, выражающих интересы широких слоёв населения, заключается в роли политических партий в современном мире. </w:t>
      </w:r>
      <w:r w:rsidR="002846E3" w:rsidRPr="00CA78BD">
        <w:rPr>
          <w:rFonts w:ascii="Times New Roman" w:hAnsi="Times New Roman" w:cs="Times New Roman"/>
        </w:rPr>
        <w:t xml:space="preserve">Если бы партии могли представлять публичные интересы </w:t>
      </w:r>
      <w:r w:rsidR="002846E3" w:rsidRPr="00CA78BD">
        <w:rPr>
          <w:rFonts w:ascii="Times New Roman" w:hAnsi="Times New Roman" w:cs="Times New Roman"/>
        </w:rPr>
        <w:lastRenderedPageBreak/>
        <w:t>так же эффективно и успешно, как это делают лоббисты от частных компаний, то скорее всего необходимости в организации давления на власть со стороны рассматриваемых НКО не было бы. Однако на деле многие НКО в области защиты окружающей среды ведут такую же активную деятельность в институтах власти, как и крупные промышленные компании. Поскольку перед политическими партиями и группами интересов стоят, по сути, разные задачи, их стратегии и тактики также сильно отличаются</w:t>
      </w:r>
      <w:r w:rsidR="002846E3" w:rsidRPr="00CA78BD">
        <w:rPr>
          <w:rFonts w:ascii="Times New Roman" w:eastAsia="Times New Roman" w:hAnsi="Times New Roman" w:cs="Times New Roman"/>
          <w:vertAlign w:val="superscript"/>
        </w:rPr>
        <w:footnoteReference w:id="13"/>
      </w:r>
      <w:r w:rsidR="002846E3" w:rsidRPr="00CA78BD">
        <w:rPr>
          <w:rFonts w:ascii="Times New Roman" w:hAnsi="Times New Roman" w:cs="Times New Roman"/>
        </w:rPr>
        <w:t xml:space="preserve">. </w:t>
      </w:r>
      <w:r w:rsidR="006A5EA9" w:rsidRPr="00CA78BD">
        <w:rPr>
          <w:rFonts w:ascii="Times New Roman" w:hAnsi="Times New Roman" w:cs="Times New Roman"/>
        </w:rPr>
        <w:t>Главное отличие групп интересов от политических партий — это наличие стремления к власти у последних. В этой связи политические партии традиционно опираются на широкий спектр социальных интересов. Их деятельность состоит не столько в непосредственном выражении интересов тех или иных субъектов, сколько в агрегации интересов, то есть объединении различных интересов в общие программы</w:t>
      </w:r>
      <w:r w:rsidR="006A5EA9" w:rsidRPr="00CA78BD">
        <w:rPr>
          <w:rStyle w:val="ab"/>
          <w:rFonts w:ascii="Times New Roman" w:hAnsi="Times New Roman" w:cs="Times New Roman"/>
        </w:rPr>
        <w:footnoteReference w:id="14"/>
      </w:r>
      <w:r w:rsidR="006A5EA9" w:rsidRPr="00CA78BD">
        <w:rPr>
          <w:rFonts w:ascii="Times New Roman" w:hAnsi="Times New Roman" w:cs="Times New Roman"/>
        </w:rPr>
        <w:t xml:space="preserve">. </w:t>
      </w:r>
    </w:p>
    <w:p w14:paraId="5307189C" w14:textId="77777777" w:rsidR="00E60ABC" w:rsidRPr="00CA78BD" w:rsidRDefault="006A5EA9" w:rsidP="00E60ABC">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В нынешних условиях деятельность групп интересов органично дополняет традиционную для </w:t>
      </w:r>
      <w:r w:rsidR="00E60ABC" w:rsidRPr="00CA78BD">
        <w:rPr>
          <w:rFonts w:ascii="Times New Roman" w:hAnsi="Times New Roman" w:cs="Times New Roman"/>
        </w:rPr>
        <w:t>представительной</w:t>
      </w:r>
      <w:r w:rsidRPr="00CA78BD">
        <w:rPr>
          <w:rFonts w:ascii="Times New Roman" w:hAnsi="Times New Roman" w:cs="Times New Roman"/>
        </w:rPr>
        <w:t xml:space="preserve"> демократии </w:t>
      </w:r>
      <w:r w:rsidR="00E60ABC" w:rsidRPr="00CA78BD">
        <w:rPr>
          <w:rFonts w:ascii="Times New Roman" w:hAnsi="Times New Roman" w:cs="Times New Roman"/>
        </w:rPr>
        <w:t xml:space="preserve">партийную </w:t>
      </w:r>
      <w:r w:rsidRPr="00CA78BD">
        <w:rPr>
          <w:rFonts w:ascii="Times New Roman" w:hAnsi="Times New Roman" w:cs="Times New Roman"/>
        </w:rPr>
        <w:t>систему. Сложившаяся ситуация вытекает из потребности общества в институте, обеспечивающем прямое — не опосредованное партиями и выборами — взаимодействие групп интересов и органов государственной власти.</w:t>
      </w:r>
      <w:r w:rsidR="00E60ABC" w:rsidRPr="00CA78BD">
        <w:rPr>
          <w:rFonts w:ascii="Times New Roman" w:hAnsi="Times New Roman" w:cs="Times New Roman"/>
        </w:rPr>
        <w:t xml:space="preserve"> Т</w:t>
      </w:r>
      <w:r w:rsidRPr="00CA78BD">
        <w:rPr>
          <w:rFonts w:ascii="Times New Roman" w:hAnsi="Times New Roman" w:cs="Times New Roman"/>
        </w:rPr>
        <w:t>аким институтом сегодня выступает лоббизм</w:t>
      </w:r>
      <w:r w:rsidR="00E60ABC" w:rsidRPr="00CA78BD">
        <w:rPr>
          <w:rStyle w:val="ab"/>
          <w:rFonts w:ascii="Times New Roman" w:hAnsi="Times New Roman" w:cs="Times New Roman"/>
        </w:rPr>
        <w:footnoteReference w:id="15"/>
      </w:r>
      <w:r w:rsidRPr="00CA78BD">
        <w:rPr>
          <w:rFonts w:ascii="Times New Roman" w:hAnsi="Times New Roman" w:cs="Times New Roman"/>
        </w:rPr>
        <w:t>.</w:t>
      </w:r>
      <w:r w:rsidR="00E60ABC" w:rsidRPr="00CA78BD">
        <w:rPr>
          <w:rFonts w:ascii="Times New Roman" w:hAnsi="Times New Roman" w:cs="Times New Roman"/>
        </w:rPr>
        <w:t xml:space="preserve"> По мнению российского политолога </w:t>
      </w:r>
      <w:proofErr w:type="spellStart"/>
      <w:r w:rsidR="00E60ABC" w:rsidRPr="00CA78BD">
        <w:rPr>
          <w:rFonts w:ascii="Times New Roman" w:hAnsi="Times New Roman" w:cs="Times New Roman"/>
        </w:rPr>
        <w:t>А.Павроза</w:t>
      </w:r>
      <w:proofErr w:type="spellEnd"/>
      <w:r w:rsidR="00E60ABC" w:rsidRPr="00CA78BD">
        <w:rPr>
          <w:rFonts w:ascii="Times New Roman" w:hAnsi="Times New Roman" w:cs="Times New Roman"/>
        </w:rPr>
        <w:t>, формирование политических решений постепенно смещается из плоскости партийной борьбы, в плоскость взаимодействия групп интересов. И в новых условиях эффективная выработка властных решений будет определяться правильной интеграцией групп интересов в демократическую систему правления: активным вовлечением групп интересов в политический процесс, обеспечением равной, открытой и честной конкуренции между ними, всесторонним учетом позиций всех групп, интересы которых так или иначе затрагиваются в государственной политике</w:t>
      </w:r>
      <w:r w:rsidR="00E60ABC" w:rsidRPr="00CA78BD">
        <w:rPr>
          <w:rStyle w:val="ab"/>
          <w:rFonts w:ascii="Times New Roman" w:hAnsi="Times New Roman" w:cs="Times New Roman"/>
        </w:rPr>
        <w:footnoteReference w:id="16"/>
      </w:r>
      <w:r w:rsidR="00E60ABC" w:rsidRPr="00CA78BD">
        <w:rPr>
          <w:rFonts w:ascii="Times New Roman" w:hAnsi="Times New Roman" w:cs="Times New Roman"/>
        </w:rPr>
        <w:t xml:space="preserve">. </w:t>
      </w:r>
    </w:p>
    <w:p w14:paraId="5247FBCD" w14:textId="77777777" w:rsidR="00E60ABC" w:rsidRPr="00CA78BD" w:rsidRDefault="0055348A" w:rsidP="00E60ABC">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Проблема представительства интересов особенно актуальна </w:t>
      </w:r>
      <w:r w:rsidR="00E60ABC" w:rsidRPr="00CA78BD">
        <w:rPr>
          <w:rFonts w:ascii="Times New Roman" w:hAnsi="Times New Roman" w:cs="Times New Roman"/>
        </w:rPr>
        <w:t xml:space="preserve">в таких многоуровневых системах управления, как Европейский союз. Так как Европейский союз не представляет собой ни государство, ни международную организацию в </w:t>
      </w:r>
      <w:r w:rsidR="00E60ABC" w:rsidRPr="00CA78BD">
        <w:rPr>
          <w:rFonts w:ascii="Times New Roman" w:hAnsi="Times New Roman" w:cs="Times New Roman"/>
        </w:rPr>
        <w:lastRenderedPageBreak/>
        <w:t>традиционном понимании, его политика не ограничивается партийными установками</w:t>
      </w:r>
      <w:r w:rsidR="00E60ABC" w:rsidRPr="00CA78BD">
        <w:rPr>
          <w:rFonts w:ascii="Times New Roman" w:eastAsia="Times New Roman" w:hAnsi="Times New Roman" w:cs="Times New Roman"/>
          <w:vertAlign w:val="superscript"/>
        </w:rPr>
        <w:footnoteReference w:id="17"/>
      </w:r>
      <w:r w:rsidR="00E60ABC" w:rsidRPr="00CA78BD">
        <w:rPr>
          <w:rFonts w:ascii="Times New Roman" w:hAnsi="Times New Roman" w:cs="Times New Roman"/>
        </w:rPr>
        <w:t>. Процесс принятия решений, проходящий на нескольких уровнях, и больший масштаб управления привод</w:t>
      </w:r>
      <w:r w:rsidRPr="00CA78BD">
        <w:rPr>
          <w:rFonts w:ascii="Times New Roman" w:hAnsi="Times New Roman" w:cs="Times New Roman"/>
        </w:rPr>
        <w:t>я</w:t>
      </w:r>
      <w:r w:rsidR="00E60ABC" w:rsidRPr="00CA78BD">
        <w:rPr>
          <w:rFonts w:ascii="Times New Roman" w:hAnsi="Times New Roman" w:cs="Times New Roman"/>
        </w:rPr>
        <w:t xml:space="preserve">т к повышению значимости </w:t>
      </w:r>
      <w:r w:rsidRPr="00CA78BD">
        <w:rPr>
          <w:rFonts w:ascii="Times New Roman" w:hAnsi="Times New Roman" w:cs="Times New Roman"/>
        </w:rPr>
        <w:t xml:space="preserve">взаимодействия с </w:t>
      </w:r>
      <w:r w:rsidR="00E60ABC" w:rsidRPr="00CA78BD">
        <w:rPr>
          <w:rFonts w:ascii="Times New Roman" w:hAnsi="Times New Roman" w:cs="Times New Roman"/>
        </w:rPr>
        <w:t>групп</w:t>
      </w:r>
      <w:r w:rsidRPr="00CA78BD">
        <w:rPr>
          <w:rFonts w:ascii="Times New Roman" w:hAnsi="Times New Roman" w:cs="Times New Roman"/>
        </w:rPr>
        <w:t>ами</w:t>
      </w:r>
      <w:r w:rsidR="00E60ABC" w:rsidRPr="00CA78BD">
        <w:rPr>
          <w:rFonts w:ascii="Times New Roman" w:hAnsi="Times New Roman" w:cs="Times New Roman"/>
        </w:rPr>
        <w:t xml:space="preserve"> интересов</w:t>
      </w:r>
      <w:r w:rsidRPr="00CA78BD">
        <w:rPr>
          <w:rFonts w:ascii="Times New Roman" w:hAnsi="Times New Roman" w:cs="Times New Roman"/>
        </w:rPr>
        <w:t>, которые</w:t>
      </w:r>
      <w:r w:rsidR="00E60ABC" w:rsidRPr="00CA78BD">
        <w:rPr>
          <w:rFonts w:ascii="Times New Roman" w:hAnsi="Times New Roman" w:cs="Times New Roman"/>
        </w:rPr>
        <w:t xml:space="preserve"> начинают выполнять функцию поддержания легитимности, традиционно выполняемую партиями. С целью устранения дефицита демократии институты Европейского союза сегодня совершенствуют взаимодействие </w:t>
      </w:r>
      <w:r w:rsidRPr="00CA78BD">
        <w:rPr>
          <w:rFonts w:ascii="Times New Roman" w:hAnsi="Times New Roman" w:cs="Times New Roman"/>
        </w:rPr>
        <w:t xml:space="preserve">именно </w:t>
      </w:r>
      <w:r w:rsidR="00E60ABC" w:rsidRPr="00CA78BD">
        <w:rPr>
          <w:rFonts w:ascii="Times New Roman" w:hAnsi="Times New Roman" w:cs="Times New Roman"/>
        </w:rPr>
        <w:t>с группами интересов, а не с партиями в Европарламенте</w:t>
      </w:r>
      <w:r w:rsidR="00E60ABC" w:rsidRPr="00CA78BD">
        <w:rPr>
          <w:rFonts w:ascii="Times New Roman" w:eastAsia="Times New Roman" w:hAnsi="Times New Roman" w:cs="Times New Roman"/>
          <w:vertAlign w:val="superscript"/>
        </w:rPr>
        <w:footnoteReference w:id="18"/>
      </w:r>
      <w:r w:rsidR="00E60ABC" w:rsidRPr="00CA78BD">
        <w:rPr>
          <w:rFonts w:ascii="Times New Roman" w:hAnsi="Times New Roman" w:cs="Times New Roman"/>
        </w:rPr>
        <w:t xml:space="preserve">.  </w:t>
      </w:r>
    </w:p>
    <w:p w14:paraId="2E93CD3A" w14:textId="77777777" w:rsidR="00D60154" w:rsidRPr="00CA78BD" w:rsidRDefault="0055348A" w:rsidP="00D60154">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Эту тенденцию хорошо видно на примере экологических групп интересов. Несмотря на популярность зелёных партий в странах Европы, </w:t>
      </w:r>
      <w:proofErr w:type="spellStart"/>
      <w:r w:rsidRPr="00CA78BD">
        <w:rPr>
          <w:rFonts w:ascii="Times New Roman" w:hAnsi="Times New Roman" w:cs="Times New Roman"/>
        </w:rPr>
        <w:t>экоактивисты</w:t>
      </w:r>
      <w:proofErr w:type="spellEnd"/>
      <w:r w:rsidRPr="00CA78BD">
        <w:rPr>
          <w:rFonts w:ascii="Times New Roman" w:hAnsi="Times New Roman" w:cs="Times New Roman"/>
        </w:rPr>
        <w:t xml:space="preserve"> не отказываются от прямого лоббирования в институтах Европейского союза и находят его более эффективным, чем сотрудничество с партиями, представленными в Европарламенте. Успех Европейской партии зелёных (ЕПЗ) свидетельствует о поддержке зелёных инициатив со стороны населения Евросоюза, но партии в Европарламенте оказываются не лучшим проводником интересов. На сегодняшний день партии по-прежнему имеют сложную иерархическую и бюрократическую структуру, что сильно понижает их эффективность. Кроме того, приверженность нематериальным ценностям и идеалам осложняет поиск компромисса и часто не позволяет усилить свою позицию за счет объединения в коалицию. Эти и другие факторы ведут к снижению роли партий, оставляя за ними лишь функции подготовки будущих лидеров для дальнейшей работы в органах власти</w:t>
      </w:r>
      <w:r w:rsidRPr="00CA78BD">
        <w:rPr>
          <w:rFonts w:ascii="Times New Roman" w:eastAsia="Times New Roman" w:hAnsi="Times New Roman" w:cs="Times New Roman"/>
          <w:vertAlign w:val="superscript"/>
        </w:rPr>
        <w:footnoteReference w:id="19"/>
      </w:r>
      <w:r w:rsidRPr="00CA78BD">
        <w:rPr>
          <w:rFonts w:ascii="Times New Roman" w:hAnsi="Times New Roman" w:cs="Times New Roman"/>
        </w:rPr>
        <w:t>. Позиция Европарламента в структуре Евросоюза и слабость партий сделали группы интересов главными игроками в области экологической политики. Именно группы интересов, а не партии поставили вопросы защиты окружающей среды на повестку дня в Европейском союзе</w:t>
      </w:r>
      <w:r w:rsidRPr="00CA78BD">
        <w:rPr>
          <w:rFonts w:ascii="Times New Roman" w:eastAsia="Times New Roman" w:hAnsi="Times New Roman" w:cs="Times New Roman"/>
          <w:vertAlign w:val="superscript"/>
        </w:rPr>
        <w:footnoteReference w:id="20"/>
      </w:r>
      <w:r w:rsidRPr="00CA78BD">
        <w:rPr>
          <w:rFonts w:ascii="Times New Roman" w:hAnsi="Times New Roman" w:cs="Times New Roman"/>
        </w:rPr>
        <w:t>.</w:t>
      </w:r>
    </w:p>
    <w:p w14:paraId="7734F72B" w14:textId="77777777" w:rsidR="004D1002" w:rsidRPr="00CA78BD" w:rsidRDefault="00FB725A" w:rsidP="00122B41">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Таким образом, теория групп интересов отвечает современным тенденциям политического развития демократических систем мира.</w:t>
      </w:r>
      <w:r w:rsidR="00D60154" w:rsidRPr="00CA78BD">
        <w:rPr>
          <w:rFonts w:ascii="Times New Roman" w:hAnsi="Times New Roman" w:cs="Times New Roman"/>
        </w:rPr>
        <w:t xml:space="preserve"> Это достаточно универсальная теория, которая позволяет проследить</w:t>
      </w:r>
      <w:r w:rsidR="008738C0" w:rsidRPr="00CA78BD">
        <w:rPr>
          <w:rFonts w:ascii="Times New Roman" w:hAnsi="Times New Roman" w:cs="Times New Roman"/>
        </w:rPr>
        <w:t>, как формируется политика</w:t>
      </w:r>
      <w:r w:rsidR="00A61D12" w:rsidRPr="00CA78BD">
        <w:rPr>
          <w:rFonts w:ascii="Times New Roman" w:hAnsi="Times New Roman" w:cs="Times New Roman"/>
        </w:rPr>
        <w:t>, и насколько она отвечает запросам населения. Анализ взаимодействия групп интересов с институтами власти поможет сделать вывод о том</w:t>
      </w:r>
      <w:r w:rsidR="00E83B9A" w:rsidRPr="00CA78BD">
        <w:rPr>
          <w:rFonts w:ascii="Times New Roman" w:hAnsi="Times New Roman" w:cs="Times New Roman"/>
        </w:rPr>
        <w:t>, в чьих интересах проводится та или иная политика, насколько она соответствует настроениям в обществе, оправда</w:t>
      </w:r>
      <w:r w:rsidR="00F229FD" w:rsidRPr="00CA78BD">
        <w:rPr>
          <w:rFonts w:ascii="Times New Roman" w:hAnsi="Times New Roman" w:cs="Times New Roman"/>
        </w:rPr>
        <w:t>н</w:t>
      </w:r>
      <w:r w:rsidR="00E83B9A" w:rsidRPr="00CA78BD">
        <w:rPr>
          <w:rFonts w:ascii="Times New Roman" w:hAnsi="Times New Roman" w:cs="Times New Roman"/>
        </w:rPr>
        <w:t xml:space="preserve">на и </w:t>
      </w:r>
      <w:r w:rsidR="00E83B9A" w:rsidRPr="00CA78BD">
        <w:rPr>
          <w:rFonts w:ascii="Times New Roman" w:hAnsi="Times New Roman" w:cs="Times New Roman"/>
        </w:rPr>
        <w:lastRenderedPageBreak/>
        <w:t xml:space="preserve">своевременна ли она. </w:t>
      </w:r>
      <w:r w:rsidR="00D60154" w:rsidRPr="00CA78BD">
        <w:rPr>
          <w:rFonts w:ascii="Times New Roman" w:hAnsi="Times New Roman" w:cs="Times New Roman"/>
        </w:rPr>
        <w:t xml:space="preserve">Особенный интерес представляет анализ взаимодействия власти и общества на уровне не отдельной страны, а </w:t>
      </w:r>
      <w:r w:rsidR="00E83B9A" w:rsidRPr="00CA78BD">
        <w:rPr>
          <w:rFonts w:ascii="Times New Roman" w:hAnsi="Times New Roman" w:cs="Times New Roman"/>
        </w:rPr>
        <w:t xml:space="preserve">на уровне такой </w:t>
      </w:r>
      <w:r w:rsidR="000029C3" w:rsidRPr="00CA78BD">
        <w:rPr>
          <w:rFonts w:ascii="Times New Roman" w:hAnsi="Times New Roman" w:cs="Times New Roman"/>
        </w:rPr>
        <w:t>сложной</w:t>
      </w:r>
      <w:r w:rsidR="00D60154" w:rsidRPr="00CA78BD">
        <w:rPr>
          <w:rFonts w:ascii="Times New Roman" w:hAnsi="Times New Roman" w:cs="Times New Roman"/>
        </w:rPr>
        <w:t xml:space="preserve"> политической структуры</w:t>
      </w:r>
      <w:r w:rsidR="00E83B9A" w:rsidRPr="00CA78BD">
        <w:rPr>
          <w:rFonts w:ascii="Times New Roman" w:hAnsi="Times New Roman" w:cs="Times New Roman"/>
        </w:rPr>
        <w:t>, как Европейский союз</w:t>
      </w:r>
      <w:r w:rsidR="00D60154" w:rsidRPr="00CA78BD">
        <w:rPr>
          <w:rFonts w:ascii="Times New Roman" w:hAnsi="Times New Roman" w:cs="Times New Roman"/>
        </w:rPr>
        <w:t xml:space="preserve">. Уникальный характер </w:t>
      </w:r>
      <w:r w:rsidR="00E83B9A" w:rsidRPr="00CA78BD">
        <w:rPr>
          <w:rFonts w:ascii="Times New Roman" w:hAnsi="Times New Roman" w:cs="Times New Roman"/>
        </w:rPr>
        <w:t>этого политического образования</w:t>
      </w:r>
      <w:r w:rsidR="00D60154" w:rsidRPr="00CA78BD">
        <w:rPr>
          <w:rFonts w:ascii="Times New Roman" w:hAnsi="Times New Roman" w:cs="Times New Roman"/>
        </w:rPr>
        <w:t xml:space="preserve"> вызывает определённые сложности в вопросах взаимодействия власти с заинтересованными группами, что делает изучение этой проблемы особенно интересным.</w:t>
      </w:r>
      <w:r w:rsidR="00E83B9A" w:rsidRPr="00CA78BD">
        <w:rPr>
          <w:rFonts w:ascii="Times New Roman" w:hAnsi="Times New Roman" w:cs="Times New Roman"/>
        </w:rPr>
        <w:t xml:space="preserve"> </w:t>
      </w:r>
    </w:p>
    <w:p w14:paraId="45FB294D" w14:textId="054C8AC8" w:rsidR="00BD01DC" w:rsidRDefault="00E83B9A" w:rsidP="00C95A49">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На примере экологической политики в данной работе будут рассмотрены принципы взаимодействия основных институтов Европейского союза с коммерческими и некоммерческими организациями. Результаты анализа должны будут показать насколько наднациональные институты единой Европы восприимчивы к требованиям значительной части своих избирателей, есть ли основания говорить о предвзятости власти</w:t>
      </w:r>
      <w:r w:rsidR="000029C3" w:rsidRPr="00CA78BD">
        <w:rPr>
          <w:rFonts w:ascii="Times New Roman" w:hAnsi="Times New Roman" w:cs="Times New Roman"/>
        </w:rPr>
        <w:t xml:space="preserve">, и в целом, какие перспективы имеют экологические активисты в Европейском союзе. </w:t>
      </w:r>
      <w:r w:rsidR="00122B41" w:rsidRPr="00CA78BD">
        <w:rPr>
          <w:rFonts w:ascii="Times New Roman" w:hAnsi="Times New Roman" w:cs="Times New Roman"/>
        </w:rPr>
        <w:t>Поскольку крупный бизнес обладает большим потенциалом воздействия на политиков, на первый взгляд кажется, что именно он и определяет все направления политики. Однако с теоретической точки зрения допустить такую ситуацию было бы слишком рискованно для представителей власти. Согласно теории групп интересов, неоправданное влияние одной группы ведёт к дестабилизации общества и несёт на себе риски для демократии</w:t>
      </w:r>
      <w:r w:rsidR="004D1002" w:rsidRPr="00CA78BD">
        <w:rPr>
          <w:rFonts w:ascii="Times New Roman" w:hAnsi="Times New Roman" w:cs="Times New Roman"/>
        </w:rPr>
        <w:t xml:space="preserve">. Кроме того, согласно так называемой идее устойчивого взаимодействия групп интересов Д. Трумана, чрезмерное влияние отдельных групп интересов провоцирует усиление других, противостоящих первым. Следовательно, усиление присутствия бизнес-сообщества в органах власти и их активное лоббирование своих частных интересов должны привести к усилению давления со стороны защитников окружающей среды, и наоборот. При этом большие расходы на лоббистскую деятельность – не показатель силы в борьбе за влияние на принятие решений. Это также может свидетельствовать о слабости позиций бизнеса, который оказался в уязвимом положении на фоне </w:t>
      </w:r>
      <w:r w:rsidR="006A1B82" w:rsidRPr="00CA78BD">
        <w:rPr>
          <w:rFonts w:ascii="Times New Roman" w:hAnsi="Times New Roman" w:cs="Times New Roman"/>
        </w:rPr>
        <w:t>популярности идей устойчивого развития и здорового образа жизни. Если бизнес повышает расходы на лоббизм, значит, он видит угрозу, исходящую со стороны своих оппонентов. Так или иначе, большие денежные ресурсы не могут быть единственным фактором, определяющим позиции группы интересов в борьбе за влияние на власть.</w:t>
      </w:r>
    </w:p>
    <w:p w14:paraId="6474DCBE" w14:textId="724546CD" w:rsidR="00CA78BD" w:rsidRDefault="00CA78BD" w:rsidP="00C95A49">
      <w:pPr>
        <w:autoSpaceDE w:val="0"/>
        <w:autoSpaceDN w:val="0"/>
        <w:adjustRightInd w:val="0"/>
        <w:spacing w:line="360" w:lineRule="auto"/>
        <w:ind w:left="360" w:firstLine="348"/>
        <w:jc w:val="both"/>
        <w:rPr>
          <w:rFonts w:ascii="Times New Roman" w:hAnsi="Times New Roman" w:cs="Times New Roman"/>
        </w:rPr>
      </w:pPr>
    </w:p>
    <w:p w14:paraId="66BA283F" w14:textId="77777777" w:rsidR="00CA78BD" w:rsidRPr="00CA78BD" w:rsidRDefault="00CA78BD" w:rsidP="00C95A49">
      <w:pPr>
        <w:autoSpaceDE w:val="0"/>
        <w:autoSpaceDN w:val="0"/>
        <w:adjustRightInd w:val="0"/>
        <w:spacing w:line="360" w:lineRule="auto"/>
        <w:ind w:left="360" w:firstLine="348"/>
        <w:jc w:val="both"/>
        <w:rPr>
          <w:rFonts w:ascii="Times New Roman" w:hAnsi="Times New Roman" w:cs="Times New Roman"/>
        </w:rPr>
      </w:pPr>
    </w:p>
    <w:p w14:paraId="4F6C5267" w14:textId="77777777" w:rsidR="009D31D0" w:rsidRPr="00CA78BD" w:rsidRDefault="00122B41" w:rsidP="00E50441">
      <w:pPr>
        <w:pStyle w:val="2"/>
        <w:spacing w:line="360" w:lineRule="auto"/>
        <w:ind w:left="360" w:firstLine="348"/>
        <w:jc w:val="both"/>
        <w:rPr>
          <w:rFonts w:ascii="Times New Roman" w:hAnsi="Times New Roman" w:cs="Times New Roman"/>
          <w:b/>
          <w:color w:val="000000" w:themeColor="text1"/>
          <w:sz w:val="24"/>
          <w:szCs w:val="24"/>
        </w:rPr>
      </w:pPr>
      <w:bookmarkStart w:id="5" w:name="_Toc72956532"/>
      <w:r w:rsidRPr="00CA78BD">
        <w:rPr>
          <w:rFonts w:ascii="Times New Roman" w:hAnsi="Times New Roman" w:cs="Times New Roman"/>
          <w:b/>
          <w:color w:val="000000" w:themeColor="text1"/>
          <w:sz w:val="24"/>
          <w:szCs w:val="24"/>
        </w:rPr>
        <w:lastRenderedPageBreak/>
        <w:t>1.2 Взаимодействие групп интересов с институтами Европейского союза</w:t>
      </w:r>
      <w:bookmarkEnd w:id="5"/>
    </w:p>
    <w:p w14:paraId="09A214AF" w14:textId="77777777" w:rsidR="00122B41" w:rsidRPr="00CA78BD" w:rsidRDefault="00122B41" w:rsidP="00E83B9A">
      <w:pPr>
        <w:autoSpaceDE w:val="0"/>
        <w:autoSpaceDN w:val="0"/>
        <w:adjustRightInd w:val="0"/>
        <w:spacing w:line="360" w:lineRule="auto"/>
        <w:ind w:left="360" w:firstLine="348"/>
        <w:jc w:val="both"/>
        <w:rPr>
          <w:rFonts w:ascii="Times New Roman" w:hAnsi="Times New Roman" w:cs="Times New Roman"/>
          <w:b/>
        </w:rPr>
      </w:pPr>
    </w:p>
    <w:p w14:paraId="2A003A31" w14:textId="77777777" w:rsidR="0081631F" w:rsidRPr="00CA78BD" w:rsidRDefault="00514A19" w:rsidP="0081631F">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Сделать однозначный вывод о возможности и эффективности давления на власть со стороны групп интересов можно только после рассмотрения политической системы, в которой это давление происходит. Европейский союз – достаточно сложная система, которая в первую очередь призвана отвечать интересам своих стран-членов. </w:t>
      </w:r>
      <w:r w:rsidR="00F20C27" w:rsidRPr="00CA78BD">
        <w:rPr>
          <w:rFonts w:ascii="Times New Roman" w:hAnsi="Times New Roman" w:cs="Times New Roman"/>
        </w:rPr>
        <w:t xml:space="preserve">Однако проблема легитимности власти в соответствии с теорией групп интересов закономерно вынуждает институты Европейского союза идти на диалог с представителями гражданского общества. </w:t>
      </w:r>
      <w:r w:rsidR="00512C2F" w:rsidRPr="00CA78BD">
        <w:rPr>
          <w:rFonts w:ascii="Times New Roman" w:hAnsi="Times New Roman" w:cs="Times New Roman"/>
        </w:rPr>
        <w:t xml:space="preserve">Уникальность такой политической структуры заключается в возможности для групп интересов участвовать в работе как общеевропейских институтов, так и национальных. </w:t>
      </w:r>
    </w:p>
    <w:p w14:paraId="65C5419D" w14:textId="77777777" w:rsidR="00FB1024" w:rsidRPr="00CA78BD" w:rsidRDefault="00512C2F" w:rsidP="0081631F">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Сложная структура Европейского союза находит своё отражение в концепции многоуровневого управления</w:t>
      </w:r>
      <w:r w:rsidRPr="00CA78BD">
        <w:rPr>
          <w:rFonts w:ascii="Times New Roman" w:eastAsia="Times New Roman" w:hAnsi="Times New Roman" w:cs="Times New Roman"/>
          <w:vertAlign w:val="superscript"/>
        </w:rPr>
        <w:footnoteReference w:id="21"/>
      </w:r>
      <w:r w:rsidRPr="00CA78BD">
        <w:rPr>
          <w:rFonts w:ascii="Times New Roman" w:hAnsi="Times New Roman" w:cs="Times New Roman"/>
        </w:rPr>
        <w:t>.</w:t>
      </w:r>
      <w:r w:rsidR="0081631F" w:rsidRPr="00CA78BD">
        <w:rPr>
          <w:rFonts w:ascii="Times New Roman" w:hAnsi="Times New Roman" w:cs="Times New Roman"/>
        </w:rPr>
        <w:t xml:space="preserve"> Многоуровневое управление подразумевает распределение компетенций между институтами на национальном и наднациональном уровнях, а также их сложное взаимодействие. В зависимости от рассматриваемого вопроса роль задействованных институтов в принятии решений меняется, что создаёт множество возможностей для групп интересов и вынуждает их действовать на всех уровнях одновременно. Успех группы интересов на одном уровне не обязательно в итоге приведёт к желаемому результату, так как каждый раз необходимо учитывать конкретную процедуру принятия решений, баланс сил институтов и свои шансы на успех в каждом из них</w:t>
      </w:r>
      <w:r w:rsidR="0081631F" w:rsidRPr="00CA78BD">
        <w:rPr>
          <w:rFonts w:ascii="Times New Roman" w:eastAsia="Times New Roman" w:hAnsi="Times New Roman" w:cs="Times New Roman"/>
          <w:vertAlign w:val="superscript"/>
        </w:rPr>
        <w:footnoteReference w:id="22"/>
      </w:r>
      <w:r w:rsidR="0081631F" w:rsidRPr="00CA78BD">
        <w:rPr>
          <w:rFonts w:ascii="Times New Roman" w:hAnsi="Times New Roman" w:cs="Times New Roman"/>
        </w:rPr>
        <w:t xml:space="preserve">. Таким образом, интеграция расширила национальные практики представительства интересов, и национальным группам теперь требуются дополнительные ресурсы для выхода на наднациональный уровень. </w:t>
      </w:r>
      <w:r w:rsidR="00FB1024" w:rsidRPr="00CA78BD">
        <w:rPr>
          <w:rFonts w:ascii="Times New Roman" w:hAnsi="Times New Roman" w:cs="Times New Roman"/>
        </w:rPr>
        <w:t xml:space="preserve">И поскольку ресурсы всегда ограничены, группы интересов выбирают </w:t>
      </w:r>
      <w:r w:rsidR="00383810" w:rsidRPr="00CA78BD">
        <w:rPr>
          <w:rFonts w:ascii="Times New Roman" w:hAnsi="Times New Roman" w:cs="Times New Roman"/>
        </w:rPr>
        <w:t>только</w:t>
      </w:r>
      <w:r w:rsidR="00FB1024" w:rsidRPr="00CA78BD">
        <w:rPr>
          <w:rFonts w:ascii="Times New Roman" w:hAnsi="Times New Roman" w:cs="Times New Roman"/>
        </w:rPr>
        <w:t xml:space="preserve"> те институты, </w:t>
      </w:r>
      <w:r w:rsidR="00383810" w:rsidRPr="00CA78BD">
        <w:rPr>
          <w:rFonts w:ascii="Times New Roman" w:hAnsi="Times New Roman" w:cs="Times New Roman"/>
        </w:rPr>
        <w:t xml:space="preserve">в которых они видят возможности для влияния на принятие решений. Таким образом, деятельность групп интересов концентрируется там, где законодатели готовы идти на сотрудничество, а их полномочия позволяют провести соответствующие решения в жизнь. </w:t>
      </w:r>
      <w:r w:rsidR="00FB1024" w:rsidRPr="00CA78BD">
        <w:rPr>
          <w:rFonts w:ascii="Times New Roman" w:hAnsi="Times New Roman" w:cs="Times New Roman"/>
        </w:rPr>
        <w:t xml:space="preserve"> </w:t>
      </w:r>
    </w:p>
    <w:p w14:paraId="5B731FBE" w14:textId="77777777" w:rsidR="007C5231" w:rsidRPr="00CA78BD" w:rsidRDefault="003E5F4F" w:rsidP="0000689A">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lastRenderedPageBreak/>
        <w:t>Что касается экологической политики, то она относится к сфере совместной компетенции институтов Европейского союза и его стран-членов</w:t>
      </w:r>
      <w:r w:rsidR="00C13926" w:rsidRPr="00CA78BD">
        <w:rPr>
          <w:rStyle w:val="ab"/>
          <w:rFonts w:ascii="Times New Roman" w:hAnsi="Times New Roman" w:cs="Times New Roman"/>
        </w:rPr>
        <w:footnoteReference w:id="23"/>
      </w:r>
      <w:r w:rsidRPr="00CA78BD">
        <w:rPr>
          <w:rFonts w:ascii="Times New Roman" w:hAnsi="Times New Roman" w:cs="Times New Roman"/>
        </w:rPr>
        <w:t>. Это значит, что страны-члены имеют право принимать решения только по тем вопросам, решения по которым на себя не взял Европейский союз. В этой связи решения в области экологической политики сопровождаются напряжёнными переговорами насчёт того объёма власти, который получат национальные правительства по части реализации конкретных решений.</w:t>
      </w:r>
      <w:r w:rsidR="0000689A" w:rsidRPr="00CA78BD">
        <w:rPr>
          <w:rFonts w:ascii="Times New Roman" w:hAnsi="Times New Roman" w:cs="Times New Roman"/>
        </w:rPr>
        <w:t xml:space="preserve"> </w:t>
      </w:r>
      <w:r w:rsidRPr="00CA78BD">
        <w:rPr>
          <w:rFonts w:ascii="Times New Roman" w:hAnsi="Times New Roman" w:cs="Times New Roman"/>
        </w:rPr>
        <w:t xml:space="preserve">Чаще всего решения по экологическим вопросам проходят через обычную процедуру принятия решений, и для успешного принятия законопроекта в таком случае требуется заручиться поддержкой большинства членов Европарламента и квалифицированного большинства в Совете Европейского союза. Однако </w:t>
      </w:r>
      <w:r w:rsidR="007C336C" w:rsidRPr="00CA78BD">
        <w:rPr>
          <w:rFonts w:ascii="Times New Roman" w:hAnsi="Times New Roman" w:cs="Times New Roman"/>
        </w:rPr>
        <w:t xml:space="preserve">наиболее привлекательным институтом для групп интересов выступает Европейская комиссия. Именно здесь сосредоточена работа заинтересованных групп по каждому из направлений политики Евросоюза. </w:t>
      </w:r>
    </w:p>
    <w:p w14:paraId="6A959197" w14:textId="77777777" w:rsidR="0000689A" w:rsidRPr="00CA78BD" w:rsidRDefault="007C336C" w:rsidP="007C5231">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Европейская комиссия – исполнительный орган Европейского союза, обладающий законодательной инициативой. Подготовка законопроектов для последующего их согласования в Европарламенте и Совете</w:t>
      </w:r>
      <w:r w:rsidR="007C5231" w:rsidRPr="00CA78BD">
        <w:rPr>
          <w:rFonts w:ascii="Times New Roman" w:hAnsi="Times New Roman" w:cs="Times New Roman"/>
        </w:rPr>
        <w:t xml:space="preserve"> – прерогатива Еврокомиссии, которая и обуславливает повышенное внимание со стороны групп интересов. Законопроекты, которые выносятся на обсуждение в Комиссии, находятся на самой ранней стадии разработки, а лоббирование того или иного решения всегда лучше начинать как можно раньше, на самых ранних этапах принятия решений. </w:t>
      </w:r>
    </w:p>
    <w:p w14:paraId="06FF3855" w14:textId="77777777" w:rsidR="008009C8" w:rsidRPr="00CA78BD" w:rsidRDefault="007C5231" w:rsidP="008009C8">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Еврокомиссия </w:t>
      </w:r>
      <w:r w:rsidR="0000689A" w:rsidRPr="00CA78BD">
        <w:rPr>
          <w:rFonts w:ascii="Times New Roman" w:hAnsi="Times New Roman" w:cs="Times New Roman"/>
        </w:rPr>
        <w:t xml:space="preserve">включает в себя не только </w:t>
      </w:r>
      <w:r w:rsidRPr="00CA78BD">
        <w:rPr>
          <w:rFonts w:ascii="Times New Roman" w:hAnsi="Times New Roman" w:cs="Times New Roman"/>
        </w:rPr>
        <w:t xml:space="preserve">Председателя и коллегию комиссаров, </w:t>
      </w:r>
      <w:r w:rsidR="0000689A" w:rsidRPr="00CA78BD">
        <w:rPr>
          <w:rFonts w:ascii="Times New Roman" w:hAnsi="Times New Roman" w:cs="Times New Roman"/>
        </w:rPr>
        <w:t xml:space="preserve">она также </w:t>
      </w:r>
      <w:r w:rsidRPr="00CA78BD">
        <w:rPr>
          <w:rFonts w:ascii="Times New Roman" w:hAnsi="Times New Roman" w:cs="Times New Roman"/>
        </w:rPr>
        <w:t xml:space="preserve">состоит из многочисленных служб и директоратов, помогающих </w:t>
      </w:r>
      <w:r w:rsidR="0000689A" w:rsidRPr="00CA78BD">
        <w:rPr>
          <w:rFonts w:ascii="Times New Roman" w:hAnsi="Times New Roman" w:cs="Times New Roman"/>
        </w:rPr>
        <w:t xml:space="preserve">ей </w:t>
      </w:r>
      <w:r w:rsidRPr="00CA78BD">
        <w:rPr>
          <w:rFonts w:ascii="Times New Roman" w:hAnsi="Times New Roman" w:cs="Times New Roman"/>
        </w:rPr>
        <w:t>в осуществлении своих полномочий.</w:t>
      </w:r>
      <w:r w:rsidR="0000689A" w:rsidRPr="00CA78BD">
        <w:rPr>
          <w:rFonts w:ascii="Times New Roman" w:hAnsi="Times New Roman" w:cs="Times New Roman"/>
        </w:rPr>
        <w:t xml:space="preserve"> </w:t>
      </w:r>
      <w:r w:rsidR="008009C8" w:rsidRPr="00CA78BD">
        <w:rPr>
          <w:rFonts w:ascii="Times New Roman" w:hAnsi="Times New Roman" w:cs="Times New Roman"/>
        </w:rPr>
        <w:t>И поскольку р</w:t>
      </w:r>
      <w:r w:rsidR="0000689A" w:rsidRPr="00CA78BD">
        <w:rPr>
          <w:rFonts w:ascii="Times New Roman" w:hAnsi="Times New Roman" w:cs="Times New Roman"/>
        </w:rPr>
        <w:t>азработка законопроектов требует кропотливой работы и точной формулировки выносимых на обсуждение предложений</w:t>
      </w:r>
      <w:r w:rsidR="008009C8" w:rsidRPr="00CA78BD">
        <w:rPr>
          <w:rFonts w:ascii="Times New Roman" w:hAnsi="Times New Roman" w:cs="Times New Roman"/>
        </w:rPr>
        <w:t xml:space="preserve">, собственных ресурсов у Еврокомиссии не хватает, и она вынуждена прибегать к помощи сторонних экспертов. Экспертные и консультативные комитеты и научные группы директоратов Еврокомиссии – важнейшие «точки доступа» для групп интересов. </w:t>
      </w:r>
    </w:p>
    <w:p w14:paraId="0820CCA1" w14:textId="77777777" w:rsidR="004D075E" w:rsidRPr="00CA78BD" w:rsidRDefault="008009C8" w:rsidP="00E11F73">
      <w:pPr>
        <w:autoSpaceDE w:val="0"/>
        <w:autoSpaceDN w:val="0"/>
        <w:adjustRightInd w:val="0"/>
        <w:spacing w:line="360" w:lineRule="auto"/>
        <w:ind w:left="360"/>
        <w:jc w:val="both"/>
        <w:rPr>
          <w:rFonts w:ascii="Times New Roman" w:hAnsi="Times New Roman" w:cs="Times New Roman"/>
        </w:rPr>
      </w:pPr>
      <w:r w:rsidRPr="00CA78BD">
        <w:rPr>
          <w:rFonts w:ascii="Times New Roman" w:eastAsia="Times New Roman" w:hAnsi="Times New Roman" w:cs="Times New Roman"/>
        </w:rPr>
        <w:tab/>
      </w:r>
      <w:r w:rsidRPr="00CA78BD">
        <w:rPr>
          <w:rFonts w:ascii="Times New Roman" w:hAnsi="Times New Roman" w:cs="Times New Roman"/>
        </w:rPr>
        <w:t xml:space="preserve">В целом </w:t>
      </w:r>
      <w:r w:rsidR="005B2D2C" w:rsidRPr="00CA78BD">
        <w:rPr>
          <w:rFonts w:ascii="Times New Roman" w:hAnsi="Times New Roman" w:cs="Times New Roman"/>
        </w:rPr>
        <w:t>Европейская комиссия</w:t>
      </w:r>
      <w:r w:rsidRPr="00CA78BD">
        <w:rPr>
          <w:rFonts w:ascii="Times New Roman" w:hAnsi="Times New Roman" w:cs="Times New Roman"/>
        </w:rPr>
        <w:t xml:space="preserve"> и группы </w:t>
      </w:r>
      <w:r w:rsidR="005B2D2C" w:rsidRPr="00CA78BD">
        <w:rPr>
          <w:rFonts w:ascii="Times New Roman" w:hAnsi="Times New Roman" w:cs="Times New Roman"/>
        </w:rPr>
        <w:t xml:space="preserve">интересов </w:t>
      </w:r>
      <w:r w:rsidRPr="00CA78BD">
        <w:rPr>
          <w:rFonts w:ascii="Times New Roman" w:hAnsi="Times New Roman" w:cs="Times New Roman"/>
        </w:rPr>
        <w:t xml:space="preserve">охотно идут на диалог друг с другом. </w:t>
      </w:r>
      <w:r w:rsidR="009660BD" w:rsidRPr="00CA78BD">
        <w:rPr>
          <w:rFonts w:ascii="Times New Roman" w:hAnsi="Times New Roman" w:cs="Times New Roman"/>
        </w:rPr>
        <w:t>Основные Генеральные директораты (ГД), отвечающие за разработку мер в области экологической политики, включают ГД по окружающей среде (</w:t>
      </w:r>
      <w:r w:rsidR="009660BD" w:rsidRPr="00CA78BD">
        <w:rPr>
          <w:rFonts w:ascii="Times New Roman" w:hAnsi="Times New Roman" w:cs="Times New Roman"/>
          <w:bCs/>
          <w:iCs/>
          <w:lang w:val="en-US"/>
        </w:rPr>
        <w:t>DG</w:t>
      </w:r>
      <w:r w:rsidR="009660BD" w:rsidRPr="00CA78BD">
        <w:rPr>
          <w:rFonts w:ascii="Times New Roman" w:hAnsi="Times New Roman" w:cs="Times New Roman"/>
          <w:bCs/>
          <w:iCs/>
        </w:rPr>
        <w:t xml:space="preserve"> </w:t>
      </w:r>
      <w:r w:rsidR="009660BD" w:rsidRPr="00CA78BD">
        <w:rPr>
          <w:rFonts w:ascii="Times New Roman" w:hAnsi="Times New Roman" w:cs="Times New Roman"/>
          <w:bCs/>
          <w:iCs/>
          <w:lang w:val="en-US"/>
        </w:rPr>
        <w:lastRenderedPageBreak/>
        <w:t>Environment</w:t>
      </w:r>
      <w:r w:rsidR="009660BD" w:rsidRPr="00CA78BD">
        <w:rPr>
          <w:rFonts w:ascii="Times New Roman" w:hAnsi="Times New Roman" w:cs="Times New Roman"/>
        </w:rPr>
        <w:t>), ГД по морским делам и рыболовству (</w:t>
      </w:r>
      <w:r w:rsidR="009660BD" w:rsidRPr="00CA78BD">
        <w:rPr>
          <w:rFonts w:ascii="Times New Roman" w:hAnsi="Times New Roman" w:cs="Times New Roman"/>
          <w:bCs/>
          <w:iCs/>
          <w:lang w:val="en-US"/>
        </w:rPr>
        <w:t>DG</w:t>
      </w:r>
      <w:r w:rsidR="009660BD" w:rsidRPr="00CA78BD">
        <w:rPr>
          <w:rFonts w:ascii="Times New Roman" w:hAnsi="Times New Roman" w:cs="Times New Roman"/>
          <w:bCs/>
          <w:iCs/>
        </w:rPr>
        <w:t xml:space="preserve"> </w:t>
      </w:r>
      <w:r w:rsidR="009660BD" w:rsidRPr="00CA78BD">
        <w:rPr>
          <w:rFonts w:ascii="Times New Roman" w:hAnsi="Times New Roman" w:cs="Times New Roman"/>
          <w:bCs/>
          <w:iCs/>
          <w:lang w:val="en-US"/>
        </w:rPr>
        <w:t>Maritime</w:t>
      </w:r>
      <w:r w:rsidR="009660BD" w:rsidRPr="00CA78BD">
        <w:rPr>
          <w:rFonts w:ascii="Times New Roman" w:hAnsi="Times New Roman" w:cs="Times New Roman"/>
          <w:bCs/>
          <w:iCs/>
        </w:rPr>
        <w:t xml:space="preserve"> </w:t>
      </w:r>
      <w:r w:rsidR="009660BD" w:rsidRPr="00CA78BD">
        <w:rPr>
          <w:rFonts w:ascii="Times New Roman" w:hAnsi="Times New Roman" w:cs="Times New Roman"/>
          <w:bCs/>
          <w:iCs/>
          <w:lang w:val="en-US"/>
        </w:rPr>
        <w:t>Affairs</w:t>
      </w:r>
      <w:r w:rsidR="009660BD" w:rsidRPr="00CA78BD">
        <w:rPr>
          <w:rFonts w:ascii="Times New Roman" w:hAnsi="Times New Roman" w:cs="Times New Roman"/>
          <w:bCs/>
          <w:iCs/>
        </w:rPr>
        <w:t xml:space="preserve"> </w:t>
      </w:r>
      <w:r w:rsidR="009660BD" w:rsidRPr="00CA78BD">
        <w:rPr>
          <w:rFonts w:ascii="Times New Roman" w:hAnsi="Times New Roman" w:cs="Times New Roman"/>
          <w:bCs/>
          <w:iCs/>
          <w:lang w:val="en-US"/>
        </w:rPr>
        <w:t>and</w:t>
      </w:r>
      <w:r w:rsidR="009660BD" w:rsidRPr="00CA78BD">
        <w:rPr>
          <w:rFonts w:ascii="Times New Roman" w:hAnsi="Times New Roman" w:cs="Times New Roman"/>
          <w:bCs/>
          <w:iCs/>
        </w:rPr>
        <w:t xml:space="preserve"> </w:t>
      </w:r>
      <w:r w:rsidR="009660BD" w:rsidRPr="00CA78BD">
        <w:rPr>
          <w:rFonts w:ascii="Times New Roman" w:hAnsi="Times New Roman" w:cs="Times New Roman"/>
          <w:bCs/>
          <w:iCs/>
          <w:lang w:val="en-US"/>
        </w:rPr>
        <w:t>Fisheries</w:t>
      </w:r>
      <w:r w:rsidR="009660BD" w:rsidRPr="00CA78BD">
        <w:rPr>
          <w:rFonts w:ascii="Times New Roman" w:hAnsi="Times New Roman" w:cs="Times New Roman"/>
        </w:rPr>
        <w:t>), ГД по климатической политике (</w:t>
      </w:r>
      <w:r w:rsidR="009660BD" w:rsidRPr="00CA78BD">
        <w:rPr>
          <w:rFonts w:ascii="Times New Roman" w:hAnsi="Times New Roman" w:cs="Times New Roman"/>
          <w:bCs/>
          <w:iCs/>
          <w:lang w:val="fr-FR"/>
        </w:rPr>
        <w:t>DG Climate Action</w:t>
      </w:r>
      <w:r w:rsidR="009660BD" w:rsidRPr="00CA78BD">
        <w:rPr>
          <w:rFonts w:ascii="Times New Roman" w:hAnsi="Times New Roman" w:cs="Times New Roman"/>
        </w:rPr>
        <w:t>), ГД по энергетической политике (</w:t>
      </w:r>
      <w:r w:rsidR="009660BD" w:rsidRPr="00CA78BD">
        <w:rPr>
          <w:rFonts w:ascii="Times New Roman" w:hAnsi="Times New Roman" w:cs="Times New Roman"/>
          <w:bCs/>
          <w:iCs/>
        </w:rPr>
        <w:t>DG Energy</w:t>
      </w:r>
      <w:r w:rsidR="009660BD" w:rsidRPr="00CA78BD">
        <w:rPr>
          <w:rFonts w:ascii="Times New Roman" w:hAnsi="Times New Roman" w:cs="Times New Roman"/>
        </w:rPr>
        <w:t>), ГД по сельскому хозяйству и развитию сельских регионов (</w:t>
      </w:r>
      <w:r w:rsidR="009660BD" w:rsidRPr="00CA78BD">
        <w:rPr>
          <w:rFonts w:ascii="Times New Roman" w:hAnsi="Times New Roman" w:cs="Times New Roman"/>
          <w:bCs/>
          <w:iCs/>
          <w:lang w:val="en-US"/>
        </w:rPr>
        <w:t>DG</w:t>
      </w:r>
      <w:r w:rsidR="009660BD" w:rsidRPr="00CA78BD">
        <w:rPr>
          <w:rFonts w:ascii="Times New Roman" w:hAnsi="Times New Roman" w:cs="Times New Roman"/>
          <w:bCs/>
          <w:iCs/>
        </w:rPr>
        <w:t xml:space="preserve"> </w:t>
      </w:r>
      <w:r w:rsidR="009660BD" w:rsidRPr="00CA78BD">
        <w:rPr>
          <w:rFonts w:ascii="Times New Roman" w:hAnsi="Times New Roman" w:cs="Times New Roman"/>
          <w:bCs/>
          <w:iCs/>
          <w:lang w:val="en-US"/>
        </w:rPr>
        <w:t>Agriculture</w:t>
      </w:r>
      <w:r w:rsidR="009660BD" w:rsidRPr="00CA78BD">
        <w:rPr>
          <w:rFonts w:ascii="Times New Roman" w:hAnsi="Times New Roman" w:cs="Times New Roman"/>
          <w:bCs/>
          <w:iCs/>
        </w:rPr>
        <w:t xml:space="preserve"> </w:t>
      </w:r>
      <w:r w:rsidR="009660BD" w:rsidRPr="00CA78BD">
        <w:rPr>
          <w:rFonts w:ascii="Times New Roman" w:hAnsi="Times New Roman" w:cs="Times New Roman"/>
          <w:bCs/>
          <w:iCs/>
          <w:lang w:val="en-US"/>
        </w:rPr>
        <w:t>and</w:t>
      </w:r>
      <w:r w:rsidR="009660BD" w:rsidRPr="00CA78BD">
        <w:rPr>
          <w:rFonts w:ascii="Times New Roman" w:hAnsi="Times New Roman" w:cs="Times New Roman"/>
          <w:bCs/>
          <w:iCs/>
        </w:rPr>
        <w:t xml:space="preserve"> </w:t>
      </w:r>
      <w:r w:rsidR="009660BD" w:rsidRPr="00CA78BD">
        <w:rPr>
          <w:rFonts w:ascii="Times New Roman" w:hAnsi="Times New Roman" w:cs="Times New Roman"/>
          <w:bCs/>
          <w:iCs/>
          <w:lang w:val="en-US"/>
        </w:rPr>
        <w:t>Rural</w:t>
      </w:r>
      <w:r w:rsidR="009660BD" w:rsidRPr="00CA78BD">
        <w:rPr>
          <w:rFonts w:ascii="Times New Roman" w:hAnsi="Times New Roman" w:cs="Times New Roman"/>
          <w:bCs/>
          <w:iCs/>
        </w:rPr>
        <w:t xml:space="preserve"> </w:t>
      </w:r>
      <w:r w:rsidR="009660BD" w:rsidRPr="00CA78BD">
        <w:rPr>
          <w:rFonts w:ascii="Times New Roman" w:hAnsi="Times New Roman" w:cs="Times New Roman"/>
          <w:bCs/>
          <w:iCs/>
          <w:lang w:val="en-US"/>
        </w:rPr>
        <w:t>Development</w:t>
      </w:r>
      <w:r w:rsidR="009660BD" w:rsidRPr="00CA78BD">
        <w:rPr>
          <w:rFonts w:ascii="Times New Roman" w:hAnsi="Times New Roman" w:cs="Times New Roman"/>
        </w:rPr>
        <w:t>) и ГД по здравоохранению и защите потребителей (</w:t>
      </w:r>
      <w:r w:rsidR="009660BD" w:rsidRPr="00CA78BD">
        <w:rPr>
          <w:rFonts w:ascii="Times New Roman" w:hAnsi="Times New Roman" w:cs="Times New Roman"/>
          <w:bCs/>
          <w:iCs/>
          <w:lang w:val="en-US"/>
        </w:rPr>
        <w:t>DG</w:t>
      </w:r>
      <w:r w:rsidR="009660BD" w:rsidRPr="00CA78BD">
        <w:rPr>
          <w:rFonts w:ascii="Times New Roman" w:hAnsi="Times New Roman" w:cs="Times New Roman"/>
          <w:bCs/>
          <w:iCs/>
        </w:rPr>
        <w:t xml:space="preserve"> </w:t>
      </w:r>
      <w:r w:rsidR="009660BD" w:rsidRPr="00CA78BD">
        <w:rPr>
          <w:rFonts w:ascii="Times New Roman" w:hAnsi="Times New Roman" w:cs="Times New Roman"/>
          <w:bCs/>
          <w:iCs/>
          <w:lang w:val="en-US"/>
        </w:rPr>
        <w:t>Health</w:t>
      </w:r>
      <w:r w:rsidR="009660BD" w:rsidRPr="00CA78BD">
        <w:rPr>
          <w:rFonts w:ascii="Times New Roman" w:hAnsi="Times New Roman" w:cs="Times New Roman"/>
          <w:bCs/>
          <w:iCs/>
        </w:rPr>
        <w:t xml:space="preserve"> </w:t>
      </w:r>
      <w:r w:rsidR="009660BD" w:rsidRPr="00CA78BD">
        <w:rPr>
          <w:rFonts w:ascii="Times New Roman" w:hAnsi="Times New Roman" w:cs="Times New Roman"/>
          <w:bCs/>
          <w:iCs/>
          <w:lang w:val="en-US"/>
        </w:rPr>
        <w:t>and</w:t>
      </w:r>
      <w:r w:rsidR="009660BD" w:rsidRPr="00CA78BD">
        <w:rPr>
          <w:rFonts w:ascii="Times New Roman" w:hAnsi="Times New Roman" w:cs="Times New Roman"/>
          <w:bCs/>
          <w:iCs/>
        </w:rPr>
        <w:t xml:space="preserve"> </w:t>
      </w:r>
      <w:r w:rsidR="009660BD" w:rsidRPr="00CA78BD">
        <w:rPr>
          <w:rFonts w:ascii="Times New Roman" w:hAnsi="Times New Roman" w:cs="Times New Roman"/>
          <w:bCs/>
          <w:iCs/>
          <w:lang w:val="en-US"/>
        </w:rPr>
        <w:t>Consumers</w:t>
      </w:r>
      <w:r w:rsidR="009660BD" w:rsidRPr="00CA78BD">
        <w:rPr>
          <w:rFonts w:ascii="Times New Roman" w:hAnsi="Times New Roman" w:cs="Times New Roman"/>
        </w:rPr>
        <w:t>)</w:t>
      </w:r>
      <w:r w:rsidR="009660BD" w:rsidRPr="00CA78BD">
        <w:rPr>
          <w:rFonts w:ascii="Times New Roman" w:eastAsia="Times New Roman" w:hAnsi="Times New Roman" w:cs="Times New Roman"/>
          <w:vertAlign w:val="superscript"/>
        </w:rPr>
        <w:footnoteReference w:id="24"/>
      </w:r>
      <w:r w:rsidR="009660BD" w:rsidRPr="00CA78BD">
        <w:rPr>
          <w:rFonts w:ascii="Times New Roman" w:hAnsi="Times New Roman" w:cs="Times New Roman"/>
        </w:rPr>
        <w:t>. Именно в этих структурных подразделениях разворачивается борьба экологических организаций за свои интересы.</w:t>
      </w:r>
    </w:p>
    <w:p w14:paraId="6D56F55B" w14:textId="77777777" w:rsidR="006B2CA4" w:rsidRPr="00CA78BD" w:rsidRDefault="00274892" w:rsidP="006B2CA4">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Другая важнейшая «точка доступа» для групп интересов – это комитеты Европарламента. </w:t>
      </w:r>
      <w:r w:rsidR="004D075E" w:rsidRPr="00CA78BD">
        <w:rPr>
          <w:rFonts w:ascii="Times New Roman" w:hAnsi="Times New Roman" w:cs="Times New Roman"/>
        </w:rPr>
        <w:t xml:space="preserve">Именно в комитетах происходит тщательная оценка законопроекта с привлечением соответствующих специалистов и ведётся диалог с группами интересов. Например, законопроекты в области экологической политики могут быть направлены в </w:t>
      </w:r>
      <w:r w:rsidR="004D075E" w:rsidRPr="00CA78BD">
        <w:rPr>
          <w:rFonts w:ascii="Times New Roman" w:eastAsia="Times New Roman" w:hAnsi="Times New Roman" w:cs="Times New Roman"/>
          <w:color w:val="000000" w:themeColor="text1"/>
          <w:shd w:val="clear" w:color="auto" w:fill="FFFFFF"/>
          <w:lang w:eastAsia="ru-RU"/>
        </w:rPr>
        <w:t>Комитет по окружающей среде, здравоохранению и безопасности пищевых продуктов (</w:t>
      </w:r>
      <w:r w:rsidR="004D075E" w:rsidRPr="00CA78BD">
        <w:rPr>
          <w:rFonts w:ascii="Times New Roman" w:eastAsia="Times New Roman" w:hAnsi="Times New Roman" w:cs="Times New Roman"/>
          <w:color w:val="000000" w:themeColor="text1"/>
          <w:shd w:val="clear" w:color="auto" w:fill="FFFFFF"/>
          <w:lang w:val="en-US" w:eastAsia="ru-RU"/>
        </w:rPr>
        <w:t>Environment</w:t>
      </w:r>
      <w:r w:rsidR="004D075E" w:rsidRPr="00CA78BD">
        <w:rPr>
          <w:rFonts w:ascii="Times New Roman" w:eastAsia="Times New Roman" w:hAnsi="Times New Roman" w:cs="Times New Roman"/>
          <w:color w:val="000000" w:themeColor="text1"/>
          <w:shd w:val="clear" w:color="auto" w:fill="FFFFFF"/>
          <w:lang w:eastAsia="ru-RU"/>
        </w:rPr>
        <w:t xml:space="preserve">, </w:t>
      </w:r>
      <w:r w:rsidR="004D075E" w:rsidRPr="00CA78BD">
        <w:rPr>
          <w:rFonts w:ascii="Times New Roman" w:eastAsia="Times New Roman" w:hAnsi="Times New Roman" w:cs="Times New Roman"/>
          <w:color w:val="000000" w:themeColor="text1"/>
          <w:shd w:val="clear" w:color="auto" w:fill="FFFFFF"/>
          <w:lang w:val="en-US" w:eastAsia="ru-RU"/>
        </w:rPr>
        <w:t>Public</w:t>
      </w:r>
      <w:r w:rsidR="004D075E" w:rsidRPr="00CA78BD">
        <w:rPr>
          <w:rFonts w:ascii="Times New Roman" w:eastAsia="Times New Roman" w:hAnsi="Times New Roman" w:cs="Times New Roman"/>
          <w:color w:val="000000" w:themeColor="text1"/>
          <w:shd w:val="clear" w:color="auto" w:fill="FFFFFF"/>
          <w:lang w:eastAsia="ru-RU"/>
        </w:rPr>
        <w:t xml:space="preserve"> </w:t>
      </w:r>
      <w:r w:rsidR="004D075E" w:rsidRPr="00CA78BD">
        <w:rPr>
          <w:rFonts w:ascii="Times New Roman" w:eastAsia="Times New Roman" w:hAnsi="Times New Roman" w:cs="Times New Roman"/>
          <w:color w:val="000000" w:themeColor="text1"/>
          <w:shd w:val="clear" w:color="auto" w:fill="FFFFFF"/>
          <w:lang w:val="en-US" w:eastAsia="ru-RU"/>
        </w:rPr>
        <w:t>Health</w:t>
      </w:r>
      <w:r w:rsidR="004D075E" w:rsidRPr="00CA78BD">
        <w:rPr>
          <w:rFonts w:ascii="Times New Roman" w:eastAsia="Times New Roman" w:hAnsi="Times New Roman" w:cs="Times New Roman"/>
          <w:color w:val="000000" w:themeColor="text1"/>
          <w:shd w:val="clear" w:color="auto" w:fill="FFFFFF"/>
          <w:lang w:eastAsia="ru-RU"/>
        </w:rPr>
        <w:t xml:space="preserve"> </w:t>
      </w:r>
      <w:r w:rsidR="004D075E" w:rsidRPr="00CA78BD">
        <w:rPr>
          <w:rFonts w:ascii="Times New Roman" w:eastAsia="Times New Roman" w:hAnsi="Times New Roman" w:cs="Times New Roman"/>
          <w:color w:val="000000" w:themeColor="text1"/>
          <w:shd w:val="clear" w:color="auto" w:fill="FFFFFF"/>
          <w:lang w:val="en-US" w:eastAsia="ru-RU"/>
        </w:rPr>
        <w:t>and</w:t>
      </w:r>
      <w:r w:rsidR="004D075E" w:rsidRPr="00CA78BD">
        <w:rPr>
          <w:rFonts w:ascii="Times New Roman" w:eastAsia="Times New Roman" w:hAnsi="Times New Roman" w:cs="Times New Roman"/>
          <w:color w:val="000000" w:themeColor="text1"/>
          <w:shd w:val="clear" w:color="auto" w:fill="FFFFFF"/>
          <w:lang w:eastAsia="ru-RU"/>
        </w:rPr>
        <w:t xml:space="preserve"> </w:t>
      </w:r>
      <w:r w:rsidR="004D075E" w:rsidRPr="00CA78BD">
        <w:rPr>
          <w:rFonts w:ascii="Times New Roman" w:eastAsia="Times New Roman" w:hAnsi="Times New Roman" w:cs="Times New Roman"/>
          <w:color w:val="000000" w:themeColor="text1"/>
          <w:shd w:val="clear" w:color="auto" w:fill="FFFFFF"/>
          <w:lang w:val="en-US" w:eastAsia="ru-RU"/>
        </w:rPr>
        <w:t>Food</w:t>
      </w:r>
      <w:r w:rsidR="004D075E" w:rsidRPr="00CA78BD">
        <w:rPr>
          <w:rFonts w:ascii="Times New Roman" w:eastAsia="Times New Roman" w:hAnsi="Times New Roman" w:cs="Times New Roman"/>
          <w:color w:val="000000" w:themeColor="text1"/>
          <w:shd w:val="clear" w:color="auto" w:fill="FFFFFF"/>
          <w:lang w:eastAsia="ru-RU"/>
        </w:rPr>
        <w:t xml:space="preserve"> </w:t>
      </w:r>
      <w:r w:rsidR="004D075E" w:rsidRPr="00CA78BD">
        <w:rPr>
          <w:rFonts w:ascii="Times New Roman" w:eastAsia="Times New Roman" w:hAnsi="Times New Roman" w:cs="Times New Roman"/>
          <w:color w:val="000000" w:themeColor="text1"/>
          <w:shd w:val="clear" w:color="auto" w:fill="FFFFFF"/>
          <w:lang w:val="en-US" w:eastAsia="ru-RU"/>
        </w:rPr>
        <w:t>Safety</w:t>
      </w:r>
      <w:r w:rsidR="004D075E" w:rsidRPr="00CA78BD">
        <w:rPr>
          <w:rFonts w:ascii="Times New Roman" w:eastAsia="Times New Roman" w:hAnsi="Times New Roman" w:cs="Times New Roman"/>
          <w:color w:val="000000" w:themeColor="text1"/>
          <w:shd w:val="clear" w:color="auto" w:fill="FFFFFF"/>
          <w:lang w:eastAsia="ru-RU"/>
        </w:rPr>
        <w:t>)</w:t>
      </w:r>
      <w:r w:rsidR="00C621E6" w:rsidRPr="00CA78BD">
        <w:rPr>
          <w:rFonts w:ascii="Times New Roman" w:eastAsia="Times New Roman" w:hAnsi="Times New Roman" w:cs="Times New Roman"/>
          <w:color w:val="000000" w:themeColor="text1"/>
          <w:shd w:val="clear" w:color="auto" w:fill="FFFFFF"/>
          <w:lang w:eastAsia="ru-RU"/>
        </w:rPr>
        <w:t>, по транспорту и туризму (</w:t>
      </w:r>
      <w:r w:rsidR="00C621E6" w:rsidRPr="00CA78BD">
        <w:rPr>
          <w:rFonts w:ascii="Times New Roman" w:eastAsia="Times New Roman" w:hAnsi="Times New Roman" w:cs="Times New Roman"/>
          <w:color w:val="000000" w:themeColor="text1"/>
          <w:shd w:val="clear" w:color="auto" w:fill="FFFFFF"/>
          <w:lang w:val="en-US" w:eastAsia="ru-RU"/>
        </w:rPr>
        <w:t>Transport</w:t>
      </w:r>
      <w:r w:rsidR="00C621E6" w:rsidRPr="00CA78BD">
        <w:rPr>
          <w:rFonts w:ascii="Times New Roman" w:eastAsia="Times New Roman" w:hAnsi="Times New Roman" w:cs="Times New Roman"/>
          <w:color w:val="000000" w:themeColor="text1"/>
          <w:shd w:val="clear" w:color="auto" w:fill="FFFFFF"/>
          <w:lang w:eastAsia="ru-RU"/>
        </w:rPr>
        <w:t xml:space="preserve"> </w:t>
      </w:r>
      <w:r w:rsidR="00C621E6" w:rsidRPr="00CA78BD">
        <w:rPr>
          <w:rFonts w:ascii="Times New Roman" w:eastAsia="Times New Roman" w:hAnsi="Times New Roman" w:cs="Times New Roman"/>
          <w:color w:val="000000" w:themeColor="text1"/>
          <w:shd w:val="clear" w:color="auto" w:fill="FFFFFF"/>
          <w:lang w:val="en-US" w:eastAsia="ru-RU"/>
        </w:rPr>
        <w:t>and</w:t>
      </w:r>
      <w:r w:rsidR="00C621E6" w:rsidRPr="00CA78BD">
        <w:rPr>
          <w:rFonts w:ascii="Times New Roman" w:eastAsia="Times New Roman" w:hAnsi="Times New Roman" w:cs="Times New Roman"/>
          <w:color w:val="000000" w:themeColor="text1"/>
          <w:shd w:val="clear" w:color="auto" w:fill="FFFFFF"/>
          <w:lang w:eastAsia="ru-RU"/>
        </w:rPr>
        <w:t xml:space="preserve"> </w:t>
      </w:r>
      <w:r w:rsidR="00C621E6" w:rsidRPr="00CA78BD">
        <w:rPr>
          <w:rFonts w:ascii="Times New Roman" w:eastAsia="Times New Roman" w:hAnsi="Times New Roman" w:cs="Times New Roman"/>
          <w:color w:val="000000" w:themeColor="text1"/>
          <w:shd w:val="clear" w:color="auto" w:fill="FFFFFF"/>
          <w:lang w:val="en-US" w:eastAsia="ru-RU"/>
        </w:rPr>
        <w:t>Tourism</w:t>
      </w:r>
      <w:r w:rsidR="00C621E6" w:rsidRPr="00CA78BD">
        <w:rPr>
          <w:rFonts w:ascii="Times New Roman" w:eastAsia="Times New Roman" w:hAnsi="Times New Roman" w:cs="Times New Roman"/>
          <w:color w:val="000000" w:themeColor="text1"/>
          <w:shd w:val="clear" w:color="auto" w:fill="FFFFFF"/>
          <w:lang w:eastAsia="ru-RU"/>
        </w:rPr>
        <w:t>), по сельскому хозяйству (</w:t>
      </w:r>
      <w:r w:rsidR="00C621E6" w:rsidRPr="00CA78BD">
        <w:rPr>
          <w:rFonts w:ascii="Times New Roman" w:eastAsia="Times New Roman" w:hAnsi="Times New Roman" w:cs="Times New Roman"/>
          <w:color w:val="000000" w:themeColor="text1"/>
          <w:shd w:val="clear" w:color="auto" w:fill="FFFFFF"/>
          <w:lang w:val="en-US" w:eastAsia="ru-RU"/>
        </w:rPr>
        <w:t>Agriculture</w:t>
      </w:r>
      <w:r w:rsidR="00C621E6" w:rsidRPr="00CA78BD">
        <w:rPr>
          <w:rFonts w:ascii="Times New Roman" w:eastAsia="Times New Roman" w:hAnsi="Times New Roman" w:cs="Times New Roman"/>
          <w:color w:val="000000" w:themeColor="text1"/>
          <w:shd w:val="clear" w:color="auto" w:fill="FFFFFF"/>
          <w:lang w:eastAsia="ru-RU"/>
        </w:rPr>
        <w:t xml:space="preserve"> </w:t>
      </w:r>
      <w:r w:rsidR="00C621E6" w:rsidRPr="00CA78BD">
        <w:rPr>
          <w:rFonts w:ascii="Times New Roman" w:eastAsia="Times New Roman" w:hAnsi="Times New Roman" w:cs="Times New Roman"/>
          <w:color w:val="000000" w:themeColor="text1"/>
          <w:shd w:val="clear" w:color="auto" w:fill="FFFFFF"/>
          <w:lang w:val="en-US" w:eastAsia="ru-RU"/>
        </w:rPr>
        <w:t>and</w:t>
      </w:r>
      <w:r w:rsidR="00C621E6" w:rsidRPr="00CA78BD">
        <w:rPr>
          <w:rFonts w:ascii="Times New Roman" w:eastAsia="Times New Roman" w:hAnsi="Times New Roman" w:cs="Times New Roman"/>
          <w:color w:val="000000" w:themeColor="text1"/>
          <w:shd w:val="clear" w:color="auto" w:fill="FFFFFF"/>
          <w:lang w:eastAsia="ru-RU"/>
        </w:rPr>
        <w:t xml:space="preserve"> </w:t>
      </w:r>
      <w:r w:rsidR="00C621E6" w:rsidRPr="00CA78BD">
        <w:rPr>
          <w:rFonts w:ascii="Times New Roman" w:eastAsia="Times New Roman" w:hAnsi="Times New Roman" w:cs="Times New Roman"/>
          <w:color w:val="000000" w:themeColor="text1"/>
          <w:shd w:val="clear" w:color="auto" w:fill="FFFFFF"/>
          <w:lang w:val="en-US" w:eastAsia="ru-RU"/>
        </w:rPr>
        <w:t>Rural</w:t>
      </w:r>
      <w:r w:rsidR="00C621E6" w:rsidRPr="00CA78BD">
        <w:rPr>
          <w:rFonts w:ascii="Times New Roman" w:eastAsia="Times New Roman" w:hAnsi="Times New Roman" w:cs="Times New Roman"/>
          <w:color w:val="000000" w:themeColor="text1"/>
          <w:shd w:val="clear" w:color="auto" w:fill="FFFFFF"/>
          <w:lang w:eastAsia="ru-RU"/>
        </w:rPr>
        <w:t xml:space="preserve"> </w:t>
      </w:r>
      <w:r w:rsidR="00C621E6" w:rsidRPr="00CA78BD">
        <w:rPr>
          <w:rFonts w:ascii="Times New Roman" w:eastAsia="Times New Roman" w:hAnsi="Times New Roman" w:cs="Times New Roman"/>
          <w:color w:val="000000" w:themeColor="text1"/>
          <w:shd w:val="clear" w:color="auto" w:fill="FFFFFF"/>
          <w:lang w:val="en-US" w:eastAsia="ru-RU"/>
        </w:rPr>
        <w:t>Development</w:t>
      </w:r>
      <w:r w:rsidR="00C621E6" w:rsidRPr="00CA78BD">
        <w:rPr>
          <w:rFonts w:ascii="Times New Roman" w:eastAsia="Times New Roman" w:hAnsi="Times New Roman" w:cs="Times New Roman"/>
          <w:color w:val="000000" w:themeColor="text1"/>
          <w:shd w:val="clear" w:color="auto" w:fill="FFFFFF"/>
          <w:lang w:eastAsia="ru-RU"/>
        </w:rPr>
        <w:t>) или рыболовству (</w:t>
      </w:r>
      <w:r w:rsidR="00C621E6" w:rsidRPr="00CA78BD">
        <w:rPr>
          <w:rFonts w:ascii="Times New Roman" w:eastAsia="Times New Roman" w:hAnsi="Times New Roman" w:cs="Times New Roman"/>
          <w:color w:val="000000" w:themeColor="text1"/>
          <w:shd w:val="clear" w:color="auto" w:fill="FFFFFF"/>
          <w:lang w:val="en-US" w:eastAsia="ru-RU"/>
        </w:rPr>
        <w:t>Fisheries</w:t>
      </w:r>
      <w:r w:rsidR="00C621E6" w:rsidRPr="00CA78BD">
        <w:rPr>
          <w:rFonts w:ascii="Times New Roman" w:eastAsia="Times New Roman" w:hAnsi="Times New Roman" w:cs="Times New Roman"/>
          <w:color w:val="000000" w:themeColor="text1"/>
          <w:shd w:val="clear" w:color="auto" w:fill="FFFFFF"/>
          <w:lang w:eastAsia="ru-RU"/>
        </w:rPr>
        <w:t>)</w:t>
      </w:r>
      <w:r w:rsidR="00C621E6" w:rsidRPr="00CA78BD">
        <w:rPr>
          <w:rStyle w:val="ab"/>
          <w:rFonts w:ascii="Times New Roman" w:eastAsia="Times New Roman" w:hAnsi="Times New Roman" w:cs="Times New Roman"/>
          <w:color w:val="000000" w:themeColor="text1"/>
          <w:shd w:val="clear" w:color="auto" w:fill="FFFFFF"/>
          <w:lang w:eastAsia="ru-RU"/>
        </w:rPr>
        <w:footnoteReference w:id="25"/>
      </w:r>
      <w:r w:rsidR="00C621E6" w:rsidRPr="00CA78BD">
        <w:rPr>
          <w:rFonts w:ascii="Times New Roman" w:eastAsia="Times New Roman" w:hAnsi="Times New Roman" w:cs="Times New Roman"/>
          <w:color w:val="000000" w:themeColor="text1"/>
          <w:shd w:val="clear" w:color="auto" w:fill="FFFFFF"/>
          <w:lang w:eastAsia="ru-RU"/>
        </w:rPr>
        <w:t xml:space="preserve">. Но стоит учесть, что в Европарламенте </w:t>
      </w:r>
      <w:r w:rsidR="00C621E6" w:rsidRPr="00CA78BD">
        <w:rPr>
          <w:rFonts w:ascii="Times New Roman" w:hAnsi="Times New Roman" w:cs="Times New Roman"/>
        </w:rPr>
        <w:t>законопроект находится уже на стадии внесения поправок, поэтому для групп интересов этот институт имеет уже не такое большое значение. Кроме того,</w:t>
      </w:r>
      <w:r w:rsidR="00DD1DD1" w:rsidRPr="00CA78BD">
        <w:rPr>
          <w:rFonts w:ascii="Times New Roman" w:hAnsi="Times New Roman" w:cs="Times New Roman"/>
        </w:rPr>
        <w:t xml:space="preserve"> возможности Европарламента ограничены системой сдержек и противовесов институтов Евросоюза. </w:t>
      </w:r>
    </w:p>
    <w:p w14:paraId="3C0F9F17" w14:textId="77777777" w:rsidR="00274892" w:rsidRPr="00CA78BD" w:rsidRDefault="00DD1DD1" w:rsidP="00547BE6">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Что касается других институтов Европейского союза, а именно Европейского совета и Совета Европейского союза, то </w:t>
      </w:r>
      <w:r w:rsidR="006B2CA4" w:rsidRPr="00CA78BD">
        <w:rPr>
          <w:rFonts w:ascii="Times New Roman" w:hAnsi="Times New Roman" w:cs="Times New Roman"/>
        </w:rPr>
        <w:t>специфика этих органов не предполагает возможностей для организованных групп интересов донести свою точку зрения. Решения в этих институтах принимаются конфиденциально, а позиции участников переговорного процесса согласовываются на национальном уровне. В связи с этим повлиять на исход встреч высокопоставленных лиц, участвующих в работе этих двух институтов, возможно только на уровне стран-членов.</w:t>
      </w:r>
      <w:r w:rsidR="00547BE6" w:rsidRPr="00CA78BD">
        <w:rPr>
          <w:rFonts w:ascii="Times New Roman" w:hAnsi="Times New Roman" w:cs="Times New Roman"/>
        </w:rPr>
        <w:t xml:space="preserve"> Следовательно, только два института Европейского союза открыты для сотрудничества с лоббистами – Европейская комиссия и Европейский парламент. Именно в них сосредоточена основная работа по продвижению интересов</w:t>
      </w:r>
      <w:r w:rsidR="000A3EB5" w:rsidRPr="00CA78BD">
        <w:rPr>
          <w:rFonts w:ascii="Times New Roman" w:hAnsi="Times New Roman" w:cs="Times New Roman"/>
        </w:rPr>
        <w:t xml:space="preserve">. </w:t>
      </w:r>
    </w:p>
    <w:p w14:paraId="3E571916" w14:textId="77777777" w:rsidR="00F05F21" w:rsidRPr="00CA78BD" w:rsidRDefault="00F05F21" w:rsidP="00E11F73">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Готовность Еврокомиссии и Европарламента к работе с представителями групп интересов обусловлена их ролью в системе Евросоюза и потребностью в информации. </w:t>
      </w:r>
      <w:r w:rsidR="007178B2" w:rsidRPr="00CA78BD">
        <w:rPr>
          <w:rFonts w:ascii="Times New Roman" w:hAnsi="Times New Roman" w:cs="Times New Roman"/>
        </w:rPr>
        <w:t xml:space="preserve">Если, например, Совет Европейского союза призван выражать национальные интересы </w:t>
      </w:r>
      <w:r w:rsidR="007178B2" w:rsidRPr="00CA78BD">
        <w:rPr>
          <w:rFonts w:ascii="Times New Roman" w:hAnsi="Times New Roman" w:cs="Times New Roman"/>
        </w:rPr>
        <w:lastRenderedPageBreak/>
        <w:t xml:space="preserve">стран-членов, то Европейский парламент – интересы граждан единой Европы, участников экономических отношений и гражданского общества. </w:t>
      </w:r>
      <w:r w:rsidR="00E11F73" w:rsidRPr="00CA78BD">
        <w:rPr>
          <w:rFonts w:ascii="Times New Roman" w:hAnsi="Times New Roman" w:cs="Times New Roman"/>
        </w:rPr>
        <w:t xml:space="preserve">Европейская комиссия в свою очередь представляет общеевропейские интересы. </w:t>
      </w:r>
      <w:r w:rsidR="007178B2" w:rsidRPr="00CA78BD">
        <w:rPr>
          <w:rFonts w:ascii="Times New Roman" w:hAnsi="Times New Roman" w:cs="Times New Roman"/>
        </w:rPr>
        <w:t>Лоббисты, таким образом, выполняют очень важную функцию интерпретации общественных интересов и их донесения до соответствующих органов власти, а информация – их главный инструмент. Чем выше ценность информации лоббиста</w:t>
      </w:r>
      <w:r w:rsidR="002E76FC" w:rsidRPr="00CA78BD">
        <w:rPr>
          <w:rFonts w:ascii="Times New Roman" w:hAnsi="Times New Roman" w:cs="Times New Roman"/>
        </w:rPr>
        <w:t xml:space="preserve"> для выработки законопроекта</w:t>
      </w:r>
      <w:r w:rsidR="007178B2" w:rsidRPr="00CA78BD">
        <w:rPr>
          <w:rFonts w:ascii="Times New Roman" w:hAnsi="Times New Roman" w:cs="Times New Roman"/>
        </w:rPr>
        <w:t>, тем вероятнее он получит доступ к центрам принятия решений.</w:t>
      </w:r>
      <w:r w:rsidR="002E76FC" w:rsidRPr="00CA78BD">
        <w:rPr>
          <w:rFonts w:ascii="Times New Roman" w:hAnsi="Times New Roman" w:cs="Times New Roman"/>
        </w:rPr>
        <w:t xml:space="preserve"> </w:t>
      </w:r>
      <w:r w:rsidR="00E11F73" w:rsidRPr="00CA78BD">
        <w:rPr>
          <w:rFonts w:ascii="Times New Roman" w:hAnsi="Times New Roman" w:cs="Times New Roman"/>
        </w:rPr>
        <w:t>Качество экспертной информации – главный фактор, влияющий на решение Комиссии относительно сотрудничества с представителями групп, хотя и не единственный. Например, Комиссия</w:t>
      </w:r>
      <w:r w:rsidR="00CE22E7" w:rsidRPr="00CA78BD">
        <w:rPr>
          <w:rFonts w:ascii="Times New Roman" w:hAnsi="Times New Roman" w:cs="Times New Roman"/>
        </w:rPr>
        <w:t xml:space="preserve"> также</w:t>
      </w:r>
      <w:r w:rsidR="00E11F73" w:rsidRPr="00CA78BD">
        <w:rPr>
          <w:rFonts w:ascii="Times New Roman" w:hAnsi="Times New Roman" w:cs="Times New Roman"/>
        </w:rPr>
        <w:t xml:space="preserve"> предпочитает работать с общеевропейскими ассоциациями, а не аналогичными отраслевыми организациями стран-членов</w:t>
      </w:r>
      <w:r w:rsidR="00E11F73" w:rsidRPr="00CA78BD">
        <w:rPr>
          <w:rFonts w:ascii="Times New Roman" w:eastAsia="Times New Roman" w:hAnsi="Times New Roman" w:cs="Times New Roman"/>
          <w:vertAlign w:val="superscript"/>
        </w:rPr>
        <w:footnoteReference w:id="26"/>
      </w:r>
      <w:r w:rsidR="00E11F73" w:rsidRPr="00CA78BD">
        <w:rPr>
          <w:rFonts w:ascii="Times New Roman" w:hAnsi="Times New Roman" w:cs="Times New Roman"/>
        </w:rPr>
        <w:t xml:space="preserve">. Общеевропейские ассоциации представляют для еврочиновников консолидированное мнение и являются более репрезентативными группами, чем национальные. Чем больше стран представляет группа, тем больше у неё возможностей влияния. Таким образом Комиссия не только удовлетворяет свою потребность в экспертной информации, но и повышает легитимность. </w:t>
      </w:r>
      <w:r w:rsidR="002E76FC" w:rsidRPr="00CA78BD">
        <w:rPr>
          <w:rFonts w:ascii="Times New Roman" w:hAnsi="Times New Roman" w:cs="Times New Roman"/>
        </w:rPr>
        <w:t>Получается, что лоббирование интересов — это не однонаправленная деятельность. Группы интересов и институты власти оказываются взаимосвязаны и осуществляют взаимовыгодный обмен ресурсами</w:t>
      </w:r>
      <w:r w:rsidR="002E76FC" w:rsidRPr="00CA78BD">
        <w:rPr>
          <w:rFonts w:ascii="Times New Roman" w:eastAsia="Times New Roman" w:hAnsi="Times New Roman" w:cs="Times New Roman"/>
          <w:vertAlign w:val="superscript"/>
        </w:rPr>
        <w:footnoteReference w:id="27"/>
      </w:r>
      <w:r w:rsidR="002E76FC" w:rsidRPr="00CA78BD">
        <w:rPr>
          <w:rFonts w:ascii="Times New Roman" w:hAnsi="Times New Roman" w:cs="Times New Roman"/>
        </w:rPr>
        <w:t>.</w:t>
      </w:r>
    </w:p>
    <w:p w14:paraId="2E6A31C4" w14:textId="77777777" w:rsidR="00E11F73" w:rsidRPr="00CA78BD" w:rsidRDefault="00AC5410" w:rsidP="00E11F73">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Каждая из групп интересов, представленных в институтах Европейского союза, имеет разную, по-своему значимую информацию, которую может использовать в своих целях. Информацию можно условно разделить на экспертную (техническую), включающую объективные факты и научные данные, и на политически значимую, включающую нормы, ценности и основания для поддержки</w:t>
      </w:r>
      <w:r w:rsidR="00794ACD" w:rsidRPr="00CA78BD">
        <w:rPr>
          <w:rStyle w:val="ab"/>
          <w:rFonts w:ascii="Times New Roman" w:hAnsi="Times New Roman" w:cs="Times New Roman"/>
        </w:rPr>
        <w:footnoteReference w:id="28"/>
      </w:r>
      <w:r w:rsidRPr="00CA78BD">
        <w:rPr>
          <w:rFonts w:ascii="Times New Roman" w:hAnsi="Times New Roman" w:cs="Times New Roman"/>
        </w:rPr>
        <w:t>. С точки зрения тактики каналы донесения любой информации в свою очередь можно разделить на внутренние, к которым относятся личные встречи с законодателями, консультации, письма, звонки, и внешние, к которым относятся публичные мероприятия и кампании в СМИ</w:t>
      </w:r>
      <w:r w:rsidRPr="00CA78BD">
        <w:rPr>
          <w:rFonts w:ascii="Times New Roman" w:eastAsia="Times New Roman" w:hAnsi="Times New Roman" w:cs="Times New Roman"/>
          <w:vertAlign w:val="superscript"/>
        </w:rPr>
        <w:footnoteReference w:id="29"/>
      </w:r>
      <w:r w:rsidRPr="00CA78BD">
        <w:rPr>
          <w:rFonts w:ascii="Times New Roman" w:hAnsi="Times New Roman" w:cs="Times New Roman"/>
        </w:rPr>
        <w:t>.</w:t>
      </w:r>
      <w:r w:rsidR="00794ACD" w:rsidRPr="00CA78BD">
        <w:rPr>
          <w:rFonts w:ascii="Times New Roman" w:hAnsi="Times New Roman" w:cs="Times New Roman"/>
        </w:rPr>
        <w:t xml:space="preserve"> При этом </w:t>
      </w:r>
      <w:r w:rsidR="00A30ED0" w:rsidRPr="00CA78BD">
        <w:rPr>
          <w:rFonts w:ascii="Times New Roman" w:hAnsi="Times New Roman" w:cs="Times New Roman"/>
        </w:rPr>
        <w:t xml:space="preserve">тип информации, предоставляемой группами интересов, всегда соответствует потребностям соответствующего законодательного органа. Европейская комиссия </w:t>
      </w:r>
      <w:r w:rsidR="00A30ED0" w:rsidRPr="00CA78BD">
        <w:rPr>
          <w:rFonts w:ascii="Times New Roman" w:hAnsi="Times New Roman" w:cs="Times New Roman"/>
        </w:rPr>
        <w:lastRenderedPageBreak/>
        <w:t xml:space="preserve">нуждается в технической информации и прогнозах относительно возможностей реализации принимаемых мер, поскольку она формулирует первоначальный текст предложения и выполняет, по сути, технократические функции. Европейский парламент – представительный орган, поэтому он более восприимчив к информации политического характера. </w:t>
      </w:r>
    </w:p>
    <w:p w14:paraId="3B03FEB3" w14:textId="77777777" w:rsidR="0074297C" w:rsidRPr="00CA78BD" w:rsidRDefault="0074297C" w:rsidP="0074297C">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Тем не менее в институтах Евросоюза определенно преобладает спрос на объективную информацию, подкреплённую фактами</w:t>
      </w:r>
      <w:r w:rsidRPr="00CA78BD">
        <w:rPr>
          <w:rStyle w:val="ab"/>
          <w:rFonts w:ascii="Times New Roman" w:hAnsi="Times New Roman" w:cs="Times New Roman"/>
        </w:rPr>
        <w:footnoteReference w:id="30"/>
      </w:r>
      <w:r w:rsidRPr="00CA78BD">
        <w:rPr>
          <w:rFonts w:ascii="Times New Roman" w:hAnsi="Times New Roman" w:cs="Times New Roman"/>
        </w:rPr>
        <w:t>. Законодатели вероятнее воспримут информацию всерьёз, если она будет содержать статистические данные, точные расчеты, аргументы и обязательно причинно-следственные связи. Для того, чтобы способствовать принятию или непринятию того или иного решения или варианта решения, необходимо указать на последствия его принятия или непринятия, а именно на наличие или отсутствие возможностей для его реализации, экономических или социальных последствиях и т.д. Ссылки на общественное мнение обычно во внимание не принимаются именно потому, что не имеют строгих причинно-следственных связей и, как правило, не обоснованы. Таким образом, самой ценной для институтов Евросоюза информацией представляется экспертная или техническая. Это, например, информация об экономических последствиях и социальном воздействии принимаемых мер, разъяснение технических моментов реализации предложений, а также юридическая информация. Доказательство этого утверждения опровергает идею о том, что определенный тип информации соответствует определенным группам интересов. Вне зависимости от группы интересов, будь то представители ТНК или НКО, законодатели ожидают объективную информацию и аргументирование своей позиции. Группы интересов всегда стремятся предоставить ту информацию, которая имеет большую ценность и будет воспринята всерьёз.</w:t>
      </w:r>
    </w:p>
    <w:p w14:paraId="234EF258" w14:textId="77777777" w:rsidR="00FF0A72" w:rsidRPr="00CA78BD" w:rsidRDefault="0074297C" w:rsidP="00FF0A72">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В этой связи мы также не можем утверждать, что коммерческие группы интересов всегда имеют преимущество над некоммерческими в силу того, что они обладают лучшей организацией, большими ресурсами или связями. Законодательные органы Евросоюза заинтересованы в объективной информации, так как должны оценить реальное положение дел и избегать возможные риски. Информацию от коммерческих структур законодатели не могут считать непредвзятой и достаточной для принятия решения, поэтому они заботятся о расширении групп интересов для взаимодействия за </w:t>
      </w:r>
      <w:r w:rsidRPr="00CA78BD">
        <w:rPr>
          <w:rFonts w:ascii="Times New Roman" w:hAnsi="Times New Roman" w:cs="Times New Roman"/>
        </w:rPr>
        <w:lastRenderedPageBreak/>
        <w:t xml:space="preserve">счет некоммерческих </w:t>
      </w:r>
      <w:proofErr w:type="spellStart"/>
      <w:r w:rsidRPr="00CA78BD">
        <w:rPr>
          <w:rFonts w:ascii="Times New Roman" w:hAnsi="Times New Roman" w:cs="Times New Roman"/>
        </w:rPr>
        <w:t>акторов</w:t>
      </w:r>
      <w:proofErr w:type="spellEnd"/>
      <w:r w:rsidRPr="00CA78BD">
        <w:rPr>
          <w:rFonts w:ascii="Times New Roman" w:eastAsia="Times New Roman" w:hAnsi="Times New Roman" w:cs="Times New Roman"/>
          <w:vertAlign w:val="superscript"/>
        </w:rPr>
        <w:footnoteReference w:id="31"/>
      </w:r>
      <w:r w:rsidRPr="00CA78BD">
        <w:rPr>
          <w:rFonts w:ascii="Times New Roman" w:hAnsi="Times New Roman" w:cs="Times New Roman"/>
        </w:rPr>
        <w:t>. Принимаемые в Евросоюзе решения должны представлять собой результат компромисса между общественными и коммерческими интересами. Если коммерческие интересы часто поддерживаются странами-членами в Совете, то Комиссия и Парламент готовы использовать любые возможности изменения статуса-</w:t>
      </w:r>
      <w:proofErr w:type="spellStart"/>
      <w:r w:rsidRPr="00CA78BD">
        <w:rPr>
          <w:rFonts w:ascii="Times New Roman" w:hAnsi="Times New Roman" w:cs="Times New Roman"/>
        </w:rPr>
        <w:t>кво</w:t>
      </w:r>
      <w:proofErr w:type="spellEnd"/>
      <w:r w:rsidRPr="00CA78BD">
        <w:rPr>
          <w:rFonts w:ascii="Times New Roman" w:hAnsi="Times New Roman" w:cs="Times New Roman"/>
        </w:rPr>
        <w:t xml:space="preserve"> в пользу общественных интересов с целью повышения легитимности</w:t>
      </w:r>
      <w:r w:rsidRPr="00CA78BD">
        <w:rPr>
          <w:rFonts w:ascii="Times New Roman" w:eastAsia="Times New Roman" w:hAnsi="Times New Roman" w:cs="Times New Roman"/>
          <w:vertAlign w:val="superscript"/>
        </w:rPr>
        <w:footnoteReference w:id="32"/>
      </w:r>
      <w:r w:rsidRPr="00CA78BD">
        <w:rPr>
          <w:rFonts w:ascii="Times New Roman" w:hAnsi="Times New Roman" w:cs="Times New Roman"/>
        </w:rPr>
        <w:t xml:space="preserve">. Таким образом, возможности бизнеса ограничены возможностями Комиссии и Парламента в процессе принятия решений. Если их противодействие окажется достаточно сильным, то статус-кво, который традиционно стремится сохранить бизнес, окажется под угрозой. </w:t>
      </w:r>
    </w:p>
    <w:p w14:paraId="26B3E13A" w14:textId="77777777" w:rsidR="00BD01DC" w:rsidRPr="00CA78BD" w:rsidRDefault="00BD2C05" w:rsidP="00FF0A72">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Что касается каналов взаимодействия, то внутренние и внешние тактики могут иметь разный эффект и, следовательно, привести к разному результату. При этом выбор тактики может быть важнее качества предоставляемой информации, так как один способ «доставки» своего сообщения группами интересов может восприниматься законодателями более убедительным, чем другой</w:t>
      </w:r>
      <w:r w:rsidRPr="00CA78BD">
        <w:rPr>
          <w:rStyle w:val="ab"/>
          <w:rFonts w:ascii="Times New Roman" w:hAnsi="Times New Roman" w:cs="Times New Roman"/>
        </w:rPr>
        <w:footnoteReference w:id="33"/>
      </w:r>
      <w:r w:rsidRPr="00CA78BD">
        <w:rPr>
          <w:rFonts w:ascii="Times New Roman" w:hAnsi="Times New Roman" w:cs="Times New Roman"/>
        </w:rPr>
        <w:t xml:space="preserve">. </w:t>
      </w:r>
      <w:r w:rsidR="00BD01DC" w:rsidRPr="00CA78BD">
        <w:rPr>
          <w:rFonts w:ascii="Times New Roman" w:hAnsi="Times New Roman" w:cs="Times New Roman"/>
        </w:rPr>
        <w:t>Отступление от сложившийся институциональной практики взаимодействия с группами интересов «за закрытыми дверьми» позволяет выделиться среди своих конкурентов, продемонстрировать важность поднимаемой проблемы для общества и привлечь к себе больше внимания. Несмотря на это, внешние тактики всё же используются реже внутренних, даже некоммерческими организациями, которые, казалось бы, имеют для этого больший потенциал. Внутренние тактики несут на себе меньше издержек и позволяют решить вопрос в более короткие сроки. Иногда скорость предоставления информации важнее для достижения желаемого результата, и на организацию публичных мероприятий времени не остаётся. К тому же, лоббисты стремятся повлиять на принимаемые решения на самой ранней стадии их разработки, что затрудняет организацию диалога с общественностью. Гораздо легче мобилизовать массы «против», нежели «за», что делает использование внешних</w:t>
      </w:r>
      <w:r w:rsidR="00FF0A72" w:rsidRPr="00CA78BD">
        <w:rPr>
          <w:rFonts w:ascii="Times New Roman" w:hAnsi="Times New Roman" w:cs="Times New Roman"/>
        </w:rPr>
        <w:t xml:space="preserve"> тактик более уместным при реактивных действиях. </w:t>
      </w:r>
    </w:p>
    <w:p w14:paraId="5DD43DF1" w14:textId="77777777" w:rsidR="00BD01DC" w:rsidRPr="00CA78BD" w:rsidRDefault="00BD01DC" w:rsidP="00BD01DC">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Можно предположить, что использование внешних тактик затруднительно для больших компаний и ассоциаций бизнеса, располагающих в основном технической информацией, так как для предоставления такой информации больше подходят </w:t>
      </w:r>
      <w:r w:rsidRPr="00CA78BD">
        <w:rPr>
          <w:rFonts w:ascii="Times New Roman" w:hAnsi="Times New Roman" w:cs="Times New Roman"/>
        </w:rPr>
        <w:lastRenderedPageBreak/>
        <w:t>внутренние тактики, то есть прямое лоббирование. В ситуации, когда каналы взаимодействия с властью уже налажены, а публичная политика может оказаться непредсказуемой, коммерческие структуры скорее станут вкладываться во внутренние тактики</w:t>
      </w:r>
      <w:r w:rsidRPr="00CA78BD">
        <w:rPr>
          <w:rFonts w:ascii="Times New Roman" w:eastAsia="Times New Roman" w:hAnsi="Times New Roman" w:cs="Times New Roman"/>
          <w:vertAlign w:val="superscript"/>
        </w:rPr>
        <w:footnoteReference w:id="34"/>
      </w:r>
      <w:r w:rsidRPr="00CA78BD">
        <w:rPr>
          <w:rFonts w:ascii="Times New Roman" w:hAnsi="Times New Roman" w:cs="Times New Roman"/>
        </w:rPr>
        <w:t xml:space="preserve">. </w:t>
      </w:r>
      <w:r w:rsidR="00337BC3" w:rsidRPr="00CA78BD">
        <w:rPr>
          <w:rFonts w:ascii="Times New Roman" w:hAnsi="Times New Roman" w:cs="Times New Roman"/>
        </w:rPr>
        <w:t>В</w:t>
      </w:r>
      <w:r w:rsidRPr="00CA78BD">
        <w:rPr>
          <w:rFonts w:ascii="Times New Roman" w:hAnsi="Times New Roman" w:cs="Times New Roman"/>
        </w:rPr>
        <w:t xml:space="preserve">нешние тактики </w:t>
      </w:r>
      <w:r w:rsidR="00337BC3" w:rsidRPr="00CA78BD">
        <w:rPr>
          <w:rFonts w:ascii="Times New Roman" w:hAnsi="Times New Roman" w:cs="Times New Roman"/>
        </w:rPr>
        <w:t xml:space="preserve">действительно </w:t>
      </w:r>
      <w:r w:rsidRPr="00CA78BD">
        <w:rPr>
          <w:rFonts w:ascii="Times New Roman" w:hAnsi="Times New Roman" w:cs="Times New Roman"/>
        </w:rPr>
        <w:t>несут на себе некоторые репутационные риски, дорого стоят и, как правило, ограничивают возможности артикуляции интересов. В публичном пространстве информацию приходится адаптировать под аудиторию, сокращать до оптимального размера (статьи в газете, интервью или открытого письма), а в условиях прямого выхода на профильные комитеты можно предоставить гораздо более развернутые аргументы, статистику и исследования по вопросу. Однако на практике между группами интересов нет значительных отличий в выборе тактики. И коммерческие, и некоммерческие участники политического процесса прибегают к обоим вариантам давления на власть</w:t>
      </w:r>
      <w:r w:rsidRPr="00CA78BD">
        <w:rPr>
          <w:rFonts w:ascii="Times New Roman" w:eastAsia="Times New Roman" w:hAnsi="Times New Roman" w:cs="Times New Roman"/>
          <w:vertAlign w:val="superscript"/>
        </w:rPr>
        <w:footnoteReference w:id="35"/>
      </w:r>
      <w:r w:rsidRPr="00CA78BD">
        <w:rPr>
          <w:rFonts w:ascii="Times New Roman" w:hAnsi="Times New Roman" w:cs="Times New Roman"/>
        </w:rPr>
        <w:t xml:space="preserve">. </w:t>
      </w:r>
    </w:p>
    <w:p w14:paraId="32593885" w14:textId="77777777" w:rsidR="00D91883" w:rsidRPr="00CA78BD" w:rsidRDefault="00D91883" w:rsidP="00D91883">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При этом стоит помнить, что лоббирование в Европейском союзе — профессиональная деятельность, лежащая в правовом поле, а агрессивное давление со стороны групп интересов, подкуп или шантаж исключены. Проблема неэтичного поведения со стороны лоббистов, а также злоупотребления своими полномочиями со стороны европейских чиновников и парламентариев на сегодняшний день решена утверждением Единого Реестра прозрачности для лоббистов и обязательными отчётами европейских политиков о своих доходах. Очевидным несовершенством реестра является добровольный характер регистрации. Это связано с тем, что правовое регулирование лоббистской деятельности в Евросоюзе оставляет институтам определённую свободу действий в их отношениях с группами интересов. Каждый институт имеет свою сложившуюся в силу тех или иных факторов практику взаимодействия с лоббистами и свой подход к организации работы с ними. Если Парламент строго относится к регистрации представителей заинтересованных групп в реестре и пропускает в здания заседаний только зарегистрированных представителей, то Комиссия не заинтересована в том, чтобы ограничивать каким-либо образом круг лоббистов, которых она могла бы привлечь к работе над проектами. Регистрация в реестре в любом случае повышает доверие к организации или представляющему её лицу, но Комиссия формально имеет право не обращать внимание на отсутствие </w:t>
      </w:r>
      <w:r w:rsidRPr="00CA78BD">
        <w:rPr>
          <w:rFonts w:ascii="Times New Roman" w:hAnsi="Times New Roman" w:cs="Times New Roman"/>
        </w:rPr>
        <w:lastRenderedPageBreak/>
        <w:t xml:space="preserve">представителя в реестре, если тот обладает необходимой для законодателя информацией. Таким образом, европейские институты больше надежд возлагают на саморегулирование лоббизма. </w:t>
      </w:r>
    </w:p>
    <w:p w14:paraId="23DA045C" w14:textId="77777777" w:rsidR="00D91883" w:rsidRPr="00CA78BD" w:rsidRDefault="00D91883" w:rsidP="00D91883">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Существующее сегодня в институтах Европейского союза нормативное регулирование само по себе не гарантирует прозрачности лоббистских практик, однако высокие этические стандарты служат вполне надежным ограничителем теневой деятельности. То есть регулирование лоббизма в ЕС осуществляется не столько правовыми механизмами, сколько рисками испортить репутацию или подорвать авторитет. В этой связи в Европе появилось множество общественных организаций, которые осуществляют коррупционный мониторинг и разрабатывают кодексы поведения для профессиональных лоббистов. К</w:t>
      </w:r>
      <w:r w:rsidRPr="00CA78BD">
        <w:rPr>
          <w:rFonts w:ascii="Times New Roman" w:hAnsi="Times New Roman" w:cs="Times New Roman"/>
          <w:lang w:val="en-US"/>
        </w:rPr>
        <w:t xml:space="preserve"> </w:t>
      </w:r>
      <w:r w:rsidRPr="00CA78BD">
        <w:rPr>
          <w:rFonts w:ascii="Times New Roman" w:hAnsi="Times New Roman" w:cs="Times New Roman"/>
        </w:rPr>
        <w:t>таким</w:t>
      </w:r>
      <w:r w:rsidRPr="00CA78BD">
        <w:rPr>
          <w:rFonts w:ascii="Times New Roman" w:hAnsi="Times New Roman" w:cs="Times New Roman"/>
          <w:lang w:val="en-US"/>
        </w:rPr>
        <w:t xml:space="preserve"> </w:t>
      </w:r>
      <w:r w:rsidRPr="00CA78BD">
        <w:rPr>
          <w:rFonts w:ascii="Times New Roman" w:hAnsi="Times New Roman" w:cs="Times New Roman"/>
        </w:rPr>
        <w:t>организациям</w:t>
      </w:r>
      <w:r w:rsidRPr="00CA78BD">
        <w:rPr>
          <w:rFonts w:ascii="Times New Roman" w:hAnsi="Times New Roman" w:cs="Times New Roman"/>
          <w:lang w:val="en-US"/>
        </w:rPr>
        <w:t xml:space="preserve"> </w:t>
      </w:r>
      <w:r w:rsidRPr="00CA78BD">
        <w:rPr>
          <w:rFonts w:ascii="Times New Roman" w:hAnsi="Times New Roman" w:cs="Times New Roman"/>
        </w:rPr>
        <w:t>относятся</w:t>
      </w:r>
      <w:r w:rsidRPr="00CA78BD">
        <w:rPr>
          <w:rFonts w:ascii="Times New Roman" w:hAnsi="Times New Roman" w:cs="Times New Roman"/>
          <w:lang w:val="en-US"/>
        </w:rPr>
        <w:t xml:space="preserve">, </w:t>
      </w:r>
      <w:r w:rsidRPr="00CA78BD">
        <w:rPr>
          <w:rFonts w:ascii="Times New Roman" w:hAnsi="Times New Roman" w:cs="Times New Roman"/>
        </w:rPr>
        <w:t>например</w:t>
      </w:r>
      <w:r w:rsidRPr="00CA78BD">
        <w:rPr>
          <w:rFonts w:ascii="Times New Roman" w:hAnsi="Times New Roman" w:cs="Times New Roman"/>
          <w:lang w:val="en-US"/>
        </w:rPr>
        <w:t xml:space="preserve">, Alliance for Lobbying </w:t>
      </w:r>
      <w:proofErr w:type="spellStart"/>
      <w:r w:rsidRPr="00CA78BD">
        <w:rPr>
          <w:rFonts w:ascii="Times New Roman" w:hAnsi="Times New Roman" w:cs="Times New Roman"/>
          <w:lang w:val="en-US"/>
        </w:rPr>
        <w:t>Trancparency</w:t>
      </w:r>
      <w:proofErr w:type="spellEnd"/>
      <w:r w:rsidRPr="00CA78BD">
        <w:rPr>
          <w:rFonts w:ascii="Times New Roman" w:hAnsi="Times New Roman" w:cs="Times New Roman"/>
          <w:lang w:val="en-US"/>
        </w:rPr>
        <w:t xml:space="preserve"> and Ethic Regulation (Alter EU) </w:t>
      </w:r>
      <w:r w:rsidRPr="00CA78BD">
        <w:rPr>
          <w:rFonts w:ascii="Times New Roman" w:hAnsi="Times New Roman" w:cs="Times New Roman"/>
        </w:rPr>
        <w:t>и</w:t>
      </w:r>
      <w:r w:rsidRPr="00CA78BD">
        <w:rPr>
          <w:rFonts w:ascii="Times New Roman" w:hAnsi="Times New Roman" w:cs="Times New Roman"/>
          <w:lang w:val="en-US"/>
        </w:rPr>
        <w:t xml:space="preserve"> Society of European Affairs Professionals (SEAP). </w:t>
      </w:r>
      <w:r w:rsidRPr="00CA78BD">
        <w:rPr>
          <w:rFonts w:ascii="Times New Roman" w:hAnsi="Times New Roman" w:cs="Times New Roman"/>
        </w:rPr>
        <w:t>Помимо этого, саморегулирование лоббизма происходит естественным образом в условиях конкуренции групп интересов. При устойчивом балансе общественно-политических сил работает так называемый механизм сдерживания. Лоббист опасается не только общественного мнения, СМИ и потери доброй репутации, но и своих соперников, способных обойти в честной гонке за авторитет или просто сдвинуть с дистанции посредством разоблачения.</w:t>
      </w:r>
    </w:p>
    <w:p w14:paraId="7DE6002E" w14:textId="77777777" w:rsidR="0011454C" w:rsidRPr="00CA78BD" w:rsidRDefault="00BD01DC" w:rsidP="0011454C">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Таким образом,</w:t>
      </w:r>
      <w:r w:rsidR="00117C04" w:rsidRPr="00CA78BD">
        <w:rPr>
          <w:rFonts w:ascii="Times New Roman" w:hAnsi="Times New Roman" w:cs="Times New Roman"/>
        </w:rPr>
        <w:t xml:space="preserve"> </w:t>
      </w:r>
      <w:r w:rsidR="0011454C" w:rsidRPr="00CA78BD">
        <w:rPr>
          <w:rFonts w:ascii="Times New Roman" w:hAnsi="Times New Roman" w:cs="Times New Roman"/>
        </w:rPr>
        <w:t>лоббизм – неотъемлемая часть политической жизни в Европе. К</w:t>
      </w:r>
      <w:r w:rsidR="00CE22E7" w:rsidRPr="00CA78BD">
        <w:rPr>
          <w:rFonts w:ascii="Times New Roman" w:hAnsi="Times New Roman" w:cs="Times New Roman"/>
        </w:rPr>
        <w:t xml:space="preserve">ак минимум два института Европейского союза, а именно Европейская комиссия и Европейский парламент, </w:t>
      </w:r>
      <w:r w:rsidR="0011454C" w:rsidRPr="00CA78BD">
        <w:rPr>
          <w:rFonts w:ascii="Times New Roman" w:hAnsi="Times New Roman" w:cs="Times New Roman"/>
        </w:rPr>
        <w:t>взаимодействуют на постоянной основе</w:t>
      </w:r>
      <w:r w:rsidR="00CE22E7" w:rsidRPr="00CA78BD">
        <w:rPr>
          <w:rFonts w:ascii="Times New Roman" w:hAnsi="Times New Roman" w:cs="Times New Roman"/>
        </w:rPr>
        <w:t xml:space="preserve"> с участниками экономических отношений и представителями гражданского общества</w:t>
      </w:r>
      <w:r w:rsidR="0011454C" w:rsidRPr="00CA78BD">
        <w:rPr>
          <w:rFonts w:ascii="Times New Roman" w:hAnsi="Times New Roman" w:cs="Times New Roman"/>
        </w:rPr>
        <w:t xml:space="preserve">. Именно эти два института наиболее других нуждаются в мнении сторонних экспертов, и потому имеют с ними специальные институциональные каналы коммуникации в виде экспертных групп, </w:t>
      </w:r>
      <w:r w:rsidR="00906906" w:rsidRPr="00CA78BD">
        <w:rPr>
          <w:rFonts w:ascii="Times New Roman" w:hAnsi="Times New Roman" w:cs="Times New Roman"/>
        </w:rPr>
        <w:t xml:space="preserve">консультативных комитетов, комиссий и пр. Взаимодействие институтов с группами интересов в Европейском союзе происходит на взаимовыгодной основе. Благодаря работе лоббистов институты удовлетворяют свою потребность в информации, на поиск и обработку которой у них не хватает собственных ресурсов. В обмен на информацию лоббисты получают доступ к центрам принятия решений, и соответственно, возможности влияния. Такое взаимодействие определённо повышает эффективность политического управления и снижает риски неблагоприятных последствий принимаемых на наднациональном уровне мер. </w:t>
      </w:r>
    </w:p>
    <w:p w14:paraId="7BA1DED7" w14:textId="77777777" w:rsidR="00512C2F" w:rsidRPr="00CA78BD" w:rsidRDefault="0078084D" w:rsidP="00AD55B5">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lastRenderedPageBreak/>
        <w:t xml:space="preserve">Европейская комиссия при этом является более подходящим органом для лоббирования интересов, нежели Европейский парламент. В первую очередь это связано с тем, что в Комиссии инициативы находятся на самом раннем этапе их рассмотрения, что </w:t>
      </w:r>
      <w:r w:rsidR="00AD55B5" w:rsidRPr="00CA78BD">
        <w:rPr>
          <w:rFonts w:ascii="Times New Roman" w:hAnsi="Times New Roman" w:cs="Times New Roman"/>
        </w:rPr>
        <w:t xml:space="preserve">сильно </w:t>
      </w:r>
      <w:r w:rsidRPr="00CA78BD">
        <w:rPr>
          <w:rFonts w:ascii="Times New Roman" w:hAnsi="Times New Roman" w:cs="Times New Roman"/>
        </w:rPr>
        <w:t>расширяет возможности лоббистов</w:t>
      </w:r>
      <w:r w:rsidR="00AD55B5" w:rsidRPr="00CA78BD">
        <w:rPr>
          <w:rFonts w:ascii="Times New Roman" w:hAnsi="Times New Roman" w:cs="Times New Roman"/>
        </w:rPr>
        <w:t xml:space="preserve">. Кроме того, в Парламенте может быть гораздо труднее добиться желаемого результата в силу идеологической ангажированности его членов. В этой связи, основная работа по продвижению инициатив и защите своих интересов сосредоточена в Еврокомиссии, а к лоббированию в Европарламенте целесообразно прибегать в случае уже появившейся угрозы своим интересам с целью снижения возможных издержек от принятия неблагоприятных решений. </w:t>
      </w:r>
    </w:p>
    <w:p w14:paraId="0BEEE14F" w14:textId="77777777" w:rsidR="00AD55B5" w:rsidRPr="00CA78BD" w:rsidRDefault="00AD55B5" w:rsidP="00AD55B5">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В целом же возможности лоббистов в </w:t>
      </w:r>
      <w:r w:rsidR="00A817D4" w:rsidRPr="00CA78BD">
        <w:rPr>
          <w:rFonts w:ascii="Times New Roman" w:hAnsi="Times New Roman" w:cs="Times New Roman"/>
        </w:rPr>
        <w:t xml:space="preserve">институтах Европейского союза ограничены возможностями самих институтов. В силу того, что любое решение обязательно проходит процедуру согласования в Совете, принятие законопроекта, идущего вразрез с национальными интересами большей части стран-членов, практически невозможно. </w:t>
      </w:r>
      <w:r w:rsidR="008B551F" w:rsidRPr="00CA78BD">
        <w:rPr>
          <w:rFonts w:ascii="Times New Roman" w:hAnsi="Times New Roman" w:cs="Times New Roman"/>
        </w:rPr>
        <w:t>Национальные правительства</w:t>
      </w:r>
      <w:r w:rsidR="00A817D4" w:rsidRPr="00CA78BD">
        <w:rPr>
          <w:rFonts w:ascii="Times New Roman" w:hAnsi="Times New Roman" w:cs="Times New Roman"/>
        </w:rPr>
        <w:t xml:space="preserve"> обычно придерживаются консервативной позиции и стремятся сохранить сложившийся статус-кво до тех пор, пока </w:t>
      </w:r>
      <w:r w:rsidR="008B551F" w:rsidRPr="00CA78BD">
        <w:rPr>
          <w:rFonts w:ascii="Times New Roman" w:hAnsi="Times New Roman" w:cs="Times New Roman"/>
        </w:rPr>
        <w:t>не появится очевидный запрос на его изменение. В таком случае радикальные реформы на уровне Европейского союза возможны только при сильной общественной поддержке как на общеевропейском уровне, так и на уровне стран-членов. Такая система требует значительных ресурсов со стороны организованных групп интересов и в то же время обесп</w:t>
      </w:r>
      <w:r w:rsidR="00846ACE" w:rsidRPr="00CA78BD">
        <w:rPr>
          <w:rFonts w:ascii="Times New Roman" w:hAnsi="Times New Roman" w:cs="Times New Roman"/>
        </w:rPr>
        <w:t xml:space="preserve">ечивает устойчивость политической системы Европейского союза и предсказуемость его политического развития. </w:t>
      </w:r>
    </w:p>
    <w:p w14:paraId="66464945" w14:textId="77777777" w:rsidR="00647515" w:rsidRPr="00CA78BD" w:rsidRDefault="00D91883" w:rsidP="004747F4">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Что касается представленных в Европейском союзе групп интересов, то их многообразие столь велико, что едва ли поддаётся классификации. </w:t>
      </w:r>
      <w:r w:rsidR="00E600D4" w:rsidRPr="00CA78BD">
        <w:rPr>
          <w:rFonts w:ascii="Times New Roman" w:hAnsi="Times New Roman" w:cs="Times New Roman"/>
        </w:rPr>
        <w:t>Однако п</w:t>
      </w:r>
      <w:r w:rsidRPr="00CA78BD">
        <w:rPr>
          <w:rFonts w:ascii="Times New Roman" w:hAnsi="Times New Roman" w:cs="Times New Roman"/>
        </w:rPr>
        <w:t xml:space="preserve">ри рассмотрении зелёной повестки будет целесообразно ограничиться разделением субъектов лоббизма на коммерческие организации и некоммерческие. </w:t>
      </w:r>
      <w:r w:rsidR="00B03E1D" w:rsidRPr="00CA78BD">
        <w:rPr>
          <w:rFonts w:ascii="Times New Roman" w:hAnsi="Times New Roman" w:cs="Times New Roman"/>
        </w:rPr>
        <w:t xml:space="preserve">Те и другие определённо имеют разный потенциал и располагают неравным объёмом ресурсов, однако институты в равной степени заинтересованы в работе со всеми. </w:t>
      </w:r>
      <w:r w:rsidR="00E600D4" w:rsidRPr="00CA78BD">
        <w:rPr>
          <w:rFonts w:ascii="Times New Roman" w:hAnsi="Times New Roman" w:cs="Times New Roman"/>
        </w:rPr>
        <w:t>И те, и другие обладают важной информацией для принятия решений относительно экологической политики</w:t>
      </w:r>
      <w:r w:rsidR="00B03E1D" w:rsidRPr="00CA78BD">
        <w:rPr>
          <w:rFonts w:ascii="Times New Roman" w:hAnsi="Times New Roman" w:cs="Times New Roman"/>
        </w:rPr>
        <w:t>, и только при учёте мнения каждой из сторон возможно объективно оценить перспективы развития экологического законодательства в Евросоюзе</w:t>
      </w:r>
      <w:r w:rsidR="00E600D4" w:rsidRPr="00CA78BD">
        <w:rPr>
          <w:rFonts w:ascii="Times New Roman" w:hAnsi="Times New Roman" w:cs="Times New Roman"/>
        </w:rPr>
        <w:t xml:space="preserve">. Коммерческие структуры и бизнес-ассоциации </w:t>
      </w:r>
      <w:r w:rsidR="00B03E1D" w:rsidRPr="00CA78BD">
        <w:rPr>
          <w:rFonts w:ascii="Times New Roman" w:hAnsi="Times New Roman" w:cs="Times New Roman"/>
        </w:rPr>
        <w:t>предоставляют институтам важную информацию о состоянии экономики в каждой из стран-членов, занятости населения</w:t>
      </w:r>
      <w:r w:rsidR="00620B4C" w:rsidRPr="00CA78BD">
        <w:rPr>
          <w:rFonts w:ascii="Times New Roman" w:hAnsi="Times New Roman" w:cs="Times New Roman"/>
        </w:rPr>
        <w:t xml:space="preserve"> и финансовых </w:t>
      </w:r>
      <w:r w:rsidR="00620B4C" w:rsidRPr="00CA78BD">
        <w:rPr>
          <w:rFonts w:ascii="Times New Roman" w:hAnsi="Times New Roman" w:cs="Times New Roman"/>
        </w:rPr>
        <w:lastRenderedPageBreak/>
        <w:t>рисках рассматриваемых мер. Некоммерческие</w:t>
      </w:r>
      <w:r w:rsidR="004747F4" w:rsidRPr="00CA78BD">
        <w:rPr>
          <w:rFonts w:ascii="Times New Roman" w:hAnsi="Times New Roman" w:cs="Times New Roman"/>
        </w:rPr>
        <w:t xml:space="preserve"> о</w:t>
      </w:r>
      <w:r w:rsidR="00620B4C" w:rsidRPr="00CA78BD">
        <w:rPr>
          <w:rFonts w:ascii="Times New Roman" w:hAnsi="Times New Roman" w:cs="Times New Roman"/>
        </w:rPr>
        <w:t xml:space="preserve">рганизации </w:t>
      </w:r>
      <w:r w:rsidR="004747F4" w:rsidRPr="00CA78BD">
        <w:rPr>
          <w:rFonts w:ascii="Times New Roman" w:hAnsi="Times New Roman" w:cs="Times New Roman"/>
        </w:rPr>
        <w:t>в области защиты окружающей среды</w:t>
      </w:r>
      <w:r w:rsidR="00620B4C" w:rsidRPr="00CA78BD">
        <w:rPr>
          <w:rFonts w:ascii="Times New Roman" w:hAnsi="Times New Roman" w:cs="Times New Roman"/>
        </w:rPr>
        <w:t xml:space="preserve"> </w:t>
      </w:r>
      <w:r w:rsidR="004747F4" w:rsidRPr="00CA78BD">
        <w:rPr>
          <w:rFonts w:ascii="Times New Roman" w:hAnsi="Times New Roman" w:cs="Times New Roman"/>
        </w:rPr>
        <w:t>в</w:t>
      </w:r>
      <w:r w:rsidR="00620B4C" w:rsidRPr="00CA78BD">
        <w:rPr>
          <w:rFonts w:ascii="Times New Roman" w:hAnsi="Times New Roman" w:cs="Times New Roman"/>
        </w:rPr>
        <w:t xml:space="preserve"> свою очередь </w:t>
      </w:r>
      <w:r w:rsidR="0069080D" w:rsidRPr="00CA78BD">
        <w:rPr>
          <w:rFonts w:ascii="Times New Roman" w:hAnsi="Times New Roman" w:cs="Times New Roman"/>
        </w:rPr>
        <w:t>докладывают о общественных настроениях в том или ином регионе</w:t>
      </w:r>
      <w:r w:rsidR="004747F4" w:rsidRPr="00CA78BD">
        <w:rPr>
          <w:rFonts w:ascii="Times New Roman" w:hAnsi="Times New Roman" w:cs="Times New Roman"/>
        </w:rPr>
        <w:t>, а также предоставляют научную информацию об изменении климата, природных ресурсах, сохранении биоразнообразия и т.д.</w:t>
      </w:r>
    </w:p>
    <w:p w14:paraId="3175D766" w14:textId="77777777" w:rsidR="003D618B" w:rsidRPr="00CA78BD" w:rsidRDefault="00715C3A" w:rsidP="004747F4">
      <w:pPr>
        <w:autoSpaceDE w:val="0"/>
        <w:autoSpaceDN w:val="0"/>
        <w:adjustRightInd w:val="0"/>
        <w:spacing w:line="360" w:lineRule="auto"/>
        <w:ind w:left="360" w:firstLine="348"/>
        <w:jc w:val="both"/>
        <w:rPr>
          <w:rFonts w:ascii="Times New Roman" w:hAnsi="Times New Roman" w:cs="Times New Roman"/>
        </w:rPr>
      </w:pPr>
      <w:r w:rsidRPr="00CA78BD">
        <w:rPr>
          <w:rFonts w:ascii="Times New Roman" w:hAnsi="Times New Roman" w:cs="Times New Roman"/>
        </w:rPr>
        <w:t xml:space="preserve">На первый взгляд нельзя сказать, что та либо другая сторона пользуется преимуществом. </w:t>
      </w:r>
      <w:r w:rsidR="00D35171" w:rsidRPr="00CA78BD">
        <w:rPr>
          <w:rFonts w:ascii="Times New Roman" w:hAnsi="Times New Roman" w:cs="Times New Roman"/>
        </w:rPr>
        <w:t>Ч</w:t>
      </w:r>
      <w:r w:rsidRPr="00CA78BD">
        <w:rPr>
          <w:rFonts w:ascii="Times New Roman" w:hAnsi="Times New Roman" w:cs="Times New Roman"/>
        </w:rPr>
        <w:t xml:space="preserve">астные компании могут позволить себе дорогостоящие лоббистские практики, </w:t>
      </w:r>
      <w:r w:rsidR="00D35171" w:rsidRPr="00CA78BD">
        <w:rPr>
          <w:rFonts w:ascii="Times New Roman" w:hAnsi="Times New Roman" w:cs="Times New Roman"/>
        </w:rPr>
        <w:t>но в то же время</w:t>
      </w:r>
      <w:r w:rsidRPr="00CA78BD">
        <w:rPr>
          <w:rFonts w:ascii="Times New Roman" w:hAnsi="Times New Roman" w:cs="Times New Roman"/>
        </w:rPr>
        <w:t xml:space="preserve"> общественные организации </w:t>
      </w:r>
      <w:r w:rsidR="00E33DF5" w:rsidRPr="00CA78BD">
        <w:rPr>
          <w:rFonts w:ascii="Times New Roman" w:hAnsi="Times New Roman" w:cs="Times New Roman"/>
        </w:rPr>
        <w:t xml:space="preserve">сегодня </w:t>
      </w:r>
      <w:r w:rsidRPr="00CA78BD">
        <w:rPr>
          <w:rFonts w:ascii="Times New Roman" w:hAnsi="Times New Roman" w:cs="Times New Roman"/>
        </w:rPr>
        <w:t xml:space="preserve">имеют </w:t>
      </w:r>
      <w:r w:rsidR="00E33DF5" w:rsidRPr="00CA78BD">
        <w:rPr>
          <w:rFonts w:ascii="Times New Roman" w:hAnsi="Times New Roman" w:cs="Times New Roman"/>
        </w:rPr>
        <w:t xml:space="preserve">больше </w:t>
      </w:r>
      <w:r w:rsidRPr="00CA78BD">
        <w:rPr>
          <w:rFonts w:ascii="Times New Roman" w:hAnsi="Times New Roman" w:cs="Times New Roman"/>
        </w:rPr>
        <w:t>возможност</w:t>
      </w:r>
      <w:r w:rsidR="00E33DF5" w:rsidRPr="00CA78BD">
        <w:rPr>
          <w:rFonts w:ascii="Times New Roman" w:hAnsi="Times New Roman" w:cs="Times New Roman"/>
        </w:rPr>
        <w:t>ей</w:t>
      </w:r>
      <w:r w:rsidRPr="00CA78BD">
        <w:rPr>
          <w:rFonts w:ascii="Times New Roman" w:hAnsi="Times New Roman" w:cs="Times New Roman"/>
        </w:rPr>
        <w:t xml:space="preserve"> привлечения</w:t>
      </w:r>
      <w:r w:rsidR="00D35171" w:rsidRPr="00CA78BD">
        <w:rPr>
          <w:rFonts w:ascii="Times New Roman" w:hAnsi="Times New Roman" w:cs="Times New Roman"/>
        </w:rPr>
        <w:t xml:space="preserve"> </w:t>
      </w:r>
      <w:r w:rsidR="00E33DF5" w:rsidRPr="00CA78BD">
        <w:rPr>
          <w:rFonts w:ascii="Times New Roman" w:hAnsi="Times New Roman" w:cs="Times New Roman"/>
        </w:rPr>
        <w:t xml:space="preserve">на свою сторону </w:t>
      </w:r>
      <w:r w:rsidR="00D35171" w:rsidRPr="00CA78BD">
        <w:rPr>
          <w:rFonts w:ascii="Times New Roman" w:hAnsi="Times New Roman" w:cs="Times New Roman"/>
        </w:rPr>
        <w:t>СМИ и</w:t>
      </w:r>
      <w:r w:rsidRPr="00CA78BD">
        <w:rPr>
          <w:rFonts w:ascii="Times New Roman" w:hAnsi="Times New Roman" w:cs="Times New Roman"/>
        </w:rPr>
        <w:t xml:space="preserve"> масс</w:t>
      </w:r>
      <w:r w:rsidR="00D35171" w:rsidRPr="00CA78BD">
        <w:rPr>
          <w:rFonts w:ascii="Times New Roman" w:hAnsi="Times New Roman" w:cs="Times New Roman"/>
        </w:rPr>
        <w:t xml:space="preserve">. </w:t>
      </w:r>
      <w:r w:rsidR="00E33DF5" w:rsidRPr="00CA78BD">
        <w:rPr>
          <w:rFonts w:ascii="Times New Roman" w:hAnsi="Times New Roman" w:cs="Times New Roman"/>
        </w:rPr>
        <w:t xml:space="preserve">При этом они в равной степени способны предоставить проверенную и научно обоснованную информацию, которая заинтересует законодателя. Нельзя сказать, что аргументы одних однозначно слабее других, в нынешних условиях обе силы имеют потенциал склонить институты Европейского союза на свою сторону. </w:t>
      </w:r>
      <w:r w:rsidR="00D35171" w:rsidRPr="00CA78BD">
        <w:rPr>
          <w:rFonts w:ascii="Times New Roman" w:hAnsi="Times New Roman" w:cs="Times New Roman"/>
        </w:rPr>
        <w:t xml:space="preserve">В этой связи соотношение сил этих групп интересов остаётся неочевидным и требует </w:t>
      </w:r>
      <w:r w:rsidR="00E33DF5" w:rsidRPr="00CA78BD">
        <w:rPr>
          <w:rFonts w:ascii="Times New Roman" w:hAnsi="Times New Roman" w:cs="Times New Roman"/>
        </w:rPr>
        <w:t>более детального рассмотрения.</w:t>
      </w:r>
    </w:p>
    <w:p w14:paraId="10D53D26" w14:textId="77777777" w:rsidR="003D618B" w:rsidRPr="00CA78BD" w:rsidRDefault="003D618B">
      <w:pPr>
        <w:rPr>
          <w:rFonts w:ascii="Times New Roman" w:hAnsi="Times New Roman" w:cs="Times New Roman"/>
        </w:rPr>
      </w:pPr>
      <w:r w:rsidRPr="00CA78BD">
        <w:rPr>
          <w:rFonts w:ascii="Times New Roman" w:hAnsi="Times New Roman" w:cs="Times New Roman"/>
        </w:rPr>
        <w:br w:type="page"/>
      </w:r>
    </w:p>
    <w:p w14:paraId="5F978D28" w14:textId="77777777" w:rsidR="00715C3A" w:rsidRPr="00CA78BD" w:rsidRDefault="00E50441" w:rsidP="00E50441">
      <w:pPr>
        <w:pStyle w:val="1"/>
        <w:spacing w:line="360" w:lineRule="auto"/>
        <w:ind w:firstLine="708"/>
        <w:jc w:val="both"/>
        <w:rPr>
          <w:rFonts w:ascii="Times New Roman" w:hAnsi="Times New Roman" w:cs="Times New Roman"/>
          <w:b/>
          <w:color w:val="000000" w:themeColor="text1"/>
          <w:sz w:val="24"/>
          <w:szCs w:val="24"/>
        </w:rPr>
      </w:pPr>
      <w:bookmarkStart w:id="6" w:name="_Toc72956533"/>
      <w:r w:rsidRPr="00CA78BD">
        <w:rPr>
          <w:rFonts w:ascii="Times New Roman" w:hAnsi="Times New Roman" w:cs="Times New Roman"/>
          <w:b/>
          <w:color w:val="000000" w:themeColor="text1"/>
          <w:sz w:val="24"/>
          <w:szCs w:val="24"/>
        </w:rPr>
        <w:lastRenderedPageBreak/>
        <w:t xml:space="preserve">2. </w:t>
      </w:r>
      <w:r w:rsidR="003D618B" w:rsidRPr="00CA78BD">
        <w:rPr>
          <w:rFonts w:ascii="Times New Roman" w:hAnsi="Times New Roman" w:cs="Times New Roman"/>
          <w:b/>
          <w:color w:val="000000" w:themeColor="text1"/>
          <w:sz w:val="24"/>
          <w:szCs w:val="24"/>
        </w:rPr>
        <w:t>Субъекты экологической политики Европейского союза</w:t>
      </w:r>
      <w:bookmarkEnd w:id="6"/>
    </w:p>
    <w:p w14:paraId="540F13C4" w14:textId="77777777" w:rsidR="003D618B" w:rsidRPr="00CA78BD" w:rsidRDefault="003D618B" w:rsidP="00E50441">
      <w:pPr>
        <w:pStyle w:val="2"/>
        <w:spacing w:line="360" w:lineRule="auto"/>
        <w:ind w:firstLine="708"/>
        <w:rPr>
          <w:rFonts w:ascii="Times New Roman" w:hAnsi="Times New Roman" w:cs="Times New Roman"/>
          <w:b/>
          <w:color w:val="000000" w:themeColor="text1"/>
          <w:sz w:val="24"/>
          <w:szCs w:val="24"/>
        </w:rPr>
      </w:pPr>
      <w:bookmarkStart w:id="7" w:name="_Toc72956534"/>
      <w:r w:rsidRPr="00CA78BD">
        <w:rPr>
          <w:rFonts w:ascii="Times New Roman" w:hAnsi="Times New Roman" w:cs="Times New Roman"/>
          <w:b/>
          <w:color w:val="000000" w:themeColor="text1"/>
          <w:sz w:val="24"/>
          <w:szCs w:val="24"/>
        </w:rPr>
        <w:t>2.1 Некоммерческие организации</w:t>
      </w:r>
      <w:bookmarkEnd w:id="7"/>
    </w:p>
    <w:p w14:paraId="6176370B" w14:textId="77777777" w:rsidR="003D618B" w:rsidRPr="00CA78BD" w:rsidRDefault="003D618B" w:rsidP="003D618B">
      <w:pPr>
        <w:autoSpaceDE w:val="0"/>
        <w:autoSpaceDN w:val="0"/>
        <w:adjustRightInd w:val="0"/>
        <w:spacing w:line="360" w:lineRule="auto"/>
        <w:ind w:left="708"/>
        <w:jc w:val="both"/>
        <w:rPr>
          <w:rFonts w:ascii="Times New Roman" w:hAnsi="Times New Roman" w:cs="Times New Roman"/>
        </w:rPr>
      </w:pPr>
    </w:p>
    <w:p w14:paraId="0F2A8FF8" w14:textId="77777777" w:rsidR="003D618B" w:rsidRPr="00CA78BD" w:rsidRDefault="003D618B" w:rsidP="003D618B">
      <w:pPr>
        <w:autoSpaceDE w:val="0"/>
        <w:autoSpaceDN w:val="0"/>
        <w:adjustRightInd w:val="0"/>
        <w:spacing w:line="360" w:lineRule="auto"/>
        <w:ind w:left="708" w:firstLine="708"/>
        <w:jc w:val="both"/>
        <w:rPr>
          <w:rFonts w:ascii="Times New Roman" w:hAnsi="Times New Roman" w:cs="Times New Roman"/>
        </w:rPr>
      </w:pPr>
      <w:r w:rsidRPr="00CA78BD">
        <w:rPr>
          <w:rFonts w:ascii="Times New Roman" w:hAnsi="Times New Roman" w:cs="Times New Roman"/>
        </w:rPr>
        <w:t>Как уже было описано выше, институты Евро</w:t>
      </w:r>
      <w:r w:rsidR="001E6E88" w:rsidRPr="00CA78BD">
        <w:rPr>
          <w:rFonts w:ascii="Times New Roman" w:hAnsi="Times New Roman" w:cs="Times New Roman"/>
        </w:rPr>
        <w:t xml:space="preserve">пейского </w:t>
      </w:r>
      <w:r w:rsidRPr="00CA78BD">
        <w:rPr>
          <w:rFonts w:ascii="Times New Roman" w:hAnsi="Times New Roman" w:cs="Times New Roman"/>
        </w:rPr>
        <w:t xml:space="preserve">союза заинтересованы в представительстве как коммерческих структур, так и некоммерческих. </w:t>
      </w:r>
      <w:r w:rsidR="00CC11F5" w:rsidRPr="00CA78BD">
        <w:rPr>
          <w:rFonts w:ascii="Times New Roman" w:hAnsi="Times New Roman" w:cs="Times New Roman"/>
        </w:rPr>
        <w:t>С этой целью они финансируют многие из некоммерческих организаций</w:t>
      </w:r>
      <w:r w:rsidR="00615F19" w:rsidRPr="00CA78BD">
        <w:rPr>
          <w:rFonts w:ascii="Times New Roman" w:hAnsi="Times New Roman" w:cs="Times New Roman"/>
        </w:rPr>
        <w:t>, в том числе экологических</w:t>
      </w:r>
      <w:r w:rsidR="00CC11F5" w:rsidRPr="00CA78BD">
        <w:rPr>
          <w:rFonts w:ascii="Times New Roman" w:hAnsi="Times New Roman" w:cs="Times New Roman"/>
        </w:rPr>
        <w:t xml:space="preserve">. </w:t>
      </w:r>
      <w:r w:rsidRPr="00CA78BD">
        <w:rPr>
          <w:rFonts w:ascii="Times New Roman" w:hAnsi="Times New Roman" w:cs="Times New Roman"/>
        </w:rPr>
        <w:t>Однако контролировать систему, в которой такое большое количество разнообразных групп, непросто</w:t>
      </w:r>
      <w:r w:rsidR="00CC11F5" w:rsidRPr="00CA78BD">
        <w:rPr>
          <w:rFonts w:ascii="Times New Roman" w:hAnsi="Times New Roman" w:cs="Times New Roman"/>
        </w:rPr>
        <w:t>, и всегда есть</w:t>
      </w:r>
      <w:r w:rsidRPr="00CA78BD">
        <w:rPr>
          <w:rFonts w:ascii="Times New Roman" w:hAnsi="Times New Roman" w:cs="Times New Roman"/>
        </w:rPr>
        <w:t xml:space="preserve"> риск непропорционального представительства заинтересованных групп. </w:t>
      </w:r>
      <w:r w:rsidR="00615F19" w:rsidRPr="00CA78BD">
        <w:rPr>
          <w:rFonts w:ascii="Times New Roman" w:hAnsi="Times New Roman" w:cs="Times New Roman"/>
        </w:rPr>
        <w:t>И х</w:t>
      </w:r>
      <w:r w:rsidR="001A4D76" w:rsidRPr="00CA78BD">
        <w:rPr>
          <w:rFonts w:ascii="Times New Roman" w:hAnsi="Times New Roman" w:cs="Times New Roman"/>
        </w:rPr>
        <w:t>отя скромн</w:t>
      </w:r>
      <w:r w:rsidR="00615F19" w:rsidRPr="00CA78BD">
        <w:rPr>
          <w:rFonts w:ascii="Times New Roman" w:hAnsi="Times New Roman" w:cs="Times New Roman"/>
        </w:rPr>
        <w:t xml:space="preserve">ые количественные показатели </w:t>
      </w:r>
      <w:r w:rsidR="001A4D76" w:rsidRPr="00CA78BD">
        <w:rPr>
          <w:rFonts w:ascii="Times New Roman" w:hAnsi="Times New Roman" w:cs="Times New Roman"/>
        </w:rPr>
        <w:t>не означа</w:t>
      </w:r>
      <w:r w:rsidR="00615F19" w:rsidRPr="00CA78BD">
        <w:rPr>
          <w:rFonts w:ascii="Times New Roman" w:hAnsi="Times New Roman" w:cs="Times New Roman"/>
        </w:rPr>
        <w:t>ю</w:t>
      </w:r>
      <w:r w:rsidR="001A4D76" w:rsidRPr="00CA78BD">
        <w:rPr>
          <w:rFonts w:ascii="Times New Roman" w:hAnsi="Times New Roman" w:cs="Times New Roman"/>
        </w:rPr>
        <w:t xml:space="preserve">т обязательно потери в качестве предоставляемой информации и в конечном итоге эффективности лоббирования интересов, </w:t>
      </w:r>
      <w:r w:rsidR="00615F19" w:rsidRPr="00CA78BD">
        <w:rPr>
          <w:rFonts w:ascii="Times New Roman" w:hAnsi="Times New Roman" w:cs="Times New Roman"/>
        </w:rPr>
        <w:t>они всё же могут</w:t>
      </w:r>
      <w:r w:rsidR="000F6F21" w:rsidRPr="00CA78BD">
        <w:rPr>
          <w:rFonts w:ascii="Times New Roman" w:hAnsi="Times New Roman" w:cs="Times New Roman"/>
        </w:rPr>
        <w:t xml:space="preserve"> </w:t>
      </w:r>
      <w:r w:rsidR="00615F19" w:rsidRPr="00CA78BD">
        <w:rPr>
          <w:rFonts w:ascii="Times New Roman" w:hAnsi="Times New Roman" w:cs="Times New Roman"/>
        </w:rPr>
        <w:t xml:space="preserve">ослабить </w:t>
      </w:r>
      <w:r w:rsidR="000F6F21" w:rsidRPr="00CA78BD">
        <w:rPr>
          <w:rFonts w:ascii="Times New Roman" w:hAnsi="Times New Roman" w:cs="Times New Roman"/>
        </w:rPr>
        <w:t>позиции группы.</w:t>
      </w:r>
    </w:p>
    <w:p w14:paraId="6EE1D0F1" w14:textId="77777777" w:rsidR="006A76CC" w:rsidRPr="00CA78BD" w:rsidRDefault="00B170FC" w:rsidP="006A76CC">
      <w:pPr>
        <w:autoSpaceDE w:val="0"/>
        <w:autoSpaceDN w:val="0"/>
        <w:adjustRightInd w:val="0"/>
        <w:spacing w:line="360" w:lineRule="auto"/>
        <w:ind w:left="708" w:firstLine="708"/>
        <w:jc w:val="both"/>
        <w:rPr>
          <w:rFonts w:ascii="Times New Roman" w:hAnsi="Times New Roman" w:cs="Times New Roman"/>
        </w:rPr>
      </w:pPr>
      <w:r w:rsidRPr="00CA78BD">
        <w:rPr>
          <w:rFonts w:ascii="Times New Roman" w:hAnsi="Times New Roman" w:cs="Times New Roman"/>
        </w:rPr>
        <w:t>В целом выходит, что некоммерческие организации в Ев</w:t>
      </w:r>
      <w:r w:rsidR="00CA5D6A" w:rsidRPr="00CA78BD">
        <w:rPr>
          <w:rFonts w:ascii="Times New Roman" w:hAnsi="Times New Roman" w:cs="Times New Roman"/>
        </w:rPr>
        <w:t>ропе</w:t>
      </w:r>
      <w:r w:rsidRPr="00CA78BD">
        <w:rPr>
          <w:rFonts w:ascii="Times New Roman" w:hAnsi="Times New Roman" w:cs="Times New Roman"/>
        </w:rPr>
        <w:t xml:space="preserve"> уступают представителям бизнеса по численности и находящимся в их распоряжении ресурсам. Доля </w:t>
      </w:r>
      <w:r w:rsidR="001E6E88" w:rsidRPr="00CA78BD">
        <w:rPr>
          <w:rFonts w:ascii="Times New Roman" w:hAnsi="Times New Roman" w:cs="Times New Roman"/>
        </w:rPr>
        <w:t xml:space="preserve">всех </w:t>
      </w:r>
      <w:r w:rsidRPr="00CA78BD">
        <w:rPr>
          <w:rFonts w:ascii="Times New Roman" w:hAnsi="Times New Roman" w:cs="Times New Roman"/>
        </w:rPr>
        <w:t>НКО в институтах Европейского союза в последнее время возросла, но незначительно, и составляет лишь треть от всех представленных интересов, согласно последним исследованиям</w:t>
      </w:r>
      <w:r w:rsidRPr="00CA78BD">
        <w:rPr>
          <w:rFonts w:ascii="Times New Roman" w:eastAsia="Times New Roman" w:hAnsi="Times New Roman" w:cs="Times New Roman"/>
          <w:vertAlign w:val="superscript"/>
        </w:rPr>
        <w:footnoteReference w:id="36"/>
      </w:r>
      <w:r w:rsidRPr="00CA78BD">
        <w:rPr>
          <w:rFonts w:ascii="Times New Roman" w:hAnsi="Times New Roman" w:cs="Times New Roman"/>
        </w:rPr>
        <w:t>.</w:t>
      </w:r>
      <w:r w:rsidR="001E6E88" w:rsidRPr="00CA78BD">
        <w:rPr>
          <w:rFonts w:ascii="Times New Roman" w:hAnsi="Times New Roman" w:cs="Times New Roman"/>
        </w:rPr>
        <w:t xml:space="preserve"> Тем временем НКО – это основные </w:t>
      </w:r>
      <w:proofErr w:type="spellStart"/>
      <w:r w:rsidR="001E6E88" w:rsidRPr="00CA78BD">
        <w:rPr>
          <w:rFonts w:ascii="Times New Roman" w:hAnsi="Times New Roman" w:cs="Times New Roman"/>
        </w:rPr>
        <w:t>акторы</w:t>
      </w:r>
      <w:proofErr w:type="spellEnd"/>
      <w:r w:rsidR="001E6E88" w:rsidRPr="00CA78BD">
        <w:rPr>
          <w:rFonts w:ascii="Times New Roman" w:hAnsi="Times New Roman" w:cs="Times New Roman"/>
        </w:rPr>
        <w:t xml:space="preserve">, выступающие за более решительные меры в области экологической и климатической политики. </w:t>
      </w:r>
      <w:r w:rsidR="00787963" w:rsidRPr="00CA78BD">
        <w:rPr>
          <w:rFonts w:ascii="Times New Roman" w:hAnsi="Times New Roman" w:cs="Times New Roman"/>
        </w:rPr>
        <w:t xml:space="preserve">Им противостоит крупный бизнес, который оперативно реагирует на опасность, исходящую со стороны «зелёных». </w:t>
      </w:r>
    </w:p>
    <w:p w14:paraId="6819A210" w14:textId="77777777" w:rsidR="001577D4" w:rsidRPr="00CA78BD" w:rsidRDefault="001577D4" w:rsidP="006A76CC">
      <w:pPr>
        <w:autoSpaceDE w:val="0"/>
        <w:autoSpaceDN w:val="0"/>
        <w:adjustRightInd w:val="0"/>
        <w:spacing w:line="360" w:lineRule="auto"/>
        <w:ind w:left="708" w:firstLine="708"/>
        <w:jc w:val="both"/>
        <w:rPr>
          <w:rFonts w:ascii="Times New Roman" w:hAnsi="Times New Roman" w:cs="Times New Roman"/>
        </w:rPr>
      </w:pPr>
      <w:r w:rsidRPr="00CA78BD">
        <w:rPr>
          <w:rFonts w:ascii="Times New Roman" w:hAnsi="Times New Roman" w:cs="Times New Roman"/>
        </w:rPr>
        <w:t xml:space="preserve">Однако </w:t>
      </w:r>
      <w:r w:rsidR="00787963" w:rsidRPr="00CA78BD">
        <w:rPr>
          <w:rFonts w:ascii="Times New Roman" w:hAnsi="Times New Roman" w:cs="Times New Roman"/>
        </w:rPr>
        <w:t xml:space="preserve">по отдельным вопросам экологической политики возможно объединение НКО и коммерческих структур. </w:t>
      </w:r>
      <w:r w:rsidR="006A76CC" w:rsidRPr="00CA78BD">
        <w:rPr>
          <w:rFonts w:ascii="Times New Roman" w:hAnsi="Times New Roman" w:cs="Times New Roman"/>
        </w:rPr>
        <w:t xml:space="preserve">Как правило, это компании из сектора возобновляемых источников энергии (ВИЭ), электротранспорта, высоких технологий и т.д. По данным аналитического центра </w:t>
      </w:r>
      <w:r w:rsidR="006A76CC" w:rsidRPr="00CA78BD">
        <w:rPr>
          <w:rFonts w:ascii="Times New Roman" w:hAnsi="Times New Roman" w:cs="Times New Roman"/>
          <w:b/>
          <w:bCs/>
          <w:i/>
          <w:iCs/>
        </w:rPr>
        <w:t>«</w:t>
      </w:r>
      <w:proofErr w:type="spellStart"/>
      <w:r w:rsidR="006A76CC" w:rsidRPr="00CA78BD">
        <w:rPr>
          <w:rFonts w:ascii="Times New Roman" w:hAnsi="Times New Roman" w:cs="Times New Roman"/>
          <w:b/>
          <w:bCs/>
          <w:i/>
          <w:iCs/>
          <w:lang w:val="en-US"/>
        </w:rPr>
        <w:t>InfluenceMap</w:t>
      </w:r>
      <w:proofErr w:type="spellEnd"/>
      <w:r w:rsidR="006A76CC" w:rsidRPr="00CA78BD">
        <w:rPr>
          <w:rFonts w:ascii="Times New Roman" w:hAnsi="Times New Roman" w:cs="Times New Roman"/>
          <w:b/>
          <w:bCs/>
          <w:i/>
          <w:iCs/>
        </w:rPr>
        <w:t>»</w:t>
      </w:r>
      <w:r w:rsidR="006A76CC" w:rsidRPr="00CA78BD">
        <w:rPr>
          <w:rFonts w:ascii="Times New Roman" w:hAnsi="Times New Roman" w:cs="Times New Roman"/>
        </w:rPr>
        <w:t xml:space="preserve">, уже за два года после принятия Парижского соглашения, к 2017 г., доля частных компаний, продвигающих более решительные меры в области </w:t>
      </w:r>
      <w:proofErr w:type="gramStart"/>
      <w:r w:rsidR="006A76CC" w:rsidRPr="00CA78BD">
        <w:rPr>
          <w:rFonts w:ascii="Times New Roman" w:hAnsi="Times New Roman" w:cs="Times New Roman"/>
        </w:rPr>
        <w:t>климатической политики</w:t>
      </w:r>
      <w:proofErr w:type="gramEnd"/>
      <w:r w:rsidR="006A76CC" w:rsidRPr="00CA78BD">
        <w:rPr>
          <w:rFonts w:ascii="Times New Roman" w:hAnsi="Times New Roman" w:cs="Times New Roman"/>
        </w:rPr>
        <w:t xml:space="preserve"> заметно возросла</w:t>
      </w:r>
      <w:r w:rsidR="006A76CC" w:rsidRPr="00CA78BD">
        <w:rPr>
          <w:rFonts w:ascii="Times New Roman" w:eastAsia="Times New Roman" w:hAnsi="Times New Roman" w:cs="Times New Roman"/>
          <w:vertAlign w:val="superscript"/>
        </w:rPr>
        <w:footnoteReference w:id="37"/>
      </w:r>
      <w:r w:rsidR="006A76CC" w:rsidRPr="00CA78BD">
        <w:rPr>
          <w:rFonts w:ascii="Times New Roman" w:hAnsi="Times New Roman" w:cs="Times New Roman"/>
        </w:rPr>
        <w:t>. Доля крупнейших промышленных компаний, препятствующих проведению новой климатической политики, на сегодня, соответственно, снизилась с 45% до 30%</w:t>
      </w:r>
      <w:r w:rsidR="006A76CC" w:rsidRPr="00CA78BD">
        <w:rPr>
          <w:rFonts w:ascii="Times New Roman" w:eastAsia="Times New Roman" w:hAnsi="Times New Roman" w:cs="Times New Roman"/>
          <w:vertAlign w:val="superscript"/>
        </w:rPr>
        <w:footnoteReference w:id="38"/>
      </w:r>
      <w:r w:rsidR="006A76CC" w:rsidRPr="00CA78BD">
        <w:rPr>
          <w:rFonts w:ascii="Times New Roman" w:hAnsi="Times New Roman" w:cs="Times New Roman"/>
        </w:rPr>
        <w:t xml:space="preserve">. Многие компании предпочитают поддерживать правительства в их </w:t>
      </w:r>
      <w:r w:rsidR="006A76CC" w:rsidRPr="00CA78BD">
        <w:rPr>
          <w:rFonts w:ascii="Times New Roman" w:hAnsi="Times New Roman" w:cs="Times New Roman"/>
        </w:rPr>
        <w:lastRenderedPageBreak/>
        <w:t xml:space="preserve">стремлении расширить экологическое законодательство и активно участвуют в процессе принятия решений, чтобы введение новых экологических стандартов прошло с минимальными затратами для их бизнеса. </w:t>
      </w:r>
      <w:r w:rsidR="00787963" w:rsidRPr="00CA78BD">
        <w:rPr>
          <w:rFonts w:ascii="Times New Roman" w:hAnsi="Times New Roman" w:cs="Times New Roman"/>
        </w:rPr>
        <w:t xml:space="preserve">В рамках данного исследования </w:t>
      </w:r>
      <w:proofErr w:type="spellStart"/>
      <w:r w:rsidR="00787963" w:rsidRPr="00CA78BD">
        <w:rPr>
          <w:rFonts w:ascii="Times New Roman" w:hAnsi="Times New Roman" w:cs="Times New Roman"/>
        </w:rPr>
        <w:t>проэкологические</w:t>
      </w:r>
      <w:proofErr w:type="spellEnd"/>
      <w:r w:rsidR="00787963" w:rsidRPr="00CA78BD">
        <w:rPr>
          <w:rFonts w:ascii="Times New Roman" w:hAnsi="Times New Roman" w:cs="Times New Roman"/>
        </w:rPr>
        <w:t xml:space="preserve"> коммерческие компании будут рассматриваться вместе с НКО, так как они стоят на одной позиции и </w:t>
      </w:r>
      <w:r w:rsidRPr="00CA78BD">
        <w:rPr>
          <w:rFonts w:ascii="Times New Roman" w:hAnsi="Times New Roman" w:cs="Times New Roman"/>
        </w:rPr>
        <w:t xml:space="preserve">усиливают друг друга. </w:t>
      </w:r>
    </w:p>
    <w:p w14:paraId="3A6B2B09" w14:textId="77777777" w:rsidR="001577D4" w:rsidRPr="00CA78BD" w:rsidRDefault="001577D4" w:rsidP="001577D4">
      <w:pPr>
        <w:autoSpaceDE w:val="0"/>
        <w:autoSpaceDN w:val="0"/>
        <w:adjustRightInd w:val="0"/>
        <w:spacing w:line="360" w:lineRule="auto"/>
        <w:ind w:left="708" w:firstLine="708"/>
        <w:jc w:val="both"/>
        <w:rPr>
          <w:rFonts w:ascii="Times New Roman" w:hAnsi="Times New Roman" w:cs="Times New Roman"/>
        </w:rPr>
      </w:pPr>
      <w:r w:rsidRPr="00CA78BD">
        <w:rPr>
          <w:rFonts w:ascii="Times New Roman" w:hAnsi="Times New Roman" w:cs="Times New Roman"/>
        </w:rPr>
        <w:t xml:space="preserve">Появление зелёной повестки в институтах Европейского союза относится к началу 1970-х. После стокгольмской конференции ООН по проблемам окружающей среды в 1972 г. тогда еще Европейское экономическое сообщество (ЕЭС) начало постепенное движение к оформлению собственной экологической политики, которая объединила бы усилия стран-членов по снижению разрушительного антропогенного воздействия на окружающую среду и улучшению качества жизни граждан. Уже в 1973 г. принимается первая Программа действий в области охраны окружающей среды (1973-1976), а в 1974 учреждается </w:t>
      </w:r>
      <w:r w:rsidRPr="00CA78BD">
        <w:rPr>
          <w:rFonts w:ascii="Times New Roman" w:hAnsi="Times New Roman" w:cs="Times New Roman"/>
          <w:b/>
          <w:bCs/>
          <w:i/>
          <w:iCs/>
        </w:rPr>
        <w:t>Европейское бюро по окружающей среде (</w:t>
      </w:r>
      <w:r w:rsidRPr="00CA78BD">
        <w:rPr>
          <w:rFonts w:ascii="Times New Roman" w:hAnsi="Times New Roman" w:cs="Times New Roman"/>
          <w:b/>
          <w:bCs/>
          <w:i/>
          <w:iCs/>
          <w:lang w:val="en-US"/>
        </w:rPr>
        <w:t>European</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Environmental</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Bureau</w:t>
      </w:r>
      <w:r w:rsidRPr="00CA78BD">
        <w:rPr>
          <w:rFonts w:ascii="Times New Roman" w:hAnsi="Times New Roman" w:cs="Times New Roman"/>
          <w:b/>
          <w:bCs/>
          <w:i/>
          <w:iCs/>
        </w:rPr>
        <w:t>)</w:t>
      </w:r>
      <w:r w:rsidRPr="00CA78BD">
        <w:rPr>
          <w:rFonts w:ascii="Times New Roman" w:hAnsi="Times New Roman" w:cs="Times New Roman"/>
        </w:rPr>
        <w:t xml:space="preserve"> — крупнейшая сеть общественных организаций по окружающей среде в Европе. </w:t>
      </w:r>
    </w:p>
    <w:p w14:paraId="3C5ECF56" w14:textId="77777777" w:rsidR="001577D4" w:rsidRPr="00CA78BD" w:rsidRDefault="001577D4" w:rsidP="001577D4">
      <w:pPr>
        <w:autoSpaceDE w:val="0"/>
        <w:autoSpaceDN w:val="0"/>
        <w:adjustRightInd w:val="0"/>
        <w:spacing w:line="360" w:lineRule="auto"/>
        <w:ind w:left="708" w:firstLine="708"/>
        <w:jc w:val="both"/>
        <w:rPr>
          <w:rFonts w:ascii="Times New Roman" w:hAnsi="Times New Roman" w:cs="Times New Roman"/>
        </w:rPr>
      </w:pPr>
      <w:r w:rsidRPr="00CA78BD">
        <w:rPr>
          <w:rFonts w:ascii="Times New Roman" w:hAnsi="Times New Roman" w:cs="Times New Roman"/>
        </w:rPr>
        <w:t>Но только с принятием Единого европейского акта в 1986 г. экологическая политика в ЕЭС получает законодательную основу</w:t>
      </w:r>
      <w:r w:rsidRPr="00CA78BD">
        <w:rPr>
          <w:rFonts w:ascii="Times New Roman" w:eastAsia="Times New Roman" w:hAnsi="Times New Roman" w:cs="Times New Roman"/>
          <w:vertAlign w:val="superscript"/>
        </w:rPr>
        <w:footnoteReference w:id="39"/>
      </w:r>
      <w:r w:rsidRPr="00CA78BD">
        <w:rPr>
          <w:rFonts w:ascii="Times New Roman" w:hAnsi="Times New Roman" w:cs="Times New Roman"/>
        </w:rPr>
        <w:t>. С этого момента происходит расширение экологического законодательства объединённой Европы и активное включение экологических мер в другие направления деятельности, затрагивающие уже широкие слои населения и бизнес-сообщество. Это привело к активизации экологических групп интересов, которые начали включаться в процесс принятия решений по экологическим вопросам.</w:t>
      </w:r>
      <w:r w:rsidR="004F3097" w:rsidRPr="00CA78BD">
        <w:rPr>
          <w:rFonts w:ascii="Times New Roman" w:hAnsi="Times New Roman" w:cs="Times New Roman"/>
        </w:rPr>
        <w:t xml:space="preserve"> Тогда на Европейский уровень вышли крупнейшие организации по защите окружающей среды — </w:t>
      </w:r>
      <w:r w:rsidR="004F3097" w:rsidRPr="00CA78BD">
        <w:rPr>
          <w:rFonts w:ascii="Times New Roman" w:hAnsi="Times New Roman" w:cs="Times New Roman"/>
          <w:b/>
          <w:bCs/>
          <w:i/>
          <w:iCs/>
          <w:lang w:val="en-US"/>
        </w:rPr>
        <w:t>Greenpeace</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World</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Wild</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Fund</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WWF</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Friends</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of</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the</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Earth</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Europe</w:t>
      </w:r>
      <w:r w:rsidR="004F3097" w:rsidRPr="00CA78BD">
        <w:rPr>
          <w:rFonts w:ascii="Times New Roman" w:hAnsi="Times New Roman" w:cs="Times New Roman"/>
          <w:b/>
          <w:bCs/>
          <w:i/>
          <w:iCs/>
        </w:rPr>
        <w:t xml:space="preserve"> (</w:t>
      </w:r>
      <w:proofErr w:type="spellStart"/>
      <w:r w:rsidR="004F3097" w:rsidRPr="00CA78BD">
        <w:rPr>
          <w:rFonts w:ascii="Times New Roman" w:hAnsi="Times New Roman" w:cs="Times New Roman"/>
          <w:b/>
          <w:bCs/>
          <w:i/>
          <w:iCs/>
          <w:lang w:val="en-US"/>
        </w:rPr>
        <w:t>FoEE</w:t>
      </w:r>
      <w:proofErr w:type="spellEnd"/>
      <w:r w:rsidR="004F3097" w:rsidRPr="00CA78BD">
        <w:rPr>
          <w:rFonts w:ascii="Times New Roman" w:hAnsi="Times New Roman" w:cs="Times New Roman"/>
          <w:b/>
          <w:bCs/>
          <w:i/>
          <w:iCs/>
        </w:rPr>
        <w:t>)</w:t>
      </w:r>
      <w:r w:rsidR="004F3097" w:rsidRPr="00CA78BD">
        <w:rPr>
          <w:rFonts w:ascii="Times New Roman" w:hAnsi="Times New Roman" w:cs="Times New Roman"/>
        </w:rPr>
        <w:t xml:space="preserve">. Совместно с </w:t>
      </w:r>
      <w:r w:rsidR="004F3097" w:rsidRPr="00CA78BD">
        <w:rPr>
          <w:rFonts w:ascii="Times New Roman" w:hAnsi="Times New Roman" w:cs="Times New Roman"/>
          <w:b/>
          <w:bCs/>
          <w:i/>
          <w:iCs/>
          <w:lang w:val="en-US"/>
        </w:rPr>
        <w:t>Birdlife</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International</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Birdlife</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Europe</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and</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Central</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Asia</w:t>
      </w:r>
      <w:r w:rsidR="004F3097" w:rsidRPr="00CA78BD">
        <w:rPr>
          <w:rFonts w:ascii="Times New Roman" w:hAnsi="Times New Roman" w:cs="Times New Roman"/>
          <w:b/>
          <w:bCs/>
          <w:i/>
          <w:iCs/>
        </w:rPr>
        <w:t>)</w:t>
      </w:r>
      <w:r w:rsidR="004F3097" w:rsidRPr="00CA78BD">
        <w:rPr>
          <w:rFonts w:ascii="Times New Roman" w:hAnsi="Times New Roman" w:cs="Times New Roman"/>
        </w:rPr>
        <w:t xml:space="preserve"> эти организации — наиболее влиятельные НКО в процессе принятия решений по экологическим вопросам в Европейском союзе. Другими важными игроками в сфере защиты окружающей среды, усилившими своё влияние в Европейском союзе в это время, были </w:t>
      </w:r>
      <w:r w:rsidR="004F3097" w:rsidRPr="00CA78BD">
        <w:rPr>
          <w:rFonts w:ascii="Times New Roman" w:hAnsi="Times New Roman" w:cs="Times New Roman"/>
          <w:b/>
          <w:bCs/>
          <w:i/>
          <w:iCs/>
          <w:lang w:val="en-US"/>
        </w:rPr>
        <w:t>Transport</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and</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Environment</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T</w:t>
      </w:r>
      <w:r w:rsidR="004F3097" w:rsidRPr="00CA78BD">
        <w:rPr>
          <w:rFonts w:ascii="Times New Roman" w:hAnsi="Times New Roman" w:cs="Times New Roman"/>
          <w:b/>
          <w:bCs/>
          <w:i/>
          <w:iCs/>
        </w:rPr>
        <w:t>&amp;</w:t>
      </w:r>
      <w:r w:rsidR="004F3097" w:rsidRPr="00CA78BD">
        <w:rPr>
          <w:rFonts w:ascii="Times New Roman" w:hAnsi="Times New Roman" w:cs="Times New Roman"/>
          <w:b/>
          <w:bCs/>
          <w:i/>
          <w:iCs/>
          <w:lang w:val="en-US"/>
        </w:rPr>
        <w:t>E</w:t>
      </w:r>
      <w:r w:rsidR="004F3097" w:rsidRPr="00CA78BD">
        <w:rPr>
          <w:rFonts w:ascii="Times New Roman" w:hAnsi="Times New Roman" w:cs="Times New Roman"/>
          <w:b/>
          <w:bCs/>
          <w:i/>
          <w:iCs/>
        </w:rPr>
        <w:t>)</w:t>
      </w:r>
      <w:r w:rsidR="004F3097" w:rsidRPr="00CA78BD">
        <w:rPr>
          <w:rFonts w:ascii="Times New Roman" w:hAnsi="Times New Roman" w:cs="Times New Roman"/>
        </w:rPr>
        <w:t xml:space="preserve">, </w:t>
      </w:r>
      <w:r w:rsidR="004F3097" w:rsidRPr="00CA78BD">
        <w:rPr>
          <w:rFonts w:ascii="Times New Roman" w:hAnsi="Times New Roman" w:cs="Times New Roman"/>
          <w:b/>
          <w:bCs/>
          <w:i/>
          <w:iCs/>
          <w:lang w:val="en-US"/>
        </w:rPr>
        <w:t>Climate</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Action</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Network</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CAN</w:t>
      </w:r>
      <w:r w:rsidR="004F3097" w:rsidRPr="00CA78BD">
        <w:rPr>
          <w:rFonts w:ascii="Times New Roman" w:hAnsi="Times New Roman" w:cs="Times New Roman"/>
          <w:b/>
          <w:bCs/>
          <w:i/>
          <w:iCs/>
        </w:rPr>
        <w:t>)</w:t>
      </w:r>
      <w:r w:rsidR="004F3097" w:rsidRPr="00CA78BD">
        <w:rPr>
          <w:rFonts w:ascii="Times New Roman" w:hAnsi="Times New Roman" w:cs="Times New Roman"/>
        </w:rPr>
        <w:t xml:space="preserve"> и уже упомянутое выше </w:t>
      </w:r>
      <w:r w:rsidR="004F3097" w:rsidRPr="00CA78BD">
        <w:rPr>
          <w:rFonts w:ascii="Times New Roman" w:hAnsi="Times New Roman" w:cs="Times New Roman"/>
          <w:b/>
          <w:bCs/>
          <w:i/>
          <w:iCs/>
          <w:lang w:val="en-US"/>
        </w:rPr>
        <w:t>European</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Environmental</w:t>
      </w:r>
      <w:r w:rsidR="004F3097" w:rsidRPr="00CA78BD">
        <w:rPr>
          <w:rFonts w:ascii="Times New Roman" w:hAnsi="Times New Roman" w:cs="Times New Roman"/>
          <w:b/>
          <w:bCs/>
          <w:i/>
          <w:iCs/>
        </w:rPr>
        <w:t xml:space="preserve"> </w:t>
      </w:r>
      <w:r w:rsidR="004F3097" w:rsidRPr="00CA78BD">
        <w:rPr>
          <w:rFonts w:ascii="Times New Roman" w:hAnsi="Times New Roman" w:cs="Times New Roman"/>
          <w:b/>
          <w:bCs/>
          <w:i/>
          <w:iCs/>
          <w:lang w:val="en-US"/>
        </w:rPr>
        <w:t>Bureau</w:t>
      </w:r>
      <w:r w:rsidR="004F3097" w:rsidRPr="00CA78BD">
        <w:rPr>
          <w:rFonts w:ascii="Times New Roman" w:hAnsi="Times New Roman" w:cs="Times New Roman"/>
        </w:rPr>
        <w:t xml:space="preserve"> </w:t>
      </w:r>
      <w:r w:rsidR="004F3097" w:rsidRPr="00CA78BD">
        <w:rPr>
          <w:rFonts w:ascii="Times New Roman" w:hAnsi="Times New Roman" w:cs="Times New Roman"/>
          <w:b/>
          <w:bCs/>
          <w:i/>
          <w:iCs/>
        </w:rPr>
        <w:t>(</w:t>
      </w:r>
      <w:r w:rsidR="004F3097" w:rsidRPr="00CA78BD">
        <w:rPr>
          <w:rFonts w:ascii="Times New Roman" w:hAnsi="Times New Roman" w:cs="Times New Roman"/>
          <w:b/>
          <w:bCs/>
          <w:i/>
          <w:iCs/>
          <w:lang w:val="en-US"/>
        </w:rPr>
        <w:t>EEB</w:t>
      </w:r>
      <w:r w:rsidR="004F3097" w:rsidRPr="00CA78BD">
        <w:rPr>
          <w:rFonts w:ascii="Times New Roman" w:hAnsi="Times New Roman" w:cs="Times New Roman"/>
          <w:b/>
          <w:bCs/>
          <w:i/>
          <w:iCs/>
        </w:rPr>
        <w:t>)</w:t>
      </w:r>
      <w:r w:rsidR="004F3097" w:rsidRPr="00CA78BD">
        <w:rPr>
          <w:rStyle w:val="ab"/>
          <w:rFonts w:ascii="Times New Roman" w:hAnsi="Times New Roman" w:cs="Times New Roman"/>
          <w:b/>
          <w:bCs/>
          <w:i/>
          <w:iCs/>
          <w:lang w:val="en-US"/>
        </w:rPr>
        <w:footnoteReference w:id="40"/>
      </w:r>
      <w:r w:rsidR="004F3097" w:rsidRPr="00CA78BD">
        <w:rPr>
          <w:rFonts w:ascii="Times New Roman" w:hAnsi="Times New Roman" w:cs="Times New Roman"/>
        </w:rPr>
        <w:t>.</w:t>
      </w:r>
    </w:p>
    <w:p w14:paraId="1C44F2A2" w14:textId="77777777" w:rsidR="004F3097" w:rsidRPr="00CA78BD" w:rsidRDefault="004F3097" w:rsidP="004F309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lastRenderedPageBreak/>
        <w:tab/>
        <w:t xml:space="preserve">К началу 1990-х 10 крупнейших экологических организаций и сетей объединяются в коалицию под названием </w:t>
      </w:r>
      <w:r w:rsidRPr="00CA78BD">
        <w:rPr>
          <w:rFonts w:ascii="Times New Roman" w:hAnsi="Times New Roman" w:cs="Times New Roman"/>
          <w:b/>
          <w:bCs/>
          <w:i/>
          <w:iCs/>
        </w:rPr>
        <w:t>«</w:t>
      </w:r>
      <w:r w:rsidRPr="00CA78BD">
        <w:rPr>
          <w:rFonts w:ascii="Times New Roman" w:hAnsi="Times New Roman" w:cs="Times New Roman"/>
          <w:b/>
          <w:bCs/>
          <w:i/>
          <w:iCs/>
          <w:lang w:val="en-US"/>
        </w:rPr>
        <w:t>Green</w:t>
      </w:r>
      <w:r w:rsidRPr="00CA78BD">
        <w:rPr>
          <w:rFonts w:ascii="Times New Roman" w:hAnsi="Times New Roman" w:cs="Times New Roman"/>
          <w:b/>
          <w:bCs/>
          <w:i/>
          <w:iCs/>
        </w:rPr>
        <w:t xml:space="preserve"> 10» (</w:t>
      </w:r>
      <w:r w:rsidRPr="00CA78BD">
        <w:rPr>
          <w:rFonts w:ascii="Times New Roman" w:hAnsi="Times New Roman" w:cs="Times New Roman"/>
          <w:b/>
          <w:bCs/>
          <w:i/>
          <w:iCs/>
          <w:lang w:val="en-US"/>
        </w:rPr>
        <w:t>G</w:t>
      </w:r>
      <w:r w:rsidRPr="00CA78BD">
        <w:rPr>
          <w:rFonts w:ascii="Times New Roman" w:hAnsi="Times New Roman" w:cs="Times New Roman"/>
          <w:b/>
          <w:bCs/>
          <w:i/>
          <w:iCs/>
        </w:rPr>
        <w:t>10)</w:t>
      </w:r>
      <w:r w:rsidRPr="00CA78BD">
        <w:rPr>
          <w:rFonts w:ascii="Times New Roman" w:hAnsi="Times New Roman" w:cs="Times New Roman"/>
        </w:rPr>
        <w:t>. Целью объединения является коллективная защита интересов и продвижение экологических инициатив в институтах Европейского союза</w:t>
      </w:r>
      <w:r w:rsidRPr="00CA78BD">
        <w:rPr>
          <w:rStyle w:val="ab"/>
          <w:rFonts w:ascii="Times New Roman" w:hAnsi="Times New Roman" w:cs="Times New Roman"/>
        </w:rPr>
        <w:footnoteReference w:id="41"/>
      </w:r>
      <w:r w:rsidRPr="00CA78BD">
        <w:rPr>
          <w:rFonts w:ascii="Times New Roman" w:hAnsi="Times New Roman" w:cs="Times New Roman"/>
        </w:rPr>
        <w:t xml:space="preserve">. Вошедшие в коалицию организации и сети по защите окружающей среды, сохранению биоразнообразия и повышению качества жизни населения по сей день остаются основными группами давления в процессе принятия решений в области экологической политики в Европейском союзе. </w:t>
      </w:r>
    </w:p>
    <w:p w14:paraId="1C1CE2E8" w14:textId="77777777" w:rsidR="004F3097" w:rsidRPr="00CA78BD" w:rsidRDefault="004F3097" w:rsidP="004F309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tab/>
      </w:r>
      <w:r w:rsidR="00CA5D6A" w:rsidRPr="00CA78BD">
        <w:rPr>
          <w:rFonts w:ascii="Times New Roman" w:hAnsi="Times New Roman" w:cs="Times New Roman"/>
        </w:rPr>
        <w:t xml:space="preserve">В </w:t>
      </w:r>
      <w:r w:rsidR="00CA5D6A" w:rsidRPr="00CA78BD">
        <w:rPr>
          <w:rFonts w:ascii="Times New Roman" w:hAnsi="Times New Roman" w:cs="Times New Roman"/>
          <w:b/>
          <w:bCs/>
          <w:i/>
          <w:iCs/>
          <w:lang w:val="en-US"/>
        </w:rPr>
        <w:t>G</w:t>
      </w:r>
      <w:r w:rsidR="00CA5D6A" w:rsidRPr="00CA78BD">
        <w:rPr>
          <w:rFonts w:ascii="Times New Roman" w:hAnsi="Times New Roman" w:cs="Times New Roman"/>
          <w:b/>
          <w:bCs/>
          <w:i/>
          <w:iCs/>
        </w:rPr>
        <w:t>10</w:t>
      </w:r>
      <w:r w:rsidR="00CA5D6A" w:rsidRPr="00CA78BD">
        <w:rPr>
          <w:rFonts w:ascii="Times New Roman" w:hAnsi="Times New Roman" w:cs="Times New Roman"/>
        </w:rPr>
        <w:t xml:space="preserve"> входят организации, в которых числится в общей сложности более 20 млн. граждан стран Европы</w:t>
      </w:r>
      <w:r w:rsidR="00CA5D6A" w:rsidRPr="00CA78BD">
        <w:rPr>
          <w:rFonts w:ascii="Times New Roman" w:eastAsia="Times New Roman" w:hAnsi="Times New Roman" w:cs="Times New Roman"/>
          <w:vertAlign w:val="superscript"/>
        </w:rPr>
        <w:footnoteReference w:id="42"/>
      </w:r>
      <w:r w:rsidR="00CA5D6A" w:rsidRPr="00CA78BD">
        <w:rPr>
          <w:rFonts w:ascii="Times New Roman" w:hAnsi="Times New Roman" w:cs="Times New Roman"/>
        </w:rPr>
        <w:t xml:space="preserve">. Столь высокий уровень поддержки населения позволяет этим организациям успешно пользоваться как внутренними, так и внешними тактиками при достижении своих целей. Используя институциональные каналы взаимодействия с властью, </w:t>
      </w:r>
      <w:r w:rsidRPr="00CA78BD">
        <w:rPr>
          <w:rFonts w:ascii="Times New Roman" w:hAnsi="Times New Roman" w:cs="Times New Roman"/>
        </w:rPr>
        <w:t xml:space="preserve">крупнейшие </w:t>
      </w:r>
      <w:r w:rsidR="00CA5D6A" w:rsidRPr="00CA78BD">
        <w:rPr>
          <w:rFonts w:ascii="Times New Roman" w:hAnsi="Times New Roman" w:cs="Times New Roman"/>
        </w:rPr>
        <w:t>экологические НКО смогли зарекомендовать себя как надежные поставщики проверенной информации и лидеры общественного мнения, готовые идти на конструктивный диалог. При этом их авторитет среди широких слоёв населения также позволяет им управлять общественными движениями, устраивать масштабные акции и распространять громкие заявления.</w:t>
      </w:r>
      <w:r w:rsidRPr="00CA78BD">
        <w:rPr>
          <w:rFonts w:ascii="Times New Roman" w:hAnsi="Times New Roman" w:cs="Times New Roman"/>
        </w:rPr>
        <w:t xml:space="preserve"> </w:t>
      </w:r>
    </w:p>
    <w:p w14:paraId="1B399EA6" w14:textId="77777777" w:rsidR="00CA5D6A" w:rsidRPr="00CA78BD" w:rsidRDefault="004F3097" w:rsidP="000845A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tab/>
        <w:t xml:space="preserve">Кроме того, </w:t>
      </w:r>
      <w:r w:rsidRPr="00CA78BD">
        <w:rPr>
          <w:rFonts w:ascii="Times New Roman" w:hAnsi="Times New Roman" w:cs="Times New Roman"/>
          <w:b/>
          <w:bCs/>
          <w:i/>
          <w:iCs/>
          <w:lang w:val="en-US"/>
        </w:rPr>
        <w:t>G</w:t>
      </w:r>
      <w:r w:rsidRPr="00CA78BD">
        <w:rPr>
          <w:rFonts w:ascii="Times New Roman" w:hAnsi="Times New Roman" w:cs="Times New Roman"/>
          <w:b/>
          <w:bCs/>
          <w:i/>
          <w:iCs/>
        </w:rPr>
        <w:t>10</w:t>
      </w:r>
      <w:r w:rsidRPr="00CA78BD">
        <w:rPr>
          <w:rFonts w:ascii="Times New Roman" w:hAnsi="Times New Roman" w:cs="Times New Roman"/>
        </w:rPr>
        <w:t xml:space="preserve"> объединяет НКО самого разного характера. Одни из них могут быть более централизованными, другие менее, что влияет на стиль каждой из организаций в процессе работы. Разнообразие подходов к представительству своих интересов в </w:t>
      </w:r>
      <w:r w:rsidRPr="00CA78BD">
        <w:rPr>
          <w:rFonts w:ascii="Times New Roman" w:hAnsi="Times New Roman" w:cs="Times New Roman"/>
          <w:b/>
          <w:bCs/>
          <w:i/>
          <w:iCs/>
          <w:lang w:val="en-US"/>
        </w:rPr>
        <w:t>G</w:t>
      </w:r>
      <w:r w:rsidRPr="00CA78BD">
        <w:rPr>
          <w:rFonts w:ascii="Times New Roman" w:hAnsi="Times New Roman" w:cs="Times New Roman"/>
          <w:b/>
          <w:bCs/>
          <w:i/>
          <w:iCs/>
        </w:rPr>
        <w:t>10</w:t>
      </w:r>
      <w:r w:rsidRPr="00CA78BD">
        <w:rPr>
          <w:rFonts w:ascii="Times New Roman" w:hAnsi="Times New Roman" w:cs="Times New Roman"/>
        </w:rPr>
        <w:t xml:space="preserve"> скорее является преимуществом, чем недостатком. Многолетнее сотрудничество в рамках объединения свидетельствует об устойчивости связей и постоянстве интересов, тогда как различный потенциал и возможности организаций позволяют усилить позиции коалиции за счет комбинации различных тактик в процессе оказания давления на органы власти. Спектр входящих в </w:t>
      </w:r>
      <w:r w:rsidRPr="00CA78BD">
        <w:rPr>
          <w:rFonts w:ascii="Times New Roman" w:hAnsi="Times New Roman" w:cs="Times New Roman"/>
          <w:b/>
          <w:bCs/>
          <w:i/>
          <w:iCs/>
          <w:lang w:val="en-US"/>
        </w:rPr>
        <w:t>G</w:t>
      </w:r>
      <w:r w:rsidRPr="00CA78BD">
        <w:rPr>
          <w:rFonts w:ascii="Times New Roman" w:hAnsi="Times New Roman" w:cs="Times New Roman"/>
          <w:b/>
          <w:bCs/>
          <w:i/>
          <w:iCs/>
        </w:rPr>
        <w:t>10</w:t>
      </w:r>
      <w:r w:rsidRPr="00CA78BD">
        <w:rPr>
          <w:rFonts w:ascii="Times New Roman" w:hAnsi="Times New Roman" w:cs="Times New Roman"/>
        </w:rPr>
        <w:t xml:space="preserve"> организаций варьируется от «светло-зелёных» </w:t>
      </w:r>
      <w:r w:rsidRPr="00CA78BD">
        <w:rPr>
          <w:rFonts w:ascii="Times New Roman" w:hAnsi="Times New Roman" w:cs="Times New Roman"/>
          <w:b/>
          <w:bCs/>
          <w:i/>
          <w:iCs/>
          <w:lang w:val="en-US"/>
        </w:rPr>
        <w:t>WWF</w:t>
      </w:r>
      <w:r w:rsidRPr="00CA78BD">
        <w:rPr>
          <w:rFonts w:ascii="Times New Roman" w:hAnsi="Times New Roman" w:cs="Times New Roman"/>
        </w:rPr>
        <w:t xml:space="preserve"> и </w:t>
      </w:r>
      <w:r w:rsidRPr="00CA78BD">
        <w:rPr>
          <w:rFonts w:ascii="Times New Roman" w:hAnsi="Times New Roman" w:cs="Times New Roman"/>
          <w:b/>
          <w:bCs/>
          <w:i/>
          <w:iCs/>
          <w:lang w:val="en-US"/>
        </w:rPr>
        <w:t>Birdlife</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International</w:t>
      </w:r>
      <w:r w:rsidRPr="00CA78BD">
        <w:rPr>
          <w:rFonts w:ascii="Times New Roman" w:hAnsi="Times New Roman" w:cs="Times New Roman"/>
        </w:rPr>
        <w:t xml:space="preserve">, которые используют преимущественно институциональные каналы взаимодействия с законодателями, до «тёмно-зелёных» </w:t>
      </w:r>
      <w:proofErr w:type="spellStart"/>
      <w:r w:rsidRPr="00CA78BD">
        <w:rPr>
          <w:rFonts w:ascii="Times New Roman" w:hAnsi="Times New Roman" w:cs="Times New Roman"/>
          <w:b/>
          <w:bCs/>
          <w:i/>
          <w:iCs/>
          <w:lang w:val="en-US"/>
        </w:rPr>
        <w:t>FoEE</w:t>
      </w:r>
      <w:proofErr w:type="spellEnd"/>
      <w:r w:rsidRPr="00CA78BD">
        <w:rPr>
          <w:rFonts w:ascii="Times New Roman" w:hAnsi="Times New Roman" w:cs="Times New Roman"/>
        </w:rPr>
        <w:t xml:space="preserve"> и </w:t>
      </w:r>
      <w:r w:rsidRPr="00CA78BD">
        <w:rPr>
          <w:rFonts w:ascii="Times New Roman" w:hAnsi="Times New Roman" w:cs="Times New Roman"/>
          <w:b/>
          <w:bCs/>
          <w:i/>
          <w:iCs/>
          <w:lang w:val="en-US"/>
        </w:rPr>
        <w:t>Greenpeace</w:t>
      </w:r>
      <w:r w:rsidRPr="00CA78BD">
        <w:rPr>
          <w:rFonts w:ascii="Times New Roman" w:hAnsi="Times New Roman" w:cs="Times New Roman"/>
        </w:rPr>
        <w:t>, которые имеют опыт организации масштабных массовых акций</w:t>
      </w:r>
      <w:r w:rsidRPr="00CA78BD">
        <w:rPr>
          <w:rFonts w:ascii="Times New Roman" w:eastAsia="Times New Roman" w:hAnsi="Times New Roman" w:cs="Times New Roman"/>
          <w:vertAlign w:val="superscript"/>
        </w:rPr>
        <w:footnoteReference w:id="43"/>
      </w:r>
      <w:r w:rsidRPr="00CA78BD">
        <w:rPr>
          <w:rFonts w:ascii="Times New Roman" w:hAnsi="Times New Roman" w:cs="Times New Roman"/>
        </w:rPr>
        <w:t xml:space="preserve">. Объединившись, они определённо усилили свои позиции и заручились доверием со стороны органов власти как надёжные группы </w:t>
      </w:r>
      <w:r w:rsidRPr="00CA78BD">
        <w:rPr>
          <w:rFonts w:ascii="Times New Roman" w:hAnsi="Times New Roman" w:cs="Times New Roman"/>
        </w:rPr>
        <w:lastRenderedPageBreak/>
        <w:t xml:space="preserve">интересов, пользующиеся поддержкой населения и при этом успешно встроенные в институциональную среду Евросоюза. К тому же, именно коалиция предоставляет некоторым менее перспективным относительно своих партнёров организациям возможность быть представленными на высоком уровне. В топ-25 самых активных групп давления в институтах Евросоюза входит лишь 5 самостоятельных участников </w:t>
      </w:r>
      <w:r w:rsidRPr="00CA78BD">
        <w:rPr>
          <w:rFonts w:ascii="Times New Roman" w:hAnsi="Times New Roman" w:cs="Times New Roman"/>
          <w:b/>
          <w:bCs/>
          <w:i/>
          <w:iCs/>
          <w:lang w:val="en-US"/>
        </w:rPr>
        <w:t>G</w:t>
      </w:r>
      <w:r w:rsidRPr="00CA78BD">
        <w:rPr>
          <w:rFonts w:ascii="Times New Roman" w:hAnsi="Times New Roman" w:cs="Times New Roman"/>
          <w:b/>
          <w:bCs/>
          <w:i/>
          <w:iCs/>
        </w:rPr>
        <w:t>10</w:t>
      </w:r>
      <w:r w:rsidRPr="00CA78BD">
        <w:rPr>
          <w:rFonts w:ascii="Times New Roman" w:eastAsia="Times New Roman" w:hAnsi="Times New Roman" w:cs="Times New Roman"/>
          <w:vertAlign w:val="superscript"/>
        </w:rPr>
        <w:footnoteReference w:id="44"/>
      </w:r>
      <w:r w:rsidRPr="00CA78BD">
        <w:rPr>
          <w:rFonts w:ascii="Times New Roman" w:hAnsi="Times New Roman" w:cs="Times New Roman"/>
        </w:rPr>
        <w:t xml:space="preserve">, для других коалиция с ними — это возможность усилить свои позиции и донести свою точку зрения как за счет совместных встреч </w:t>
      </w:r>
      <w:r w:rsidRPr="00CA78BD">
        <w:rPr>
          <w:rFonts w:ascii="Times New Roman" w:hAnsi="Times New Roman" w:cs="Times New Roman"/>
          <w:b/>
          <w:bCs/>
          <w:i/>
          <w:iCs/>
          <w:lang w:val="en-US"/>
        </w:rPr>
        <w:t>G</w:t>
      </w:r>
      <w:r w:rsidRPr="00CA78BD">
        <w:rPr>
          <w:rFonts w:ascii="Times New Roman" w:hAnsi="Times New Roman" w:cs="Times New Roman"/>
          <w:b/>
          <w:bCs/>
          <w:i/>
          <w:iCs/>
        </w:rPr>
        <w:t>10</w:t>
      </w:r>
      <w:r w:rsidRPr="00CA78BD">
        <w:rPr>
          <w:rFonts w:ascii="Times New Roman" w:hAnsi="Times New Roman" w:cs="Times New Roman"/>
        </w:rPr>
        <w:t xml:space="preserve"> с представителями власти, так и за счет тесного взаимодействия с партнёрами.</w:t>
      </w:r>
    </w:p>
    <w:p w14:paraId="0C87FAE8" w14:textId="77777777" w:rsidR="00CB127F" w:rsidRPr="00CA78BD" w:rsidRDefault="000845AB" w:rsidP="00CB127F">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eastAsia="Times New Roman" w:hAnsi="Times New Roman" w:cs="Times New Roman"/>
        </w:rPr>
        <w:tab/>
      </w:r>
      <w:r w:rsidRPr="00CA78BD">
        <w:rPr>
          <w:rFonts w:ascii="Times New Roman" w:hAnsi="Times New Roman" w:cs="Times New Roman"/>
        </w:rPr>
        <w:t xml:space="preserve">В таблице №1 представлены данные всех 10 некоммерческих организаций коалиции </w:t>
      </w:r>
      <w:r w:rsidRPr="00CA78BD">
        <w:rPr>
          <w:rFonts w:ascii="Times New Roman" w:hAnsi="Times New Roman" w:cs="Times New Roman"/>
          <w:b/>
          <w:bCs/>
          <w:i/>
          <w:iCs/>
          <w:lang w:val="en-US"/>
        </w:rPr>
        <w:t>G</w:t>
      </w:r>
      <w:r w:rsidRPr="00CA78BD">
        <w:rPr>
          <w:rFonts w:ascii="Times New Roman" w:hAnsi="Times New Roman" w:cs="Times New Roman"/>
          <w:b/>
          <w:bCs/>
          <w:i/>
          <w:iCs/>
        </w:rPr>
        <w:t>10</w:t>
      </w:r>
      <w:r w:rsidRPr="00CA78BD">
        <w:rPr>
          <w:rFonts w:ascii="Times New Roman" w:hAnsi="Times New Roman" w:cs="Times New Roman"/>
          <w:bCs/>
          <w:iCs/>
        </w:rPr>
        <w:t xml:space="preserve">, взятые с </w:t>
      </w:r>
      <w:r w:rsidRPr="00CA78BD">
        <w:rPr>
          <w:rFonts w:ascii="Times New Roman" w:hAnsi="Times New Roman" w:cs="Times New Roman"/>
        </w:rPr>
        <w:t>портала Единого реестра прозрачности (</w:t>
      </w:r>
      <w:r w:rsidRPr="00CA78BD">
        <w:rPr>
          <w:rFonts w:ascii="Times New Roman" w:hAnsi="Times New Roman" w:cs="Times New Roman"/>
          <w:lang w:val="en-US"/>
        </w:rPr>
        <w:t>Transparency</w:t>
      </w:r>
      <w:r w:rsidRPr="00CA78BD">
        <w:rPr>
          <w:rFonts w:ascii="Times New Roman" w:hAnsi="Times New Roman" w:cs="Times New Roman"/>
        </w:rPr>
        <w:t xml:space="preserve"> </w:t>
      </w:r>
      <w:r w:rsidRPr="00CA78BD">
        <w:rPr>
          <w:rFonts w:ascii="Times New Roman" w:hAnsi="Times New Roman" w:cs="Times New Roman"/>
          <w:lang w:val="en-US"/>
        </w:rPr>
        <w:t>Register</w:t>
      </w:r>
      <w:r w:rsidRPr="00CA78BD">
        <w:rPr>
          <w:rFonts w:ascii="Times New Roman" w:hAnsi="Times New Roman" w:cs="Times New Roman"/>
        </w:rPr>
        <w:t>)</w:t>
      </w:r>
      <w:r w:rsidRPr="00CA78BD">
        <w:rPr>
          <w:rFonts w:ascii="Times New Roman" w:eastAsia="Times New Roman" w:hAnsi="Times New Roman" w:cs="Times New Roman"/>
          <w:vertAlign w:val="superscript"/>
        </w:rPr>
        <w:footnoteReference w:id="45"/>
      </w:r>
      <w:r w:rsidRPr="00CA78BD">
        <w:rPr>
          <w:rFonts w:ascii="Times New Roman" w:hAnsi="Times New Roman" w:cs="Times New Roman"/>
        </w:rPr>
        <w:t xml:space="preserve">. Таблица содержит информацию о количестве встреч соответствующих организаций с представителями Еврокомиссии в 2020 г., об участии в экспертных группах, количестве задействованных сотрудников и приблизительной сумме денежных средств, расходованных на защиту своих интересов. 2020 год был выбран потому, что именно в течение этого года разрабатывались все основные решения в рамках </w:t>
      </w:r>
      <w:r w:rsidRPr="00CA78BD">
        <w:rPr>
          <w:rFonts w:ascii="Times New Roman" w:hAnsi="Times New Roman" w:cs="Times New Roman"/>
          <w:b/>
          <w:bCs/>
          <w:i/>
          <w:iCs/>
        </w:rPr>
        <w:t>«Европейского зелёного курса»</w:t>
      </w:r>
      <w:r w:rsidRPr="00CA78BD">
        <w:rPr>
          <w:rFonts w:ascii="Times New Roman" w:hAnsi="Times New Roman" w:cs="Times New Roman"/>
        </w:rPr>
        <w:t>, озвученного в декабре 2019 г, а также потому, что у большинства организаций финансовые данные указаны именно за этот период.</w:t>
      </w:r>
    </w:p>
    <w:p w14:paraId="57B15D63" w14:textId="77777777" w:rsidR="00CB127F" w:rsidRPr="00CA78BD" w:rsidRDefault="00CB127F" w:rsidP="00921006">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eastAsia="Times New Roman" w:hAnsi="Times New Roman" w:cs="Times New Roman"/>
          <w:color w:val="202124"/>
          <w:shd w:val="clear" w:color="auto" w:fill="FFFFFF"/>
        </w:rPr>
      </w:pPr>
      <w:r w:rsidRPr="00CA78BD">
        <w:rPr>
          <w:rFonts w:ascii="Times New Roman" w:hAnsi="Times New Roman" w:cs="Times New Roman"/>
        </w:rPr>
        <w:tab/>
        <w:t>В целом ведущие экологические некоммерческие организации демонстрируют высокий уровень вовлечённости в процесс принятия решений. Наиболее</w:t>
      </w:r>
      <w:r w:rsidRPr="00CA78BD">
        <w:rPr>
          <w:rFonts w:ascii="Times New Roman" w:hAnsi="Times New Roman" w:cs="Times New Roman"/>
          <w:lang w:val="en-US"/>
        </w:rPr>
        <w:t xml:space="preserve"> </w:t>
      </w:r>
      <w:r w:rsidRPr="00CA78BD">
        <w:rPr>
          <w:rFonts w:ascii="Times New Roman" w:hAnsi="Times New Roman" w:cs="Times New Roman"/>
        </w:rPr>
        <w:t>активными</w:t>
      </w:r>
      <w:r w:rsidRPr="00CA78BD">
        <w:rPr>
          <w:rFonts w:ascii="Times New Roman" w:hAnsi="Times New Roman" w:cs="Times New Roman"/>
          <w:lang w:val="en-US"/>
        </w:rPr>
        <w:t xml:space="preserve"> </w:t>
      </w:r>
      <w:r w:rsidRPr="00CA78BD">
        <w:rPr>
          <w:rFonts w:ascii="Times New Roman" w:hAnsi="Times New Roman" w:cs="Times New Roman"/>
        </w:rPr>
        <w:t>из</w:t>
      </w:r>
      <w:r w:rsidRPr="00CA78BD">
        <w:rPr>
          <w:rFonts w:ascii="Times New Roman" w:hAnsi="Times New Roman" w:cs="Times New Roman"/>
          <w:lang w:val="en-US"/>
        </w:rPr>
        <w:t xml:space="preserve"> </w:t>
      </w:r>
      <w:r w:rsidRPr="00CA78BD">
        <w:rPr>
          <w:rFonts w:ascii="Times New Roman" w:hAnsi="Times New Roman" w:cs="Times New Roman"/>
        </w:rPr>
        <w:t>них</w:t>
      </w:r>
      <w:r w:rsidRPr="00CA78BD">
        <w:rPr>
          <w:rFonts w:ascii="Times New Roman" w:hAnsi="Times New Roman" w:cs="Times New Roman"/>
          <w:lang w:val="en-US"/>
        </w:rPr>
        <w:t xml:space="preserve"> </w:t>
      </w:r>
      <w:r w:rsidRPr="00CA78BD">
        <w:rPr>
          <w:rFonts w:ascii="Times New Roman" w:hAnsi="Times New Roman" w:cs="Times New Roman"/>
        </w:rPr>
        <w:t>оказались</w:t>
      </w:r>
      <w:r w:rsidRPr="00CA78BD">
        <w:rPr>
          <w:rFonts w:ascii="Times New Roman" w:hAnsi="Times New Roman" w:cs="Times New Roman"/>
          <w:lang w:val="en-US"/>
        </w:rPr>
        <w:t xml:space="preserve"> </w:t>
      </w:r>
      <w:r w:rsidRPr="00CA78BD">
        <w:rPr>
          <w:rFonts w:ascii="Times New Roman" w:hAnsi="Times New Roman" w:cs="Times New Roman"/>
          <w:b/>
          <w:bCs/>
          <w:i/>
          <w:iCs/>
          <w:lang w:val="en-US"/>
        </w:rPr>
        <w:t xml:space="preserve">T&amp;E, WWF, EEB, </w:t>
      </w:r>
      <w:proofErr w:type="spellStart"/>
      <w:r w:rsidRPr="00CA78BD">
        <w:rPr>
          <w:rFonts w:ascii="Times New Roman" w:hAnsi="Times New Roman" w:cs="Times New Roman"/>
          <w:b/>
          <w:bCs/>
          <w:i/>
          <w:iCs/>
          <w:lang w:val="en-US"/>
        </w:rPr>
        <w:t>FoEE</w:t>
      </w:r>
      <w:proofErr w:type="spellEnd"/>
      <w:r w:rsidRPr="00CA78BD">
        <w:rPr>
          <w:rFonts w:ascii="Times New Roman" w:hAnsi="Times New Roman" w:cs="Times New Roman"/>
          <w:b/>
          <w:bCs/>
          <w:i/>
          <w:iCs/>
          <w:lang w:val="en-US"/>
        </w:rPr>
        <w:t>, CAN, Birdlife Europe and Central Asia</w:t>
      </w:r>
      <w:r w:rsidRPr="00CA78BD">
        <w:rPr>
          <w:rFonts w:ascii="Times New Roman" w:hAnsi="Times New Roman" w:cs="Times New Roman"/>
          <w:lang w:val="en-US"/>
        </w:rPr>
        <w:t xml:space="preserve"> </w:t>
      </w:r>
      <w:r w:rsidRPr="00CA78BD">
        <w:rPr>
          <w:rFonts w:ascii="Times New Roman" w:hAnsi="Times New Roman" w:cs="Times New Roman"/>
        </w:rPr>
        <w:t>и</w:t>
      </w:r>
      <w:r w:rsidRPr="00CA78BD">
        <w:rPr>
          <w:rFonts w:ascii="Times New Roman" w:hAnsi="Times New Roman" w:cs="Times New Roman"/>
          <w:lang w:val="en-US"/>
        </w:rPr>
        <w:t xml:space="preserve"> </w:t>
      </w:r>
      <w:r w:rsidRPr="00CA78BD">
        <w:rPr>
          <w:rFonts w:ascii="Times New Roman" w:hAnsi="Times New Roman" w:cs="Times New Roman"/>
          <w:b/>
          <w:bCs/>
          <w:i/>
          <w:iCs/>
          <w:lang w:val="en-US"/>
        </w:rPr>
        <w:t>Greenpeace</w:t>
      </w:r>
      <w:r w:rsidRPr="00CA78BD">
        <w:rPr>
          <w:rFonts w:ascii="Times New Roman" w:hAnsi="Times New Roman" w:cs="Times New Roman"/>
          <w:lang w:val="en-US"/>
        </w:rPr>
        <w:t xml:space="preserve">. </w:t>
      </w:r>
      <w:r w:rsidRPr="00CA78BD">
        <w:rPr>
          <w:rFonts w:ascii="Times New Roman" w:hAnsi="Times New Roman" w:cs="Times New Roman"/>
        </w:rPr>
        <w:t xml:space="preserve">Лидером по числу прямых контактов с представителями власти за 2020 г. стала </w:t>
      </w:r>
      <w:r w:rsidRPr="00CA78BD">
        <w:rPr>
          <w:rFonts w:ascii="Times New Roman" w:hAnsi="Times New Roman" w:cs="Times New Roman"/>
          <w:b/>
          <w:bCs/>
          <w:i/>
          <w:iCs/>
          <w:lang w:val="en-US"/>
        </w:rPr>
        <w:t>T</w:t>
      </w:r>
      <w:r w:rsidRPr="00CA78BD">
        <w:rPr>
          <w:rFonts w:ascii="Times New Roman" w:hAnsi="Times New Roman" w:cs="Times New Roman"/>
          <w:b/>
          <w:bCs/>
          <w:i/>
          <w:iCs/>
        </w:rPr>
        <w:t>&amp;</w:t>
      </w:r>
      <w:r w:rsidRPr="00CA78BD">
        <w:rPr>
          <w:rFonts w:ascii="Times New Roman" w:hAnsi="Times New Roman" w:cs="Times New Roman"/>
          <w:b/>
          <w:bCs/>
          <w:i/>
          <w:iCs/>
          <w:lang w:val="en-US"/>
        </w:rPr>
        <w:t>E</w:t>
      </w:r>
      <w:r w:rsidRPr="00CA78BD">
        <w:rPr>
          <w:rFonts w:ascii="Times New Roman" w:hAnsi="Times New Roman" w:cs="Times New Roman"/>
        </w:rPr>
        <w:t xml:space="preserve">, которая провела суммарно </w:t>
      </w:r>
      <w:r w:rsidRPr="00CA78BD">
        <w:rPr>
          <w:rFonts w:ascii="Times New Roman" w:hAnsi="Times New Roman" w:cs="Times New Roman"/>
          <w:b/>
          <w:bCs/>
          <w:i/>
          <w:iCs/>
        </w:rPr>
        <w:t>38</w:t>
      </w:r>
      <w:r w:rsidRPr="00CA78BD">
        <w:rPr>
          <w:rFonts w:ascii="Times New Roman" w:hAnsi="Times New Roman" w:cs="Times New Roman"/>
        </w:rPr>
        <w:t xml:space="preserve"> встреч. Другие организации выходили на связь с </w:t>
      </w:r>
      <w:r w:rsidR="00921006" w:rsidRPr="00CA78BD">
        <w:rPr>
          <w:rFonts w:ascii="Times New Roman" w:hAnsi="Times New Roman" w:cs="Times New Roman"/>
        </w:rPr>
        <w:t>Комиссией</w:t>
      </w:r>
      <w:r w:rsidRPr="00CA78BD">
        <w:rPr>
          <w:rFonts w:ascii="Times New Roman" w:hAnsi="Times New Roman" w:cs="Times New Roman"/>
        </w:rPr>
        <w:t xml:space="preserve"> реже, и среднее число встреч всех участников коалиции за год таким образом достигает лишь </w:t>
      </w:r>
      <w:r w:rsidRPr="00CA78BD">
        <w:rPr>
          <w:rFonts w:ascii="Times New Roman" w:hAnsi="Times New Roman" w:cs="Times New Roman"/>
          <w:b/>
          <w:bCs/>
          <w:i/>
          <w:iCs/>
        </w:rPr>
        <w:t>17</w:t>
      </w:r>
      <w:r w:rsidRPr="00CA78BD">
        <w:rPr>
          <w:rFonts w:ascii="Times New Roman" w:hAnsi="Times New Roman" w:cs="Times New Roman"/>
        </w:rPr>
        <w:t>. Все организации коалиции, за исключением одной (</w:t>
      </w:r>
      <w:proofErr w:type="spellStart"/>
      <w:r w:rsidRPr="00CA78BD">
        <w:rPr>
          <w:rFonts w:ascii="Times New Roman" w:hAnsi="Times New Roman" w:cs="Times New Roman"/>
          <w:b/>
          <w:bCs/>
          <w:i/>
          <w:iCs/>
          <w:lang w:val="en-US"/>
        </w:rPr>
        <w:t>Naturefriends</w:t>
      </w:r>
      <w:proofErr w:type="spellEnd"/>
      <w:r w:rsidRPr="00CA78BD">
        <w:rPr>
          <w:rFonts w:ascii="Times New Roman" w:hAnsi="Times New Roman" w:cs="Times New Roman"/>
          <w:b/>
          <w:bCs/>
          <w:i/>
          <w:iCs/>
        </w:rPr>
        <w:t xml:space="preserve"> </w:t>
      </w:r>
      <w:r w:rsidRPr="00CA78BD">
        <w:rPr>
          <w:rFonts w:ascii="Times New Roman" w:hAnsi="Times New Roman" w:cs="Times New Roman"/>
          <w:b/>
          <w:bCs/>
          <w:i/>
          <w:iCs/>
          <w:lang w:val="en-US"/>
        </w:rPr>
        <w:t>International</w:t>
      </w:r>
      <w:r w:rsidRPr="00CA78BD">
        <w:rPr>
          <w:rFonts w:ascii="Times New Roman" w:hAnsi="Times New Roman" w:cs="Times New Roman"/>
        </w:rPr>
        <w:t xml:space="preserve">), принимают участие хотя бы в одной экспертной группе. Лидером в этом направлении оказалась </w:t>
      </w:r>
      <w:r w:rsidRPr="00CA78BD">
        <w:rPr>
          <w:rFonts w:ascii="Times New Roman" w:hAnsi="Times New Roman" w:cs="Times New Roman"/>
          <w:b/>
          <w:bCs/>
          <w:i/>
          <w:iCs/>
          <w:lang w:val="en-US"/>
        </w:rPr>
        <w:t>EEB</w:t>
      </w:r>
      <w:r w:rsidRPr="00CA78BD">
        <w:rPr>
          <w:rFonts w:ascii="Times New Roman" w:hAnsi="Times New Roman" w:cs="Times New Roman"/>
        </w:rPr>
        <w:t xml:space="preserve">, которая числится в </w:t>
      </w:r>
      <w:r w:rsidRPr="00CA78BD">
        <w:rPr>
          <w:rFonts w:ascii="Times New Roman" w:hAnsi="Times New Roman" w:cs="Times New Roman"/>
          <w:b/>
          <w:bCs/>
          <w:i/>
          <w:iCs/>
        </w:rPr>
        <w:t>34</w:t>
      </w:r>
      <w:r w:rsidRPr="00CA78BD">
        <w:rPr>
          <w:rFonts w:ascii="Times New Roman" w:hAnsi="Times New Roman" w:cs="Times New Roman"/>
        </w:rPr>
        <w:t xml:space="preserve"> экспертных группах. Такое тесное сотрудничество </w:t>
      </w:r>
      <w:r w:rsidR="00921006" w:rsidRPr="00CA78BD">
        <w:rPr>
          <w:rFonts w:ascii="Times New Roman" w:hAnsi="Times New Roman" w:cs="Times New Roman"/>
        </w:rPr>
        <w:t>Комиссии</w:t>
      </w:r>
      <w:r w:rsidRPr="00CA78BD">
        <w:rPr>
          <w:rFonts w:ascii="Times New Roman" w:hAnsi="Times New Roman" w:cs="Times New Roman"/>
        </w:rPr>
        <w:t xml:space="preserve"> именно с </w:t>
      </w:r>
      <w:r w:rsidRPr="00CA78BD">
        <w:rPr>
          <w:rFonts w:ascii="Times New Roman" w:hAnsi="Times New Roman" w:cs="Times New Roman"/>
          <w:b/>
          <w:bCs/>
          <w:i/>
          <w:iCs/>
          <w:lang w:val="en-US"/>
        </w:rPr>
        <w:t>EEB</w:t>
      </w:r>
      <w:r w:rsidRPr="00CA78BD">
        <w:rPr>
          <w:rFonts w:ascii="Times New Roman" w:hAnsi="Times New Roman" w:cs="Times New Roman"/>
        </w:rPr>
        <w:t xml:space="preserve"> можно объяснить высоким представительством этой организации, </w:t>
      </w:r>
      <w:r w:rsidRPr="00CA78BD">
        <w:rPr>
          <w:rFonts w:ascii="Times New Roman" w:hAnsi="Times New Roman" w:cs="Times New Roman"/>
        </w:rPr>
        <w:lastRenderedPageBreak/>
        <w:t xml:space="preserve">которая насчитывает более 160 организаций-членов в более чем 35 странах (включая всех членов Евросоюза) и является самой репрезентативной из организаций </w:t>
      </w:r>
      <w:r w:rsidRPr="00CA78BD">
        <w:rPr>
          <w:rFonts w:ascii="Times New Roman" w:hAnsi="Times New Roman" w:cs="Times New Roman"/>
          <w:b/>
          <w:bCs/>
          <w:i/>
          <w:iCs/>
          <w:lang w:val="en-US"/>
        </w:rPr>
        <w:t>G</w:t>
      </w:r>
      <w:r w:rsidRPr="00CA78BD">
        <w:rPr>
          <w:rFonts w:ascii="Times New Roman" w:hAnsi="Times New Roman" w:cs="Times New Roman"/>
          <w:b/>
          <w:bCs/>
          <w:i/>
          <w:iCs/>
        </w:rPr>
        <w:t>10</w:t>
      </w:r>
      <w:r w:rsidRPr="00CA78BD">
        <w:rPr>
          <w:rFonts w:ascii="Times New Roman" w:hAnsi="Times New Roman" w:cs="Times New Roman"/>
        </w:rPr>
        <w:t xml:space="preserve">. На втором месте по числу экспертных групп, в которых ведётся работа, оказалась </w:t>
      </w:r>
      <w:r w:rsidRPr="00CA78BD">
        <w:rPr>
          <w:rFonts w:ascii="Times New Roman" w:hAnsi="Times New Roman" w:cs="Times New Roman"/>
          <w:b/>
          <w:bCs/>
          <w:i/>
          <w:iCs/>
          <w:lang w:val="en-US"/>
        </w:rPr>
        <w:t>WWF</w:t>
      </w:r>
      <w:r w:rsidR="00921006" w:rsidRPr="00CA78BD">
        <w:rPr>
          <w:rFonts w:ascii="Times New Roman" w:hAnsi="Times New Roman" w:cs="Times New Roman"/>
        </w:rPr>
        <w:t xml:space="preserve">, </w:t>
      </w:r>
      <w:r w:rsidRPr="00CA78BD">
        <w:rPr>
          <w:rFonts w:ascii="Times New Roman" w:hAnsi="Times New Roman" w:cs="Times New Roman"/>
        </w:rPr>
        <w:t xml:space="preserve">она участвует в </w:t>
      </w:r>
      <w:r w:rsidRPr="00CA78BD">
        <w:rPr>
          <w:rFonts w:ascii="Times New Roman" w:hAnsi="Times New Roman" w:cs="Times New Roman"/>
          <w:b/>
          <w:bCs/>
          <w:i/>
          <w:iCs/>
        </w:rPr>
        <w:t>20</w:t>
      </w:r>
      <w:r w:rsidRPr="00CA78BD">
        <w:rPr>
          <w:rFonts w:ascii="Times New Roman" w:hAnsi="Times New Roman" w:cs="Times New Roman"/>
        </w:rPr>
        <w:t xml:space="preserve"> различных группах. Число сотрудников, занимающихся лоббированием от лица рассматриваемых НКО, разнится, но не превышает </w:t>
      </w:r>
      <w:r w:rsidRPr="00CA78BD">
        <w:rPr>
          <w:rFonts w:ascii="Times New Roman" w:hAnsi="Times New Roman" w:cs="Times New Roman"/>
          <w:b/>
          <w:bCs/>
          <w:i/>
          <w:iCs/>
        </w:rPr>
        <w:t>35</w:t>
      </w:r>
      <w:r w:rsidRPr="00CA78BD">
        <w:rPr>
          <w:rFonts w:ascii="Times New Roman" w:hAnsi="Times New Roman" w:cs="Times New Roman"/>
        </w:rPr>
        <w:t xml:space="preserve">. Среднее число всех лоббистов от </w:t>
      </w:r>
      <w:r w:rsidRPr="00CA78BD">
        <w:rPr>
          <w:rFonts w:ascii="Times New Roman" w:hAnsi="Times New Roman" w:cs="Times New Roman"/>
          <w:b/>
          <w:bCs/>
          <w:i/>
          <w:iCs/>
          <w:lang w:val="en-US"/>
        </w:rPr>
        <w:t>G</w:t>
      </w:r>
      <w:r w:rsidRPr="00CA78BD">
        <w:rPr>
          <w:rFonts w:ascii="Times New Roman" w:hAnsi="Times New Roman" w:cs="Times New Roman"/>
          <w:b/>
          <w:bCs/>
          <w:i/>
          <w:iCs/>
        </w:rPr>
        <w:t>10</w:t>
      </w:r>
      <w:r w:rsidRPr="00CA78BD">
        <w:rPr>
          <w:rFonts w:ascii="Times New Roman" w:hAnsi="Times New Roman" w:cs="Times New Roman"/>
        </w:rPr>
        <w:t xml:space="preserve"> составит </w:t>
      </w:r>
      <w:r w:rsidRPr="00CA78BD">
        <w:rPr>
          <w:rFonts w:ascii="Times New Roman" w:hAnsi="Times New Roman" w:cs="Times New Roman"/>
          <w:b/>
          <w:bCs/>
          <w:i/>
          <w:iCs/>
        </w:rPr>
        <w:t>18</w:t>
      </w:r>
      <w:r w:rsidRPr="00CA78BD">
        <w:rPr>
          <w:rFonts w:ascii="Times New Roman" w:hAnsi="Times New Roman" w:cs="Times New Roman"/>
        </w:rPr>
        <w:t xml:space="preserve">, при этом пропуск в здание </w:t>
      </w:r>
      <w:r w:rsidR="00921006" w:rsidRPr="00CA78BD">
        <w:rPr>
          <w:rFonts w:ascii="Times New Roman" w:hAnsi="Times New Roman" w:cs="Times New Roman"/>
        </w:rPr>
        <w:t>Европарламента</w:t>
      </w:r>
      <w:r w:rsidRPr="00CA78BD">
        <w:rPr>
          <w:rFonts w:ascii="Times New Roman" w:hAnsi="Times New Roman" w:cs="Times New Roman"/>
        </w:rPr>
        <w:t xml:space="preserve"> имеют сотрудники лишь от двух организаций из десяти. Что касается расходов на лоббистскую деятельность, то они варьируются от минимальных </w:t>
      </w:r>
      <w:r w:rsidRPr="00CA78BD">
        <w:rPr>
          <w:rFonts w:ascii="Times New Roman" w:hAnsi="Times New Roman" w:cs="Times New Roman"/>
          <w:b/>
          <w:bCs/>
          <w:i/>
          <w:iCs/>
        </w:rPr>
        <w:t xml:space="preserve">50 000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b/>
          <w:bCs/>
          <w:i/>
          <w:iCs/>
        </w:rPr>
        <w:t xml:space="preserve"> </w:t>
      </w:r>
      <w:r w:rsidRPr="00CA78BD">
        <w:rPr>
          <w:rFonts w:ascii="Times New Roman" w:hAnsi="Times New Roman" w:cs="Times New Roman"/>
        </w:rPr>
        <w:t>(</w:t>
      </w:r>
      <w:proofErr w:type="spellStart"/>
      <w:r w:rsidRPr="00CA78BD">
        <w:rPr>
          <w:rFonts w:ascii="Times New Roman" w:hAnsi="Times New Roman" w:cs="Times New Roman"/>
          <w:b/>
          <w:bCs/>
          <w:i/>
          <w:iCs/>
          <w:lang w:val="en-US"/>
        </w:rPr>
        <w:t>Naturefriends</w:t>
      </w:r>
      <w:proofErr w:type="spellEnd"/>
      <w:r w:rsidRPr="00CA78BD">
        <w:rPr>
          <w:rFonts w:ascii="Times New Roman" w:hAnsi="Times New Roman" w:cs="Times New Roman"/>
          <w:b/>
          <w:bCs/>
          <w:i/>
          <w:iCs/>
        </w:rPr>
        <w:t xml:space="preserve"> </w:t>
      </w:r>
      <w:r w:rsidRPr="00CA78BD">
        <w:rPr>
          <w:rFonts w:ascii="Times New Roman" w:hAnsi="Times New Roman" w:cs="Times New Roman"/>
          <w:b/>
          <w:bCs/>
          <w:i/>
          <w:iCs/>
          <w:lang w:val="en-US"/>
        </w:rPr>
        <w:t>International</w:t>
      </w:r>
      <w:r w:rsidRPr="00CA78BD">
        <w:rPr>
          <w:rFonts w:ascii="Times New Roman" w:hAnsi="Times New Roman" w:cs="Times New Roman"/>
        </w:rPr>
        <w:t xml:space="preserve">) до максимальных </w:t>
      </w:r>
      <w:r w:rsidRPr="00CA78BD">
        <w:rPr>
          <w:rFonts w:ascii="Times New Roman" w:hAnsi="Times New Roman" w:cs="Times New Roman"/>
          <w:b/>
          <w:bCs/>
          <w:i/>
          <w:iCs/>
        </w:rPr>
        <w:t xml:space="preserve">7 499 999 </w:t>
      </w:r>
      <w:r w:rsidRPr="00D20D45">
        <w:rPr>
          <w:rFonts w:ascii="Times New Roman" w:eastAsia="Times New Roman" w:hAnsi="Times New Roman" w:cs="Times New Roman"/>
          <w:b/>
          <w:bCs/>
          <w:i/>
          <w:iCs/>
          <w:color w:val="202124"/>
          <w:shd w:val="clear" w:color="auto" w:fill="FFFFFF"/>
        </w:rPr>
        <w:t>€</w:t>
      </w:r>
      <w:r w:rsidRPr="00D20D45">
        <w:rPr>
          <w:rFonts w:ascii="Times New Roman" w:hAnsi="Times New Roman" w:cs="Times New Roman"/>
          <w:b/>
          <w:bCs/>
          <w:i/>
          <w:iCs/>
        </w:rPr>
        <w:t xml:space="preserve"> </w:t>
      </w:r>
      <w:r w:rsidRPr="00CA78BD">
        <w:rPr>
          <w:rFonts w:ascii="Times New Roman" w:hAnsi="Times New Roman" w:cs="Times New Roman"/>
        </w:rPr>
        <w:t>(</w:t>
      </w:r>
      <w:r w:rsidRPr="00CA78BD">
        <w:rPr>
          <w:rFonts w:ascii="Times New Roman" w:hAnsi="Times New Roman" w:cs="Times New Roman"/>
          <w:b/>
          <w:bCs/>
          <w:i/>
          <w:iCs/>
          <w:lang w:val="en-US"/>
        </w:rPr>
        <w:t>EEB</w:t>
      </w:r>
      <w:r w:rsidRPr="00CA78BD">
        <w:rPr>
          <w:rFonts w:ascii="Times New Roman" w:hAnsi="Times New Roman" w:cs="Times New Roman"/>
        </w:rPr>
        <w:t xml:space="preserve">). Средняя сумма расходов среди всех организаций коалиции, таким образом, составит </w:t>
      </w:r>
      <w:r w:rsidRPr="00CA78BD">
        <w:rPr>
          <w:rFonts w:ascii="Times New Roman" w:hAnsi="Times New Roman" w:cs="Times New Roman"/>
          <w:b/>
          <w:bCs/>
          <w:i/>
          <w:iCs/>
        </w:rPr>
        <w:t xml:space="preserve">1 599 999 </w:t>
      </w:r>
      <w:r w:rsidRPr="00D20D45">
        <w:rPr>
          <w:rFonts w:ascii="Times New Roman" w:eastAsia="Times New Roman" w:hAnsi="Times New Roman" w:cs="Times New Roman"/>
          <w:b/>
          <w:bCs/>
          <w:i/>
          <w:iCs/>
          <w:color w:val="202124"/>
          <w:shd w:val="clear" w:color="auto" w:fill="FFFFFF"/>
        </w:rPr>
        <w:t>€</w:t>
      </w:r>
      <w:r w:rsidRPr="00CA78BD">
        <w:rPr>
          <w:rFonts w:ascii="Times New Roman" w:eastAsia="Times New Roman" w:hAnsi="Times New Roman" w:cs="Times New Roman"/>
          <w:color w:val="202124"/>
          <w:shd w:val="clear" w:color="auto" w:fill="FFFFFF"/>
        </w:rPr>
        <w:t>.</w:t>
      </w:r>
    </w:p>
    <w:p w14:paraId="4A588744" w14:textId="77777777" w:rsidR="00921006" w:rsidRPr="00CA78BD" w:rsidRDefault="00921006" w:rsidP="001560B8">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bCs/>
          <w:iCs/>
        </w:rPr>
      </w:pPr>
      <w:r w:rsidRPr="00CA78BD">
        <w:rPr>
          <w:rFonts w:ascii="Times New Roman" w:hAnsi="Times New Roman" w:cs="Times New Roman"/>
          <w:bCs/>
          <w:iCs/>
        </w:rPr>
        <w:tab/>
        <w:t>Из этого можно сделать вывод, что Европейский парламент не рассматривается приоритетным органом власти для экологических НКО в Евросоюзе</w:t>
      </w:r>
      <w:r w:rsidR="001560B8" w:rsidRPr="00CA78BD">
        <w:rPr>
          <w:rFonts w:ascii="Times New Roman" w:hAnsi="Times New Roman" w:cs="Times New Roman"/>
          <w:bCs/>
          <w:iCs/>
        </w:rPr>
        <w:t xml:space="preserve">. Подавляющее большинство НКО делают ставку на Еврокомиссию. Выбор обусловлен открытостью этого института к взаимодействию с группами интересов и наличием законодательной инициативы. Из этого также следует, что НКО в большинстве своём предпочитают действовать </w:t>
      </w:r>
      <w:proofErr w:type="spellStart"/>
      <w:r w:rsidR="001560B8" w:rsidRPr="00CA78BD">
        <w:rPr>
          <w:rFonts w:ascii="Times New Roman" w:hAnsi="Times New Roman" w:cs="Times New Roman"/>
          <w:bCs/>
          <w:iCs/>
        </w:rPr>
        <w:t>проактивно</w:t>
      </w:r>
      <w:proofErr w:type="spellEnd"/>
      <w:r w:rsidR="001560B8" w:rsidRPr="00CA78BD">
        <w:rPr>
          <w:rFonts w:ascii="Times New Roman" w:hAnsi="Times New Roman" w:cs="Times New Roman"/>
          <w:bCs/>
          <w:iCs/>
        </w:rPr>
        <w:t xml:space="preserve">, влияя на законопроекты на самых ранних этапах их разработки. И хотя средняя сумма, затраченная на лоббизм со стороны НКО, уступает аналогичной сумме со стороны крупных частных компаний и бизнес-ассоциаций, данные </w:t>
      </w:r>
      <w:r w:rsidR="001560B8" w:rsidRPr="00CA78BD">
        <w:rPr>
          <w:rFonts w:ascii="Times New Roman" w:hAnsi="Times New Roman" w:cs="Times New Roman"/>
          <w:b/>
          <w:bCs/>
          <w:i/>
          <w:iCs/>
          <w:lang w:val="en-US"/>
        </w:rPr>
        <w:t>EEB</w:t>
      </w:r>
      <w:r w:rsidR="001560B8" w:rsidRPr="00CA78BD">
        <w:rPr>
          <w:rFonts w:ascii="Times New Roman" w:hAnsi="Times New Roman" w:cs="Times New Roman"/>
          <w:bCs/>
          <w:iCs/>
        </w:rPr>
        <w:t xml:space="preserve"> свидетельствует о</w:t>
      </w:r>
      <w:r w:rsidR="00455972" w:rsidRPr="00CA78BD">
        <w:rPr>
          <w:rFonts w:ascii="Times New Roman" w:hAnsi="Times New Roman" w:cs="Times New Roman"/>
          <w:bCs/>
          <w:iCs/>
        </w:rPr>
        <w:t xml:space="preserve"> потенциальной</w:t>
      </w:r>
      <w:r w:rsidR="001560B8" w:rsidRPr="00CA78BD">
        <w:rPr>
          <w:rFonts w:ascii="Times New Roman" w:hAnsi="Times New Roman" w:cs="Times New Roman"/>
          <w:bCs/>
          <w:iCs/>
        </w:rPr>
        <w:t xml:space="preserve"> возможности крупных сетей НКО конкурировать с бизнесом на равных условиях. Количество задействованных для работы в институтах сотрудников также говорит о профессиональном подходе НКО к вопросу </w:t>
      </w:r>
      <w:r w:rsidR="00455972" w:rsidRPr="00CA78BD">
        <w:rPr>
          <w:rFonts w:ascii="Times New Roman" w:hAnsi="Times New Roman" w:cs="Times New Roman"/>
          <w:bCs/>
          <w:iCs/>
        </w:rPr>
        <w:t xml:space="preserve">продвижения своих интересов. Эксперты коалиции </w:t>
      </w:r>
      <w:r w:rsidR="00455972" w:rsidRPr="00CA78BD">
        <w:rPr>
          <w:rFonts w:ascii="Times New Roman" w:hAnsi="Times New Roman" w:cs="Times New Roman"/>
          <w:b/>
          <w:bCs/>
          <w:i/>
          <w:iCs/>
          <w:lang w:val="en-US"/>
        </w:rPr>
        <w:t>G</w:t>
      </w:r>
      <w:r w:rsidR="00455972" w:rsidRPr="00CA78BD">
        <w:rPr>
          <w:rFonts w:ascii="Times New Roman" w:hAnsi="Times New Roman" w:cs="Times New Roman"/>
          <w:b/>
          <w:bCs/>
          <w:i/>
          <w:iCs/>
        </w:rPr>
        <w:t>10</w:t>
      </w:r>
      <w:r w:rsidR="00455972" w:rsidRPr="00CA78BD">
        <w:rPr>
          <w:rFonts w:ascii="Times New Roman" w:hAnsi="Times New Roman" w:cs="Times New Roman"/>
          <w:bCs/>
          <w:iCs/>
        </w:rPr>
        <w:t xml:space="preserve"> имеют доступ к важнейшим центрам принятия решений – экспертным группам Европейской комиссии.  </w:t>
      </w:r>
    </w:p>
    <w:p w14:paraId="414A0F8C" w14:textId="77777777" w:rsidR="00103472" w:rsidRPr="00CA78BD" w:rsidRDefault="00CB127F" w:rsidP="0010347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eastAsia="Times New Roman" w:hAnsi="Times New Roman" w:cs="Times New Roman"/>
        </w:rPr>
      </w:pPr>
      <w:r w:rsidRPr="00CA78BD">
        <w:rPr>
          <w:rFonts w:ascii="Times New Roman" w:hAnsi="Times New Roman" w:cs="Times New Roman"/>
        </w:rPr>
        <w:tab/>
        <w:t xml:space="preserve">Чтобы составить список самых активных </w:t>
      </w:r>
      <w:proofErr w:type="spellStart"/>
      <w:r w:rsidRPr="00CA78BD">
        <w:rPr>
          <w:rFonts w:ascii="Times New Roman" w:hAnsi="Times New Roman" w:cs="Times New Roman"/>
        </w:rPr>
        <w:t>проэкологических</w:t>
      </w:r>
      <w:proofErr w:type="spellEnd"/>
      <w:r w:rsidRPr="00CA78BD">
        <w:rPr>
          <w:rFonts w:ascii="Times New Roman" w:hAnsi="Times New Roman" w:cs="Times New Roman"/>
        </w:rPr>
        <w:t xml:space="preserve"> компаний и ассоциаций обратимся к материалам аналитического центра </w:t>
      </w:r>
      <w:proofErr w:type="spellStart"/>
      <w:r w:rsidRPr="00CA78BD">
        <w:rPr>
          <w:rFonts w:ascii="Times New Roman" w:hAnsi="Times New Roman" w:cs="Times New Roman"/>
          <w:b/>
          <w:i/>
          <w:lang w:val="en-US"/>
        </w:rPr>
        <w:t>InfluenceMap</w:t>
      </w:r>
      <w:proofErr w:type="spellEnd"/>
      <w:r w:rsidRPr="00CA78BD">
        <w:rPr>
          <w:rFonts w:ascii="Times New Roman" w:hAnsi="Times New Roman" w:cs="Times New Roman"/>
        </w:rPr>
        <w:t>.</w:t>
      </w:r>
      <w:r w:rsidR="00103472" w:rsidRPr="00CA78BD">
        <w:rPr>
          <w:rFonts w:ascii="Times New Roman" w:hAnsi="Times New Roman" w:cs="Times New Roman"/>
        </w:rPr>
        <w:t xml:space="preserve"> </w:t>
      </w:r>
      <w:proofErr w:type="spellStart"/>
      <w:r w:rsidR="00103472" w:rsidRPr="00CA78BD">
        <w:rPr>
          <w:rFonts w:ascii="Times New Roman" w:hAnsi="Times New Roman" w:cs="Times New Roman"/>
          <w:b/>
          <w:bCs/>
          <w:i/>
          <w:iCs/>
          <w:lang w:val="en-US"/>
        </w:rPr>
        <w:t>InfluenceMap</w:t>
      </w:r>
      <w:proofErr w:type="spellEnd"/>
      <w:r w:rsidR="00103472" w:rsidRPr="00CA78BD">
        <w:rPr>
          <w:rFonts w:ascii="Times New Roman" w:hAnsi="Times New Roman" w:cs="Times New Roman"/>
        </w:rPr>
        <w:t xml:space="preserve"> — это независимый аналитический центр, который публикует данные и аналитические материалы о влиянии бизнеса на климатическую повестку. На официальном сайте организации представлена обширная база данных о корпоративном лоббировании в области климатической политики, охватывающая около 300 компаний и 150 отраслевых ассоциаций по всему миру. Все данные и отчёты находятся в открытом доступе и могут быть использованы инвесторами или </w:t>
      </w:r>
      <w:r w:rsidR="00103472" w:rsidRPr="00CA78BD">
        <w:rPr>
          <w:rFonts w:ascii="Times New Roman" w:hAnsi="Times New Roman" w:cs="Times New Roman"/>
        </w:rPr>
        <w:lastRenderedPageBreak/>
        <w:t>исследователями в своих целях. Например, в специальном отчёте от 2018 г.</w:t>
      </w:r>
      <w:r w:rsidR="00103472" w:rsidRPr="00CA78BD">
        <w:rPr>
          <w:rFonts w:ascii="Times New Roman" w:eastAsia="Times New Roman" w:hAnsi="Times New Roman" w:cs="Times New Roman"/>
          <w:vertAlign w:val="superscript"/>
        </w:rPr>
        <w:footnoteReference w:id="46"/>
      </w:r>
      <w:r w:rsidR="00103472" w:rsidRPr="00CA78BD">
        <w:rPr>
          <w:rFonts w:ascii="Times New Roman" w:hAnsi="Times New Roman" w:cs="Times New Roman"/>
        </w:rPr>
        <w:t xml:space="preserve"> представлен качественный анализ деятельности 300 корпораций по всему миру, на основании которого были выявлены 20 наиболее активных компаний, вовлечённых в работу по выработке мер в области климатической политики. Отобранные 20 «лидеров» относятся к самым разным секторам экономики и регионам и проанализированы по нескольким критериям: ведущая роль в своём секторе, выраженная поддержка мер по борьбе с климатическими изменениями, активное участие в выработке решений по климату на постоянной основе, а также участие в «Ответственном корпоративном участии в климатической политике» (</w:t>
      </w:r>
      <w:r w:rsidR="00103472" w:rsidRPr="00CA78BD">
        <w:rPr>
          <w:rFonts w:ascii="Times New Roman" w:hAnsi="Times New Roman" w:cs="Times New Roman"/>
          <w:i/>
          <w:iCs/>
        </w:rPr>
        <w:t>«</w:t>
      </w:r>
      <w:r w:rsidR="00103472" w:rsidRPr="00CA78BD">
        <w:rPr>
          <w:rFonts w:ascii="Times New Roman" w:hAnsi="Times New Roman" w:cs="Times New Roman"/>
          <w:i/>
          <w:iCs/>
          <w:lang w:val="en-US"/>
        </w:rPr>
        <w:t>Commit</w:t>
      </w:r>
      <w:r w:rsidR="00103472" w:rsidRPr="00CA78BD">
        <w:rPr>
          <w:rFonts w:ascii="Times New Roman" w:hAnsi="Times New Roman" w:cs="Times New Roman"/>
          <w:i/>
          <w:iCs/>
        </w:rPr>
        <w:t xml:space="preserve"> </w:t>
      </w:r>
      <w:r w:rsidR="00103472" w:rsidRPr="00CA78BD">
        <w:rPr>
          <w:rFonts w:ascii="Times New Roman" w:hAnsi="Times New Roman" w:cs="Times New Roman"/>
          <w:i/>
          <w:iCs/>
          <w:lang w:val="en-US"/>
        </w:rPr>
        <w:t>to</w:t>
      </w:r>
      <w:r w:rsidR="00103472" w:rsidRPr="00CA78BD">
        <w:rPr>
          <w:rFonts w:ascii="Times New Roman" w:hAnsi="Times New Roman" w:cs="Times New Roman"/>
          <w:i/>
          <w:iCs/>
        </w:rPr>
        <w:t xml:space="preserve"> </w:t>
      </w:r>
      <w:r w:rsidR="00103472" w:rsidRPr="00CA78BD">
        <w:rPr>
          <w:rFonts w:ascii="Times New Roman" w:hAnsi="Times New Roman" w:cs="Times New Roman"/>
          <w:i/>
          <w:iCs/>
          <w:lang w:val="en-US"/>
        </w:rPr>
        <w:t>responsible</w:t>
      </w:r>
      <w:r w:rsidR="00103472" w:rsidRPr="00CA78BD">
        <w:rPr>
          <w:rFonts w:ascii="Times New Roman" w:hAnsi="Times New Roman" w:cs="Times New Roman"/>
          <w:i/>
          <w:iCs/>
        </w:rPr>
        <w:t xml:space="preserve"> </w:t>
      </w:r>
      <w:r w:rsidR="00103472" w:rsidRPr="00CA78BD">
        <w:rPr>
          <w:rFonts w:ascii="Times New Roman" w:hAnsi="Times New Roman" w:cs="Times New Roman"/>
          <w:i/>
          <w:iCs/>
          <w:lang w:val="en-US"/>
        </w:rPr>
        <w:t>corporate</w:t>
      </w:r>
      <w:r w:rsidR="00103472" w:rsidRPr="00CA78BD">
        <w:rPr>
          <w:rFonts w:ascii="Times New Roman" w:hAnsi="Times New Roman" w:cs="Times New Roman"/>
          <w:i/>
          <w:iCs/>
        </w:rPr>
        <w:t xml:space="preserve"> </w:t>
      </w:r>
      <w:r w:rsidR="00103472" w:rsidRPr="00CA78BD">
        <w:rPr>
          <w:rFonts w:ascii="Times New Roman" w:hAnsi="Times New Roman" w:cs="Times New Roman"/>
          <w:i/>
          <w:iCs/>
          <w:lang w:val="en-US"/>
        </w:rPr>
        <w:t>engagement</w:t>
      </w:r>
      <w:r w:rsidR="00103472" w:rsidRPr="00CA78BD">
        <w:rPr>
          <w:rFonts w:ascii="Times New Roman" w:hAnsi="Times New Roman" w:cs="Times New Roman"/>
          <w:i/>
          <w:iCs/>
        </w:rPr>
        <w:t xml:space="preserve"> </w:t>
      </w:r>
      <w:r w:rsidR="00103472" w:rsidRPr="00CA78BD">
        <w:rPr>
          <w:rFonts w:ascii="Times New Roman" w:hAnsi="Times New Roman" w:cs="Times New Roman"/>
          <w:i/>
          <w:iCs/>
          <w:lang w:val="en-US"/>
        </w:rPr>
        <w:t>in</w:t>
      </w:r>
      <w:r w:rsidR="00103472" w:rsidRPr="00CA78BD">
        <w:rPr>
          <w:rFonts w:ascii="Times New Roman" w:hAnsi="Times New Roman" w:cs="Times New Roman"/>
          <w:i/>
          <w:iCs/>
        </w:rPr>
        <w:t xml:space="preserve"> </w:t>
      </w:r>
      <w:r w:rsidR="00103472" w:rsidRPr="00CA78BD">
        <w:rPr>
          <w:rFonts w:ascii="Times New Roman" w:hAnsi="Times New Roman" w:cs="Times New Roman"/>
          <w:i/>
          <w:iCs/>
          <w:lang w:val="en-US"/>
        </w:rPr>
        <w:t>climate</w:t>
      </w:r>
      <w:r w:rsidR="00103472" w:rsidRPr="00CA78BD">
        <w:rPr>
          <w:rFonts w:ascii="Times New Roman" w:hAnsi="Times New Roman" w:cs="Times New Roman"/>
          <w:i/>
          <w:iCs/>
        </w:rPr>
        <w:t xml:space="preserve"> </w:t>
      </w:r>
      <w:r w:rsidR="00103472" w:rsidRPr="00CA78BD">
        <w:rPr>
          <w:rFonts w:ascii="Times New Roman" w:hAnsi="Times New Roman" w:cs="Times New Roman"/>
          <w:i/>
          <w:iCs/>
          <w:lang w:val="en-US"/>
        </w:rPr>
        <w:t>policy</w:t>
      </w:r>
      <w:r w:rsidR="00103472" w:rsidRPr="00CA78BD">
        <w:rPr>
          <w:rFonts w:ascii="Times New Roman" w:hAnsi="Times New Roman" w:cs="Times New Roman"/>
          <w:i/>
          <w:iCs/>
        </w:rPr>
        <w:t>»</w:t>
      </w:r>
      <w:r w:rsidR="00103472" w:rsidRPr="00CA78BD">
        <w:rPr>
          <w:rFonts w:ascii="Times New Roman" w:hAnsi="Times New Roman" w:cs="Times New Roman"/>
        </w:rPr>
        <w:t>) на платформе</w:t>
      </w:r>
      <w:r w:rsidR="00103472" w:rsidRPr="00CA78BD">
        <w:rPr>
          <w:rFonts w:ascii="Times New Roman" w:hAnsi="Times New Roman" w:cs="Times New Roman"/>
          <w:b/>
          <w:bCs/>
          <w:i/>
          <w:iCs/>
        </w:rPr>
        <w:t xml:space="preserve"> </w:t>
      </w:r>
      <w:r w:rsidR="00103472" w:rsidRPr="00CA78BD">
        <w:rPr>
          <w:rFonts w:ascii="Times New Roman" w:hAnsi="Times New Roman" w:cs="Times New Roman"/>
          <w:b/>
          <w:bCs/>
          <w:i/>
          <w:iCs/>
          <w:lang w:val="en-US"/>
        </w:rPr>
        <w:t>We</w:t>
      </w:r>
      <w:r w:rsidR="00103472" w:rsidRPr="00CA78BD">
        <w:rPr>
          <w:rFonts w:ascii="Times New Roman" w:hAnsi="Times New Roman" w:cs="Times New Roman"/>
          <w:b/>
          <w:bCs/>
          <w:i/>
          <w:iCs/>
        </w:rPr>
        <w:t xml:space="preserve"> </w:t>
      </w:r>
      <w:r w:rsidR="00103472" w:rsidRPr="00CA78BD">
        <w:rPr>
          <w:rFonts w:ascii="Times New Roman" w:hAnsi="Times New Roman" w:cs="Times New Roman"/>
          <w:b/>
          <w:bCs/>
          <w:i/>
          <w:iCs/>
          <w:lang w:val="en-US"/>
        </w:rPr>
        <w:t>Mean</w:t>
      </w:r>
      <w:r w:rsidR="00103472" w:rsidRPr="00CA78BD">
        <w:rPr>
          <w:rFonts w:ascii="Times New Roman" w:hAnsi="Times New Roman" w:cs="Times New Roman"/>
          <w:b/>
          <w:bCs/>
          <w:i/>
          <w:iCs/>
        </w:rPr>
        <w:t xml:space="preserve"> </w:t>
      </w:r>
      <w:r w:rsidR="00103472" w:rsidRPr="00CA78BD">
        <w:rPr>
          <w:rFonts w:ascii="Times New Roman" w:hAnsi="Times New Roman" w:cs="Times New Roman"/>
          <w:b/>
          <w:bCs/>
          <w:i/>
          <w:iCs/>
          <w:lang w:val="en-US"/>
        </w:rPr>
        <w:t>Business</w:t>
      </w:r>
      <w:r w:rsidR="00103472" w:rsidRPr="00CA78BD">
        <w:rPr>
          <w:rFonts w:ascii="Times New Roman" w:hAnsi="Times New Roman" w:cs="Times New Roman"/>
          <w:b/>
          <w:bCs/>
          <w:i/>
          <w:iCs/>
        </w:rPr>
        <w:t xml:space="preserve"> </w:t>
      </w:r>
      <w:r w:rsidR="00103472" w:rsidRPr="00CA78BD">
        <w:rPr>
          <w:rFonts w:ascii="Times New Roman" w:hAnsi="Times New Roman" w:cs="Times New Roman"/>
          <w:b/>
          <w:bCs/>
          <w:i/>
          <w:iCs/>
          <w:lang w:val="en-US"/>
        </w:rPr>
        <w:t>Coalition</w:t>
      </w:r>
      <w:r w:rsidR="00103472" w:rsidRPr="00CA78BD">
        <w:rPr>
          <w:rFonts w:ascii="Times New Roman" w:hAnsi="Times New Roman" w:cs="Times New Roman"/>
        </w:rPr>
        <w:t>. Последний критерий был дополнительным, и далеко не все попавшие в топ-20 компании принимали на себя соответствующее обязательство, предполагающее принятие определённой программы действий для лучшего участия в политике по вопросам климата</w:t>
      </w:r>
      <w:r w:rsidR="00103472" w:rsidRPr="00CA78BD">
        <w:rPr>
          <w:rFonts w:ascii="Times New Roman" w:eastAsia="Times New Roman" w:hAnsi="Times New Roman" w:cs="Times New Roman"/>
          <w:vertAlign w:val="superscript"/>
        </w:rPr>
        <w:footnoteReference w:id="47"/>
      </w:r>
      <w:r w:rsidR="00103472" w:rsidRPr="00CA78BD">
        <w:rPr>
          <w:rFonts w:ascii="Times New Roman" w:hAnsi="Times New Roman" w:cs="Times New Roman"/>
        </w:rPr>
        <w:t xml:space="preserve">. По остальным критериям оценка компаний проводилась в результате тщательного анализа публично раскрытой информации, включавшей итоги консультаций, финансовые документы, стенограммы речей или комментариев генеральных директоров и высшего руководства, новости из качественных СМИ и т.д. Также компанию исключали из списка, если обнаруживали её многочисленные связи с ассоциациями, выступающими против рассматриваемой политики. Например, так исключили компанию </w:t>
      </w:r>
      <w:r w:rsidR="00103472" w:rsidRPr="00CA78BD">
        <w:rPr>
          <w:rFonts w:ascii="Times New Roman" w:hAnsi="Times New Roman" w:cs="Times New Roman"/>
          <w:b/>
          <w:bCs/>
          <w:i/>
          <w:iCs/>
        </w:rPr>
        <w:t>Майкрософт (</w:t>
      </w:r>
      <w:r w:rsidR="00103472" w:rsidRPr="00CA78BD">
        <w:rPr>
          <w:rFonts w:ascii="Times New Roman" w:hAnsi="Times New Roman" w:cs="Times New Roman"/>
          <w:b/>
          <w:bCs/>
          <w:i/>
          <w:iCs/>
          <w:lang w:val="en-US"/>
        </w:rPr>
        <w:t>Microsoft</w:t>
      </w:r>
      <w:r w:rsidR="00103472" w:rsidRPr="00CA78BD">
        <w:rPr>
          <w:rFonts w:ascii="Times New Roman" w:hAnsi="Times New Roman" w:cs="Times New Roman"/>
          <w:b/>
          <w:bCs/>
          <w:i/>
          <w:iCs/>
        </w:rPr>
        <w:t xml:space="preserve"> </w:t>
      </w:r>
      <w:r w:rsidR="00103472" w:rsidRPr="00CA78BD">
        <w:rPr>
          <w:rFonts w:ascii="Times New Roman" w:hAnsi="Times New Roman" w:cs="Times New Roman"/>
          <w:b/>
          <w:bCs/>
          <w:i/>
          <w:iCs/>
          <w:lang w:val="en-US"/>
        </w:rPr>
        <w:t>Corporation</w:t>
      </w:r>
      <w:r w:rsidR="00103472" w:rsidRPr="00CA78BD">
        <w:rPr>
          <w:rFonts w:ascii="Times New Roman" w:hAnsi="Times New Roman" w:cs="Times New Roman"/>
          <w:b/>
          <w:bCs/>
          <w:i/>
          <w:iCs/>
        </w:rPr>
        <w:t>)</w:t>
      </w:r>
      <w:r w:rsidR="00103472" w:rsidRPr="00CA78BD">
        <w:rPr>
          <w:rFonts w:ascii="Times New Roman" w:hAnsi="Times New Roman" w:cs="Times New Roman"/>
        </w:rPr>
        <w:t xml:space="preserve">, поскольку она имеет тесные связи с такими межотраслевыми торговыми ассоциациями, как </w:t>
      </w:r>
      <w:r w:rsidR="00103472" w:rsidRPr="00CA78BD">
        <w:rPr>
          <w:rFonts w:ascii="Times New Roman" w:hAnsi="Times New Roman" w:cs="Times New Roman"/>
          <w:b/>
          <w:bCs/>
          <w:i/>
          <w:iCs/>
        </w:rPr>
        <w:t>Торговая палата США (</w:t>
      </w:r>
      <w:r w:rsidR="00103472" w:rsidRPr="00CA78BD">
        <w:rPr>
          <w:rFonts w:ascii="Times New Roman" w:hAnsi="Times New Roman" w:cs="Times New Roman"/>
          <w:b/>
          <w:bCs/>
          <w:i/>
          <w:iCs/>
          <w:lang w:val="en-US"/>
        </w:rPr>
        <w:t>United</w:t>
      </w:r>
      <w:r w:rsidR="00103472" w:rsidRPr="00CA78BD">
        <w:rPr>
          <w:rFonts w:ascii="Times New Roman" w:hAnsi="Times New Roman" w:cs="Times New Roman"/>
          <w:b/>
          <w:bCs/>
          <w:i/>
          <w:iCs/>
        </w:rPr>
        <w:t xml:space="preserve"> </w:t>
      </w:r>
      <w:r w:rsidR="00103472" w:rsidRPr="00CA78BD">
        <w:rPr>
          <w:rFonts w:ascii="Times New Roman" w:hAnsi="Times New Roman" w:cs="Times New Roman"/>
          <w:b/>
          <w:bCs/>
          <w:i/>
          <w:iCs/>
          <w:lang w:val="en-US"/>
        </w:rPr>
        <w:t>States</w:t>
      </w:r>
      <w:r w:rsidR="00103472" w:rsidRPr="00CA78BD">
        <w:rPr>
          <w:rFonts w:ascii="Times New Roman" w:hAnsi="Times New Roman" w:cs="Times New Roman"/>
          <w:b/>
          <w:bCs/>
          <w:i/>
          <w:iCs/>
        </w:rPr>
        <w:t xml:space="preserve"> </w:t>
      </w:r>
      <w:r w:rsidR="00103472" w:rsidRPr="00CA78BD">
        <w:rPr>
          <w:rFonts w:ascii="Times New Roman" w:hAnsi="Times New Roman" w:cs="Times New Roman"/>
          <w:b/>
          <w:bCs/>
          <w:i/>
          <w:iCs/>
          <w:lang w:val="en-US"/>
        </w:rPr>
        <w:t>Chamber</w:t>
      </w:r>
      <w:r w:rsidR="00103472" w:rsidRPr="00CA78BD">
        <w:rPr>
          <w:rFonts w:ascii="Times New Roman" w:hAnsi="Times New Roman" w:cs="Times New Roman"/>
          <w:b/>
          <w:bCs/>
          <w:i/>
          <w:iCs/>
        </w:rPr>
        <w:t xml:space="preserve"> </w:t>
      </w:r>
      <w:r w:rsidR="00103472" w:rsidRPr="00CA78BD">
        <w:rPr>
          <w:rFonts w:ascii="Times New Roman" w:hAnsi="Times New Roman" w:cs="Times New Roman"/>
          <w:b/>
          <w:bCs/>
          <w:i/>
          <w:iCs/>
          <w:lang w:val="en-US"/>
        </w:rPr>
        <w:t>of</w:t>
      </w:r>
      <w:r w:rsidR="00103472" w:rsidRPr="00CA78BD">
        <w:rPr>
          <w:rFonts w:ascii="Times New Roman" w:hAnsi="Times New Roman" w:cs="Times New Roman"/>
          <w:b/>
          <w:bCs/>
          <w:i/>
          <w:iCs/>
        </w:rPr>
        <w:t xml:space="preserve"> </w:t>
      </w:r>
      <w:r w:rsidR="00103472" w:rsidRPr="00CA78BD">
        <w:rPr>
          <w:rFonts w:ascii="Times New Roman" w:hAnsi="Times New Roman" w:cs="Times New Roman"/>
          <w:b/>
          <w:bCs/>
          <w:i/>
          <w:iCs/>
          <w:lang w:val="en-US"/>
        </w:rPr>
        <w:t>Commerce</w:t>
      </w:r>
      <w:r w:rsidR="00103472" w:rsidRPr="00CA78BD">
        <w:rPr>
          <w:rFonts w:ascii="Times New Roman" w:hAnsi="Times New Roman" w:cs="Times New Roman"/>
          <w:b/>
          <w:bCs/>
          <w:i/>
          <w:iCs/>
        </w:rPr>
        <w:t>)</w:t>
      </w:r>
      <w:r w:rsidR="00103472" w:rsidRPr="00CA78BD">
        <w:rPr>
          <w:rFonts w:ascii="Times New Roman" w:eastAsia="Times New Roman" w:hAnsi="Times New Roman" w:cs="Times New Roman"/>
          <w:b/>
          <w:bCs/>
          <w:i/>
          <w:iCs/>
          <w:vertAlign w:val="superscript"/>
        </w:rPr>
        <w:footnoteReference w:id="48"/>
      </w:r>
      <w:r w:rsidR="00103472" w:rsidRPr="00CA78BD">
        <w:rPr>
          <w:rFonts w:ascii="Times New Roman" w:hAnsi="Times New Roman" w:cs="Times New Roman"/>
        </w:rPr>
        <w:t>.</w:t>
      </w:r>
    </w:p>
    <w:p w14:paraId="51435183" w14:textId="77777777" w:rsidR="00103472" w:rsidRPr="00CA78BD" w:rsidRDefault="00103472" w:rsidP="0010347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eastAsia="Times New Roman" w:hAnsi="Times New Roman" w:cs="Times New Roman"/>
        </w:rPr>
      </w:pPr>
      <w:r w:rsidRPr="00CA78BD">
        <w:rPr>
          <w:rFonts w:ascii="Times New Roman" w:hAnsi="Times New Roman" w:cs="Times New Roman"/>
        </w:rPr>
        <w:tab/>
        <w:t xml:space="preserve">В соответствие с полученными на основании критериев баллами, был составлен рейтинг из 20 лидирующих в климатической политике компаний и ещё 20 потенциальных лидеров, уступающих «лидерам» по какому-либо из критериев. В топ-20 вошли такие гиганты бизнеса, как </w:t>
      </w:r>
      <w:r w:rsidRPr="00CA78BD">
        <w:rPr>
          <w:rFonts w:ascii="Times New Roman" w:hAnsi="Times New Roman" w:cs="Times New Roman"/>
          <w:b/>
          <w:bCs/>
          <w:i/>
          <w:iCs/>
          <w:lang w:val="en-US"/>
        </w:rPr>
        <w:t>Google</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Apple</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Amazon</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Siemens</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Unilever</w:t>
      </w:r>
      <w:r w:rsidRPr="00CA78BD">
        <w:rPr>
          <w:rFonts w:ascii="Times New Roman" w:hAnsi="Times New Roman" w:cs="Times New Roman"/>
          <w:b/>
          <w:bCs/>
          <w:i/>
          <w:iCs/>
        </w:rPr>
        <w:t xml:space="preserve">, </w:t>
      </w:r>
      <w:proofErr w:type="spellStart"/>
      <w:r w:rsidRPr="00CA78BD">
        <w:rPr>
          <w:rFonts w:ascii="Times New Roman" w:hAnsi="Times New Roman" w:cs="Times New Roman"/>
          <w:b/>
          <w:bCs/>
          <w:i/>
          <w:iCs/>
          <w:lang w:val="en-US"/>
        </w:rPr>
        <w:t>Nestl</w:t>
      </w:r>
      <w:proofErr w:type="spellEnd"/>
      <w:r w:rsidRPr="00CA78BD">
        <w:rPr>
          <w:rFonts w:ascii="Times New Roman" w:hAnsi="Times New Roman" w:cs="Times New Roman"/>
          <w:b/>
          <w:bCs/>
          <w:i/>
          <w:iCs/>
        </w:rPr>
        <w:t>é</w:t>
      </w:r>
      <w:r w:rsidRPr="00CA78BD">
        <w:rPr>
          <w:rFonts w:ascii="Times New Roman" w:hAnsi="Times New Roman" w:cs="Times New Roman"/>
        </w:rPr>
        <w:t xml:space="preserve"> и др. На официальном сайте </w:t>
      </w:r>
      <w:proofErr w:type="spellStart"/>
      <w:r w:rsidRPr="00CA78BD">
        <w:rPr>
          <w:rFonts w:ascii="Times New Roman" w:hAnsi="Times New Roman" w:cs="Times New Roman"/>
          <w:b/>
          <w:bCs/>
          <w:i/>
          <w:iCs/>
          <w:lang w:val="en-US"/>
        </w:rPr>
        <w:t>InfluenceMap</w:t>
      </w:r>
      <w:proofErr w:type="spellEnd"/>
      <w:r w:rsidRPr="00CA78BD">
        <w:rPr>
          <w:rFonts w:ascii="Times New Roman" w:hAnsi="Times New Roman" w:cs="Times New Roman"/>
        </w:rPr>
        <w:t xml:space="preserve"> приведён краткий обзор на каждую из компаний по части занимаемой ею позиции по вопросам климата. Как правило, </w:t>
      </w:r>
      <w:r w:rsidRPr="00CA78BD">
        <w:rPr>
          <w:rFonts w:ascii="Times New Roman" w:hAnsi="Times New Roman" w:cs="Times New Roman"/>
        </w:rPr>
        <w:lastRenderedPageBreak/>
        <w:t>компании открыто поддерживают Парижское соглашение и в целом своевременные действия по борьбе с изменениями климата, кроме того, они поддерживают европейскую систему торговли выбросами (</w:t>
      </w:r>
      <w:r w:rsidRPr="00CA78BD">
        <w:rPr>
          <w:rFonts w:ascii="Times New Roman" w:hAnsi="Times New Roman" w:cs="Times New Roman"/>
          <w:lang w:val="en-US"/>
        </w:rPr>
        <w:t>ETS</w:t>
      </w:r>
      <w:r w:rsidRPr="00CA78BD">
        <w:rPr>
          <w:rFonts w:ascii="Times New Roman" w:hAnsi="Times New Roman" w:cs="Times New Roman"/>
        </w:rPr>
        <w:t xml:space="preserve">), переход к «устойчивой» экономике, ВИЭ и электротранспорту и выражают своё согласие с целью климатической нейтральности к 2050 г., </w:t>
      </w:r>
    </w:p>
    <w:p w14:paraId="1E9AFEC3" w14:textId="77777777" w:rsidR="00103472" w:rsidRPr="00CA78BD" w:rsidRDefault="00103472" w:rsidP="0010347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eastAsia="Times New Roman" w:hAnsi="Times New Roman" w:cs="Times New Roman"/>
        </w:rPr>
        <w:tab/>
      </w:r>
      <w:r w:rsidRPr="00CA78BD">
        <w:rPr>
          <w:rFonts w:ascii="Times New Roman" w:hAnsi="Times New Roman" w:cs="Times New Roman"/>
        </w:rPr>
        <w:t>Все компании из топ-20 представлены в институтах Европейского союза и зарегистрированы в Едином реестре лоббистских организаций. Опираясь на данные, представленные в Едином реестре (Таблица №2), можно сделать вывод, что все компании вовлечены в европейскую политику в разной степени. Тем не менее практически у всех рассматриваемых компаний в качестве целевых направлений политики или сферы интересов указана климатическая политика. Также у подавляющего большинства компаний, которые опубликовали информацию о личных встречах с представителями Е</w:t>
      </w:r>
      <w:r w:rsidR="00455972" w:rsidRPr="00CA78BD">
        <w:rPr>
          <w:rFonts w:ascii="Times New Roman" w:hAnsi="Times New Roman" w:cs="Times New Roman"/>
        </w:rPr>
        <w:t>врокомиссии</w:t>
      </w:r>
      <w:r w:rsidRPr="00CA78BD">
        <w:rPr>
          <w:rFonts w:ascii="Times New Roman" w:hAnsi="Times New Roman" w:cs="Times New Roman"/>
        </w:rPr>
        <w:t xml:space="preserve">, эти встречи были посвящены именно климатической политике, Европейскому зелёному курсу или отдельным его аспектам. Участвовавшие в экспертных группах аналогично принимали участие в рамках этих экспертных групп в дискуссиях о новой экологической политике. </w:t>
      </w:r>
    </w:p>
    <w:p w14:paraId="3B2C2F18" w14:textId="77777777" w:rsidR="00AD404E" w:rsidRPr="00CA78BD" w:rsidRDefault="00BB3296" w:rsidP="00AD404E">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eastAsia="Times New Roman" w:hAnsi="Times New Roman" w:cs="Times New Roman"/>
        </w:rPr>
        <w:tab/>
      </w:r>
      <w:r w:rsidR="00455972" w:rsidRPr="00CA78BD">
        <w:rPr>
          <w:rFonts w:ascii="Times New Roman" w:hAnsi="Times New Roman" w:cs="Times New Roman"/>
        </w:rPr>
        <w:t>И</w:t>
      </w:r>
      <w:r w:rsidRPr="00CA78BD">
        <w:rPr>
          <w:rFonts w:ascii="Times New Roman" w:hAnsi="Times New Roman" w:cs="Times New Roman"/>
        </w:rPr>
        <w:t xml:space="preserve">нформация о компаниях из топ-20 по версии </w:t>
      </w:r>
      <w:proofErr w:type="spellStart"/>
      <w:r w:rsidRPr="00CA78BD">
        <w:rPr>
          <w:rFonts w:ascii="Times New Roman" w:hAnsi="Times New Roman" w:cs="Times New Roman"/>
          <w:b/>
          <w:bCs/>
          <w:i/>
          <w:iCs/>
          <w:lang w:val="en-US"/>
        </w:rPr>
        <w:t>InfluenceMap</w:t>
      </w:r>
      <w:proofErr w:type="spellEnd"/>
      <w:r w:rsidR="00455972" w:rsidRPr="00CA78BD">
        <w:rPr>
          <w:rFonts w:ascii="Times New Roman" w:hAnsi="Times New Roman" w:cs="Times New Roman"/>
          <w:b/>
          <w:bCs/>
          <w:i/>
          <w:iCs/>
        </w:rPr>
        <w:t xml:space="preserve"> </w:t>
      </w:r>
      <w:r w:rsidR="00455972" w:rsidRPr="00CA78BD">
        <w:rPr>
          <w:rFonts w:ascii="Times New Roman" w:hAnsi="Times New Roman" w:cs="Times New Roman"/>
          <w:bCs/>
          <w:iCs/>
        </w:rPr>
        <w:t>представлена в таблице №2</w:t>
      </w:r>
      <w:r w:rsidRPr="00CA78BD">
        <w:rPr>
          <w:rFonts w:ascii="Times New Roman" w:hAnsi="Times New Roman" w:cs="Times New Roman"/>
        </w:rPr>
        <w:t xml:space="preserve">. По сравнению с организациями коалиции </w:t>
      </w:r>
      <w:r w:rsidRPr="00CA78BD">
        <w:rPr>
          <w:rFonts w:ascii="Times New Roman" w:hAnsi="Times New Roman" w:cs="Times New Roman"/>
          <w:b/>
          <w:bCs/>
          <w:i/>
          <w:iCs/>
          <w:lang w:val="en-US"/>
        </w:rPr>
        <w:t>G</w:t>
      </w:r>
      <w:r w:rsidRPr="00CA78BD">
        <w:rPr>
          <w:rFonts w:ascii="Times New Roman" w:hAnsi="Times New Roman" w:cs="Times New Roman"/>
          <w:b/>
          <w:bCs/>
          <w:i/>
          <w:iCs/>
        </w:rPr>
        <w:t xml:space="preserve">10 </w:t>
      </w:r>
      <w:r w:rsidRPr="00CA78BD">
        <w:rPr>
          <w:rFonts w:ascii="Times New Roman" w:hAnsi="Times New Roman" w:cs="Times New Roman"/>
        </w:rPr>
        <w:t>коммерческие</w:t>
      </w:r>
      <w:r w:rsidRPr="00CA78BD">
        <w:rPr>
          <w:rFonts w:ascii="Times New Roman" w:hAnsi="Times New Roman" w:cs="Times New Roman"/>
          <w:b/>
          <w:bCs/>
          <w:i/>
          <w:iCs/>
        </w:rPr>
        <w:t xml:space="preserve"> </w:t>
      </w:r>
      <w:r w:rsidRPr="00CA78BD">
        <w:rPr>
          <w:rFonts w:ascii="Times New Roman" w:hAnsi="Times New Roman" w:cs="Times New Roman"/>
        </w:rPr>
        <w:t>компании</w:t>
      </w:r>
      <w:r w:rsidRPr="00CA78BD">
        <w:rPr>
          <w:rFonts w:ascii="Times New Roman" w:hAnsi="Times New Roman" w:cs="Times New Roman"/>
          <w:b/>
          <w:bCs/>
          <w:i/>
          <w:iCs/>
        </w:rPr>
        <w:t xml:space="preserve"> </w:t>
      </w:r>
      <w:r w:rsidRPr="00CA78BD">
        <w:rPr>
          <w:rFonts w:ascii="Times New Roman" w:hAnsi="Times New Roman" w:cs="Times New Roman"/>
        </w:rPr>
        <w:t xml:space="preserve">гораздо менее активные. Среднее количество встреч с представителями </w:t>
      </w:r>
      <w:r w:rsidR="00455972" w:rsidRPr="00CA78BD">
        <w:rPr>
          <w:rFonts w:ascii="Times New Roman" w:hAnsi="Times New Roman" w:cs="Times New Roman"/>
        </w:rPr>
        <w:t>Комиссии в</w:t>
      </w:r>
      <w:r w:rsidRPr="00CA78BD">
        <w:rPr>
          <w:rFonts w:ascii="Times New Roman" w:hAnsi="Times New Roman" w:cs="Times New Roman"/>
        </w:rPr>
        <w:t xml:space="preserve"> 2020 году — </w:t>
      </w:r>
      <w:r w:rsidRPr="00CA78BD">
        <w:rPr>
          <w:rFonts w:ascii="Times New Roman" w:hAnsi="Times New Roman" w:cs="Times New Roman"/>
          <w:b/>
          <w:bCs/>
          <w:i/>
          <w:iCs/>
        </w:rPr>
        <w:t>6</w:t>
      </w:r>
      <w:r w:rsidRPr="00CA78BD">
        <w:rPr>
          <w:rFonts w:ascii="Times New Roman" w:hAnsi="Times New Roman" w:cs="Times New Roman"/>
        </w:rPr>
        <w:t xml:space="preserve">. Лидирующую позицию занимает компании </w:t>
      </w:r>
      <w:r w:rsidRPr="00CA78BD">
        <w:rPr>
          <w:rFonts w:ascii="Times New Roman" w:hAnsi="Times New Roman" w:cs="Times New Roman"/>
          <w:b/>
          <w:bCs/>
          <w:i/>
          <w:iCs/>
        </w:rPr>
        <w:t>Google</w:t>
      </w:r>
      <w:r w:rsidRPr="00CA78BD">
        <w:rPr>
          <w:rFonts w:ascii="Times New Roman" w:hAnsi="Times New Roman" w:cs="Times New Roman"/>
        </w:rPr>
        <w:t xml:space="preserve">, которая за 2020 г. провела </w:t>
      </w:r>
      <w:r w:rsidRPr="00CA78BD">
        <w:rPr>
          <w:rFonts w:ascii="Times New Roman" w:hAnsi="Times New Roman" w:cs="Times New Roman"/>
          <w:b/>
          <w:bCs/>
          <w:i/>
          <w:iCs/>
        </w:rPr>
        <w:t>32</w:t>
      </w:r>
      <w:r w:rsidRPr="00CA78BD">
        <w:rPr>
          <w:rFonts w:ascii="Times New Roman" w:hAnsi="Times New Roman" w:cs="Times New Roman"/>
        </w:rPr>
        <w:t xml:space="preserve"> встречи. Второе место занимает компания </w:t>
      </w:r>
      <w:r w:rsidRPr="00CA78BD">
        <w:rPr>
          <w:rFonts w:ascii="Times New Roman" w:hAnsi="Times New Roman" w:cs="Times New Roman"/>
          <w:b/>
          <w:bCs/>
          <w:i/>
          <w:iCs/>
          <w:lang w:val="en-US"/>
        </w:rPr>
        <w:t>Enel</w:t>
      </w:r>
      <w:r w:rsidRPr="00CA78BD">
        <w:rPr>
          <w:rFonts w:ascii="Times New Roman" w:hAnsi="Times New Roman" w:cs="Times New Roman"/>
        </w:rPr>
        <w:t xml:space="preserve">, которая провела </w:t>
      </w:r>
      <w:r w:rsidRPr="00CA78BD">
        <w:rPr>
          <w:rFonts w:ascii="Times New Roman" w:hAnsi="Times New Roman" w:cs="Times New Roman"/>
          <w:b/>
          <w:bCs/>
          <w:i/>
          <w:iCs/>
        </w:rPr>
        <w:t>16</w:t>
      </w:r>
      <w:r w:rsidRPr="00CA78BD">
        <w:rPr>
          <w:rFonts w:ascii="Times New Roman" w:hAnsi="Times New Roman" w:cs="Times New Roman"/>
        </w:rPr>
        <w:t xml:space="preserve"> встреч, третье разделяют компании </w:t>
      </w:r>
      <w:r w:rsidRPr="00CA78BD">
        <w:rPr>
          <w:rFonts w:ascii="Times New Roman" w:hAnsi="Times New Roman" w:cs="Times New Roman"/>
          <w:b/>
          <w:bCs/>
          <w:i/>
          <w:iCs/>
          <w:lang w:val="en-US"/>
        </w:rPr>
        <w:t>Siemens</w:t>
      </w:r>
      <w:r w:rsidRPr="00CA78BD">
        <w:rPr>
          <w:rFonts w:ascii="Times New Roman" w:hAnsi="Times New Roman" w:cs="Times New Roman"/>
        </w:rPr>
        <w:t xml:space="preserve"> и </w:t>
      </w:r>
      <w:r w:rsidRPr="00CA78BD">
        <w:rPr>
          <w:rFonts w:ascii="Times New Roman" w:hAnsi="Times New Roman" w:cs="Times New Roman"/>
          <w:b/>
          <w:bCs/>
          <w:i/>
          <w:iCs/>
          <w:lang w:val="en-US"/>
        </w:rPr>
        <w:t>Apple</w:t>
      </w:r>
      <w:r w:rsidRPr="00CA78BD">
        <w:rPr>
          <w:rFonts w:ascii="Times New Roman" w:hAnsi="Times New Roman" w:cs="Times New Roman"/>
        </w:rPr>
        <w:t xml:space="preserve">, отчитавшиеся </w:t>
      </w:r>
      <w:r w:rsidR="00455972" w:rsidRPr="00CA78BD">
        <w:rPr>
          <w:rFonts w:ascii="Times New Roman" w:hAnsi="Times New Roman" w:cs="Times New Roman"/>
        </w:rPr>
        <w:t>о</w:t>
      </w:r>
      <w:r w:rsidRPr="00CA78BD">
        <w:rPr>
          <w:rFonts w:ascii="Times New Roman" w:hAnsi="Times New Roman" w:cs="Times New Roman"/>
        </w:rPr>
        <w:t xml:space="preserve"> </w:t>
      </w:r>
      <w:r w:rsidRPr="00CA78BD">
        <w:rPr>
          <w:rFonts w:ascii="Times New Roman" w:hAnsi="Times New Roman" w:cs="Times New Roman"/>
          <w:b/>
          <w:bCs/>
          <w:i/>
          <w:iCs/>
        </w:rPr>
        <w:t>14</w:t>
      </w:r>
      <w:r w:rsidRPr="00CA78BD">
        <w:rPr>
          <w:rFonts w:ascii="Times New Roman" w:hAnsi="Times New Roman" w:cs="Times New Roman"/>
        </w:rPr>
        <w:t xml:space="preserve"> встреч</w:t>
      </w:r>
      <w:r w:rsidR="00455972" w:rsidRPr="00CA78BD">
        <w:rPr>
          <w:rFonts w:ascii="Times New Roman" w:hAnsi="Times New Roman" w:cs="Times New Roman"/>
        </w:rPr>
        <w:t>ах</w:t>
      </w:r>
      <w:r w:rsidRPr="00CA78BD">
        <w:rPr>
          <w:rFonts w:ascii="Times New Roman" w:hAnsi="Times New Roman" w:cs="Times New Roman"/>
        </w:rPr>
        <w:t xml:space="preserve">. Коммерческие </w:t>
      </w:r>
      <w:proofErr w:type="spellStart"/>
      <w:r w:rsidRPr="00CA78BD">
        <w:rPr>
          <w:rFonts w:ascii="Times New Roman" w:hAnsi="Times New Roman" w:cs="Times New Roman"/>
        </w:rPr>
        <w:t>проэкологические</w:t>
      </w:r>
      <w:proofErr w:type="spellEnd"/>
      <w:r w:rsidRPr="00CA78BD">
        <w:rPr>
          <w:rFonts w:ascii="Times New Roman" w:hAnsi="Times New Roman" w:cs="Times New Roman"/>
        </w:rPr>
        <w:t xml:space="preserve"> компании значительно реже участвуют в экспертных группах. Только </w:t>
      </w:r>
      <w:r w:rsidRPr="00CA78BD">
        <w:rPr>
          <w:rFonts w:ascii="Times New Roman" w:hAnsi="Times New Roman" w:cs="Times New Roman"/>
          <w:b/>
          <w:bCs/>
          <w:i/>
          <w:iCs/>
        </w:rPr>
        <w:t>8</w:t>
      </w:r>
      <w:r w:rsidRPr="00CA78BD">
        <w:rPr>
          <w:rFonts w:ascii="Times New Roman" w:hAnsi="Times New Roman" w:cs="Times New Roman"/>
        </w:rPr>
        <w:t xml:space="preserve"> компаний из </w:t>
      </w:r>
      <w:r w:rsidRPr="00CA78BD">
        <w:rPr>
          <w:rFonts w:ascii="Times New Roman" w:hAnsi="Times New Roman" w:cs="Times New Roman"/>
          <w:b/>
          <w:bCs/>
          <w:i/>
          <w:iCs/>
        </w:rPr>
        <w:t>20</w:t>
      </w:r>
      <w:r w:rsidRPr="00CA78BD">
        <w:rPr>
          <w:rFonts w:ascii="Times New Roman" w:hAnsi="Times New Roman" w:cs="Times New Roman"/>
        </w:rPr>
        <w:t xml:space="preserve"> числятся в той или иной группе. Всего количество групп, в которых были задействованы компании, не превышает </w:t>
      </w:r>
      <w:r w:rsidRPr="00CA78BD">
        <w:rPr>
          <w:rFonts w:ascii="Times New Roman" w:hAnsi="Times New Roman" w:cs="Times New Roman"/>
          <w:b/>
          <w:bCs/>
          <w:i/>
          <w:iCs/>
        </w:rPr>
        <w:t>5</w:t>
      </w:r>
      <w:r w:rsidRPr="00CA78BD">
        <w:rPr>
          <w:rFonts w:ascii="Times New Roman" w:hAnsi="Times New Roman" w:cs="Times New Roman"/>
        </w:rPr>
        <w:t xml:space="preserve">. Среднее количество сотрудников, задействованных в институтах Евросоюза — </w:t>
      </w:r>
      <w:r w:rsidRPr="00CA78BD">
        <w:rPr>
          <w:rFonts w:ascii="Times New Roman" w:hAnsi="Times New Roman" w:cs="Times New Roman"/>
          <w:b/>
          <w:bCs/>
          <w:i/>
          <w:iCs/>
        </w:rPr>
        <w:t>6</w:t>
      </w:r>
      <w:r w:rsidRPr="00CA78BD">
        <w:rPr>
          <w:rFonts w:ascii="Times New Roman" w:hAnsi="Times New Roman" w:cs="Times New Roman"/>
        </w:rPr>
        <w:t xml:space="preserve">, при этом только </w:t>
      </w:r>
      <w:r w:rsidRPr="00CA78BD">
        <w:rPr>
          <w:rFonts w:ascii="Times New Roman" w:hAnsi="Times New Roman" w:cs="Times New Roman"/>
          <w:b/>
          <w:bCs/>
          <w:i/>
          <w:iCs/>
        </w:rPr>
        <w:t>8</w:t>
      </w:r>
      <w:r w:rsidRPr="00CA78BD">
        <w:rPr>
          <w:rFonts w:ascii="Times New Roman" w:hAnsi="Times New Roman" w:cs="Times New Roman"/>
        </w:rPr>
        <w:t xml:space="preserve"> компаний из </w:t>
      </w:r>
      <w:r w:rsidRPr="00CA78BD">
        <w:rPr>
          <w:rFonts w:ascii="Times New Roman" w:hAnsi="Times New Roman" w:cs="Times New Roman"/>
          <w:b/>
          <w:bCs/>
          <w:i/>
          <w:iCs/>
        </w:rPr>
        <w:t>20</w:t>
      </w:r>
      <w:r w:rsidRPr="00CA78BD">
        <w:rPr>
          <w:rFonts w:ascii="Times New Roman" w:hAnsi="Times New Roman" w:cs="Times New Roman"/>
        </w:rPr>
        <w:t xml:space="preserve"> имеют сотрудников в Е</w:t>
      </w:r>
      <w:r w:rsidR="00455972" w:rsidRPr="00CA78BD">
        <w:rPr>
          <w:rFonts w:ascii="Times New Roman" w:hAnsi="Times New Roman" w:cs="Times New Roman"/>
        </w:rPr>
        <w:t>вропарламенте</w:t>
      </w:r>
      <w:r w:rsidRPr="00CA78BD">
        <w:rPr>
          <w:rFonts w:ascii="Times New Roman" w:hAnsi="Times New Roman" w:cs="Times New Roman"/>
        </w:rPr>
        <w:t xml:space="preserve">. Лидером по количеству сотрудников является компании </w:t>
      </w:r>
      <w:r w:rsidRPr="00CA78BD">
        <w:rPr>
          <w:rFonts w:ascii="Times New Roman" w:hAnsi="Times New Roman" w:cs="Times New Roman"/>
          <w:b/>
          <w:bCs/>
          <w:i/>
          <w:iCs/>
          <w:lang w:val="en-US"/>
        </w:rPr>
        <w:t>Enel</w:t>
      </w:r>
      <w:r w:rsidRPr="00CA78BD">
        <w:rPr>
          <w:rFonts w:ascii="Times New Roman" w:hAnsi="Times New Roman" w:cs="Times New Roman"/>
        </w:rPr>
        <w:t xml:space="preserve"> — количество её лоббистов достигает </w:t>
      </w:r>
      <w:r w:rsidRPr="00CA78BD">
        <w:rPr>
          <w:rFonts w:ascii="Times New Roman" w:hAnsi="Times New Roman" w:cs="Times New Roman"/>
          <w:b/>
          <w:bCs/>
          <w:i/>
          <w:iCs/>
        </w:rPr>
        <w:t>18</w:t>
      </w:r>
      <w:r w:rsidRPr="00CA78BD">
        <w:rPr>
          <w:rFonts w:ascii="Times New Roman" w:hAnsi="Times New Roman" w:cs="Times New Roman"/>
        </w:rPr>
        <w:t xml:space="preserve">. Сумма расходов на лоббистскую деятельность также начинается с </w:t>
      </w:r>
      <w:r w:rsidRPr="00CA78BD">
        <w:rPr>
          <w:rFonts w:ascii="Times New Roman" w:hAnsi="Times New Roman" w:cs="Times New Roman"/>
          <w:b/>
          <w:bCs/>
          <w:i/>
          <w:iCs/>
        </w:rPr>
        <w:t xml:space="preserve">50 000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rPr>
        <w:t xml:space="preserve"> (</w:t>
      </w:r>
      <w:r w:rsidRPr="00CA78BD">
        <w:rPr>
          <w:rFonts w:ascii="Times New Roman" w:hAnsi="Times New Roman" w:cs="Times New Roman"/>
          <w:b/>
          <w:bCs/>
          <w:i/>
          <w:iCs/>
        </w:rPr>
        <w:t>National Grid</w:t>
      </w:r>
      <w:r w:rsidRPr="00CA78BD">
        <w:rPr>
          <w:rFonts w:ascii="Times New Roman" w:hAnsi="Times New Roman" w:cs="Times New Roman"/>
        </w:rPr>
        <w:t xml:space="preserve">) и заканчивается </w:t>
      </w:r>
      <w:r w:rsidRPr="00CA78BD">
        <w:rPr>
          <w:rFonts w:ascii="Times New Roman" w:hAnsi="Times New Roman" w:cs="Times New Roman"/>
          <w:b/>
          <w:bCs/>
          <w:i/>
          <w:iCs/>
        </w:rPr>
        <w:t xml:space="preserve">5 999 999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b/>
          <w:bCs/>
          <w:i/>
          <w:iCs/>
        </w:rPr>
        <w:t xml:space="preserve"> </w:t>
      </w:r>
      <w:r w:rsidRPr="00CA78BD">
        <w:rPr>
          <w:rFonts w:ascii="Times New Roman" w:hAnsi="Times New Roman" w:cs="Times New Roman"/>
        </w:rPr>
        <w:t>(</w:t>
      </w:r>
      <w:r w:rsidRPr="00CA78BD">
        <w:rPr>
          <w:rFonts w:ascii="Times New Roman" w:hAnsi="Times New Roman" w:cs="Times New Roman"/>
          <w:b/>
          <w:bCs/>
          <w:i/>
          <w:iCs/>
        </w:rPr>
        <w:t>Google</w:t>
      </w:r>
      <w:r w:rsidRPr="00CA78BD">
        <w:rPr>
          <w:rFonts w:ascii="Times New Roman" w:hAnsi="Times New Roman" w:cs="Times New Roman"/>
        </w:rPr>
        <w:t xml:space="preserve">). Средняя максимальная сумма расходов составляет </w:t>
      </w:r>
      <w:r w:rsidRPr="00CA78BD">
        <w:rPr>
          <w:rFonts w:ascii="Times New Roman" w:hAnsi="Times New Roman" w:cs="Times New Roman"/>
          <w:b/>
          <w:bCs/>
          <w:i/>
          <w:iCs/>
        </w:rPr>
        <w:t xml:space="preserve">1 197 499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rPr>
        <w:t xml:space="preserve">. </w:t>
      </w:r>
    </w:p>
    <w:p w14:paraId="291784A9" w14:textId="77777777" w:rsidR="00455972" w:rsidRPr="00CA78BD" w:rsidRDefault="00455972" w:rsidP="00AD404E">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tab/>
        <w:t xml:space="preserve">Из этого следует, что группа прогрессивных компаний, выступающих «за» новые экологические меры и борьбу с изменением климата, не является решающей </w:t>
      </w:r>
      <w:r w:rsidRPr="00CA78BD">
        <w:rPr>
          <w:rFonts w:ascii="Times New Roman" w:hAnsi="Times New Roman" w:cs="Times New Roman"/>
        </w:rPr>
        <w:lastRenderedPageBreak/>
        <w:t xml:space="preserve">серьёзной силой против своих оппонентов по экологическим вопросам. Они могут поддержать НКО и выразить согласие небольшой части бизнес-сообщества с новой экологической повесткой в Евросоюзе, но надёжной опорой зелёного движения в Европе их назвать нельзя. С учётом того, что рассмотренных частных компаний больше, чем </w:t>
      </w:r>
      <w:r w:rsidR="00535B3D" w:rsidRPr="00CA78BD">
        <w:rPr>
          <w:rFonts w:ascii="Times New Roman" w:hAnsi="Times New Roman" w:cs="Times New Roman"/>
        </w:rPr>
        <w:t xml:space="preserve">компаний коалиции </w:t>
      </w:r>
      <w:r w:rsidR="00535B3D" w:rsidRPr="00CA78BD">
        <w:rPr>
          <w:rFonts w:ascii="Times New Roman" w:hAnsi="Times New Roman" w:cs="Times New Roman"/>
          <w:b/>
          <w:i/>
          <w:lang w:val="en-US"/>
        </w:rPr>
        <w:t>G</w:t>
      </w:r>
      <w:r w:rsidR="00535B3D" w:rsidRPr="00CA78BD">
        <w:rPr>
          <w:rFonts w:ascii="Times New Roman" w:hAnsi="Times New Roman" w:cs="Times New Roman"/>
          <w:b/>
          <w:i/>
        </w:rPr>
        <w:t>10</w:t>
      </w:r>
      <w:r w:rsidR="00535B3D" w:rsidRPr="00CA78BD">
        <w:rPr>
          <w:rFonts w:ascii="Times New Roman" w:hAnsi="Times New Roman" w:cs="Times New Roman"/>
        </w:rPr>
        <w:t xml:space="preserve">, среднее количество проведённых в 2020 г. встреч очень мало. Так же незначительно и число экспертных групп, в которых представители этих компаний принимают участия. Этот феномен можно объяснить отсутствием сильной экспертной базы у этих компаний. При отсутствии специалистов по экологическим и климатическим вопросам, они выражают лишь ценностные ориентиры своих компаний и согласие на переход к так называемой «устойчивой» экономике, что, впрочем, тоже немаловажно для поддержки «зелёного» движения. Объём работы в институтах власти у них, соответственно, тоже меньше, как и сумма расходуемых средств. Эти данные </w:t>
      </w:r>
      <w:r w:rsidR="009B283B" w:rsidRPr="00CA78BD">
        <w:rPr>
          <w:rFonts w:ascii="Times New Roman" w:hAnsi="Times New Roman" w:cs="Times New Roman"/>
        </w:rPr>
        <w:t>говорят</w:t>
      </w:r>
      <w:r w:rsidR="00535B3D" w:rsidRPr="00CA78BD">
        <w:rPr>
          <w:rFonts w:ascii="Times New Roman" w:hAnsi="Times New Roman" w:cs="Times New Roman"/>
        </w:rPr>
        <w:t xml:space="preserve"> о том, что основная деятельность лоббистов в Евросоюзе построена вокруг экспертного сопровождения </w:t>
      </w:r>
      <w:r w:rsidR="009B283B" w:rsidRPr="00CA78BD">
        <w:rPr>
          <w:rFonts w:ascii="Times New Roman" w:hAnsi="Times New Roman" w:cs="Times New Roman"/>
        </w:rPr>
        <w:t xml:space="preserve">представителей власти. Поскольку компании из области высоких технологий, электроэнергии, электроники и др. не компетентны в экологических вопросах, они играют символическую роль и не представляют серьёзную силу в институтах Евросоюза, не смотря на свой значительный бюджет. </w:t>
      </w:r>
    </w:p>
    <w:p w14:paraId="0649122D" w14:textId="77777777" w:rsidR="0043349E" w:rsidRPr="00CA78BD" w:rsidRDefault="00AD404E" w:rsidP="0043349E">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tab/>
        <w:t xml:space="preserve">Другой отчёт аналитического центра </w:t>
      </w:r>
      <w:proofErr w:type="spellStart"/>
      <w:r w:rsidRPr="00CA78BD">
        <w:rPr>
          <w:rFonts w:ascii="Times New Roman" w:hAnsi="Times New Roman" w:cs="Times New Roman"/>
          <w:b/>
          <w:bCs/>
          <w:i/>
          <w:iCs/>
          <w:lang w:val="en-US"/>
        </w:rPr>
        <w:t>InfluenceMap</w:t>
      </w:r>
      <w:proofErr w:type="spellEnd"/>
      <w:r w:rsidRPr="00CA78BD">
        <w:rPr>
          <w:rFonts w:ascii="Times New Roman" w:hAnsi="Times New Roman" w:cs="Times New Roman"/>
        </w:rPr>
        <w:t>, который заслуживает внимания, это отчёт, посвящённый анализу деятельности бизнес-ассоциаций</w:t>
      </w:r>
      <w:r w:rsidRPr="00CA78BD">
        <w:rPr>
          <w:rFonts w:ascii="Times New Roman" w:eastAsia="Times New Roman" w:hAnsi="Times New Roman" w:cs="Times New Roman"/>
          <w:vertAlign w:val="superscript"/>
        </w:rPr>
        <w:footnoteReference w:id="49"/>
      </w:r>
      <w:r w:rsidRPr="00CA78BD">
        <w:rPr>
          <w:rFonts w:ascii="Times New Roman" w:hAnsi="Times New Roman" w:cs="Times New Roman"/>
        </w:rPr>
        <w:t>. Опубликованный в 2017 г. отчёт аналогично оценивает влияние бизнеса на климатическую политику, но уже через торговые и бизнес-ассоциации. Согласно результатам представленного в отчёте исследования, из 50 наиболее влиятельных бизнес-объединений по всему миру за новые цели климатической политики выступают только 6, тогда как остальные 44 выступают решительно против.</w:t>
      </w:r>
      <w:r w:rsidR="0043349E" w:rsidRPr="00CA78BD">
        <w:rPr>
          <w:rFonts w:ascii="Times New Roman" w:hAnsi="Times New Roman" w:cs="Times New Roman"/>
        </w:rPr>
        <w:t xml:space="preserve"> Из всех ассоциаций, представленных в отчёте</w:t>
      </w:r>
      <w:r w:rsidR="0043349E" w:rsidRPr="00CA78BD">
        <w:rPr>
          <w:rFonts w:ascii="Times New Roman" w:hAnsi="Times New Roman" w:cs="Times New Roman"/>
          <w:b/>
          <w:bCs/>
          <w:i/>
          <w:iCs/>
        </w:rPr>
        <w:t xml:space="preserve"> </w:t>
      </w:r>
      <w:proofErr w:type="spellStart"/>
      <w:r w:rsidR="0043349E" w:rsidRPr="00CA78BD">
        <w:rPr>
          <w:rFonts w:ascii="Times New Roman" w:hAnsi="Times New Roman" w:cs="Times New Roman"/>
          <w:b/>
          <w:bCs/>
          <w:i/>
          <w:iCs/>
          <w:lang w:val="en-US"/>
        </w:rPr>
        <w:t>InfluenceMap</w:t>
      </w:r>
      <w:proofErr w:type="spellEnd"/>
      <w:r w:rsidR="0043349E" w:rsidRPr="00CA78BD">
        <w:rPr>
          <w:rFonts w:ascii="Times New Roman" w:hAnsi="Times New Roman" w:cs="Times New Roman"/>
        </w:rPr>
        <w:t>, в Едином реестре прозрачности зарегистрировано только 19 (Таблица №4). Из них лишь 3 ассоциации выступают в защиту климатической политики Евросоюза, и 16 против. Для большей репрезентативности в таблицу №4 стоит добавить еще четырёх субъектов европейского уровня — 3 ассоциации газового сектора (</w:t>
      </w:r>
      <w:r w:rsidR="0043349E" w:rsidRPr="00CA78BD">
        <w:rPr>
          <w:rFonts w:ascii="Times New Roman" w:hAnsi="Times New Roman" w:cs="Times New Roman"/>
          <w:b/>
          <w:bCs/>
          <w:i/>
          <w:iCs/>
          <w:lang w:val="en-US"/>
        </w:rPr>
        <w:t>Gas</w:t>
      </w:r>
      <w:r w:rsidR="0043349E" w:rsidRPr="00CA78BD">
        <w:rPr>
          <w:rFonts w:ascii="Times New Roman" w:hAnsi="Times New Roman" w:cs="Times New Roman"/>
          <w:b/>
          <w:bCs/>
          <w:i/>
          <w:iCs/>
        </w:rPr>
        <w:t xml:space="preserve"> </w:t>
      </w:r>
      <w:proofErr w:type="spellStart"/>
      <w:r w:rsidR="0043349E" w:rsidRPr="00CA78BD">
        <w:rPr>
          <w:rFonts w:ascii="Times New Roman" w:hAnsi="Times New Roman" w:cs="Times New Roman"/>
          <w:b/>
          <w:bCs/>
          <w:i/>
          <w:iCs/>
          <w:lang w:val="en-US"/>
        </w:rPr>
        <w:t>Infrostructure</w:t>
      </w:r>
      <w:proofErr w:type="spellEnd"/>
      <w:r w:rsidR="0043349E" w:rsidRPr="00CA78BD">
        <w:rPr>
          <w:rFonts w:ascii="Times New Roman" w:hAnsi="Times New Roman" w:cs="Times New Roman"/>
          <w:b/>
          <w:bCs/>
          <w:i/>
          <w:iCs/>
        </w:rPr>
        <w:t xml:space="preserve"> </w:t>
      </w:r>
      <w:r w:rsidR="0043349E" w:rsidRPr="00CA78BD">
        <w:rPr>
          <w:rFonts w:ascii="Times New Roman" w:hAnsi="Times New Roman" w:cs="Times New Roman"/>
          <w:b/>
          <w:bCs/>
          <w:i/>
          <w:iCs/>
          <w:lang w:val="en-US"/>
        </w:rPr>
        <w:t>Europe</w:t>
      </w:r>
      <w:r w:rsidR="0043349E" w:rsidRPr="00CA78BD">
        <w:rPr>
          <w:rFonts w:ascii="Times New Roman" w:hAnsi="Times New Roman" w:cs="Times New Roman"/>
        </w:rPr>
        <w:t xml:space="preserve">, </w:t>
      </w:r>
      <w:proofErr w:type="spellStart"/>
      <w:r w:rsidR="0043349E" w:rsidRPr="00CA78BD">
        <w:rPr>
          <w:rFonts w:ascii="Times New Roman" w:hAnsi="Times New Roman" w:cs="Times New Roman"/>
          <w:b/>
          <w:bCs/>
          <w:i/>
          <w:iCs/>
          <w:lang w:val="en-US"/>
        </w:rPr>
        <w:t>Eurogas</w:t>
      </w:r>
      <w:proofErr w:type="spellEnd"/>
      <w:r w:rsidR="0043349E" w:rsidRPr="00CA78BD">
        <w:rPr>
          <w:rFonts w:ascii="Times New Roman" w:hAnsi="Times New Roman" w:cs="Times New Roman"/>
          <w:b/>
          <w:bCs/>
          <w:i/>
          <w:iCs/>
        </w:rPr>
        <w:t xml:space="preserve"> </w:t>
      </w:r>
      <w:r w:rsidR="0043349E" w:rsidRPr="00CA78BD">
        <w:rPr>
          <w:rFonts w:ascii="Times New Roman" w:hAnsi="Times New Roman" w:cs="Times New Roman"/>
        </w:rPr>
        <w:t xml:space="preserve">и </w:t>
      </w:r>
      <w:r w:rsidR="0043349E" w:rsidRPr="00CA78BD">
        <w:rPr>
          <w:rFonts w:ascii="Times New Roman" w:hAnsi="Times New Roman" w:cs="Times New Roman"/>
          <w:b/>
          <w:bCs/>
          <w:i/>
          <w:iCs/>
          <w:lang w:val="en-US"/>
        </w:rPr>
        <w:t>Liquid</w:t>
      </w:r>
      <w:r w:rsidR="0043349E" w:rsidRPr="00CA78BD">
        <w:rPr>
          <w:rFonts w:ascii="Times New Roman" w:hAnsi="Times New Roman" w:cs="Times New Roman"/>
          <w:b/>
          <w:bCs/>
          <w:i/>
          <w:iCs/>
        </w:rPr>
        <w:t xml:space="preserve"> </w:t>
      </w:r>
      <w:r w:rsidR="0043349E" w:rsidRPr="00CA78BD">
        <w:rPr>
          <w:rFonts w:ascii="Times New Roman" w:hAnsi="Times New Roman" w:cs="Times New Roman"/>
          <w:b/>
          <w:bCs/>
          <w:i/>
          <w:iCs/>
          <w:lang w:val="en-US"/>
        </w:rPr>
        <w:t>Gas</w:t>
      </w:r>
      <w:r w:rsidR="0043349E" w:rsidRPr="00CA78BD">
        <w:rPr>
          <w:rFonts w:ascii="Times New Roman" w:hAnsi="Times New Roman" w:cs="Times New Roman"/>
          <w:b/>
          <w:bCs/>
          <w:i/>
          <w:iCs/>
        </w:rPr>
        <w:t xml:space="preserve"> </w:t>
      </w:r>
      <w:r w:rsidR="0043349E" w:rsidRPr="00CA78BD">
        <w:rPr>
          <w:rFonts w:ascii="Times New Roman" w:hAnsi="Times New Roman" w:cs="Times New Roman"/>
          <w:b/>
          <w:bCs/>
          <w:i/>
          <w:iCs/>
          <w:lang w:val="en-US"/>
        </w:rPr>
        <w:t>Europe</w:t>
      </w:r>
      <w:r w:rsidR="0043349E" w:rsidRPr="00CA78BD">
        <w:rPr>
          <w:rFonts w:ascii="Times New Roman" w:hAnsi="Times New Roman" w:cs="Times New Roman"/>
        </w:rPr>
        <w:t xml:space="preserve">) и 1 представителя альтернативных источников </w:t>
      </w:r>
      <w:r w:rsidR="0043349E" w:rsidRPr="00CA78BD">
        <w:rPr>
          <w:rFonts w:ascii="Times New Roman" w:hAnsi="Times New Roman" w:cs="Times New Roman"/>
        </w:rPr>
        <w:lastRenderedPageBreak/>
        <w:t>энергии (</w:t>
      </w:r>
      <w:r w:rsidR="0043349E" w:rsidRPr="00CA78BD">
        <w:rPr>
          <w:rFonts w:ascii="Times New Roman" w:hAnsi="Times New Roman" w:cs="Times New Roman"/>
          <w:b/>
          <w:bCs/>
          <w:i/>
          <w:iCs/>
          <w:lang w:val="en-US"/>
        </w:rPr>
        <w:t>Ocean</w:t>
      </w:r>
      <w:r w:rsidR="0043349E" w:rsidRPr="00CA78BD">
        <w:rPr>
          <w:rFonts w:ascii="Times New Roman" w:hAnsi="Times New Roman" w:cs="Times New Roman"/>
          <w:b/>
          <w:bCs/>
          <w:i/>
          <w:iCs/>
        </w:rPr>
        <w:t xml:space="preserve"> </w:t>
      </w:r>
      <w:r w:rsidR="0043349E" w:rsidRPr="00CA78BD">
        <w:rPr>
          <w:rFonts w:ascii="Times New Roman" w:hAnsi="Times New Roman" w:cs="Times New Roman"/>
          <w:b/>
          <w:bCs/>
          <w:i/>
          <w:iCs/>
          <w:lang w:val="en-US"/>
        </w:rPr>
        <w:t>Energy</w:t>
      </w:r>
      <w:r w:rsidR="0043349E" w:rsidRPr="00CA78BD">
        <w:rPr>
          <w:rFonts w:ascii="Times New Roman" w:hAnsi="Times New Roman" w:cs="Times New Roman"/>
          <w:b/>
          <w:bCs/>
          <w:i/>
          <w:iCs/>
        </w:rPr>
        <w:t xml:space="preserve"> </w:t>
      </w:r>
      <w:r w:rsidR="0043349E" w:rsidRPr="00CA78BD">
        <w:rPr>
          <w:rFonts w:ascii="Times New Roman" w:hAnsi="Times New Roman" w:cs="Times New Roman"/>
          <w:b/>
          <w:bCs/>
          <w:i/>
          <w:iCs/>
          <w:lang w:val="en-US"/>
        </w:rPr>
        <w:t>Europe</w:t>
      </w:r>
      <w:r w:rsidR="0043349E" w:rsidRPr="00CA78BD">
        <w:rPr>
          <w:rFonts w:ascii="Times New Roman" w:hAnsi="Times New Roman" w:cs="Times New Roman"/>
        </w:rPr>
        <w:t xml:space="preserve">), которые встречались в других отчётах уже по европейской политике. Итого в Европе насчитывается 23 наиболее влиятельные бизнес-ассоциации, 19 из которых активно противодействуют климатической политике, и только 4 поддерживают. </w:t>
      </w:r>
    </w:p>
    <w:p w14:paraId="3C4B0677" w14:textId="77777777" w:rsidR="00BF0787" w:rsidRPr="00CA78BD" w:rsidRDefault="0043349E" w:rsidP="0043349E">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eastAsia="Times New Roman" w:hAnsi="Times New Roman" w:cs="Times New Roman"/>
        </w:rPr>
        <w:tab/>
      </w:r>
      <w:r w:rsidRPr="00CA78BD">
        <w:rPr>
          <w:rFonts w:ascii="Times New Roman" w:hAnsi="Times New Roman" w:cs="Times New Roman"/>
        </w:rPr>
        <w:t xml:space="preserve">Первые четыре строчки таблицы №4 посвящены </w:t>
      </w:r>
      <w:proofErr w:type="spellStart"/>
      <w:r w:rsidRPr="00CA78BD">
        <w:rPr>
          <w:rFonts w:ascii="Times New Roman" w:hAnsi="Times New Roman" w:cs="Times New Roman"/>
        </w:rPr>
        <w:t>проэкологическим</w:t>
      </w:r>
      <w:proofErr w:type="spellEnd"/>
      <w:r w:rsidRPr="00CA78BD">
        <w:rPr>
          <w:rFonts w:ascii="Times New Roman" w:hAnsi="Times New Roman" w:cs="Times New Roman"/>
        </w:rPr>
        <w:t xml:space="preserve"> ассоциациями бизнеса. Как ни странно, они оказываются менее активными, чем отдельные компании из таблицы №2 и экологические НКО коалиции </w:t>
      </w:r>
      <w:r w:rsidRPr="00CA78BD">
        <w:rPr>
          <w:rFonts w:ascii="Times New Roman" w:hAnsi="Times New Roman" w:cs="Times New Roman"/>
          <w:b/>
          <w:bCs/>
          <w:i/>
          <w:iCs/>
          <w:lang w:val="en-US"/>
        </w:rPr>
        <w:t>G</w:t>
      </w:r>
      <w:r w:rsidRPr="00CA78BD">
        <w:rPr>
          <w:rFonts w:ascii="Times New Roman" w:hAnsi="Times New Roman" w:cs="Times New Roman"/>
          <w:b/>
          <w:bCs/>
          <w:i/>
          <w:iCs/>
        </w:rPr>
        <w:t>10</w:t>
      </w:r>
      <w:r w:rsidRPr="00CA78BD">
        <w:rPr>
          <w:rFonts w:ascii="Times New Roman" w:hAnsi="Times New Roman" w:cs="Times New Roman"/>
        </w:rPr>
        <w:t xml:space="preserve">. Количество встреч, приведённых ими в 2020 году, не превышает </w:t>
      </w:r>
      <w:r w:rsidRPr="00CA78BD">
        <w:rPr>
          <w:rFonts w:ascii="Times New Roman" w:hAnsi="Times New Roman" w:cs="Times New Roman"/>
          <w:b/>
          <w:bCs/>
          <w:i/>
          <w:iCs/>
        </w:rPr>
        <w:t>16</w:t>
      </w:r>
      <w:r w:rsidRPr="00CA78BD">
        <w:rPr>
          <w:rFonts w:ascii="Times New Roman" w:hAnsi="Times New Roman" w:cs="Times New Roman"/>
        </w:rPr>
        <w:t xml:space="preserve">, среднее число составляет </w:t>
      </w:r>
      <w:r w:rsidRPr="00CA78BD">
        <w:rPr>
          <w:rFonts w:ascii="Times New Roman" w:hAnsi="Times New Roman" w:cs="Times New Roman"/>
          <w:b/>
          <w:bCs/>
          <w:i/>
          <w:iCs/>
        </w:rPr>
        <w:t>9</w:t>
      </w:r>
      <w:r w:rsidRPr="00CA78BD">
        <w:rPr>
          <w:rFonts w:ascii="Times New Roman" w:hAnsi="Times New Roman" w:cs="Times New Roman"/>
        </w:rPr>
        <w:t xml:space="preserve">. Лидером в этом плане является компании </w:t>
      </w:r>
      <w:r w:rsidRPr="00CA78BD">
        <w:rPr>
          <w:rFonts w:ascii="Times New Roman" w:hAnsi="Times New Roman" w:cs="Times New Roman"/>
          <w:b/>
          <w:bCs/>
          <w:i/>
          <w:iCs/>
          <w:lang w:val="en-US"/>
        </w:rPr>
        <w:t>Wind</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Europe</w:t>
      </w:r>
      <w:r w:rsidRPr="00CA78BD">
        <w:rPr>
          <w:rFonts w:ascii="Times New Roman" w:hAnsi="Times New Roman" w:cs="Times New Roman"/>
        </w:rPr>
        <w:t xml:space="preserve">. </w:t>
      </w:r>
      <w:r w:rsidR="009B283B" w:rsidRPr="00CA78BD">
        <w:rPr>
          <w:rFonts w:ascii="Times New Roman" w:hAnsi="Times New Roman" w:cs="Times New Roman"/>
        </w:rPr>
        <w:t>Участие</w:t>
      </w:r>
      <w:r w:rsidRPr="00CA78BD">
        <w:rPr>
          <w:rFonts w:ascii="Times New Roman" w:hAnsi="Times New Roman" w:cs="Times New Roman"/>
        </w:rPr>
        <w:t xml:space="preserve"> в </w:t>
      </w:r>
      <w:r w:rsidR="009B283B" w:rsidRPr="00CA78BD">
        <w:rPr>
          <w:rFonts w:ascii="Times New Roman" w:hAnsi="Times New Roman" w:cs="Times New Roman"/>
        </w:rPr>
        <w:t>экспертных</w:t>
      </w:r>
      <w:r w:rsidRPr="00CA78BD">
        <w:rPr>
          <w:rFonts w:ascii="Times New Roman" w:hAnsi="Times New Roman" w:cs="Times New Roman"/>
        </w:rPr>
        <w:t xml:space="preserve"> </w:t>
      </w:r>
      <w:r w:rsidR="009B283B" w:rsidRPr="00CA78BD">
        <w:rPr>
          <w:rFonts w:ascii="Times New Roman" w:hAnsi="Times New Roman" w:cs="Times New Roman"/>
        </w:rPr>
        <w:t>группах</w:t>
      </w:r>
      <w:r w:rsidRPr="00CA78BD">
        <w:rPr>
          <w:rFonts w:ascii="Times New Roman" w:hAnsi="Times New Roman" w:cs="Times New Roman"/>
        </w:rPr>
        <w:t xml:space="preserve"> </w:t>
      </w:r>
      <w:r w:rsidR="009B283B" w:rsidRPr="00CA78BD">
        <w:rPr>
          <w:rFonts w:ascii="Times New Roman" w:hAnsi="Times New Roman" w:cs="Times New Roman"/>
        </w:rPr>
        <w:t>принимают</w:t>
      </w:r>
      <w:r w:rsidRPr="00CA78BD">
        <w:rPr>
          <w:rFonts w:ascii="Times New Roman" w:hAnsi="Times New Roman" w:cs="Times New Roman"/>
        </w:rPr>
        <w:t xml:space="preserve"> </w:t>
      </w:r>
      <w:r w:rsidR="009B283B" w:rsidRPr="00CA78BD">
        <w:rPr>
          <w:rFonts w:ascii="Times New Roman" w:hAnsi="Times New Roman" w:cs="Times New Roman"/>
        </w:rPr>
        <w:t>только</w:t>
      </w:r>
      <w:r w:rsidRPr="00CA78BD">
        <w:rPr>
          <w:rFonts w:ascii="Times New Roman" w:hAnsi="Times New Roman" w:cs="Times New Roman"/>
        </w:rPr>
        <w:t xml:space="preserve"> 3 </w:t>
      </w:r>
      <w:r w:rsidR="009B283B" w:rsidRPr="00CA78BD">
        <w:rPr>
          <w:rFonts w:ascii="Times New Roman" w:hAnsi="Times New Roman" w:cs="Times New Roman"/>
        </w:rPr>
        <w:t>ассоциации</w:t>
      </w:r>
      <w:r w:rsidRPr="00CA78BD">
        <w:rPr>
          <w:rFonts w:ascii="Times New Roman" w:hAnsi="Times New Roman" w:cs="Times New Roman"/>
        </w:rPr>
        <w:t xml:space="preserve"> </w:t>
      </w:r>
      <w:r w:rsidR="009B283B" w:rsidRPr="00CA78BD">
        <w:rPr>
          <w:rFonts w:ascii="Times New Roman" w:hAnsi="Times New Roman" w:cs="Times New Roman"/>
        </w:rPr>
        <w:t>из</w:t>
      </w:r>
      <w:r w:rsidRPr="00CA78BD">
        <w:rPr>
          <w:rFonts w:ascii="Times New Roman" w:hAnsi="Times New Roman" w:cs="Times New Roman"/>
        </w:rPr>
        <w:t xml:space="preserve"> 4-х, </w:t>
      </w:r>
      <w:r w:rsidR="009B283B" w:rsidRPr="00CA78BD">
        <w:rPr>
          <w:rFonts w:ascii="Times New Roman" w:hAnsi="Times New Roman" w:cs="Times New Roman"/>
        </w:rPr>
        <w:t>количество</w:t>
      </w:r>
      <w:r w:rsidRPr="00CA78BD">
        <w:rPr>
          <w:rFonts w:ascii="Times New Roman" w:hAnsi="Times New Roman" w:cs="Times New Roman"/>
        </w:rPr>
        <w:t xml:space="preserve"> </w:t>
      </w:r>
      <w:r w:rsidR="009B283B" w:rsidRPr="00CA78BD">
        <w:rPr>
          <w:rFonts w:ascii="Times New Roman" w:hAnsi="Times New Roman" w:cs="Times New Roman"/>
        </w:rPr>
        <w:t>экспертных</w:t>
      </w:r>
      <w:r w:rsidRPr="00CA78BD">
        <w:rPr>
          <w:rFonts w:ascii="Times New Roman" w:hAnsi="Times New Roman" w:cs="Times New Roman"/>
        </w:rPr>
        <w:t xml:space="preserve"> </w:t>
      </w:r>
      <w:r w:rsidR="009B283B" w:rsidRPr="00CA78BD">
        <w:rPr>
          <w:rFonts w:ascii="Times New Roman" w:hAnsi="Times New Roman" w:cs="Times New Roman"/>
        </w:rPr>
        <w:t>групп</w:t>
      </w:r>
      <w:r w:rsidRPr="00CA78BD">
        <w:rPr>
          <w:rFonts w:ascii="Times New Roman" w:hAnsi="Times New Roman" w:cs="Times New Roman"/>
        </w:rPr>
        <w:t xml:space="preserve"> </w:t>
      </w:r>
      <w:r w:rsidR="009B283B" w:rsidRPr="00CA78BD">
        <w:rPr>
          <w:rFonts w:ascii="Times New Roman" w:hAnsi="Times New Roman" w:cs="Times New Roman"/>
        </w:rPr>
        <w:t>при</w:t>
      </w:r>
      <w:r w:rsidRPr="00CA78BD">
        <w:rPr>
          <w:rFonts w:ascii="Times New Roman" w:hAnsi="Times New Roman" w:cs="Times New Roman"/>
        </w:rPr>
        <w:t xml:space="preserve"> </w:t>
      </w:r>
      <w:r w:rsidR="009B283B" w:rsidRPr="00CA78BD">
        <w:rPr>
          <w:rFonts w:ascii="Times New Roman" w:hAnsi="Times New Roman" w:cs="Times New Roman"/>
        </w:rPr>
        <w:t>этом</w:t>
      </w:r>
      <w:r w:rsidRPr="00CA78BD">
        <w:rPr>
          <w:rFonts w:ascii="Times New Roman" w:hAnsi="Times New Roman" w:cs="Times New Roman"/>
        </w:rPr>
        <w:t xml:space="preserve"> </w:t>
      </w:r>
      <w:r w:rsidR="009B283B" w:rsidRPr="00CA78BD">
        <w:rPr>
          <w:rFonts w:ascii="Times New Roman" w:hAnsi="Times New Roman" w:cs="Times New Roman"/>
        </w:rPr>
        <w:t>не</w:t>
      </w:r>
      <w:r w:rsidRPr="00CA78BD">
        <w:rPr>
          <w:rFonts w:ascii="Times New Roman" w:hAnsi="Times New Roman" w:cs="Times New Roman"/>
        </w:rPr>
        <w:t xml:space="preserve"> </w:t>
      </w:r>
      <w:r w:rsidR="009B283B" w:rsidRPr="00CA78BD">
        <w:rPr>
          <w:rFonts w:ascii="Times New Roman" w:hAnsi="Times New Roman" w:cs="Times New Roman"/>
        </w:rPr>
        <w:t>превышает</w:t>
      </w:r>
      <w:r w:rsidRPr="00CA78BD">
        <w:rPr>
          <w:rFonts w:ascii="Times New Roman" w:hAnsi="Times New Roman" w:cs="Times New Roman"/>
        </w:rPr>
        <w:t xml:space="preserve"> </w:t>
      </w:r>
      <w:r w:rsidRPr="00CA78BD">
        <w:rPr>
          <w:rFonts w:ascii="Times New Roman" w:hAnsi="Times New Roman" w:cs="Times New Roman"/>
          <w:b/>
          <w:bCs/>
          <w:i/>
          <w:iCs/>
        </w:rPr>
        <w:t>3</w:t>
      </w:r>
      <w:r w:rsidRPr="00CA78BD">
        <w:rPr>
          <w:rFonts w:ascii="Times New Roman" w:hAnsi="Times New Roman" w:cs="Times New Roman"/>
        </w:rPr>
        <w:t xml:space="preserve">. Лидером по количеству сотрудников является </w:t>
      </w:r>
      <w:r w:rsidRPr="00CA78BD">
        <w:rPr>
          <w:rFonts w:ascii="Times New Roman" w:hAnsi="Times New Roman" w:cs="Times New Roman"/>
          <w:b/>
          <w:bCs/>
          <w:i/>
          <w:iCs/>
          <w:lang w:val="en-US"/>
        </w:rPr>
        <w:t>C</w:t>
      </w:r>
      <w:proofErr w:type="spellStart"/>
      <w:r w:rsidRPr="00CA78BD">
        <w:rPr>
          <w:rFonts w:ascii="Times New Roman" w:hAnsi="Times New Roman" w:cs="Times New Roman"/>
          <w:b/>
          <w:bCs/>
          <w:i/>
          <w:iCs/>
        </w:rPr>
        <w:t>onfederation</w:t>
      </w:r>
      <w:proofErr w:type="spellEnd"/>
      <w:r w:rsidRPr="00CA78BD">
        <w:rPr>
          <w:rFonts w:ascii="Times New Roman" w:hAnsi="Times New Roman" w:cs="Times New Roman"/>
          <w:b/>
          <w:bCs/>
          <w:i/>
          <w:iCs/>
        </w:rPr>
        <w:t xml:space="preserve"> </w:t>
      </w:r>
      <w:r w:rsidRPr="00CA78BD">
        <w:rPr>
          <w:rFonts w:ascii="Times New Roman" w:hAnsi="Times New Roman" w:cs="Times New Roman"/>
          <w:b/>
          <w:bCs/>
          <w:i/>
          <w:iCs/>
          <w:lang w:val="en-US"/>
        </w:rPr>
        <w:t>of</w:t>
      </w:r>
      <w:r w:rsidRPr="00CA78BD">
        <w:rPr>
          <w:rFonts w:ascii="Times New Roman" w:hAnsi="Times New Roman" w:cs="Times New Roman"/>
          <w:b/>
          <w:bCs/>
          <w:i/>
          <w:iCs/>
        </w:rPr>
        <w:t xml:space="preserve"> British </w:t>
      </w:r>
      <w:r w:rsidRPr="00CA78BD">
        <w:rPr>
          <w:rFonts w:ascii="Times New Roman" w:hAnsi="Times New Roman" w:cs="Times New Roman"/>
          <w:b/>
          <w:bCs/>
          <w:i/>
          <w:iCs/>
          <w:lang w:val="en-US"/>
        </w:rPr>
        <w:t>Industry</w:t>
      </w:r>
      <w:r w:rsidRPr="00CA78BD">
        <w:rPr>
          <w:rFonts w:ascii="Times New Roman" w:hAnsi="Times New Roman" w:cs="Times New Roman"/>
        </w:rPr>
        <w:t xml:space="preserve">, которая задействует в институтах Евросоюза </w:t>
      </w:r>
      <w:r w:rsidRPr="00CA78BD">
        <w:rPr>
          <w:rFonts w:ascii="Times New Roman" w:hAnsi="Times New Roman" w:cs="Times New Roman"/>
          <w:b/>
          <w:bCs/>
          <w:i/>
          <w:iCs/>
        </w:rPr>
        <w:t>30</w:t>
      </w:r>
      <w:r w:rsidRPr="00CA78BD">
        <w:rPr>
          <w:rFonts w:ascii="Times New Roman" w:hAnsi="Times New Roman" w:cs="Times New Roman"/>
        </w:rPr>
        <w:t xml:space="preserve"> человек. Среднее количество лоббистов при этом будет </w:t>
      </w:r>
      <w:r w:rsidRPr="00CA78BD">
        <w:rPr>
          <w:rFonts w:ascii="Times New Roman" w:hAnsi="Times New Roman" w:cs="Times New Roman"/>
          <w:b/>
          <w:bCs/>
          <w:i/>
          <w:iCs/>
        </w:rPr>
        <w:t>14</w:t>
      </w:r>
      <w:r w:rsidRPr="00CA78BD">
        <w:rPr>
          <w:rFonts w:ascii="Times New Roman" w:hAnsi="Times New Roman" w:cs="Times New Roman"/>
        </w:rPr>
        <w:t xml:space="preserve"> человек, и ни один из сотрудников не имеет пропуск в Европарламент. Сумма затрат среди </w:t>
      </w:r>
      <w:proofErr w:type="spellStart"/>
      <w:r w:rsidRPr="00CA78BD">
        <w:rPr>
          <w:rFonts w:ascii="Times New Roman" w:hAnsi="Times New Roman" w:cs="Times New Roman"/>
        </w:rPr>
        <w:t>проэкологических</w:t>
      </w:r>
      <w:proofErr w:type="spellEnd"/>
      <w:r w:rsidRPr="00CA78BD">
        <w:rPr>
          <w:rFonts w:ascii="Times New Roman" w:hAnsi="Times New Roman" w:cs="Times New Roman"/>
        </w:rPr>
        <w:t xml:space="preserve"> ассоциаций начинается от </w:t>
      </w:r>
      <w:r w:rsidRPr="00CA78BD">
        <w:rPr>
          <w:rFonts w:ascii="Times New Roman" w:hAnsi="Times New Roman" w:cs="Times New Roman"/>
          <w:b/>
          <w:bCs/>
          <w:i/>
          <w:iCs/>
        </w:rPr>
        <w:t xml:space="preserve">200 000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rPr>
        <w:t xml:space="preserve"> (</w:t>
      </w:r>
      <w:r w:rsidRPr="00CA78BD">
        <w:rPr>
          <w:rFonts w:ascii="Times New Roman" w:hAnsi="Times New Roman" w:cs="Times New Roman"/>
          <w:b/>
          <w:bCs/>
          <w:i/>
          <w:iCs/>
          <w:lang w:val="en-US"/>
        </w:rPr>
        <w:t>Ocean</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Energy</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Europe</w:t>
      </w:r>
      <w:r w:rsidRPr="00CA78BD">
        <w:rPr>
          <w:rFonts w:ascii="Times New Roman" w:hAnsi="Times New Roman" w:cs="Times New Roman"/>
        </w:rPr>
        <w:t xml:space="preserve">) и заканчивается </w:t>
      </w:r>
      <w:r w:rsidRPr="00CA78BD">
        <w:rPr>
          <w:rFonts w:ascii="Times New Roman" w:hAnsi="Times New Roman" w:cs="Times New Roman"/>
          <w:b/>
          <w:bCs/>
          <w:i/>
          <w:iCs/>
        </w:rPr>
        <w:t xml:space="preserve">1 249 999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rPr>
        <w:t xml:space="preserve"> (</w:t>
      </w:r>
      <w:r w:rsidRPr="00CA78BD">
        <w:rPr>
          <w:rFonts w:ascii="Times New Roman" w:hAnsi="Times New Roman" w:cs="Times New Roman"/>
          <w:b/>
          <w:bCs/>
          <w:i/>
          <w:iCs/>
          <w:lang w:val="en-US"/>
        </w:rPr>
        <w:t>Wind</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Europe</w:t>
      </w:r>
      <w:r w:rsidRPr="00CA78BD">
        <w:rPr>
          <w:rFonts w:ascii="Times New Roman" w:hAnsi="Times New Roman" w:cs="Times New Roman"/>
        </w:rPr>
        <w:t xml:space="preserve">). Средняя максимальная сумма достигает </w:t>
      </w:r>
      <w:r w:rsidRPr="00CA78BD">
        <w:rPr>
          <w:rFonts w:ascii="Times New Roman" w:hAnsi="Times New Roman" w:cs="Times New Roman"/>
          <w:b/>
          <w:bCs/>
          <w:i/>
          <w:iCs/>
        </w:rPr>
        <w:t xml:space="preserve">737 499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rPr>
        <w:t xml:space="preserve">. </w:t>
      </w:r>
    </w:p>
    <w:p w14:paraId="2543CCF6" w14:textId="77777777" w:rsidR="00CA5D6A" w:rsidRPr="00CA78BD" w:rsidRDefault="00BF0787" w:rsidP="0043349E">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tab/>
      </w:r>
      <w:r w:rsidR="0043349E" w:rsidRPr="00CA78BD">
        <w:rPr>
          <w:rFonts w:ascii="Times New Roman" w:hAnsi="Times New Roman" w:cs="Times New Roman"/>
        </w:rPr>
        <w:t>Низкий уровень вовлечённости рассматриваемых ассоциаций может быть связан с тем, что активное использование ВИЭ в Европе началось относительно недавно, и индустрия только начинает свое развитие. Поэтому на сегодняшний день интересы экологического характера в основном продвигают НКО, именно они скорее всего определяют темп климатической политики Европейского Союза. Они превосходят других субъектов в количестве прямых контактов с представителями власти и экспертных групп, в которых принимают участие</w:t>
      </w:r>
      <w:r w:rsidRPr="00CA78BD">
        <w:rPr>
          <w:rFonts w:ascii="Times New Roman" w:hAnsi="Times New Roman" w:cs="Times New Roman"/>
        </w:rPr>
        <w:t>.</w:t>
      </w:r>
      <w:r w:rsidR="0043349E" w:rsidRPr="00CA78BD">
        <w:rPr>
          <w:rFonts w:ascii="Times New Roman" w:hAnsi="Times New Roman" w:cs="Times New Roman"/>
        </w:rPr>
        <w:t xml:space="preserve"> </w:t>
      </w:r>
      <w:r w:rsidRPr="00CA78BD">
        <w:rPr>
          <w:rFonts w:ascii="Times New Roman" w:hAnsi="Times New Roman" w:cs="Times New Roman"/>
        </w:rPr>
        <w:t>Р</w:t>
      </w:r>
      <w:r w:rsidR="0043349E" w:rsidRPr="00CA78BD">
        <w:rPr>
          <w:rFonts w:ascii="Times New Roman" w:hAnsi="Times New Roman" w:cs="Times New Roman"/>
        </w:rPr>
        <w:t>асходы на лоббизм у НКО также оказались больше</w:t>
      </w:r>
      <w:r w:rsidRPr="00CA78BD">
        <w:rPr>
          <w:rFonts w:ascii="Times New Roman" w:hAnsi="Times New Roman" w:cs="Times New Roman"/>
        </w:rPr>
        <w:t xml:space="preserve">, чем у отдельных </w:t>
      </w:r>
      <w:proofErr w:type="spellStart"/>
      <w:r w:rsidRPr="00CA78BD">
        <w:rPr>
          <w:rFonts w:ascii="Times New Roman" w:hAnsi="Times New Roman" w:cs="Times New Roman"/>
        </w:rPr>
        <w:t>проэкологических</w:t>
      </w:r>
      <w:proofErr w:type="spellEnd"/>
      <w:r w:rsidRPr="00CA78BD">
        <w:rPr>
          <w:rFonts w:ascii="Times New Roman" w:hAnsi="Times New Roman" w:cs="Times New Roman"/>
        </w:rPr>
        <w:t xml:space="preserve"> компаний и ассоциаций. </w:t>
      </w:r>
    </w:p>
    <w:p w14:paraId="351AC904" w14:textId="77777777" w:rsidR="00C95A49" w:rsidRPr="00CA78BD" w:rsidRDefault="00C95A49" w:rsidP="0043349E">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p>
    <w:p w14:paraId="5F9E7B83" w14:textId="77777777" w:rsidR="005F529A" w:rsidRPr="00CA78BD" w:rsidRDefault="00E50441" w:rsidP="00E50441">
      <w:pPr>
        <w:pStyle w:val="2"/>
        <w:rPr>
          <w:rFonts w:ascii="Times New Roman" w:hAnsi="Times New Roman" w:cs="Times New Roman"/>
          <w:b/>
          <w:sz w:val="24"/>
          <w:szCs w:val="24"/>
        </w:rPr>
      </w:pPr>
      <w:r w:rsidRPr="00CA78BD">
        <w:rPr>
          <w:rFonts w:ascii="Times New Roman" w:hAnsi="Times New Roman" w:cs="Times New Roman"/>
        </w:rPr>
        <w:tab/>
      </w:r>
      <w:bookmarkStart w:id="8" w:name="_Toc72956535"/>
      <w:r w:rsidRPr="00CA78BD">
        <w:rPr>
          <w:rFonts w:ascii="Times New Roman" w:hAnsi="Times New Roman" w:cs="Times New Roman"/>
          <w:b/>
          <w:color w:val="000000" w:themeColor="text1"/>
          <w:sz w:val="24"/>
          <w:szCs w:val="24"/>
        </w:rPr>
        <w:t xml:space="preserve">2.2 </w:t>
      </w:r>
      <w:r w:rsidR="005F529A" w:rsidRPr="00CA78BD">
        <w:rPr>
          <w:rFonts w:ascii="Times New Roman" w:hAnsi="Times New Roman" w:cs="Times New Roman"/>
          <w:b/>
          <w:color w:val="000000" w:themeColor="text1"/>
          <w:sz w:val="24"/>
          <w:szCs w:val="24"/>
        </w:rPr>
        <w:t>Коммерческие организации и ассоциации бизнеса</w:t>
      </w:r>
      <w:bookmarkEnd w:id="8"/>
    </w:p>
    <w:p w14:paraId="5DF5415B" w14:textId="77777777" w:rsidR="005F529A" w:rsidRPr="00CA78BD" w:rsidRDefault="005F529A" w:rsidP="005F529A">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cs="Times New Roman"/>
          <w:bCs/>
          <w:iCs/>
        </w:rPr>
      </w:pPr>
      <w:r w:rsidRPr="00CA78BD">
        <w:rPr>
          <w:rFonts w:ascii="Times New Roman" w:hAnsi="Times New Roman" w:cs="Times New Roman"/>
          <w:bCs/>
          <w:iCs/>
        </w:rPr>
        <w:tab/>
      </w:r>
    </w:p>
    <w:p w14:paraId="24D92810" w14:textId="77777777" w:rsidR="00D843A4" w:rsidRPr="00CA78BD" w:rsidRDefault="005F529A" w:rsidP="00D843A4">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bCs/>
          <w:iCs/>
        </w:rPr>
        <w:tab/>
      </w:r>
      <w:r w:rsidR="00D843A4" w:rsidRPr="00CA78BD">
        <w:rPr>
          <w:rFonts w:ascii="Times New Roman" w:hAnsi="Times New Roman" w:cs="Times New Roman"/>
        </w:rPr>
        <w:t xml:space="preserve">Чтобы оценить перспективы НКО и других субъектов, выступающих «за» решительную климатическую политику, необходимо принять во внимание масштаб противодействия рассматриваемой политике. На своём сайте </w:t>
      </w:r>
      <w:proofErr w:type="spellStart"/>
      <w:r w:rsidR="00D843A4" w:rsidRPr="00CA78BD">
        <w:rPr>
          <w:rFonts w:ascii="Times New Roman" w:hAnsi="Times New Roman" w:cs="Times New Roman"/>
          <w:b/>
          <w:bCs/>
          <w:i/>
          <w:iCs/>
          <w:lang w:val="en-US"/>
        </w:rPr>
        <w:t>InfluenceMap</w:t>
      </w:r>
      <w:proofErr w:type="spellEnd"/>
      <w:r w:rsidR="00D843A4" w:rsidRPr="00CA78BD">
        <w:rPr>
          <w:rFonts w:ascii="Times New Roman" w:hAnsi="Times New Roman" w:cs="Times New Roman"/>
          <w:b/>
          <w:bCs/>
          <w:i/>
          <w:iCs/>
        </w:rPr>
        <w:t xml:space="preserve"> </w:t>
      </w:r>
      <w:r w:rsidR="00D843A4" w:rsidRPr="00CA78BD">
        <w:rPr>
          <w:rFonts w:ascii="Times New Roman" w:hAnsi="Times New Roman" w:cs="Times New Roman"/>
        </w:rPr>
        <w:t xml:space="preserve">также </w:t>
      </w:r>
      <w:r w:rsidR="00D843A4" w:rsidRPr="00CA78BD">
        <w:rPr>
          <w:rFonts w:ascii="Times New Roman" w:hAnsi="Times New Roman" w:cs="Times New Roman"/>
        </w:rPr>
        <w:lastRenderedPageBreak/>
        <w:t xml:space="preserve">предлагает ознакомиться с отчётом под названием </w:t>
      </w:r>
      <w:r w:rsidR="00D843A4" w:rsidRPr="00CA78BD">
        <w:rPr>
          <w:rFonts w:ascii="Times New Roman" w:hAnsi="Times New Roman" w:cs="Times New Roman"/>
          <w:i/>
          <w:iCs/>
        </w:rPr>
        <w:t>«</w:t>
      </w:r>
      <w:r w:rsidR="00D843A4" w:rsidRPr="00CA78BD">
        <w:rPr>
          <w:rFonts w:ascii="Times New Roman" w:hAnsi="Times New Roman" w:cs="Times New Roman"/>
          <w:i/>
          <w:iCs/>
          <w:lang w:val="en-US"/>
        </w:rPr>
        <w:t>The</w:t>
      </w:r>
      <w:r w:rsidR="00D843A4" w:rsidRPr="00CA78BD">
        <w:rPr>
          <w:rFonts w:ascii="Times New Roman" w:hAnsi="Times New Roman" w:cs="Times New Roman"/>
          <w:i/>
          <w:iCs/>
        </w:rPr>
        <w:t xml:space="preserve"> </w:t>
      </w:r>
      <w:r w:rsidR="00D843A4" w:rsidRPr="00CA78BD">
        <w:rPr>
          <w:rFonts w:ascii="Times New Roman" w:hAnsi="Times New Roman" w:cs="Times New Roman"/>
          <w:i/>
          <w:iCs/>
          <w:lang w:val="en-US"/>
        </w:rPr>
        <w:t>Carbon</w:t>
      </w:r>
      <w:r w:rsidR="00D843A4" w:rsidRPr="00CA78BD">
        <w:rPr>
          <w:rFonts w:ascii="Times New Roman" w:hAnsi="Times New Roman" w:cs="Times New Roman"/>
          <w:i/>
          <w:iCs/>
        </w:rPr>
        <w:t xml:space="preserve"> </w:t>
      </w:r>
      <w:r w:rsidR="00D843A4" w:rsidRPr="00CA78BD">
        <w:rPr>
          <w:rFonts w:ascii="Times New Roman" w:hAnsi="Times New Roman" w:cs="Times New Roman"/>
          <w:i/>
          <w:iCs/>
          <w:lang w:val="en-US"/>
        </w:rPr>
        <w:t>Policy</w:t>
      </w:r>
      <w:r w:rsidR="00D843A4" w:rsidRPr="00CA78BD">
        <w:rPr>
          <w:rFonts w:ascii="Times New Roman" w:hAnsi="Times New Roman" w:cs="Times New Roman"/>
          <w:i/>
          <w:iCs/>
        </w:rPr>
        <w:t xml:space="preserve"> </w:t>
      </w:r>
      <w:r w:rsidR="00D843A4" w:rsidRPr="00CA78BD">
        <w:rPr>
          <w:rFonts w:ascii="Times New Roman" w:hAnsi="Times New Roman" w:cs="Times New Roman"/>
          <w:i/>
          <w:iCs/>
          <w:lang w:val="en-US"/>
        </w:rPr>
        <w:t>Footprint</w:t>
      </w:r>
      <w:r w:rsidR="00D843A4" w:rsidRPr="00CA78BD">
        <w:rPr>
          <w:rFonts w:ascii="Times New Roman" w:hAnsi="Times New Roman" w:cs="Times New Roman"/>
          <w:i/>
          <w:iCs/>
        </w:rPr>
        <w:t>»</w:t>
      </w:r>
      <w:r w:rsidR="00D843A4" w:rsidRPr="00CA78BD">
        <w:rPr>
          <w:rFonts w:ascii="Times New Roman" w:eastAsia="Times New Roman" w:hAnsi="Times New Roman" w:cs="Times New Roman"/>
          <w:i/>
          <w:iCs/>
          <w:vertAlign w:val="superscript"/>
        </w:rPr>
        <w:footnoteReference w:id="50"/>
      </w:r>
      <w:r w:rsidR="00D843A4" w:rsidRPr="00CA78BD">
        <w:rPr>
          <w:rFonts w:ascii="Times New Roman" w:hAnsi="Times New Roman" w:cs="Times New Roman"/>
          <w:i/>
          <w:iCs/>
        </w:rPr>
        <w:t xml:space="preserve"> </w:t>
      </w:r>
      <w:r w:rsidR="00D843A4" w:rsidRPr="00CA78BD">
        <w:rPr>
          <w:rFonts w:ascii="Times New Roman" w:hAnsi="Times New Roman" w:cs="Times New Roman"/>
        </w:rPr>
        <w:t>2017 г</w:t>
      </w:r>
      <w:r w:rsidR="00D843A4" w:rsidRPr="00CA78BD">
        <w:rPr>
          <w:rFonts w:ascii="Times New Roman" w:hAnsi="Times New Roman" w:cs="Times New Roman"/>
          <w:i/>
          <w:iCs/>
        </w:rPr>
        <w:t>.</w:t>
      </w:r>
      <w:r w:rsidR="00D843A4" w:rsidRPr="00CA78BD">
        <w:rPr>
          <w:rFonts w:ascii="Times New Roman" w:hAnsi="Times New Roman" w:cs="Times New Roman"/>
        </w:rPr>
        <w:t>, в котором представлены 50 самых влиятельных компаний, лоббирующих как за решительную климатическую политику, так и против неё. Определение политического влияния проводилось в соответствии с Руководством ООН по ответственному корпоративному участию в климатической политике («</w:t>
      </w:r>
      <w:r w:rsidR="00D843A4" w:rsidRPr="00CA78BD">
        <w:rPr>
          <w:rFonts w:ascii="Times New Roman" w:hAnsi="Times New Roman" w:cs="Times New Roman"/>
          <w:lang w:val="en-US"/>
        </w:rPr>
        <w:t>The</w:t>
      </w:r>
      <w:r w:rsidR="00D843A4" w:rsidRPr="00CA78BD">
        <w:rPr>
          <w:rFonts w:ascii="Times New Roman" w:hAnsi="Times New Roman" w:cs="Times New Roman"/>
        </w:rPr>
        <w:t xml:space="preserve"> </w:t>
      </w:r>
      <w:r w:rsidR="00D843A4" w:rsidRPr="00CA78BD">
        <w:rPr>
          <w:rFonts w:ascii="Times New Roman" w:hAnsi="Times New Roman" w:cs="Times New Roman"/>
          <w:lang w:val="en-US"/>
        </w:rPr>
        <w:t>Guide</w:t>
      </w:r>
      <w:r w:rsidR="00D843A4" w:rsidRPr="00CA78BD">
        <w:rPr>
          <w:rFonts w:ascii="Times New Roman" w:hAnsi="Times New Roman" w:cs="Times New Roman"/>
        </w:rPr>
        <w:t xml:space="preserve"> </w:t>
      </w:r>
      <w:r w:rsidR="00D843A4" w:rsidRPr="00CA78BD">
        <w:rPr>
          <w:rFonts w:ascii="Times New Roman" w:hAnsi="Times New Roman" w:cs="Times New Roman"/>
          <w:lang w:val="en-US"/>
        </w:rPr>
        <w:t>to</w:t>
      </w:r>
      <w:r w:rsidR="00D843A4" w:rsidRPr="00CA78BD">
        <w:rPr>
          <w:rFonts w:ascii="Times New Roman" w:hAnsi="Times New Roman" w:cs="Times New Roman"/>
        </w:rPr>
        <w:t xml:space="preserve"> </w:t>
      </w:r>
      <w:r w:rsidR="00D843A4" w:rsidRPr="00CA78BD">
        <w:rPr>
          <w:rFonts w:ascii="Times New Roman" w:hAnsi="Times New Roman" w:cs="Times New Roman"/>
          <w:lang w:val="en-US"/>
        </w:rPr>
        <w:t>Responsible</w:t>
      </w:r>
      <w:r w:rsidR="00D843A4" w:rsidRPr="00CA78BD">
        <w:rPr>
          <w:rFonts w:ascii="Times New Roman" w:hAnsi="Times New Roman" w:cs="Times New Roman"/>
        </w:rPr>
        <w:t xml:space="preserve"> </w:t>
      </w:r>
      <w:r w:rsidR="00D843A4" w:rsidRPr="00CA78BD">
        <w:rPr>
          <w:rFonts w:ascii="Times New Roman" w:hAnsi="Times New Roman" w:cs="Times New Roman"/>
          <w:lang w:val="en-US"/>
        </w:rPr>
        <w:t>Corporate</w:t>
      </w:r>
      <w:r w:rsidR="00D843A4" w:rsidRPr="00CA78BD">
        <w:rPr>
          <w:rFonts w:ascii="Times New Roman" w:hAnsi="Times New Roman" w:cs="Times New Roman"/>
        </w:rPr>
        <w:t xml:space="preserve"> </w:t>
      </w:r>
      <w:r w:rsidR="00D843A4" w:rsidRPr="00CA78BD">
        <w:rPr>
          <w:rFonts w:ascii="Times New Roman" w:hAnsi="Times New Roman" w:cs="Times New Roman"/>
          <w:lang w:val="en-US"/>
        </w:rPr>
        <w:t>Engagement</w:t>
      </w:r>
      <w:r w:rsidR="00D843A4" w:rsidRPr="00CA78BD">
        <w:rPr>
          <w:rFonts w:ascii="Times New Roman" w:hAnsi="Times New Roman" w:cs="Times New Roman"/>
        </w:rPr>
        <w:t xml:space="preserve"> </w:t>
      </w:r>
      <w:r w:rsidR="00D843A4" w:rsidRPr="00CA78BD">
        <w:rPr>
          <w:rFonts w:ascii="Times New Roman" w:hAnsi="Times New Roman" w:cs="Times New Roman"/>
          <w:lang w:val="en-US"/>
        </w:rPr>
        <w:t>with</w:t>
      </w:r>
      <w:r w:rsidR="00D843A4" w:rsidRPr="00CA78BD">
        <w:rPr>
          <w:rFonts w:ascii="Times New Roman" w:hAnsi="Times New Roman" w:cs="Times New Roman"/>
        </w:rPr>
        <w:t xml:space="preserve"> </w:t>
      </w:r>
      <w:r w:rsidR="00D843A4" w:rsidRPr="00CA78BD">
        <w:rPr>
          <w:rFonts w:ascii="Times New Roman" w:hAnsi="Times New Roman" w:cs="Times New Roman"/>
          <w:lang w:val="en-US"/>
        </w:rPr>
        <w:t>Climate</w:t>
      </w:r>
      <w:r w:rsidR="00D843A4" w:rsidRPr="00CA78BD">
        <w:rPr>
          <w:rFonts w:ascii="Times New Roman" w:hAnsi="Times New Roman" w:cs="Times New Roman"/>
        </w:rPr>
        <w:t xml:space="preserve"> </w:t>
      </w:r>
      <w:r w:rsidR="00D843A4" w:rsidRPr="00CA78BD">
        <w:rPr>
          <w:rFonts w:ascii="Times New Roman" w:hAnsi="Times New Roman" w:cs="Times New Roman"/>
          <w:lang w:val="en-US"/>
        </w:rPr>
        <w:t>Policy</w:t>
      </w:r>
      <w:r w:rsidR="00D843A4" w:rsidRPr="00CA78BD">
        <w:rPr>
          <w:rFonts w:ascii="Times New Roman" w:hAnsi="Times New Roman" w:cs="Times New Roman"/>
        </w:rPr>
        <w:t>»)</w:t>
      </w:r>
      <w:r w:rsidR="00D843A4" w:rsidRPr="00CA78BD">
        <w:rPr>
          <w:rFonts w:ascii="Times New Roman" w:eastAsia="Times New Roman" w:hAnsi="Times New Roman" w:cs="Times New Roman"/>
          <w:vertAlign w:val="superscript"/>
        </w:rPr>
        <w:footnoteReference w:id="51"/>
      </w:r>
      <w:r w:rsidR="00D843A4" w:rsidRPr="00CA78BD">
        <w:rPr>
          <w:rFonts w:ascii="Times New Roman" w:hAnsi="Times New Roman" w:cs="Times New Roman"/>
        </w:rPr>
        <w:t>, опубликованном в 2013 г. рядом агентств ООН и ведущих НКО. Руководство предписывает учитывать при оценке влияния корпораций не только деятельность, непосредственно связанную с лоббизмом, но и воздействие на общественный дискурс, а именно финансирование научных исследований на тему климата и энергетики, связи с общественностью, распространение рекламы. Таким образом в отчёте принималось во внимание 3 критерия: поддержка или препятствие проведению в жизнь мер, предписанных в Парижском соглашении 2015 г. и предлагаемых институтами Евросоюза или странами-членами, степень вовлечения в процесс принятия решений и оценка воздействия на общественный дискурс. Анализ активности компаний в торговых ассоциациях также мог повлиять на результат.</w:t>
      </w:r>
    </w:p>
    <w:p w14:paraId="39E2A5C9" w14:textId="77777777" w:rsidR="00BF0787" w:rsidRPr="00CA78BD" w:rsidRDefault="00D843A4" w:rsidP="00D843A4">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tab/>
        <w:t>Всего оценивали деятельность 250 корпораций, из которых по итогу выбрали 50 самых политически активных. Перевес оказался на стороне крупного бизнеса, препятствующего достижению целей, прописанных в Парижском соглашении</w:t>
      </w:r>
      <w:r w:rsidR="00BF0787" w:rsidRPr="00CA78BD">
        <w:rPr>
          <w:rFonts w:ascii="Times New Roman" w:hAnsi="Times New Roman" w:cs="Times New Roman"/>
        </w:rPr>
        <w:t>,</w:t>
      </w:r>
      <w:r w:rsidRPr="00CA78BD">
        <w:rPr>
          <w:rFonts w:ascii="Times New Roman" w:hAnsi="Times New Roman" w:cs="Times New Roman"/>
        </w:rPr>
        <w:t xml:space="preserve"> и </w:t>
      </w:r>
      <w:r w:rsidR="00BF0787" w:rsidRPr="00CA78BD">
        <w:rPr>
          <w:rFonts w:ascii="Times New Roman" w:hAnsi="Times New Roman" w:cs="Times New Roman"/>
        </w:rPr>
        <w:t>инициатив, озвученных</w:t>
      </w:r>
      <w:r w:rsidRPr="00CA78BD">
        <w:rPr>
          <w:rFonts w:ascii="Times New Roman" w:hAnsi="Times New Roman" w:cs="Times New Roman"/>
        </w:rPr>
        <w:t xml:space="preserve"> в Евросоюзе в декабре 2019</w:t>
      </w:r>
      <w:r w:rsidR="00BF0787" w:rsidRPr="00CA78BD">
        <w:rPr>
          <w:rFonts w:ascii="Times New Roman" w:hAnsi="Times New Roman" w:cs="Times New Roman"/>
        </w:rPr>
        <w:t>.</w:t>
      </w:r>
      <w:r w:rsidRPr="00CA78BD">
        <w:rPr>
          <w:rFonts w:ascii="Times New Roman" w:hAnsi="Times New Roman" w:cs="Times New Roman"/>
        </w:rPr>
        <w:t xml:space="preserve"> Согласно проведённому исследованию, против рассматриваемых мер выступает 35 влиятельных компаний, «за» выступает 15, и 200 других занимают нейтральную позицию по вопросам климатической политики</w:t>
      </w:r>
      <w:r w:rsidRPr="00CA78BD">
        <w:rPr>
          <w:rFonts w:ascii="Times New Roman" w:eastAsia="Times New Roman" w:hAnsi="Times New Roman" w:cs="Times New Roman"/>
          <w:vertAlign w:val="superscript"/>
        </w:rPr>
        <w:footnoteReference w:id="52"/>
      </w:r>
      <w:r w:rsidRPr="00CA78BD">
        <w:rPr>
          <w:rFonts w:ascii="Times New Roman" w:hAnsi="Times New Roman" w:cs="Times New Roman"/>
        </w:rPr>
        <w:t xml:space="preserve">. Таким образом, среди компаний, обладающих значительным политическим влиянием, оказалось больше тех, которые выступают против проводимой Евросоюзом климатической политики. </w:t>
      </w:r>
    </w:p>
    <w:p w14:paraId="46FEDDCC" w14:textId="77777777" w:rsidR="00D843A4" w:rsidRPr="00CA78BD" w:rsidRDefault="00BF0787" w:rsidP="00D843A4">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tab/>
      </w:r>
      <w:r w:rsidR="00D843A4" w:rsidRPr="00CA78BD">
        <w:rPr>
          <w:rFonts w:ascii="Times New Roman" w:hAnsi="Times New Roman" w:cs="Times New Roman"/>
        </w:rPr>
        <w:t xml:space="preserve">Помимо внутренних каналов воздействия на власть, они также используют внешние тактики. При защите своих интересов они в основном настаивают на научной неопределенности и экономической неэффективности соответствующих мер в области экологической политики. Позиция, которую они продвигают на </w:t>
      </w:r>
      <w:r w:rsidR="00D843A4" w:rsidRPr="00CA78BD">
        <w:rPr>
          <w:rFonts w:ascii="Times New Roman" w:hAnsi="Times New Roman" w:cs="Times New Roman"/>
        </w:rPr>
        <w:lastRenderedPageBreak/>
        <w:t xml:space="preserve">публике, хорошо прослеживается на примере заявлений высшего руководства компании </w:t>
      </w:r>
      <w:r w:rsidR="00D843A4" w:rsidRPr="00CA78BD">
        <w:rPr>
          <w:rFonts w:ascii="Times New Roman" w:hAnsi="Times New Roman" w:cs="Times New Roman"/>
          <w:b/>
          <w:bCs/>
          <w:i/>
          <w:iCs/>
          <w:lang w:val="en-US"/>
        </w:rPr>
        <w:t>ExxonMobil</w:t>
      </w:r>
      <w:r w:rsidR="00D843A4" w:rsidRPr="00CA78BD">
        <w:rPr>
          <w:rFonts w:ascii="Times New Roman" w:hAnsi="Times New Roman" w:cs="Times New Roman"/>
        </w:rPr>
        <w:t xml:space="preserve">. В конце 1990-х Ли </w:t>
      </w:r>
      <w:proofErr w:type="spellStart"/>
      <w:r w:rsidR="00D843A4" w:rsidRPr="00CA78BD">
        <w:rPr>
          <w:rFonts w:ascii="Times New Roman" w:hAnsi="Times New Roman" w:cs="Times New Roman"/>
        </w:rPr>
        <w:t>Реймонд</w:t>
      </w:r>
      <w:proofErr w:type="spellEnd"/>
      <w:r w:rsidR="00D843A4" w:rsidRPr="00CA78BD">
        <w:rPr>
          <w:rFonts w:ascii="Times New Roman" w:hAnsi="Times New Roman" w:cs="Times New Roman"/>
        </w:rPr>
        <w:t xml:space="preserve">, Генеральный директор </w:t>
      </w:r>
      <w:r w:rsidR="00D843A4" w:rsidRPr="00CA78BD">
        <w:rPr>
          <w:rFonts w:ascii="Times New Roman" w:hAnsi="Times New Roman" w:cs="Times New Roman"/>
          <w:b/>
          <w:bCs/>
          <w:i/>
          <w:iCs/>
          <w:lang w:val="en-US"/>
        </w:rPr>
        <w:t>ExxonMobil</w:t>
      </w:r>
      <w:r w:rsidR="00D843A4" w:rsidRPr="00CA78BD">
        <w:rPr>
          <w:rFonts w:ascii="Times New Roman" w:hAnsi="Times New Roman" w:cs="Times New Roman"/>
        </w:rPr>
        <w:t>, заявлял о неубедительности научных доказательств климатических изменений (</w:t>
      </w:r>
      <w:r w:rsidR="00D843A4" w:rsidRPr="00CA78BD">
        <w:rPr>
          <w:rFonts w:ascii="Times New Roman" w:hAnsi="Times New Roman" w:cs="Times New Roman"/>
          <w:i/>
          <w:iCs/>
        </w:rPr>
        <w:t>«</w:t>
      </w:r>
      <w:r w:rsidR="00D843A4" w:rsidRPr="00CA78BD">
        <w:rPr>
          <w:rFonts w:ascii="Times New Roman" w:hAnsi="Times New Roman" w:cs="Times New Roman"/>
          <w:i/>
          <w:iCs/>
          <w:lang w:val="en-US"/>
        </w:rPr>
        <w:t>the</w:t>
      </w:r>
      <w:r w:rsidR="00D843A4" w:rsidRPr="00CA78BD">
        <w:rPr>
          <w:rFonts w:ascii="Times New Roman" w:hAnsi="Times New Roman" w:cs="Times New Roman"/>
          <w:i/>
          <w:iCs/>
        </w:rPr>
        <w:t xml:space="preserve"> </w:t>
      </w:r>
      <w:r w:rsidR="00D843A4" w:rsidRPr="00CA78BD">
        <w:rPr>
          <w:rFonts w:ascii="Times New Roman" w:hAnsi="Times New Roman" w:cs="Times New Roman"/>
          <w:i/>
          <w:iCs/>
          <w:lang w:val="en-US"/>
        </w:rPr>
        <w:t>scientific</w:t>
      </w:r>
      <w:r w:rsidR="00D843A4" w:rsidRPr="00CA78BD">
        <w:rPr>
          <w:rFonts w:ascii="Times New Roman" w:hAnsi="Times New Roman" w:cs="Times New Roman"/>
          <w:i/>
          <w:iCs/>
        </w:rPr>
        <w:t xml:space="preserve"> </w:t>
      </w:r>
      <w:r w:rsidR="00D843A4" w:rsidRPr="00CA78BD">
        <w:rPr>
          <w:rFonts w:ascii="Times New Roman" w:hAnsi="Times New Roman" w:cs="Times New Roman"/>
          <w:i/>
          <w:iCs/>
          <w:lang w:val="en-US"/>
        </w:rPr>
        <w:t>evidence</w:t>
      </w:r>
      <w:r w:rsidR="00D843A4" w:rsidRPr="00CA78BD">
        <w:rPr>
          <w:rFonts w:ascii="Times New Roman" w:hAnsi="Times New Roman" w:cs="Times New Roman"/>
          <w:i/>
          <w:iCs/>
        </w:rPr>
        <w:t xml:space="preserve"> </w:t>
      </w:r>
      <w:r w:rsidR="00D843A4" w:rsidRPr="00CA78BD">
        <w:rPr>
          <w:rFonts w:ascii="Times New Roman" w:hAnsi="Times New Roman" w:cs="Times New Roman"/>
          <w:i/>
          <w:iCs/>
          <w:lang w:val="en-US"/>
        </w:rPr>
        <w:t>is</w:t>
      </w:r>
      <w:r w:rsidR="00D843A4" w:rsidRPr="00CA78BD">
        <w:rPr>
          <w:rFonts w:ascii="Times New Roman" w:hAnsi="Times New Roman" w:cs="Times New Roman"/>
          <w:i/>
          <w:iCs/>
        </w:rPr>
        <w:t xml:space="preserve"> </w:t>
      </w:r>
      <w:r w:rsidR="00D843A4" w:rsidRPr="00CA78BD">
        <w:rPr>
          <w:rFonts w:ascii="Times New Roman" w:hAnsi="Times New Roman" w:cs="Times New Roman"/>
          <w:i/>
          <w:iCs/>
          <w:lang w:val="en-US"/>
        </w:rPr>
        <w:t>inconclusive</w:t>
      </w:r>
      <w:r w:rsidR="00D843A4" w:rsidRPr="00CA78BD">
        <w:rPr>
          <w:rFonts w:ascii="Times New Roman" w:hAnsi="Times New Roman" w:cs="Times New Roman"/>
          <w:i/>
          <w:iCs/>
        </w:rPr>
        <w:t>»</w:t>
      </w:r>
      <w:r w:rsidR="00D843A4" w:rsidRPr="00CA78BD">
        <w:rPr>
          <w:rFonts w:ascii="Times New Roman" w:hAnsi="Times New Roman" w:cs="Times New Roman"/>
        </w:rPr>
        <w:t>)</w:t>
      </w:r>
      <w:r w:rsidRPr="00CA78BD">
        <w:rPr>
          <w:rStyle w:val="ab"/>
          <w:rFonts w:ascii="Times New Roman" w:hAnsi="Times New Roman" w:cs="Times New Roman"/>
          <w:lang w:val="en-US"/>
        </w:rPr>
        <w:footnoteReference w:id="53"/>
      </w:r>
      <w:r w:rsidR="00D843A4" w:rsidRPr="00CA78BD">
        <w:rPr>
          <w:rFonts w:ascii="Times New Roman" w:hAnsi="Times New Roman" w:cs="Times New Roman"/>
        </w:rPr>
        <w:t>. Подвергнув сомнению научную обоснованность предлагаемых мер, в дальнейшем они стали отрицать необходимость и срочность каких-либо действий по борьбе с неподвластным человеку климатом</w:t>
      </w:r>
      <w:r w:rsidR="00D843A4" w:rsidRPr="00CA78BD">
        <w:rPr>
          <w:rFonts w:ascii="Times New Roman" w:eastAsia="Times New Roman" w:hAnsi="Times New Roman" w:cs="Times New Roman"/>
          <w:vertAlign w:val="superscript"/>
        </w:rPr>
        <w:footnoteReference w:id="54"/>
      </w:r>
      <w:r w:rsidR="00D843A4" w:rsidRPr="00CA78BD">
        <w:rPr>
          <w:rFonts w:ascii="Times New Roman" w:hAnsi="Times New Roman" w:cs="Times New Roman"/>
        </w:rPr>
        <w:t xml:space="preserve">. Дорогостоящие для </w:t>
      </w:r>
      <w:r w:rsidR="00D843A4" w:rsidRPr="00CA78BD">
        <w:rPr>
          <w:rFonts w:ascii="Times New Roman" w:hAnsi="Times New Roman" w:cs="Times New Roman"/>
          <w:b/>
          <w:bCs/>
          <w:i/>
          <w:iCs/>
          <w:lang w:val="en-US"/>
        </w:rPr>
        <w:t>ExxonMobil</w:t>
      </w:r>
      <w:r w:rsidR="00D843A4" w:rsidRPr="00CA78BD">
        <w:rPr>
          <w:rFonts w:ascii="Times New Roman" w:hAnsi="Times New Roman" w:cs="Times New Roman"/>
          <w:b/>
          <w:bCs/>
          <w:i/>
          <w:iCs/>
        </w:rPr>
        <w:t xml:space="preserve"> </w:t>
      </w:r>
      <w:r w:rsidR="00D843A4" w:rsidRPr="00CA78BD">
        <w:rPr>
          <w:rFonts w:ascii="Times New Roman" w:hAnsi="Times New Roman" w:cs="Times New Roman"/>
        </w:rPr>
        <w:t xml:space="preserve">ограничения они считают излишними и отнюдь не необходимыми, это официальная позиция компании, транслируемая на широкую аудиторию. </w:t>
      </w:r>
    </w:p>
    <w:p w14:paraId="3A8FA36A" w14:textId="77777777" w:rsidR="00920D5B" w:rsidRPr="00CA78BD" w:rsidRDefault="00920D5B" w:rsidP="00920D5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tab/>
        <w:t>В «антирейтинг» влиятельных компаний попали в основном представители нефтегазового сектора (</w:t>
      </w:r>
      <w:r w:rsidRPr="00CA78BD">
        <w:rPr>
          <w:rFonts w:ascii="Times New Roman" w:hAnsi="Times New Roman" w:cs="Times New Roman"/>
          <w:b/>
          <w:bCs/>
          <w:i/>
          <w:iCs/>
          <w:lang w:val="en-US"/>
        </w:rPr>
        <w:t>ExxonMobil</w:t>
      </w:r>
      <w:r w:rsidRPr="00CA78BD">
        <w:rPr>
          <w:rFonts w:ascii="Times New Roman" w:hAnsi="Times New Roman" w:cs="Times New Roman"/>
          <w:b/>
          <w:bCs/>
          <w:i/>
          <w:iCs/>
        </w:rPr>
        <w:t xml:space="preserve">, Chevron, </w:t>
      </w:r>
      <w:r w:rsidRPr="00CA78BD">
        <w:rPr>
          <w:rFonts w:ascii="Times New Roman" w:hAnsi="Times New Roman" w:cs="Times New Roman"/>
          <w:b/>
          <w:bCs/>
          <w:i/>
          <w:iCs/>
          <w:lang w:val="en-US"/>
        </w:rPr>
        <w:t>BP</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Shell</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Total</w:t>
      </w:r>
      <w:r w:rsidRPr="00CA78BD">
        <w:rPr>
          <w:rFonts w:ascii="Times New Roman" w:hAnsi="Times New Roman" w:cs="Times New Roman"/>
        </w:rPr>
        <w:t>) и автомобильной промышленности (</w:t>
      </w:r>
      <w:r w:rsidRPr="00CA78BD">
        <w:rPr>
          <w:rFonts w:ascii="Times New Roman" w:hAnsi="Times New Roman" w:cs="Times New Roman"/>
          <w:b/>
          <w:bCs/>
          <w:i/>
          <w:iCs/>
          <w:lang w:val="en-US"/>
        </w:rPr>
        <w:t>Ford</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BMW</w:t>
      </w:r>
      <w:r w:rsidRPr="00CA78BD">
        <w:rPr>
          <w:rFonts w:ascii="Times New Roman" w:hAnsi="Times New Roman" w:cs="Times New Roman"/>
          <w:b/>
          <w:bCs/>
          <w:i/>
          <w:iCs/>
        </w:rPr>
        <w:t>, R</w:t>
      </w:r>
      <w:proofErr w:type="spellStart"/>
      <w:r w:rsidRPr="00CA78BD">
        <w:rPr>
          <w:rFonts w:ascii="Times New Roman" w:hAnsi="Times New Roman" w:cs="Times New Roman"/>
          <w:b/>
          <w:bCs/>
          <w:i/>
          <w:iCs/>
          <w:lang w:val="en-US"/>
        </w:rPr>
        <w:t>enault</w:t>
      </w:r>
      <w:proofErr w:type="spellEnd"/>
      <w:r w:rsidRPr="00CA78BD">
        <w:rPr>
          <w:rFonts w:ascii="Times New Roman" w:hAnsi="Times New Roman" w:cs="Times New Roman"/>
          <w:b/>
          <w:bCs/>
          <w:i/>
          <w:iCs/>
        </w:rPr>
        <w:t>, Daimler</w:t>
      </w:r>
      <w:r w:rsidRPr="00CA78BD">
        <w:rPr>
          <w:rFonts w:ascii="Times New Roman" w:hAnsi="Times New Roman" w:cs="Times New Roman"/>
        </w:rPr>
        <w:t>). Также среди них встретились производители строительных материалов (</w:t>
      </w:r>
      <w:r w:rsidRPr="00CA78BD">
        <w:rPr>
          <w:rFonts w:ascii="Times New Roman" w:hAnsi="Times New Roman" w:cs="Times New Roman"/>
          <w:b/>
          <w:bCs/>
          <w:i/>
          <w:iCs/>
          <w:lang w:val="de-DE"/>
        </w:rPr>
        <w:t>HeidelbergCement</w:t>
      </w:r>
      <w:r w:rsidRPr="00CA78BD">
        <w:rPr>
          <w:rFonts w:ascii="Times New Roman" w:hAnsi="Times New Roman" w:cs="Times New Roman"/>
        </w:rPr>
        <w:t>), строительной и горнодобывающей техники (</w:t>
      </w:r>
      <w:r w:rsidRPr="00CA78BD">
        <w:rPr>
          <w:rFonts w:ascii="Times New Roman" w:hAnsi="Times New Roman" w:cs="Times New Roman"/>
          <w:b/>
          <w:bCs/>
          <w:i/>
          <w:iCs/>
          <w:lang w:val="es-ES_tradnl"/>
        </w:rPr>
        <w:t>Caterpillar</w:t>
      </w:r>
      <w:r w:rsidRPr="00CA78BD">
        <w:rPr>
          <w:rFonts w:ascii="Times New Roman" w:hAnsi="Times New Roman" w:cs="Times New Roman"/>
        </w:rPr>
        <w:t>), представители химической (</w:t>
      </w:r>
      <w:r w:rsidRPr="00CA78BD">
        <w:rPr>
          <w:rFonts w:ascii="Times New Roman" w:hAnsi="Times New Roman" w:cs="Times New Roman"/>
          <w:b/>
          <w:bCs/>
          <w:i/>
          <w:iCs/>
        </w:rPr>
        <w:t>BASF</w:t>
      </w:r>
      <w:r w:rsidRPr="00CA78BD">
        <w:rPr>
          <w:rFonts w:ascii="Times New Roman" w:hAnsi="Times New Roman" w:cs="Times New Roman"/>
        </w:rPr>
        <w:t>) и химико-фармацевтической промышленности (</w:t>
      </w:r>
      <w:r w:rsidRPr="00CA78BD">
        <w:rPr>
          <w:rFonts w:ascii="Times New Roman" w:hAnsi="Times New Roman" w:cs="Times New Roman"/>
          <w:b/>
          <w:bCs/>
          <w:i/>
          <w:iCs/>
          <w:lang w:val="de-DE"/>
        </w:rPr>
        <w:t>Bayer</w:t>
      </w:r>
      <w:r w:rsidRPr="00CA78BD">
        <w:rPr>
          <w:rFonts w:ascii="Times New Roman" w:hAnsi="Times New Roman" w:cs="Times New Roman"/>
        </w:rPr>
        <w:t xml:space="preserve">) и др. В Едином реестре прозрачности Европейского союза можно найти информацию о 24 компаниях «антирейтинга» из 35 (Таблица №3). Что касается компаний, выступающих «за», то все компании, за исключением одной, также входят в топ-20 активных участников климатической политики из отчёта, рассмотренного выше. </w:t>
      </w:r>
    </w:p>
    <w:p w14:paraId="337CFE36" w14:textId="77777777" w:rsidR="005A64FA" w:rsidRPr="00CA78BD" w:rsidRDefault="00920D5B" w:rsidP="00920D5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tab/>
        <w:t xml:space="preserve">В таблице №3 представлена информация о </w:t>
      </w:r>
      <w:r w:rsidR="00BF0787" w:rsidRPr="00CA78BD">
        <w:rPr>
          <w:rFonts w:ascii="Times New Roman" w:hAnsi="Times New Roman" w:cs="Times New Roman"/>
        </w:rPr>
        <w:t xml:space="preserve">24 </w:t>
      </w:r>
      <w:r w:rsidRPr="00CA78BD">
        <w:rPr>
          <w:rFonts w:ascii="Times New Roman" w:hAnsi="Times New Roman" w:cs="Times New Roman"/>
        </w:rPr>
        <w:t>компаниях, которые наиболее активно противодействуют проведению новой климатической политики</w:t>
      </w:r>
      <w:r w:rsidR="00BF0787" w:rsidRPr="00CA78BD">
        <w:rPr>
          <w:rFonts w:ascii="Times New Roman" w:hAnsi="Times New Roman" w:cs="Times New Roman"/>
        </w:rPr>
        <w:t xml:space="preserve"> и представлены в Евросоюзе</w:t>
      </w:r>
      <w:r w:rsidRPr="00CA78BD">
        <w:rPr>
          <w:rFonts w:ascii="Times New Roman" w:hAnsi="Times New Roman" w:cs="Times New Roman"/>
        </w:rPr>
        <w:t xml:space="preserve">. В Едином реестре прозрачности опубликована информация о встречах лишь </w:t>
      </w:r>
      <w:r w:rsidRPr="00CA78BD">
        <w:rPr>
          <w:rFonts w:ascii="Times New Roman" w:hAnsi="Times New Roman" w:cs="Times New Roman"/>
          <w:b/>
          <w:bCs/>
          <w:i/>
          <w:iCs/>
        </w:rPr>
        <w:t>14</w:t>
      </w:r>
      <w:r w:rsidRPr="00CA78BD">
        <w:rPr>
          <w:rFonts w:ascii="Times New Roman" w:hAnsi="Times New Roman" w:cs="Times New Roman"/>
        </w:rPr>
        <w:t xml:space="preserve"> компаний из </w:t>
      </w:r>
      <w:r w:rsidRPr="00CA78BD">
        <w:rPr>
          <w:rFonts w:ascii="Times New Roman" w:hAnsi="Times New Roman" w:cs="Times New Roman"/>
          <w:b/>
          <w:bCs/>
          <w:i/>
          <w:iCs/>
        </w:rPr>
        <w:t>24</w:t>
      </w:r>
      <w:r w:rsidRPr="00CA78BD">
        <w:rPr>
          <w:rFonts w:ascii="Times New Roman" w:hAnsi="Times New Roman" w:cs="Times New Roman"/>
        </w:rPr>
        <w:t xml:space="preserve">. Лидером по числу прямых контактов является компания </w:t>
      </w:r>
      <w:r w:rsidRPr="00CA78BD">
        <w:rPr>
          <w:rFonts w:ascii="Times New Roman" w:hAnsi="Times New Roman" w:cs="Times New Roman"/>
          <w:b/>
          <w:bCs/>
          <w:i/>
          <w:iCs/>
        </w:rPr>
        <w:t>Shell</w:t>
      </w:r>
      <w:r w:rsidRPr="00CA78BD">
        <w:rPr>
          <w:rFonts w:ascii="Times New Roman" w:hAnsi="Times New Roman" w:cs="Times New Roman"/>
        </w:rPr>
        <w:t xml:space="preserve">, отчитавшаяся о </w:t>
      </w:r>
      <w:r w:rsidRPr="00CA78BD">
        <w:rPr>
          <w:rFonts w:ascii="Times New Roman" w:hAnsi="Times New Roman" w:cs="Times New Roman"/>
          <w:b/>
          <w:bCs/>
          <w:i/>
          <w:iCs/>
        </w:rPr>
        <w:t>15</w:t>
      </w:r>
      <w:r w:rsidRPr="00CA78BD">
        <w:rPr>
          <w:rFonts w:ascii="Times New Roman" w:hAnsi="Times New Roman" w:cs="Times New Roman"/>
        </w:rPr>
        <w:t xml:space="preserve"> случаях выхода на прямую связь, среднее число контактов с органами власти среди коммерческих компаний составляет </w:t>
      </w:r>
      <w:r w:rsidRPr="00CA78BD">
        <w:rPr>
          <w:rFonts w:ascii="Times New Roman" w:hAnsi="Times New Roman" w:cs="Times New Roman"/>
          <w:b/>
          <w:bCs/>
          <w:i/>
          <w:iCs/>
        </w:rPr>
        <w:t>4</w:t>
      </w:r>
      <w:r w:rsidRPr="00CA78BD">
        <w:rPr>
          <w:rFonts w:ascii="Times New Roman" w:hAnsi="Times New Roman" w:cs="Times New Roman"/>
        </w:rPr>
        <w:t xml:space="preserve">. В экспертных группах принимают участие </w:t>
      </w:r>
      <w:r w:rsidRPr="00CA78BD">
        <w:rPr>
          <w:rFonts w:ascii="Times New Roman" w:hAnsi="Times New Roman" w:cs="Times New Roman"/>
          <w:b/>
          <w:bCs/>
          <w:i/>
          <w:iCs/>
        </w:rPr>
        <w:t>10</w:t>
      </w:r>
      <w:r w:rsidRPr="00CA78BD">
        <w:rPr>
          <w:rFonts w:ascii="Times New Roman" w:hAnsi="Times New Roman" w:cs="Times New Roman"/>
        </w:rPr>
        <w:t xml:space="preserve"> компаний из </w:t>
      </w:r>
      <w:r w:rsidRPr="00CA78BD">
        <w:rPr>
          <w:rFonts w:ascii="Times New Roman" w:hAnsi="Times New Roman" w:cs="Times New Roman"/>
          <w:b/>
          <w:bCs/>
          <w:i/>
          <w:iCs/>
        </w:rPr>
        <w:t>24</w:t>
      </w:r>
      <w:r w:rsidRPr="00CA78BD">
        <w:rPr>
          <w:rFonts w:ascii="Times New Roman" w:hAnsi="Times New Roman" w:cs="Times New Roman"/>
        </w:rPr>
        <w:t xml:space="preserve">, что меньше половины. Больше всех в работе экспертных групп задействована компания </w:t>
      </w:r>
      <w:r w:rsidRPr="00CA78BD">
        <w:rPr>
          <w:rFonts w:ascii="Times New Roman" w:hAnsi="Times New Roman" w:cs="Times New Roman"/>
          <w:b/>
          <w:bCs/>
          <w:i/>
          <w:iCs/>
        </w:rPr>
        <w:t>Renault</w:t>
      </w:r>
      <w:r w:rsidRPr="00CA78BD">
        <w:rPr>
          <w:rFonts w:ascii="Times New Roman" w:hAnsi="Times New Roman" w:cs="Times New Roman"/>
        </w:rPr>
        <w:t xml:space="preserve">, она участвует в </w:t>
      </w:r>
      <w:r w:rsidRPr="00CA78BD">
        <w:rPr>
          <w:rFonts w:ascii="Times New Roman" w:hAnsi="Times New Roman" w:cs="Times New Roman"/>
          <w:b/>
          <w:bCs/>
          <w:i/>
          <w:iCs/>
        </w:rPr>
        <w:t>6</w:t>
      </w:r>
      <w:r w:rsidRPr="00CA78BD">
        <w:rPr>
          <w:rFonts w:ascii="Times New Roman" w:hAnsi="Times New Roman" w:cs="Times New Roman"/>
        </w:rPr>
        <w:t xml:space="preserve"> группах. Среднее число сотрудников составляет</w:t>
      </w:r>
      <w:r w:rsidRPr="00CA78BD">
        <w:rPr>
          <w:rFonts w:ascii="Times New Roman" w:hAnsi="Times New Roman" w:cs="Times New Roman"/>
          <w:b/>
          <w:bCs/>
          <w:i/>
          <w:iCs/>
        </w:rPr>
        <w:t xml:space="preserve"> 8</w:t>
      </w:r>
      <w:r w:rsidRPr="00CA78BD">
        <w:rPr>
          <w:rFonts w:ascii="Times New Roman" w:hAnsi="Times New Roman" w:cs="Times New Roman"/>
        </w:rPr>
        <w:t xml:space="preserve">, больше всего их у компании </w:t>
      </w:r>
      <w:r w:rsidRPr="00CA78BD">
        <w:rPr>
          <w:rFonts w:ascii="Times New Roman" w:hAnsi="Times New Roman" w:cs="Times New Roman"/>
          <w:b/>
          <w:bCs/>
          <w:i/>
          <w:iCs/>
          <w:lang w:val="en-US"/>
        </w:rPr>
        <w:t>Bayer</w:t>
      </w:r>
      <w:r w:rsidRPr="00CA78BD">
        <w:rPr>
          <w:rFonts w:ascii="Times New Roman" w:hAnsi="Times New Roman" w:cs="Times New Roman"/>
        </w:rPr>
        <w:t xml:space="preserve"> — </w:t>
      </w:r>
      <w:r w:rsidRPr="00CA78BD">
        <w:rPr>
          <w:rFonts w:ascii="Times New Roman" w:hAnsi="Times New Roman" w:cs="Times New Roman"/>
          <w:b/>
          <w:bCs/>
          <w:i/>
          <w:iCs/>
        </w:rPr>
        <w:t>30</w:t>
      </w:r>
      <w:r w:rsidRPr="00CA78BD">
        <w:rPr>
          <w:rFonts w:ascii="Times New Roman" w:hAnsi="Times New Roman" w:cs="Times New Roman"/>
        </w:rPr>
        <w:t xml:space="preserve">. При этом только </w:t>
      </w:r>
      <w:r w:rsidRPr="00CA78BD">
        <w:rPr>
          <w:rFonts w:ascii="Times New Roman" w:hAnsi="Times New Roman" w:cs="Times New Roman"/>
          <w:b/>
          <w:bCs/>
          <w:i/>
          <w:iCs/>
        </w:rPr>
        <w:t>10</w:t>
      </w:r>
      <w:r w:rsidRPr="00CA78BD">
        <w:rPr>
          <w:rFonts w:ascii="Times New Roman" w:hAnsi="Times New Roman" w:cs="Times New Roman"/>
        </w:rPr>
        <w:t xml:space="preserve"> компаний имеют сотрудников в </w:t>
      </w:r>
      <w:r w:rsidR="005A64FA" w:rsidRPr="00CA78BD">
        <w:rPr>
          <w:rFonts w:ascii="Times New Roman" w:hAnsi="Times New Roman" w:cs="Times New Roman"/>
        </w:rPr>
        <w:t>Парламенте</w:t>
      </w:r>
      <w:r w:rsidRPr="00CA78BD">
        <w:rPr>
          <w:rFonts w:ascii="Times New Roman" w:hAnsi="Times New Roman" w:cs="Times New Roman"/>
        </w:rPr>
        <w:t xml:space="preserve">. Расходы рассматриваемых компаний также сильно отличаются. </w:t>
      </w:r>
      <w:r w:rsidRPr="00CA78BD">
        <w:rPr>
          <w:rFonts w:ascii="Times New Roman" w:hAnsi="Times New Roman" w:cs="Times New Roman"/>
        </w:rPr>
        <w:lastRenderedPageBreak/>
        <w:t xml:space="preserve">Компания </w:t>
      </w:r>
      <w:r w:rsidRPr="00CA78BD">
        <w:rPr>
          <w:rFonts w:ascii="Times New Roman" w:hAnsi="Times New Roman" w:cs="Times New Roman"/>
          <w:b/>
          <w:bCs/>
          <w:i/>
          <w:iCs/>
          <w:lang w:val="en-US"/>
        </w:rPr>
        <w:t>Glencore</w:t>
      </w:r>
      <w:r w:rsidRPr="00CA78BD">
        <w:rPr>
          <w:rFonts w:ascii="Times New Roman" w:hAnsi="Times New Roman" w:cs="Times New Roman"/>
        </w:rPr>
        <w:t xml:space="preserve"> тратит на лоббизм в Евросоюзе меньше </w:t>
      </w:r>
      <w:r w:rsidRPr="00CA78BD">
        <w:rPr>
          <w:rFonts w:ascii="Times New Roman" w:hAnsi="Times New Roman" w:cs="Times New Roman"/>
          <w:b/>
          <w:bCs/>
          <w:i/>
          <w:iCs/>
        </w:rPr>
        <w:t xml:space="preserve">10 000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rPr>
        <w:t xml:space="preserve">, а максимальные затраченные суммы компаний </w:t>
      </w:r>
      <w:r w:rsidRPr="00CA78BD">
        <w:rPr>
          <w:rFonts w:ascii="Times New Roman" w:hAnsi="Times New Roman" w:cs="Times New Roman"/>
          <w:b/>
          <w:bCs/>
          <w:i/>
          <w:iCs/>
          <w:lang w:val="en-US"/>
        </w:rPr>
        <w:t>Shell</w:t>
      </w:r>
      <w:r w:rsidRPr="00CA78BD">
        <w:rPr>
          <w:rFonts w:ascii="Times New Roman" w:hAnsi="Times New Roman" w:cs="Times New Roman"/>
        </w:rPr>
        <w:t xml:space="preserve"> и </w:t>
      </w:r>
      <w:r w:rsidRPr="00CA78BD">
        <w:rPr>
          <w:rFonts w:ascii="Times New Roman" w:hAnsi="Times New Roman" w:cs="Times New Roman"/>
          <w:b/>
          <w:bCs/>
          <w:i/>
          <w:iCs/>
          <w:lang w:val="en-US"/>
        </w:rPr>
        <w:t>Bayer</w:t>
      </w:r>
      <w:r w:rsidRPr="00CA78BD">
        <w:rPr>
          <w:rFonts w:ascii="Times New Roman" w:hAnsi="Times New Roman" w:cs="Times New Roman"/>
        </w:rPr>
        <w:t xml:space="preserve"> могут достигать </w:t>
      </w:r>
      <w:r w:rsidRPr="00CA78BD">
        <w:rPr>
          <w:rFonts w:ascii="Times New Roman" w:hAnsi="Times New Roman" w:cs="Times New Roman"/>
          <w:b/>
          <w:bCs/>
          <w:i/>
          <w:iCs/>
        </w:rPr>
        <w:t xml:space="preserve">4 499 999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rPr>
        <w:t xml:space="preserve">. Средние расходы будут составлять </w:t>
      </w:r>
      <w:r w:rsidRPr="00CA78BD">
        <w:rPr>
          <w:rFonts w:ascii="Times New Roman" w:hAnsi="Times New Roman" w:cs="Times New Roman"/>
          <w:b/>
          <w:bCs/>
          <w:i/>
          <w:iCs/>
        </w:rPr>
        <w:t xml:space="preserve">1 548 332, 33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rPr>
        <w:t xml:space="preserve">. </w:t>
      </w:r>
    </w:p>
    <w:p w14:paraId="5D313C40" w14:textId="77777777" w:rsidR="005A64FA" w:rsidRPr="00CA78BD" w:rsidRDefault="005A64FA" w:rsidP="00920D5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tab/>
        <w:t xml:space="preserve">Таким образом, отдельные компании из разных секторов экономики не достигают того уровня активности в институтах Евросоюза, который есть у НКО. Несмотря на значительные расходы на лоббистскую деятельность, вовлечённость в процесс принятия решений у этих компаний неоправданно низкая. Между тем, коммерческие компании тоже отдают явный приоритет работе с Еврокомиссией, так как меньше половины рассматриваемых компаний имеют сотрудников в Европарламенте. </w:t>
      </w:r>
      <w:r w:rsidR="008304E0" w:rsidRPr="00CA78BD">
        <w:rPr>
          <w:rFonts w:ascii="Times New Roman" w:hAnsi="Times New Roman" w:cs="Times New Roman"/>
        </w:rPr>
        <w:t xml:space="preserve">Рассматриваемые компании также стремятся к формированию повестки и участию в разработке законопроектов на самых ранних этапах их согласования. Однако качество информации и уровень экспертизы скорее всего не соответствуют запросам институтов власти, а именно Еврокомиссии. Представляя одну компанию, лоббисты располагают информацией только лишь об одном субъекте экономики. Этого недостаточно для принятия решений в Еврокомиссии, которая предпочитает работать с более репрезентативными группами интересов в виде крупных европейских бизнес-ассоциаций. </w:t>
      </w:r>
    </w:p>
    <w:p w14:paraId="44E14CE6" w14:textId="77777777" w:rsidR="008304E0" w:rsidRPr="00CA78BD" w:rsidRDefault="005A64FA" w:rsidP="008304E0">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tab/>
      </w:r>
      <w:r w:rsidR="008304E0" w:rsidRPr="00CA78BD">
        <w:rPr>
          <w:rFonts w:ascii="Times New Roman" w:hAnsi="Times New Roman" w:cs="Times New Roman"/>
        </w:rPr>
        <w:t>В этой связи, о</w:t>
      </w:r>
      <w:r w:rsidR="00920D5B" w:rsidRPr="00CA78BD">
        <w:rPr>
          <w:rFonts w:ascii="Times New Roman" w:hAnsi="Times New Roman" w:cs="Times New Roman"/>
        </w:rPr>
        <w:t xml:space="preserve">собого внимания при оценке сопротивления бизнес-сообщества зелёной повестке заслуживает уже упомянутый выше отчёт деятельности бизнес-ассоциаций. Бизнес-ассоциации очень успешны в лоббировании интересов своих членов. Они располагают значительными ресурсами и, в отличие от отдельных частных лоббистов, суммарной информацией от своих членов о состоянии рынка, экономическом росте, рабочих местах и т.д. Соответственно, они легче получают доступ в органы власти, а их мнение имеет больший вес при принятии решений. И несмотря на то, что крупнейшие межотраслевые ассоциации претендуют на представительство самых разных компаний и бизнес-моделей, они обычно настроены очень негативно по отношению к климатической политике. Возможно, это объясняется тем, что небольшая, но влиятельная группа компаний занимает в ассоциациях важнейшие руководящие позиции и, соответственно, влияет на направления их работы. </w:t>
      </w:r>
    </w:p>
    <w:p w14:paraId="124FF1BE" w14:textId="77777777" w:rsidR="00920D5B" w:rsidRPr="00CA78BD" w:rsidRDefault="008304E0" w:rsidP="008304E0">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tab/>
      </w:r>
      <w:r w:rsidR="00920D5B" w:rsidRPr="00CA78BD">
        <w:rPr>
          <w:rFonts w:ascii="Times New Roman" w:hAnsi="Times New Roman" w:cs="Times New Roman"/>
        </w:rPr>
        <w:t xml:space="preserve">Деятельность торговых и бизнес-ассоциаций может расходиться с климатическими стратегиями и ценностями большинства их членов. К тому же, многие компании из сферы розничной торговли, здравоохранения и пр. не </w:t>
      </w:r>
      <w:r w:rsidR="00920D5B" w:rsidRPr="00CA78BD">
        <w:rPr>
          <w:rFonts w:ascii="Times New Roman" w:hAnsi="Times New Roman" w:cs="Times New Roman"/>
        </w:rPr>
        <w:lastRenderedPageBreak/>
        <w:t>заинтересованы в климатической политике вовсе, что позволяет компаниям, например, нефтегазового сектора беспрепятственно определять стратегические цели ассоциации в этом направлении. Для больших корпораций нефтегазового сектора ассоциации выступают наиважнейшим каналом давления на власть, поскольку позволяют лоббировать их коммерческие интересы косвенно, в тайне от общественности. Некоторые компании (</w:t>
      </w:r>
      <w:r w:rsidR="00920D5B" w:rsidRPr="00CA78BD">
        <w:rPr>
          <w:rFonts w:ascii="Times New Roman" w:hAnsi="Times New Roman" w:cs="Times New Roman"/>
          <w:b/>
          <w:bCs/>
          <w:i/>
          <w:iCs/>
          <w:lang w:val="en-US"/>
        </w:rPr>
        <w:t>Shell</w:t>
      </w:r>
      <w:r w:rsidR="00920D5B" w:rsidRPr="00CA78BD">
        <w:rPr>
          <w:rFonts w:ascii="Times New Roman" w:hAnsi="Times New Roman" w:cs="Times New Roman"/>
          <w:b/>
          <w:bCs/>
          <w:i/>
          <w:iCs/>
        </w:rPr>
        <w:t xml:space="preserve">, </w:t>
      </w:r>
      <w:proofErr w:type="spellStart"/>
      <w:r w:rsidR="00920D5B" w:rsidRPr="00CA78BD">
        <w:rPr>
          <w:rFonts w:ascii="Times New Roman" w:hAnsi="Times New Roman" w:cs="Times New Roman"/>
          <w:b/>
          <w:bCs/>
          <w:i/>
          <w:iCs/>
          <w:lang w:val="en-US"/>
        </w:rPr>
        <w:t>Enti</w:t>
      </w:r>
      <w:proofErr w:type="spellEnd"/>
      <w:r w:rsidR="00920D5B" w:rsidRPr="00CA78BD">
        <w:rPr>
          <w:rFonts w:ascii="Times New Roman" w:hAnsi="Times New Roman" w:cs="Times New Roman"/>
          <w:b/>
          <w:bCs/>
          <w:i/>
          <w:iCs/>
        </w:rPr>
        <w:t xml:space="preserve">, </w:t>
      </w:r>
      <w:r w:rsidR="00920D5B" w:rsidRPr="00CA78BD">
        <w:rPr>
          <w:rFonts w:ascii="Times New Roman" w:hAnsi="Times New Roman" w:cs="Times New Roman"/>
          <w:b/>
          <w:bCs/>
          <w:i/>
          <w:iCs/>
          <w:lang w:val="en-US"/>
        </w:rPr>
        <w:t>Total</w:t>
      </w:r>
      <w:r w:rsidR="00920D5B" w:rsidRPr="00CA78BD">
        <w:rPr>
          <w:rFonts w:ascii="Times New Roman" w:hAnsi="Times New Roman" w:cs="Times New Roman"/>
        </w:rPr>
        <w:t xml:space="preserve">), ощущая давление со стороны общественности по вопросам климата, заявляют о своей приверженности размытым целям Парижского соглашения и делают зелёную повестку частью своей </w:t>
      </w:r>
      <w:r w:rsidR="00920D5B" w:rsidRPr="00CA78BD">
        <w:rPr>
          <w:rFonts w:ascii="Times New Roman" w:hAnsi="Times New Roman" w:cs="Times New Roman"/>
          <w:lang w:val="en-US"/>
        </w:rPr>
        <w:t>PR</w:t>
      </w:r>
      <w:r w:rsidR="00920D5B" w:rsidRPr="00CA78BD">
        <w:rPr>
          <w:rFonts w:ascii="Times New Roman" w:hAnsi="Times New Roman" w:cs="Times New Roman"/>
        </w:rPr>
        <w:t xml:space="preserve">-стратегии, однако продолжают занимать лидирующие позиции во влиятельных бизнес-ассоциациях, </w:t>
      </w:r>
      <w:proofErr w:type="spellStart"/>
      <w:r w:rsidR="00920D5B" w:rsidRPr="00CA78BD">
        <w:rPr>
          <w:rFonts w:ascii="Times New Roman" w:hAnsi="Times New Roman" w:cs="Times New Roman"/>
        </w:rPr>
        <w:t>лоббируюших</w:t>
      </w:r>
      <w:proofErr w:type="spellEnd"/>
      <w:r w:rsidR="00920D5B" w:rsidRPr="00CA78BD">
        <w:rPr>
          <w:rFonts w:ascii="Times New Roman" w:hAnsi="Times New Roman" w:cs="Times New Roman"/>
        </w:rPr>
        <w:t xml:space="preserve"> против расширения экологического законодательства — новых стандартов для транспортных средств, политики в отношении электромобилей и ВИЭ, налоги на выбросы углерода и т.д. Так центральным элементом стратегии нефтегазовой отрасли видится попытка сделать газ частью будущего энергобаланса и решения проблемы изменения климата. При этом продвижение газа как перспективного и чистого источника энергии сопровождается сопротивлением развитию других чистых источников и ВИЭ. Таким образом, деятельность ассоциаций представляет наибольшую угрозу на пути реализации целей Парижского соглашения.</w:t>
      </w:r>
    </w:p>
    <w:p w14:paraId="1FF9C5DD" w14:textId="77777777" w:rsidR="00920D5B" w:rsidRPr="00CA78BD" w:rsidRDefault="00920D5B" w:rsidP="00920D5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tab/>
        <w:t xml:space="preserve">Непревзойдённый лидер в системе представительства Европейского Союза — ассоциация </w:t>
      </w:r>
      <w:proofErr w:type="spellStart"/>
      <w:r w:rsidRPr="00CA78BD">
        <w:rPr>
          <w:rFonts w:ascii="Times New Roman" w:hAnsi="Times New Roman" w:cs="Times New Roman"/>
          <w:b/>
          <w:bCs/>
          <w:i/>
          <w:iCs/>
          <w:lang w:val="en-US"/>
        </w:rPr>
        <w:t>BusinessEurope</w:t>
      </w:r>
      <w:proofErr w:type="spellEnd"/>
      <w:r w:rsidRPr="00CA78BD">
        <w:rPr>
          <w:rFonts w:ascii="Times New Roman" w:hAnsi="Times New Roman" w:cs="Times New Roman"/>
        </w:rPr>
        <w:t xml:space="preserve"> — провела в 2020-м году </w:t>
      </w:r>
      <w:r w:rsidRPr="00CA78BD">
        <w:rPr>
          <w:rFonts w:ascii="Times New Roman" w:hAnsi="Times New Roman" w:cs="Times New Roman"/>
          <w:b/>
          <w:bCs/>
          <w:i/>
          <w:iCs/>
        </w:rPr>
        <w:t>59</w:t>
      </w:r>
      <w:r w:rsidRPr="00CA78BD">
        <w:rPr>
          <w:rFonts w:ascii="Times New Roman" w:hAnsi="Times New Roman" w:cs="Times New Roman"/>
        </w:rPr>
        <w:t xml:space="preserve"> встреч с представителями власти. Второе место занимает торговая палата США (</w:t>
      </w:r>
      <w:r w:rsidRPr="00CA78BD">
        <w:rPr>
          <w:rFonts w:ascii="Times New Roman" w:hAnsi="Times New Roman" w:cs="Times New Roman"/>
          <w:b/>
          <w:bCs/>
          <w:i/>
          <w:iCs/>
          <w:lang w:val="en-US"/>
        </w:rPr>
        <w:t>AmCham</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EU</w:t>
      </w:r>
      <w:r w:rsidRPr="00CA78BD">
        <w:rPr>
          <w:rFonts w:ascii="Times New Roman" w:hAnsi="Times New Roman" w:cs="Times New Roman"/>
        </w:rPr>
        <w:t xml:space="preserve">), которая провела </w:t>
      </w:r>
      <w:r w:rsidRPr="00CA78BD">
        <w:rPr>
          <w:rFonts w:ascii="Times New Roman" w:hAnsi="Times New Roman" w:cs="Times New Roman"/>
          <w:b/>
          <w:bCs/>
          <w:i/>
          <w:iCs/>
        </w:rPr>
        <w:t>35</w:t>
      </w:r>
      <w:r w:rsidRPr="00CA78BD">
        <w:rPr>
          <w:rFonts w:ascii="Times New Roman" w:hAnsi="Times New Roman" w:cs="Times New Roman"/>
        </w:rPr>
        <w:t xml:space="preserve"> встреч. На третьем месте Европейский совет химической промышленности (</w:t>
      </w:r>
      <w:proofErr w:type="spellStart"/>
      <w:r w:rsidRPr="00CA78BD">
        <w:rPr>
          <w:rFonts w:ascii="Times New Roman" w:hAnsi="Times New Roman" w:cs="Times New Roman"/>
          <w:b/>
          <w:bCs/>
          <w:i/>
          <w:iCs/>
          <w:lang w:val="en-US"/>
        </w:rPr>
        <w:t>Cefic</w:t>
      </w:r>
      <w:proofErr w:type="spellEnd"/>
      <w:r w:rsidRPr="00CA78BD">
        <w:rPr>
          <w:rFonts w:ascii="Times New Roman" w:hAnsi="Times New Roman" w:cs="Times New Roman"/>
        </w:rPr>
        <w:t xml:space="preserve">) — </w:t>
      </w:r>
      <w:r w:rsidRPr="00CA78BD">
        <w:rPr>
          <w:rFonts w:ascii="Times New Roman" w:hAnsi="Times New Roman" w:cs="Times New Roman"/>
          <w:b/>
          <w:bCs/>
          <w:i/>
          <w:iCs/>
        </w:rPr>
        <w:t>33</w:t>
      </w:r>
      <w:r w:rsidRPr="00CA78BD">
        <w:rPr>
          <w:rFonts w:ascii="Times New Roman" w:hAnsi="Times New Roman" w:cs="Times New Roman"/>
        </w:rPr>
        <w:t xml:space="preserve"> встречи. Среднее количество встреч тем не менее составляет </w:t>
      </w:r>
      <w:r w:rsidRPr="00CA78BD">
        <w:rPr>
          <w:rFonts w:ascii="Times New Roman" w:hAnsi="Times New Roman" w:cs="Times New Roman"/>
          <w:b/>
          <w:bCs/>
          <w:i/>
          <w:iCs/>
        </w:rPr>
        <w:t>15</w:t>
      </w:r>
      <w:r w:rsidRPr="00CA78BD">
        <w:rPr>
          <w:rFonts w:ascii="Times New Roman" w:hAnsi="Times New Roman" w:cs="Times New Roman"/>
        </w:rPr>
        <w:t xml:space="preserve">. </w:t>
      </w:r>
      <w:proofErr w:type="spellStart"/>
      <w:r w:rsidRPr="00CA78BD">
        <w:rPr>
          <w:rFonts w:ascii="Times New Roman" w:hAnsi="Times New Roman" w:cs="Times New Roman"/>
          <w:b/>
          <w:bCs/>
          <w:i/>
          <w:iCs/>
          <w:lang w:val="en-US"/>
        </w:rPr>
        <w:t>BusinessEurope</w:t>
      </w:r>
      <w:proofErr w:type="spellEnd"/>
      <w:r w:rsidRPr="00CA78BD">
        <w:rPr>
          <w:rFonts w:ascii="Times New Roman" w:hAnsi="Times New Roman" w:cs="Times New Roman"/>
        </w:rPr>
        <w:t xml:space="preserve"> также представлена в наибольшем количестве экспертных групп — всего </w:t>
      </w:r>
      <w:r w:rsidRPr="00CA78BD">
        <w:rPr>
          <w:rFonts w:ascii="Times New Roman" w:hAnsi="Times New Roman" w:cs="Times New Roman"/>
          <w:b/>
          <w:bCs/>
          <w:i/>
          <w:iCs/>
        </w:rPr>
        <w:t>50</w:t>
      </w:r>
      <w:r w:rsidRPr="00CA78BD">
        <w:rPr>
          <w:rFonts w:ascii="Times New Roman" w:hAnsi="Times New Roman" w:cs="Times New Roman"/>
        </w:rPr>
        <w:t xml:space="preserve">. </w:t>
      </w:r>
      <w:proofErr w:type="spellStart"/>
      <w:r w:rsidRPr="00CA78BD">
        <w:rPr>
          <w:rFonts w:ascii="Times New Roman" w:hAnsi="Times New Roman" w:cs="Times New Roman"/>
          <w:b/>
          <w:bCs/>
          <w:i/>
          <w:iCs/>
          <w:lang w:val="en-US"/>
        </w:rPr>
        <w:t>Cefic</w:t>
      </w:r>
      <w:proofErr w:type="spellEnd"/>
      <w:r w:rsidRPr="00CA78BD">
        <w:rPr>
          <w:rFonts w:ascii="Times New Roman" w:hAnsi="Times New Roman" w:cs="Times New Roman"/>
        </w:rPr>
        <w:t xml:space="preserve"> участвует в </w:t>
      </w:r>
      <w:r w:rsidRPr="00CA78BD">
        <w:rPr>
          <w:rFonts w:ascii="Times New Roman" w:hAnsi="Times New Roman" w:cs="Times New Roman"/>
          <w:b/>
          <w:bCs/>
          <w:i/>
          <w:iCs/>
        </w:rPr>
        <w:t>32</w:t>
      </w:r>
      <w:r w:rsidRPr="00CA78BD">
        <w:rPr>
          <w:rFonts w:ascii="Times New Roman" w:hAnsi="Times New Roman" w:cs="Times New Roman"/>
        </w:rPr>
        <w:t xml:space="preserve">, </w:t>
      </w:r>
      <w:r w:rsidR="007F3CBD" w:rsidRPr="00CA78BD">
        <w:rPr>
          <w:rFonts w:ascii="Times New Roman" w:hAnsi="Times New Roman" w:cs="Times New Roman"/>
        </w:rPr>
        <w:t>Ассоциация</w:t>
      </w:r>
      <w:r w:rsidRPr="00CA78BD">
        <w:rPr>
          <w:rFonts w:ascii="Times New Roman" w:hAnsi="Times New Roman" w:cs="Times New Roman"/>
        </w:rPr>
        <w:t xml:space="preserve"> европейских автопроизводителей </w:t>
      </w:r>
      <w:r w:rsidRPr="00CA78BD">
        <w:rPr>
          <w:rFonts w:ascii="Times New Roman" w:hAnsi="Times New Roman" w:cs="Times New Roman"/>
          <w:b/>
          <w:bCs/>
          <w:i/>
          <w:iCs/>
          <w:lang w:val="en-US"/>
        </w:rPr>
        <w:t>ACEA</w:t>
      </w:r>
      <w:r w:rsidRPr="00CA78BD">
        <w:rPr>
          <w:rFonts w:ascii="Times New Roman" w:hAnsi="Times New Roman" w:cs="Times New Roman"/>
        </w:rPr>
        <w:t xml:space="preserve"> — в </w:t>
      </w:r>
      <w:r w:rsidRPr="00CA78BD">
        <w:rPr>
          <w:rFonts w:ascii="Times New Roman" w:hAnsi="Times New Roman" w:cs="Times New Roman"/>
          <w:b/>
          <w:bCs/>
          <w:i/>
          <w:iCs/>
        </w:rPr>
        <w:t>23</w:t>
      </w:r>
      <w:r w:rsidRPr="00CA78BD">
        <w:rPr>
          <w:rFonts w:ascii="Times New Roman" w:hAnsi="Times New Roman" w:cs="Times New Roman"/>
        </w:rPr>
        <w:t xml:space="preserve">. При этом стоит отметить, что абсолютно все ассоциации принимают участие в тех или иных экспертных группах. Среднее число сотрудников ассоциаций в институтах Евросоюза составляет </w:t>
      </w:r>
      <w:r w:rsidRPr="00CA78BD">
        <w:rPr>
          <w:rFonts w:ascii="Times New Roman" w:hAnsi="Times New Roman" w:cs="Times New Roman"/>
          <w:b/>
          <w:bCs/>
          <w:i/>
          <w:iCs/>
        </w:rPr>
        <w:t>20</w:t>
      </w:r>
      <w:r w:rsidRPr="00CA78BD">
        <w:rPr>
          <w:rFonts w:ascii="Times New Roman" w:hAnsi="Times New Roman" w:cs="Times New Roman"/>
        </w:rPr>
        <w:t xml:space="preserve">. </w:t>
      </w:r>
      <w:proofErr w:type="spellStart"/>
      <w:r w:rsidRPr="00CA78BD">
        <w:rPr>
          <w:rFonts w:ascii="Times New Roman" w:hAnsi="Times New Roman" w:cs="Times New Roman"/>
          <w:b/>
          <w:bCs/>
          <w:i/>
          <w:iCs/>
          <w:lang w:val="en-US"/>
        </w:rPr>
        <w:t>Cefic</w:t>
      </w:r>
      <w:proofErr w:type="spellEnd"/>
      <w:r w:rsidRPr="00CA78BD">
        <w:rPr>
          <w:rFonts w:ascii="Times New Roman" w:hAnsi="Times New Roman" w:cs="Times New Roman"/>
        </w:rPr>
        <w:t xml:space="preserve"> представляет </w:t>
      </w:r>
      <w:r w:rsidRPr="00CA78BD">
        <w:rPr>
          <w:rFonts w:ascii="Times New Roman" w:hAnsi="Times New Roman" w:cs="Times New Roman"/>
          <w:b/>
          <w:bCs/>
          <w:i/>
          <w:iCs/>
        </w:rPr>
        <w:t>83</w:t>
      </w:r>
      <w:r w:rsidRPr="00CA78BD">
        <w:rPr>
          <w:rFonts w:ascii="Times New Roman" w:hAnsi="Times New Roman" w:cs="Times New Roman"/>
        </w:rPr>
        <w:t xml:space="preserve"> человека, </w:t>
      </w:r>
      <w:r w:rsidRPr="00CA78BD">
        <w:rPr>
          <w:rFonts w:ascii="Times New Roman" w:hAnsi="Times New Roman" w:cs="Times New Roman"/>
          <w:lang w:val="de-DE"/>
        </w:rPr>
        <w:t>Verband der Chemischen Industrie</w:t>
      </w:r>
      <w:r w:rsidRPr="00CA78BD">
        <w:rPr>
          <w:rFonts w:ascii="Times New Roman" w:hAnsi="Times New Roman" w:cs="Times New Roman"/>
        </w:rPr>
        <w:t xml:space="preserve"> (</w:t>
      </w:r>
      <w:r w:rsidRPr="00CA78BD">
        <w:rPr>
          <w:rFonts w:ascii="Times New Roman" w:hAnsi="Times New Roman" w:cs="Times New Roman"/>
          <w:b/>
          <w:bCs/>
          <w:i/>
          <w:iCs/>
          <w:lang w:val="en-US"/>
        </w:rPr>
        <w:t>VCI</w:t>
      </w:r>
      <w:r w:rsidRPr="00CA78BD">
        <w:rPr>
          <w:rFonts w:ascii="Times New Roman" w:hAnsi="Times New Roman" w:cs="Times New Roman"/>
        </w:rPr>
        <w:t xml:space="preserve">) — </w:t>
      </w:r>
      <w:r w:rsidRPr="00CA78BD">
        <w:rPr>
          <w:rFonts w:ascii="Times New Roman" w:hAnsi="Times New Roman" w:cs="Times New Roman"/>
          <w:b/>
          <w:bCs/>
          <w:i/>
          <w:iCs/>
        </w:rPr>
        <w:t>84</w:t>
      </w:r>
      <w:r w:rsidRPr="00CA78BD">
        <w:rPr>
          <w:rFonts w:ascii="Times New Roman" w:hAnsi="Times New Roman" w:cs="Times New Roman"/>
        </w:rPr>
        <w:t xml:space="preserve">, </w:t>
      </w:r>
      <w:r w:rsidRPr="00CA78BD">
        <w:rPr>
          <w:rFonts w:ascii="Times New Roman" w:hAnsi="Times New Roman" w:cs="Times New Roman"/>
          <w:lang w:val="de-DE"/>
        </w:rPr>
        <w:t>Bundesverband der Deutschen Industrie</w:t>
      </w:r>
      <w:r w:rsidRPr="00CA78BD">
        <w:rPr>
          <w:rFonts w:ascii="Times New Roman" w:hAnsi="Times New Roman" w:cs="Times New Roman"/>
        </w:rPr>
        <w:t xml:space="preserve"> (</w:t>
      </w:r>
      <w:r w:rsidRPr="00CA78BD">
        <w:rPr>
          <w:rFonts w:ascii="Times New Roman" w:hAnsi="Times New Roman" w:cs="Times New Roman"/>
          <w:b/>
          <w:bCs/>
          <w:i/>
          <w:iCs/>
          <w:lang w:val="en-US"/>
        </w:rPr>
        <w:t>BDI</w:t>
      </w:r>
      <w:r w:rsidRPr="00CA78BD">
        <w:rPr>
          <w:rFonts w:ascii="Times New Roman" w:hAnsi="Times New Roman" w:cs="Times New Roman"/>
        </w:rPr>
        <w:t xml:space="preserve">) — </w:t>
      </w:r>
      <w:r w:rsidRPr="00CA78BD">
        <w:rPr>
          <w:rFonts w:ascii="Times New Roman" w:hAnsi="Times New Roman" w:cs="Times New Roman"/>
          <w:b/>
          <w:bCs/>
          <w:i/>
          <w:iCs/>
        </w:rPr>
        <w:t>34</w:t>
      </w:r>
      <w:r w:rsidRPr="00CA78BD">
        <w:rPr>
          <w:rFonts w:ascii="Times New Roman" w:hAnsi="Times New Roman" w:cs="Times New Roman"/>
        </w:rPr>
        <w:t xml:space="preserve">. </w:t>
      </w:r>
      <w:r w:rsidR="008304E0" w:rsidRPr="00CA78BD">
        <w:rPr>
          <w:rFonts w:ascii="Times New Roman" w:hAnsi="Times New Roman" w:cs="Times New Roman"/>
        </w:rPr>
        <w:t>Расходы</w:t>
      </w:r>
      <w:r w:rsidRPr="00CA78BD">
        <w:rPr>
          <w:rFonts w:ascii="Times New Roman" w:hAnsi="Times New Roman" w:cs="Times New Roman"/>
        </w:rPr>
        <w:t xml:space="preserve"> </w:t>
      </w:r>
      <w:r w:rsidR="008304E0" w:rsidRPr="00CA78BD">
        <w:rPr>
          <w:rFonts w:ascii="Times New Roman" w:hAnsi="Times New Roman" w:cs="Times New Roman"/>
        </w:rPr>
        <w:t>на</w:t>
      </w:r>
      <w:r w:rsidRPr="00CA78BD">
        <w:rPr>
          <w:rFonts w:ascii="Times New Roman" w:hAnsi="Times New Roman" w:cs="Times New Roman"/>
        </w:rPr>
        <w:t xml:space="preserve"> </w:t>
      </w:r>
      <w:r w:rsidR="008304E0" w:rsidRPr="00CA78BD">
        <w:rPr>
          <w:rFonts w:ascii="Times New Roman" w:hAnsi="Times New Roman" w:cs="Times New Roman"/>
        </w:rPr>
        <w:t>лоббизм</w:t>
      </w:r>
      <w:r w:rsidRPr="00CA78BD">
        <w:rPr>
          <w:rFonts w:ascii="Times New Roman" w:hAnsi="Times New Roman" w:cs="Times New Roman"/>
        </w:rPr>
        <w:t xml:space="preserve"> </w:t>
      </w:r>
      <w:r w:rsidR="008304E0" w:rsidRPr="00CA78BD">
        <w:rPr>
          <w:rFonts w:ascii="Times New Roman" w:hAnsi="Times New Roman" w:cs="Times New Roman"/>
        </w:rPr>
        <w:t>среди</w:t>
      </w:r>
      <w:r w:rsidRPr="00CA78BD">
        <w:rPr>
          <w:rFonts w:ascii="Times New Roman" w:hAnsi="Times New Roman" w:cs="Times New Roman"/>
        </w:rPr>
        <w:t xml:space="preserve"> </w:t>
      </w:r>
      <w:r w:rsidR="008304E0" w:rsidRPr="00CA78BD">
        <w:rPr>
          <w:rFonts w:ascii="Times New Roman" w:hAnsi="Times New Roman" w:cs="Times New Roman"/>
        </w:rPr>
        <w:t>ассоциаций</w:t>
      </w:r>
      <w:r w:rsidRPr="00CA78BD">
        <w:rPr>
          <w:rFonts w:ascii="Times New Roman" w:hAnsi="Times New Roman" w:cs="Times New Roman"/>
        </w:rPr>
        <w:t xml:space="preserve"> </w:t>
      </w:r>
      <w:r w:rsidR="008304E0" w:rsidRPr="00CA78BD">
        <w:rPr>
          <w:rFonts w:ascii="Times New Roman" w:hAnsi="Times New Roman" w:cs="Times New Roman"/>
        </w:rPr>
        <w:t>самые</w:t>
      </w:r>
      <w:r w:rsidRPr="00CA78BD">
        <w:rPr>
          <w:rFonts w:ascii="Times New Roman" w:hAnsi="Times New Roman" w:cs="Times New Roman"/>
        </w:rPr>
        <w:t xml:space="preserve"> </w:t>
      </w:r>
      <w:r w:rsidR="008304E0" w:rsidRPr="00CA78BD">
        <w:rPr>
          <w:rFonts w:ascii="Times New Roman" w:hAnsi="Times New Roman" w:cs="Times New Roman"/>
        </w:rPr>
        <w:t>высокие</w:t>
      </w:r>
      <w:r w:rsidRPr="00CA78BD">
        <w:rPr>
          <w:rFonts w:ascii="Times New Roman" w:hAnsi="Times New Roman" w:cs="Times New Roman"/>
        </w:rPr>
        <w:t xml:space="preserve">. </w:t>
      </w:r>
      <w:r w:rsidR="008304E0" w:rsidRPr="00CA78BD">
        <w:rPr>
          <w:rFonts w:ascii="Times New Roman" w:hAnsi="Times New Roman" w:cs="Times New Roman"/>
        </w:rPr>
        <w:t>Они</w:t>
      </w:r>
      <w:r w:rsidRPr="00CA78BD">
        <w:rPr>
          <w:rFonts w:ascii="Times New Roman" w:hAnsi="Times New Roman" w:cs="Times New Roman"/>
        </w:rPr>
        <w:t xml:space="preserve"> </w:t>
      </w:r>
      <w:r w:rsidR="008304E0" w:rsidRPr="00CA78BD">
        <w:rPr>
          <w:rFonts w:ascii="Times New Roman" w:hAnsi="Times New Roman" w:cs="Times New Roman"/>
        </w:rPr>
        <w:t>начинаются</w:t>
      </w:r>
      <w:r w:rsidRPr="00CA78BD">
        <w:rPr>
          <w:rFonts w:ascii="Times New Roman" w:hAnsi="Times New Roman" w:cs="Times New Roman"/>
        </w:rPr>
        <w:t xml:space="preserve"> </w:t>
      </w:r>
      <w:r w:rsidR="008304E0" w:rsidRPr="00CA78BD">
        <w:rPr>
          <w:rFonts w:ascii="Times New Roman" w:hAnsi="Times New Roman" w:cs="Times New Roman"/>
        </w:rPr>
        <w:t>от</w:t>
      </w:r>
      <w:r w:rsidRPr="00CA78BD">
        <w:rPr>
          <w:rFonts w:ascii="Times New Roman" w:hAnsi="Times New Roman" w:cs="Times New Roman"/>
        </w:rPr>
        <w:t xml:space="preserve"> </w:t>
      </w:r>
      <w:r w:rsidRPr="00CA78BD">
        <w:rPr>
          <w:rFonts w:ascii="Times New Roman" w:hAnsi="Times New Roman" w:cs="Times New Roman"/>
          <w:b/>
          <w:bCs/>
          <w:i/>
          <w:iCs/>
        </w:rPr>
        <w:t>10 000</w:t>
      </w:r>
      <w:r w:rsidRPr="00D20D45">
        <w:rPr>
          <w:rFonts w:ascii="Times New Roman" w:hAnsi="Times New Roman" w:cs="Times New Roman"/>
          <w:b/>
          <w:bCs/>
          <w:i/>
          <w:iCs/>
        </w:rPr>
        <w:t xml:space="preserve">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rPr>
        <w:t xml:space="preserve"> (</w:t>
      </w:r>
      <w:r w:rsidRPr="00CA78BD">
        <w:rPr>
          <w:rFonts w:ascii="Times New Roman" w:hAnsi="Times New Roman" w:cs="Times New Roman"/>
          <w:b/>
          <w:bCs/>
          <w:i/>
          <w:iCs/>
          <w:lang w:val="en-US"/>
        </w:rPr>
        <w:t>International</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Chamber</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of</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Shipping</w:t>
      </w:r>
      <w:r w:rsidRPr="00CA78BD">
        <w:rPr>
          <w:rFonts w:ascii="Times New Roman" w:hAnsi="Times New Roman" w:cs="Times New Roman"/>
        </w:rPr>
        <w:t xml:space="preserve">) и достигают самого высокого возможного значения в   </w:t>
      </w:r>
      <w:r w:rsidRPr="00CA78BD">
        <w:rPr>
          <w:rFonts w:ascii="Times New Roman" w:hAnsi="Times New Roman" w:cs="Times New Roman"/>
          <w:b/>
          <w:bCs/>
          <w:i/>
          <w:iCs/>
        </w:rPr>
        <w:t>9</w:t>
      </w:r>
      <w:r w:rsidRPr="00CA78BD">
        <w:rPr>
          <w:rFonts w:ascii="Times New Roman" w:hAnsi="Times New Roman" w:cs="Times New Roman"/>
        </w:rPr>
        <w:t xml:space="preserve"> </w:t>
      </w:r>
      <w:r w:rsidRPr="00CA78BD">
        <w:rPr>
          <w:rFonts w:ascii="Times New Roman" w:hAnsi="Times New Roman" w:cs="Times New Roman"/>
          <w:b/>
          <w:bCs/>
          <w:i/>
          <w:iCs/>
        </w:rPr>
        <w:t xml:space="preserve">249 999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rPr>
        <w:t xml:space="preserve"> (</w:t>
      </w:r>
      <w:proofErr w:type="spellStart"/>
      <w:r w:rsidRPr="00CA78BD">
        <w:rPr>
          <w:rFonts w:ascii="Times New Roman" w:hAnsi="Times New Roman" w:cs="Times New Roman"/>
          <w:b/>
          <w:bCs/>
          <w:i/>
          <w:iCs/>
          <w:lang w:val="en-US"/>
        </w:rPr>
        <w:t>Cefic</w:t>
      </w:r>
      <w:proofErr w:type="spellEnd"/>
      <w:r w:rsidRPr="00CA78BD">
        <w:rPr>
          <w:rFonts w:ascii="Times New Roman" w:hAnsi="Times New Roman" w:cs="Times New Roman"/>
        </w:rPr>
        <w:t xml:space="preserve">). Средняя сумма — </w:t>
      </w:r>
      <w:r w:rsidRPr="00CA78BD">
        <w:rPr>
          <w:rFonts w:ascii="Times New Roman" w:hAnsi="Times New Roman" w:cs="Times New Roman"/>
          <w:b/>
          <w:bCs/>
          <w:i/>
          <w:iCs/>
        </w:rPr>
        <w:t xml:space="preserve">1 869 735, 84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rPr>
        <w:t xml:space="preserve">. </w:t>
      </w:r>
    </w:p>
    <w:p w14:paraId="4C287FD5" w14:textId="77777777" w:rsidR="007F3CBD" w:rsidRPr="00CA78BD" w:rsidRDefault="007F3CBD" w:rsidP="00920D5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lastRenderedPageBreak/>
        <w:tab/>
        <w:t xml:space="preserve">Эти данные подтверждают тот факт, что европейские институты охотно работают с представительными бизнес-ассоциациями, а те в свою очередь располагают значительными ресурсами влияния на власть.  Высокие расходы бизнес-ассоциаций на лоббизм обеспечивают частному бизнесу постоянное представительство в Европейском союзе, участие в экспертных группах и личные контакты с лицами, принимающими решения. </w:t>
      </w:r>
      <w:r w:rsidR="00250628" w:rsidRPr="00CA78BD">
        <w:rPr>
          <w:rFonts w:ascii="Times New Roman" w:hAnsi="Times New Roman" w:cs="Times New Roman"/>
        </w:rPr>
        <w:t xml:space="preserve">Бизнес-ассоциации – главная противодействующая сила на пути реализации новых экологических мер. </w:t>
      </w:r>
      <w:r w:rsidR="006017B5" w:rsidRPr="00CA78BD">
        <w:rPr>
          <w:rFonts w:ascii="Times New Roman" w:hAnsi="Times New Roman" w:cs="Times New Roman"/>
        </w:rPr>
        <w:t>Широкая</w:t>
      </w:r>
      <w:r w:rsidR="00250628" w:rsidRPr="00CA78BD">
        <w:rPr>
          <w:rFonts w:ascii="Times New Roman" w:hAnsi="Times New Roman" w:cs="Times New Roman"/>
        </w:rPr>
        <w:t xml:space="preserve"> сеть членов</w:t>
      </w:r>
      <w:r w:rsidR="00062E0A" w:rsidRPr="00CA78BD">
        <w:rPr>
          <w:rFonts w:ascii="Times New Roman" w:hAnsi="Times New Roman" w:cs="Times New Roman"/>
        </w:rPr>
        <w:t>, значительн</w:t>
      </w:r>
      <w:r w:rsidR="001E1311" w:rsidRPr="00CA78BD">
        <w:rPr>
          <w:rFonts w:ascii="Times New Roman" w:hAnsi="Times New Roman" w:cs="Times New Roman"/>
        </w:rPr>
        <w:t>ые</w:t>
      </w:r>
      <w:r w:rsidR="00062E0A" w:rsidRPr="00CA78BD">
        <w:rPr>
          <w:rFonts w:ascii="Times New Roman" w:hAnsi="Times New Roman" w:cs="Times New Roman"/>
        </w:rPr>
        <w:t xml:space="preserve"> денежны</w:t>
      </w:r>
      <w:r w:rsidR="001E1311" w:rsidRPr="00CA78BD">
        <w:rPr>
          <w:rFonts w:ascii="Times New Roman" w:hAnsi="Times New Roman" w:cs="Times New Roman"/>
        </w:rPr>
        <w:t>е</w:t>
      </w:r>
      <w:r w:rsidR="00062E0A" w:rsidRPr="00CA78BD">
        <w:rPr>
          <w:rFonts w:ascii="Times New Roman" w:hAnsi="Times New Roman" w:cs="Times New Roman"/>
        </w:rPr>
        <w:t xml:space="preserve"> ресурс</w:t>
      </w:r>
      <w:r w:rsidR="001E1311" w:rsidRPr="00CA78BD">
        <w:rPr>
          <w:rFonts w:ascii="Times New Roman" w:hAnsi="Times New Roman" w:cs="Times New Roman"/>
        </w:rPr>
        <w:t>ы</w:t>
      </w:r>
      <w:r w:rsidR="00062E0A" w:rsidRPr="00CA78BD">
        <w:rPr>
          <w:rFonts w:ascii="Times New Roman" w:hAnsi="Times New Roman" w:cs="Times New Roman"/>
        </w:rPr>
        <w:t xml:space="preserve"> и информаци</w:t>
      </w:r>
      <w:r w:rsidR="001E1311" w:rsidRPr="00CA78BD">
        <w:rPr>
          <w:rFonts w:ascii="Times New Roman" w:hAnsi="Times New Roman" w:cs="Times New Roman"/>
        </w:rPr>
        <w:t>я</w:t>
      </w:r>
      <w:r w:rsidR="00062E0A" w:rsidRPr="00CA78BD">
        <w:rPr>
          <w:rFonts w:ascii="Times New Roman" w:hAnsi="Times New Roman" w:cs="Times New Roman"/>
        </w:rPr>
        <w:t xml:space="preserve"> об экономических процессах на рынке Евросоюза</w:t>
      </w:r>
      <w:r w:rsidR="001E1311" w:rsidRPr="00CA78BD">
        <w:rPr>
          <w:rFonts w:ascii="Times New Roman" w:hAnsi="Times New Roman" w:cs="Times New Roman"/>
        </w:rPr>
        <w:t xml:space="preserve"> гарантируют доступ к институтам власти</w:t>
      </w:r>
      <w:r w:rsidR="00062E0A" w:rsidRPr="00CA78BD">
        <w:rPr>
          <w:rFonts w:ascii="Times New Roman" w:hAnsi="Times New Roman" w:cs="Times New Roman"/>
        </w:rPr>
        <w:t xml:space="preserve">, </w:t>
      </w:r>
      <w:r w:rsidR="001E1311" w:rsidRPr="00CA78BD">
        <w:rPr>
          <w:rFonts w:ascii="Times New Roman" w:hAnsi="Times New Roman" w:cs="Times New Roman"/>
        </w:rPr>
        <w:t>а у институтов</w:t>
      </w:r>
      <w:r w:rsidR="00062E0A" w:rsidRPr="00CA78BD">
        <w:rPr>
          <w:rFonts w:ascii="Times New Roman" w:hAnsi="Times New Roman" w:cs="Times New Roman"/>
        </w:rPr>
        <w:t xml:space="preserve"> нет оснований не прислушиваться к их мнению. </w:t>
      </w:r>
    </w:p>
    <w:p w14:paraId="48BCF255" w14:textId="77777777" w:rsidR="00920D5B" w:rsidRPr="00CA78BD" w:rsidRDefault="00920D5B" w:rsidP="00920D5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hAnsi="Times New Roman" w:cs="Times New Roman"/>
        </w:rPr>
        <w:tab/>
        <w:t xml:space="preserve">Таким образом, основными противоборствующими игроками по вопросам климатической политики в Европейском Союзе остаются некоммерческие организации и крупные ассоциации бизнеса. Сегодня лидерами зелёной повестки являются </w:t>
      </w:r>
      <w:r w:rsidRPr="00CA78BD">
        <w:rPr>
          <w:rFonts w:ascii="Times New Roman" w:hAnsi="Times New Roman" w:cs="Times New Roman"/>
          <w:b/>
          <w:bCs/>
          <w:i/>
          <w:iCs/>
          <w:lang w:val="en-US"/>
        </w:rPr>
        <w:t>T</w:t>
      </w:r>
      <w:r w:rsidRPr="00CA78BD">
        <w:rPr>
          <w:rFonts w:ascii="Times New Roman" w:hAnsi="Times New Roman" w:cs="Times New Roman"/>
          <w:b/>
          <w:bCs/>
          <w:i/>
          <w:iCs/>
        </w:rPr>
        <w:t>&amp;</w:t>
      </w:r>
      <w:r w:rsidRPr="00CA78BD">
        <w:rPr>
          <w:rFonts w:ascii="Times New Roman" w:hAnsi="Times New Roman" w:cs="Times New Roman"/>
          <w:b/>
          <w:bCs/>
          <w:i/>
          <w:iCs/>
          <w:lang w:val="en-US"/>
        </w:rPr>
        <w:t>E</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WWF</w:t>
      </w:r>
      <w:r w:rsidRPr="00CA78BD">
        <w:rPr>
          <w:rFonts w:ascii="Times New Roman" w:hAnsi="Times New Roman" w:cs="Times New Roman"/>
        </w:rPr>
        <w:t xml:space="preserve"> и </w:t>
      </w:r>
      <w:r w:rsidRPr="00CA78BD">
        <w:rPr>
          <w:rFonts w:ascii="Times New Roman" w:hAnsi="Times New Roman" w:cs="Times New Roman"/>
          <w:b/>
          <w:bCs/>
          <w:i/>
          <w:iCs/>
          <w:lang w:val="en-US"/>
        </w:rPr>
        <w:t>EEB</w:t>
      </w:r>
      <w:r w:rsidRPr="00CA78BD">
        <w:rPr>
          <w:rFonts w:ascii="Times New Roman" w:hAnsi="Times New Roman" w:cs="Times New Roman"/>
        </w:rPr>
        <w:t xml:space="preserve">, которые проявляют наибольшую активность. Им в основном противостоят крупнейшая европейская ассоциация бизнеса </w:t>
      </w:r>
      <w:proofErr w:type="spellStart"/>
      <w:r w:rsidRPr="00CA78BD">
        <w:rPr>
          <w:rFonts w:ascii="Times New Roman" w:hAnsi="Times New Roman" w:cs="Times New Roman"/>
          <w:b/>
          <w:bCs/>
          <w:i/>
          <w:iCs/>
          <w:lang w:val="en-US"/>
        </w:rPr>
        <w:t>BusinessEurope</w:t>
      </w:r>
      <w:proofErr w:type="spellEnd"/>
      <w:r w:rsidRPr="00CA78BD">
        <w:rPr>
          <w:rFonts w:ascii="Times New Roman" w:hAnsi="Times New Roman" w:cs="Times New Roman"/>
        </w:rPr>
        <w:t xml:space="preserve">, торговая палата США </w:t>
      </w:r>
      <w:r w:rsidRPr="00CA78BD">
        <w:rPr>
          <w:rFonts w:ascii="Times New Roman" w:hAnsi="Times New Roman" w:cs="Times New Roman"/>
          <w:b/>
          <w:bCs/>
          <w:i/>
          <w:iCs/>
          <w:lang w:val="en-US"/>
        </w:rPr>
        <w:t>AmCham</w:t>
      </w:r>
      <w:r w:rsidRPr="00CA78BD">
        <w:rPr>
          <w:rFonts w:ascii="Times New Roman" w:hAnsi="Times New Roman" w:cs="Times New Roman"/>
          <w:b/>
          <w:bCs/>
          <w:i/>
          <w:iCs/>
        </w:rPr>
        <w:t xml:space="preserve"> </w:t>
      </w:r>
      <w:r w:rsidRPr="00CA78BD">
        <w:rPr>
          <w:rFonts w:ascii="Times New Roman" w:hAnsi="Times New Roman" w:cs="Times New Roman"/>
          <w:b/>
          <w:bCs/>
          <w:i/>
          <w:iCs/>
          <w:lang w:val="en-US"/>
        </w:rPr>
        <w:t>EU</w:t>
      </w:r>
      <w:r w:rsidRPr="00CA78BD">
        <w:rPr>
          <w:rFonts w:ascii="Times New Roman" w:hAnsi="Times New Roman" w:cs="Times New Roman"/>
        </w:rPr>
        <w:t xml:space="preserve"> и </w:t>
      </w:r>
      <w:proofErr w:type="spellStart"/>
      <w:r w:rsidRPr="00CA78BD">
        <w:rPr>
          <w:rFonts w:ascii="Times New Roman" w:hAnsi="Times New Roman" w:cs="Times New Roman"/>
          <w:b/>
          <w:bCs/>
          <w:i/>
          <w:iCs/>
          <w:lang w:val="en-US"/>
        </w:rPr>
        <w:t>Cefic</w:t>
      </w:r>
      <w:proofErr w:type="spellEnd"/>
      <w:r w:rsidRPr="00CA78BD">
        <w:rPr>
          <w:rFonts w:ascii="Times New Roman" w:hAnsi="Times New Roman" w:cs="Times New Roman"/>
        </w:rPr>
        <w:t xml:space="preserve">. По всей видимости сектор ВИЭ ещё пока не имеет большой политической силы, а отдельные передовые компании, выступающие в защиту климатической политики, не имеют достаточной компетенции, чтобы влиять на экологические вопросы (например, компании из сферы </w:t>
      </w:r>
      <w:r w:rsidRPr="00CA78BD">
        <w:rPr>
          <w:rFonts w:ascii="Times New Roman" w:hAnsi="Times New Roman" w:cs="Times New Roman"/>
          <w:lang w:val="en-US"/>
        </w:rPr>
        <w:t>IT</w:t>
      </w:r>
      <w:r w:rsidRPr="00CA78BD">
        <w:rPr>
          <w:rFonts w:ascii="Times New Roman" w:hAnsi="Times New Roman" w:cs="Times New Roman"/>
        </w:rPr>
        <w:t xml:space="preserve">). </w:t>
      </w:r>
    </w:p>
    <w:p w14:paraId="13A98C8F" w14:textId="77777777" w:rsidR="00C95A49" w:rsidRPr="00CA78BD" w:rsidRDefault="00C95A49" w:rsidP="00C95A4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eastAsia="Times New Roman" w:hAnsi="Times New Roman" w:cs="Times New Roman"/>
        </w:rPr>
      </w:pPr>
      <w:r w:rsidRPr="00CA78BD">
        <w:rPr>
          <w:rFonts w:ascii="Times New Roman" w:hAnsi="Times New Roman" w:cs="Times New Roman"/>
        </w:rPr>
        <w:tab/>
        <w:t xml:space="preserve">Коммерческие структуры значительно превосходят некоммерческие организации по объему расходуемых средств на лоббистскую деятельность. По понятным причинам они располагают практически неограниченными ресурсами для представительства своих интересов в институтах власти. Список ассоциаций бизнеса, противодействующих проведению экологической политики, насчитывает 19 субъектов, 7 из которых тратят на лоббистскую деятельность более 1 000 000 </w:t>
      </w:r>
      <w:r w:rsidR="001E1311" w:rsidRPr="00CA78BD">
        <w:rPr>
          <w:rFonts w:ascii="Times New Roman" w:eastAsia="Times New Roman" w:hAnsi="Times New Roman" w:cs="Times New Roman"/>
          <w:color w:val="202124"/>
          <w:shd w:val="clear" w:color="auto" w:fill="FFFFFF"/>
        </w:rPr>
        <w:t>€</w:t>
      </w:r>
      <w:r w:rsidRPr="00CA78BD">
        <w:rPr>
          <w:rFonts w:ascii="Times New Roman" w:hAnsi="Times New Roman" w:cs="Times New Roman"/>
        </w:rPr>
        <w:t>. Совместно эти 7 ассоциаций тратят на лоббизм</w:t>
      </w:r>
      <w:r w:rsidRPr="00CA78BD">
        <w:rPr>
          <w:rFonts w:ascii="Times New Roman" w:hAnsi="Times New Roman" w:cs="Times New Roman"/>
          <w:b/>
          <w:bCs/>
          <w:i/>
          <w:iCs/>
        </w:rPr>
        <w:t xml:space="preserve"> </w:t>
      </w:r>
      <w:r w:rsidRPr="00CA78BD">
        <w:rPr>
          <w:rFonts w:ascii="Times New Roman" w:hAnsi="Times New Roman" w:cs="Times New Roman"/>
        </w:rPr>
        <w:t>минимум</w:t>
      </w:r>
      <w:r w:rsidRPr="00CA78BD">
        <w:rPr>
          <w:rFonts w:ascii="Times New Roman" w:hAnsi="Times New Roman" w:cs="Times New Roman"/>
          <w:b/>
          <w:bCs/>
          <w:i/>
          <w:iCs/>
        </w:rPr>
        <w:t xml:space="preserve"> 26 750 000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rPr>
        <w:t xml:space="preserve">. Среди некоммерческих структур только 3 НКО тратят на лоббизм более </w:t>
      </w:r>
      <w:r w:rsidR="000F3EED" w:rsidRPr="00CA78BD">
        <w:rPr>
          <w:rFonts w:ascii="Times New Roman" w:hAnsi="Times New Roman" w:cs="Times New Roman"/>
        </w:rPr>
        <w:t xml:space="preserve">1 000 000 </w:t>
      </w:r>
      <w:r w:rsidR="000F3EED" w:rsidRPr="00CA78BD">
        <w:rPr>
          <w:rFonts w:ascii="Times New Roman" w:eastAsia="Times New Roman" w:hAnsi="Times New Roman" w:cs="Times New Roman"/>
          <w:color w:val="202124"/>
          <w:shd w:val="clear" w:color="auto" w:fill="FFFFFF"/>
        </w:rPr>
        <w:t>€</w:t>
      </w:r>
      <w:r w:rsidRPr="00CA78BD">
        <w:rPr>
          <w:rFonts w:ascii="Times New Roman" w:hAnsi="Times New Roman" w:cs="Times New Roman"/>
        </w:rPr>
        <w:t xml:space="preserve">. Совместно эти некоммерческие организации тратят минимум </w:t>
      </w:r>
      <w:r w:rsidRPr="00CA78BD">
        <w:rPr>
          <w:rFonts w:ascii="Times New Roman" w:hAnsi="Times New Roman" w:cs="Times New Roman"/>
          <w:b/>
          <w:bCs/>
          <w:i/>
          <w:iCs/>
        </w:rPr>
        <w:t xml:space="preserve">11 250 000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rPr>
        <w:t xml:space="preserve">, что более чем в 2 раза меньше, чем затраты ассоциаций, упомянутых выше. Если посчитать затраты всех субъектов </w:t>
      </w:r>
      <w:proofErr w:type="spellStart"/>
      <w:r w:rsidRPr="00CA78BD">
        <w:rPr>
          <w:rFonts w:ascii="Times New Roman" w:hAnsi="Times New Roman" w:cs="Times New Roman"/>
        </w:rPr>
        <w:t>антиэкологической</w:t>
      </w:r>
      <w:proofErr w:type="spellEnd"/>
      <w:r w:rsidRPr="00CA78BD">
        <w:rPr>
          <w:rFonts w:ascii="Times New Roman" w:hAnsi="Times New Roman" w:cs="Times New Roman"/>
        </w:rPr>
        <w:t xml:space="preserve"> деятельности в институтах Европейского Союза, которые тратят на лоббизм более 1 000 000 </w:t>
      </w:r>
      <w:r w:rsidRPr="00CA78BD">
        <w:rPr>
          <w:rFonts w:ascii="Times New Roman" w:eastAsia="Times New Roman" w:hAnsi="Times New Roman" w:cs="Times New Roman"/>
          <w:color w:val="202124"/>
          <w:shd w:val="clear" w:color="auto" w:fill="FFFFFF"/>
        </w:rPr>
        <w:t>€</w:t>
      </w:r>
      <w:r w:rsidRPr="00CA78BD">
        <w:rPr>
          <w:rFonts w:ascii="Times New Roman" w:hAnsi="Times New Roman" w:cs="Times New Roman"/>
        </w:rPr>
        <w:t xml:space="preserve">, то придётся обратиться к данным 12 компании и 7 ассоциаций. Совместно их расходы составят минимум </w:t>
      </w:r>
      <w:r w:rsidRPr="00CA78BD">
        <w:rPr>
          <w:rFonts w:ascii="Times New Roman" w:hAnsi="Times New Roman" w:cs="Times New Roman"/>
          <w:b/>
          <w:bCs/>
          <w:i/>
          <w:iCs/>
        </w:rPr>
        <w:t xml:space="preserve">56 </w:t>
      </w:r>
      <w:r w:rsidRPr="00CA78BD">
        <w:rPr>
          <w:rFonts w:ascii="Times New Roman" w:hAnsi="Times New Roman" w:cs="Times New Roman"/>
          <w:b/>
          <w:bCs/>
          <w:i/>
          <w:iCs/>
        </w:rPr>
        <w:lastRenderedPageBreak/>
        <w:t xml:space="preserve">250 000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rPr>
        <w:t xml:space="preserve">. Со стороны </w:t>
      </w:r>
      <w:proofErr w:type="spellStart"/>
      <w:r w:rsidRPr="00CA78BD">
        <w:rPr>
          <w:rFonts w:ascii="Times New Roman" w:hAnsi="Times New Roman" w:cs="Times New Roman"/>
        </w:rPr>
        <w:t>проэкологически</w:t>
      </w:r>
      <w:proofErr w:type="spellEnd"/>
      <w:r w:rsidRPr="00CA78BD">
        <w:rPr>
          <w:rFonts w:ascii="Times New Roman" w:hAnsi="Times New Roman" w:cs="Times New Roman"/>
        </w:rPr>
        <w:t xml:space="preserve"> активных субъектов более 1 000 000 </w:t>
      </w:r>
      <w:r w:rsidRPr="00CA78BD">
        <w:rPr>
          <w:rFonts w:ascii="Times New Roman" w:eastAsia="Times New Roman" w:hAnsi="Times New Roman" w:cs="Times New Roman"/>
          <w:color w:val="202124"/>
          <w:shd w:val="clear" w:color="auto" w:fill="FFFFFF"/>
        </w:rPr>
        <w:t>€</w:t>
      </w:r>
      <w:r w:rsidRPr="00CA78BD">
        <w:rPr>
          <w:rFonts w:ascii="Times New Roman" w:hAnsi="Times New Roman" w:cs="Times New Roman"/>
          <w:b/>
          <w:bCs/>
          <w:i/>
          <w:iCs/>
        </w:rPr>
        <w:t xml:space="preserve"> </w:t>
      </w:r>
      <w:r w:rsidRPr="00CA78BD">
        <w:rPr>
          <w:rFonts w:ascii="Times New Roman" w:hAnsi="Times New Roman" w:cs="Times New Roman"/>
        </w:rPr>
        <w:t xml:space="preserve">на лоббистскую деятельность тратят 3 НКО, 7 компаний и 1 ассоциация, то есть всего 11 субъектов. Совместно они будут тратить минимум </w:t>
      </w:r>
      <w:r w:rsidRPr="00CA78BD">
        <w:rPr>
          <w:rFonts w:ascii="Times New Roman" w:hAnsi="Times New Roman" w:cs="Times New Roman"/>
          <w:b/>
          <w:bCs/>
          <w:i/>
          <w:iCs/>
        </w:rPr>
        <w:t xml:space="preserve">29 750 000 </w:t>
      </w:r>
      <w:r w:rsidRPr="00D20D45">
        <w:rPr>
          <w:rFonts w:ascii="Times New Roman" w:eastAsia="Times New Roman" w:hAnsi="Times New Roman" w:cs="Times New Roman"/>
          <w:b/>
          <w:bCs/>
          <w:i/>
          <w:iCs/>
          <w:color w:val="202124"/>
          <w:shd w:val="clear" w:color="auto" w:fill="FFFFFF"/>
        </w:rPr>
        <w:t>€</w:t>
      </w:r>
      <w:r w:rsidRPr="00CA78BD">
        <w:rPr>
          <w:rFonts w:ascii="Times New Roman" w:hAnsi="Times New Roman" w:cs="Times New Roman"/>
        </w:rPr>
        <w:t xml:space="preserve">. Таким образом, число </w:t>
      </w:r>
      <w:proofErr w:type="spellStart"/>
      <w:r w:rsidRPr="00CA78BD">
        <w:rPr>
          <w:rFonts w:ascii="Times New Roman" w:hAnsi="Times New Roman" w:cs="Times New Roman"/>
        </w:rPr>
        <w:t>антиэкологических</w:t>
      </w:r>
      <w:proofErr w:type="spellEnd"/>
      <w:r w:rsidRPr="00CA78BD">
        <w:rPr>
          <w:rFonts w:ascii="Times New Roman" w:hAnsi="Times New Roman" w:cs="Times New Roman"/>
        </w:rPr>
        <w:t xml:space="preserve"> субъектов в институтах Европейского Союза, которые тратят на лоббистскую деятельность более 1 000 000 </w:t>
      </w:r>
      <w:r w:rsidRPr="00CA78BD">
        <w:rPr>
          <w:rFonts w:ascii="Times New Roman" w:eastAsia="Times New Roman" w:hAnsi="Times New Roman" w:cs="Times New Roman"/>
          <w:color w:val="202124"/>
          <w:shd w:val="clear" w:color="auto" w:fill="FFFFFF"/>
        </w:rPr>
        <w:t>€</w:t>
      </w:r>
      <w:r w:rsidRPr="00CA78BD">
        <w:rPr>
          <w:rFonts w:ascii="Times New Roman" w:hAnsi="Times New Roman" w:cs="Times New Roman"/>
        </w:rPr>
        <w:t xml:space="preserve">, достигает </w:t>
      </w:r>
      <w:r w:rsidRPr="00CA78BD">
        <w:rPr>
          <w:rFonts w:ascii="Times New Roman" w:hAnsi="Times New Roman" w:cs="Times New Roman"/>
          <w:b/>
          <w:bCs/>
          <w:i/>
          <w:iCs/>
        </w:rPr>
        <w:t>19</w:t>
      </w:r>
      <w:r w:rsidRPr="00CA78BD">
        <w:rPr>
          <w:rFonts w:ascii="Times New Roman" w:hAnsi="Times New Roman" w:cs="Times New Roman"/>
        </w:rPr>
        <w:t xml:space="preserve">, тогда как со стороны </w:t>
      </w:r>
      <w:proofErr w:type="spellStart"/>
      <w:r w:rsidRPr="00CA78BD">
        <w:rPr>
          <w:rFonts w:ascii="Times New Roman" w:hAnsi="Times New Roman" w:cs="Times New Roman"/>
        </w:rPr>
        <w:t>проэкологически</w:t>
      </w:r>
      <w:proofErr w:type="spellEnd"/>
      <w:r w:rsidRPr="00CA78BD">
        <w:rPr>
          <w:rFonts w:ascii="Times New Roman" w:hAnsi="Times New Roman" w:cs="Times New Roman"/>
        </w:rPr>
        <w:t xml:space="preserve"> настроенных субъектов такой суммой располагают только </w:t>
      </w:r>
      <w:r w:rsidRPr="00CA78BD">
        <w:rPr>
          <w:rFonts w:ascii="Times New Roman" w:hAnsi="Times New Roman" w:cs="Times New Roman"/>
          <w:b/>
          <w:bCs/>
          <w:i/>
          <w:iCs/>
        </w:rPr>
        <w:t>11</w:t>
      </w:r>
      <w:r w:rsidRPr="00CA78BD">
        <w:rPr>
          <w:rFonts w:ascii="Times New Roman" w:hAnsi="Times New Roman" w:cs="Times New Roman"/>
        </w:rPr>
        <w:t xml:space="preserve">. Общая сумма расходов первых аналогично превышает расходы вторых почти в 2 раза. </w:t>
      </w:r>
    </w:p>
    <w:p w14:paraId="6A821014" w14:textId="77777777" w:rsidR="00C95A49" w:rsidRPr="00CA78BD" w:rsidRDefault="00C95A49" w:rsidP="00C95A4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hAnsi="Times New Roman" w:cs="Times New Roman"/>
        </w:rPr>
      </w:pPr>
      <w:r w:rsidRPr="00CA78BD">
        <w:rPr>
          <w:rFonts w:ascii="Times New Roman" w:eastAsia="Times New Roman" w:hAnsi="Times New Roman" w:cs="Times New Roman"/>
        </w:rPr>
        <w:tab/>
      </w:r>
      <w:r w:rsidRPr="00CA78BD">
        <w:rPr>
          <w:rFonts w:ascii="Times New Roman" w:hAnsi="Times New Roman" w:cs="Times New Roman"/>
        </w:rPr>
        <w:t xml:space="preserve">Однако значительные денежные ресурсы не всегда определяют успех в продвижении своих интересов. Можно заметить неоднократные случаи, когда при равных расходах на лоббистскую деятельность одна организация оказывается более вовлеченной в политику, чем другая. Или же при более низких затратах организация отчитывается о более активной деятельности в институтах Европейского Союза, чем организация, которая тратит на эту деятельность в разы больше. Количество встреч со стороны противников климатической политики с представителями власти за 2020 год в общей сумме достигает </w:t>
      </w:r>
      <w:r w:rsidRPr="00CA78BD">
        <w:rPr>
          <w:rFonts w:ascii="Times New Roman" w:hAnsi="Times New Roman" w:cs="Times New Roman"/>
          <w:b/>
          <w:bCs/>
          <w:i/>
          <w:iCs/>
        </w:rPr>
        <w:t>380</w:t>
      </w:r>
      <w:r w:rsidRPr="00CA78BD">
        <w:rPr>
          <w:rFonts w:ascii="Times New Roman" w:hAnsi="Times New Roman" w:cs="Times New Roman"/>
        </w:rPr>
        <w:t xml:space="preserve">, количество встреч со стороны про экологических субъектов за тот же год достигает </w:t>
      </w:r>
      <w:r w:rsidRPr="00CA78BD">
        <w:rPr>
          <w:rFonts w:ascii="Times New Roman" w:hAnsi="Times New Roman" w:cs="Times New Roman"/>
          <w:b/>
          <w:bCs/>
          <w:i/>
          <w:iCs/>
        </w:rPr>
        <w:t>337</w:t>
      </w:r>
      <w:r w:rsidRPr="00CA78BD">
        <w:rPr>
          <w:rFonts w:ascii="Times New Roman" w:hAnsi="Times New Roman" w:cs="Times New Roman"/>
        </w:rPr>
        <w:t xml:space="preserve">. Это парадоксально, потому что количество задействованных в институтах Европейского Союза сотрудников также сильно отличается в пользу противников климатической политики. Суммарное количество сотрудников из «антирейтинга» — </w:t>
      </w:r>
      <w:r w:rsidRPr="00CA78BD">
        <w:rPr>
          <w:rFonts w:ascii="Times New Roman" w:hAnsi="Times New Roman" w:cs="Times New Roman"/>
          <w:b/>
          <w:bCs/>
          <w:i/>
          <w:iCs/>
        </w:rPr>
        <w:t>574</w:t>
      </w:r>
      <w:r w:rsidRPr="00CA78BD">
        <w:rPr>
          <w:rFonts w:ascii="Times New Roman" w:hAnsi="Times New Roman" w:cs="Times New Roman"/>
        </w:rPr>
        <w:t xml:space="preserve">, суммарное количество сотрудников со стороны </w:t>
      </w:r>
      <w:proofErr w:type="spellStart"/>
      <w:r w:rsidRPr="00CA78BD">
        <w:rPr>
          <w:rFonts w:ascii="Times New Roman" w:hAnsi="Times New Roman" w:cs="Times New Roman"/>
        </w:rPr>
        <w:t>проэкологических</w:t>
      </w:r>
      <w:proofErr w:type="spellEnd"/>
      <w:r w:rsidRPr="00CA78BD">
        <w:rPr>
          <w:rFonts w:ascii="Times New Roman" w:hAnsi="Times New Roman" w:cs="Times New Roman"/>
        </w:rPr>
        <w:t xml:space="preserve"> субъектов — лишь </w:t>
      </w:r>
      <w:r w:rsidRPr="00CA78BD">
        <w:rPr>
          <w:rFonts w:ascii="Times New Roman" w:hAnsi="Times New Roman" w:cs="Times New Roman"/>
          <w:b/>
          <w:bCs/>
          <w:i/>
          <w:iCs/>
        </w:rPr>
        <w:t>361</w:t>
      </w:r>
      <w:r w:rsidRPr="00CA78BD">
        <w:rPr>
          <w:rFonts w:ascii="Times New Roman" w:hAnsi="Times New Roman" w:cs="Times New Roman"/>
        </w:rPr>
        <w:t>. Выходит, что перевес со стороны бизнес-ассоциаций компенсируется той репутацией, которую имеют НКО, и их общественной поддержкой. Вероятно, качество работы, достоверность информации и убедительность аргументов оказывается в лоббизме важнее, чем количество сотрудников и затраченных средств. Законодатели должны оценивать реальное положение дел в обществе и на рынке, а не денежную сумму, которую организации готовы потратить на лоббизм. Денежные ресурсы не влияют на доверие со стороны законодателей и их готовность идти на контакт.</w:t>
      </w:r>
    </w:p>
    <w:p w14:paraId="1AAFD012" w14:textId="77777777" w:rsidR="00C95A49" w:rsidRPr="00CA78BD" w:rsidRDefault="00C95A49">
      <w:pPr>
        <w:rPr>
          <w:rFonts w:ascii="Times New Roman" w:eastAsia="Arial Unicode MS" w:hAnsi="Times New Roman" w:cs="Times New Roman"/>
          <w:color w:val="000000"/>
          <w:bdr w:val="nil"/>
          <w:lang w:eastAsia="ru-RU"/>
          <w14:textOutline w14:w="0" w14:cap="flat" w14:cmpd="sng" w14:algn="ctr">
            <w14:noFill/>
            <w14:prstDash w14:val="solid"/>
            <w14:bevel/>
          </w14:textOutline>
        </w:rPr>
      </w:pPr>
      <w:r w:rsidRPr="00CA78BD">
        <w:rPr>
          <w:rFonts w:ascii="Times New Roman" w:hAnsi="Times New Roman" w:cs="Times New Roman"/>
        </w:rPr>
        <w:br w:type="page"/>
      </w:r>
    </w:p>
    <w:p w14:paraId="65CDFF3B" w14:textId="77777777" w:rsidR="005F529A" w:rsidRPr="00CA78BD" w:rsidRDefault="00E50441" w:rsidP="00E50441">
      <w:pPr>
        <w:pStyle w:val="1"/>
        <w:spacing w:line="360" w:lineRule="auto"/>
        <w:ind w:firstLine="708"/>
        <w:rPr>
          <w:rFonts w:ascii="Times New Roman" w:eastAsia="Times New Roman" w:hAnsi="Times New Roman" w:cs="Times New Roman"/>
          <w:b/>
          <w:sz w:val="24"/>
          <w:szCs w:val="24"/>
        </w:rPr>
      </w:pPr>
      <w:bookmarkStart w:id="9" w:name="_Toc72956536"/>
      <w:r w:rsidRPr="00CA78BD">
        <w:rPr>
          <w:rFonts w:ascii="Times New Roman" w:eastAsia="Times New Roman" w:hAnsi="Times New Roman" w:cs="Times New Roman"/>
          <w:b/>
          <w:color w:val="000000" w:themeColor="text1"/>
          <w:sz w:val="24"/>
          <w:szCs w:val="24"/>
        </w:rPr>
        <w:lastRenderedPageBreak/>
        <w:t xml:space="preserve">3. </w:t>
      </w:r>
      <w:r w:rsidR="009F756D" w:rsidRPr="00CA78BD">
        <w:rPr>
          <w:rFonts w:ascii="Times New Roman" w:eastAsia="Times New Roman" w:hAnsi="Times New Roman" w:cs="Times New Roman"/>
          <w:b/>
          <w:color w:val="000000" w:themeColor="text1"/>
          <w:sz w:val="24"/>
          <w:szCs w:val="24"/>
        </w:rPr>
        <w:t>Экологическая политика Европейского союза</w:t>
      </w:r>
      <w:bookmarkEnd w:id="9"/>
    </w:p>
    <w:p w14:paraId="2AC55938" w14:textId="77777777" w:rsidR="009F756D" w:rsidRPr="00CA78BD" w:rsidRDefault="009F756D" w:rsidP="00E50441">
      <w:pPr>
        <w:pStyle w:val="2"/>
        <w:spacing w:line="360" w:lineRule="auto"/>
        <w:ind w:firstLine="708"/>
        <w:rPr>
          <w:rFonts w:ascii="Times New Roman" w:eastAsia="Times New Roman" w:hAnsi="Times New Roman" w:cs="Times New Roman"/>
          <w:b/>
          <w:color w:val="000000" w:themeColor="text1"/>
          <w:sz w:val="24"/>
          <w:szCs w:val="24"/>
        </w:rPr>
      </w:pPr>
      <w:bookmarkStart w:id="10" w:name="_Toc72956537"/>
      <w:r w:rsidRPr="00CA78BD">
        <w:rPr>
          <w:rFonts w:ascii="Times New Roman" w:eastAsia="Times New Roman" w:hAnsi="Times New Roman" w:cs="Times New Roman"/>
          <w:b/>
          <w:color w:val="000000" w:themeColor="text1"/>
          <w:sz w:val="24"/>
          <w:szCs w:val="24"/>
        </w:rPr>
        <w:t>3.1 Европейский зелёный курс</w:t>
      </w:r>
      <w:bookmarkEnd w:id="10"/>
    </w:p>
    <w:p w14:paraId="6FFC8A90" w14:textId="77777777" w:rsidR="009F756D" w:rsidRPr="00CA78BD" w:rsidRDefault="009F756D" w:rsidP="009F756D">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08"/>
        <w:jc w:val="both"/>
        <w:rPr>
          <w:rFonts w:ascii="Times New Roman" w:eastAsia="Times New Roman" w:hAnsi="Times New Roman" w:cs="Times New Roman"/>
        </w:rPr>
      </w:pPr>
    </w:p>
    <w:p w14:paraId="465CB29E" w14:textId="77777777" w:rsidR="009F756D" w:rsidRPr="00CA78BD" w:rsidRDefault="009F756D" w:rsidP="009F756D">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eastAsia="Times New Roman" w:hAnsi="Times New Roman" w:cs="Times New Roman"/>
        </w:rPr>
      </w:pPr>
      <w:r w:rsidRPr="00CA78BD">
        <w:rPr>
          <w:rFonts w:ascii="Times New Roman" w:hAnsi="Times New Roman" w:cs="Times New Roman"/>
        </w:rPr>
        <w:tab/>
        <w:t>Экологическая политика Европейского союза базируется на концепции «устойчивого развития»</w:t>
      </w:r>
      <w:r w:rsidRPr="00CA78BD">
        <w:rPr>
          <w:rFonts w:ascii="Times New Roman" w:eastAsia="Times New Roman" w:hAnsi="Times New Roman" w:cs="Times New Roman"/>
          <w:vertAlign w:val="superscript"/>
        </w:rPr>
        <w:footnoteReference w:id="55"/>
      </w:r>
      <w:r w:rsidRPr="00CA78BD">
        <w:rPr>
          <w:rFonts w:ascii="Times New Roman" w:hAnsi="Times New Roman" w:cs="Times New Roman"/>
        </w:rPr>
        <w:t xml:space="preserve">. Данная концепция заключается в принципе ответственного распоряжения ресурсами, которое позволит удовлетворить потребности нынешнего поколения без рисков для будущего. То есть удовлетворяя свои потребности сегодня, мы должны позаботиться о том, чтобы будущее поколение тоже смогло удовлетворить свои потребности завтра. Этот принцип требует строго соблюдения баланса между дальнейшим экономическим ростом, социальной справедливостью и заботой об окружающей среде. Европа не может резко стать «зелёной», требуется постепенный переход к более «устойчивому» производству без огромного ущерба для отдельных отраслей и экономики Евросоюза в целом.  </w:t>
      </w:r>
    </w:p>
    <w:p w14:paraId="6D3D3E6C" w14:textId="77777777" w:rsidR="009F756D" w:rsidRPr="00CA78BD" w:rsidRDefault="009F756D" w:rsidP="009F756D">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eastAsia="Times New Roman" w:hAnsi="Times New Roman" w:cs="Times New Roman"/>
        </w:rPr>
      </w:pPr>
      <w:r w:rsidRPr="00CA78BD">
        <w:rPr>
          <w:rFonts w:ascii="Times New Roman" w:eastAsia="Times New Roman" w:hAnsi="Times New Roman" w:cs="Times New Roman"/>
        </w:rPr>
        <w:tab/>
      </w:r>
      <w:r w:rsidRPr="00CA78BD">
        <w:rPr>
          <w:rFonts w:ascii="Times New Roman" w:hAnsi="Times New Roman" w:cs="Times New Roman"/>
        </w:rPr>
        <w:t>В основе экологической политики Европейского союза также лежит принцип упреждающих действий, прописанный ещё в Маастрихтском договоре 1992 г. Он предполагает повышенное внимание к научной информации и экспертной оценке рисков для жизни людей, животных и окружающей среды в целом в будущем</w:t>
      </w:r>
      <w:r w:rsidRPr="00CA78BD">
        <w:rPr>
          <w:rFonts w:ascii="Times New Roman" w:eastAsia="Times New Roman" w:hAnsi="Times New Roman" w:cs="Times New Roman"/>
          <w:vertAlign w:val="superscript"/>
        </w:rPr>
        <w:footnoteReference w:id="56"/>
      </w:r>
      <w:r w:rsidRPr="00CA78BD">
        <w:rPr>
          <w:rFonts w:ascii="Times New Roman" w:hAnsi="Times New Roman" w:cs="Times New Roman"/>
        </w:rPr>
        <w:t xml:space="preserve">. Столь ответственное отношение к вопросам экологии в Европейском союзе обусловлено не только возросшей обеспокоенностью климатическими изменениями со стороны общественности и академического сообщества, но и долгосрочными политическими целями на международной арене. Европейский союз последовательно выходит на позицию мирового лидера в области экологической политики. В его интересах продемонстрировать успешное сотрудничество в вопросах экологической и климатической политики и зарекомендовать себя как прогрессивный интеграционный проект, нацеленный на совместное решение глобальных проблем и преодоление трудностей. Более того, развитие инновационных технологий, постепенный отход от угольной промышленности и использование возобновляемых источников энергии (ВИЭ), позволят Евросоюзу снизить энергетическую зависимость от стран-поставщиков нефти и газа, избежать </w:t>
      </w:r>
      <w:r w:rsidRPr="00CA78BD">
        <w:rPr>
          <w:rFonts w:ascii="Times New Roman" w:hAnsi="Times New Roman" w:cs="Times New Roman"/>
        </w:rPr>
        <w:lastRenderedPageBreak/>
        <w:t xml:space="preserve">рисков, связанных с использованием ядерной энергии, и повысить качество жизни во многих экологически неблагоприятных промышленных городах. </w:t>
      </w:r>
    </w:p>
    <w:p w14:paraId="6190AC12" w14:textId="77777777" w:rsidR="00B42D57" w:rsidRPr="00CA78BD" w:rsidRDefault="009F756D" w:rsidP="00B42D5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eastAsia="Times New Roman" w:hAnsi="Times New Roman" w:cs="Times New Roman"/>
        </w:rPr>
      </w:pPr>
      <w:r w:rsidRPr="00CA78BD">
        <w:rPr>
          <w:rFonts w:ascii="Times New Roman" w:hAnsi="Times New Roman" w:cs="Times New Roman"/>
        </w:rPr>
        <w:tab/>
        <w:t xml:space="preserve">В декабре 2019 года Европейская комиссия представила новый план действий в области экологической политики, который затрагивает все секторы экономики: транспорт, энергетику, сельское хозяйство, строительство, легкую  и тяжёлую промышленность, ИКТ и т.д. Новый план получил название </w:t>
      </w:r>
      <w:r w:rsidRPr="00CA78BD">
        <w:rPr>
          <w:rFonts w:ascii="Times New Roman" w:hAnsi="Times New Roman" w:cs="Times New Roman"/>
          <w:b/>
          <w:bCs/>
          <w:i/>
          <w:iCs/>
        </w:rPr>
        <w:t>«Европейский зелёный курс»</w:t>
      </w:r>
      <w:r w:rsidRPr="00CA78BD">
        <w:rPr>
          <w:rFonts w:ascii="Times New Roman" w:hAnsi="Times New Roman" w:cs="Times New Roman"/>
        </w:rPr>
        <w:t xml:space="preserve"> (или Зелёный пакт для Европы) и представляет собой стратегию постепенного перехода к более </w:t>
      </w:r>
      <w:proofErr w:type="spellStart"/>
      <w:r w:rsidRPr="00CA78BD">
        <w:rPr>
          <w:rFonts w:ascii="Times New Roman" w:hAnsi="Times New Roman" w:cs="Times New Roman"/>
        </w:rPr>
        <w:t>ресурсоэффективной</w:t>
      </w:r>
      <w:proofErr w:type="spellEnd"/>
      <w:r w:rsidRPr="00CA78BD">
        <w:rPr>
          <w:rFonts w:ascii="Times New Roman" w:hAnsi="Times New Roman" w:cs="Times New Roman"/>
        </w:rPr>
        <w:t>, чистой и устойчивой экономике, основанной на заботе об окружающей среде, благополучии человека, сохранении биоразнообразия и снижении уровня загрязнения. Так Европейский союз превращает климатические и экологические вызовы в новые возможности и становится в авангарде климатической политики на мировой арене. Главным направлением в рамках «Европейского зелёного курса» является достижение «климатической нейтральности» к 2050 году. Для достижения нулевого уровня выбросов парниковых газов в 2050 г. были установлены промежуточные целевые показатели, которые предписывают сокращение выбросов до 55% от уровня 1990 г. уже к 2030 г. Все законодательные акты и регламенты Европейского союза</w:t>
      </w:r>
      <w:r w:rsidR="009E324B" w:rsidRPr="00CA78BD">
        <w:rPr>
          <w:rFonts w:ascii="Times New Roman" w:hAnsi="Times New Roman" w:cs="Times New Roman"/>
        </w:rPr>
        <w:t>, соответственно,</w:t>
      </w:r>
      <w:r w:rsidRPr="00CA78BD">
        <w:rPr>
          <w:rFonts w:ascii="Times New Roman" w:hAnsi="Times New Roman" w:cs="Times New Roman"/>
        </w:rPr>
        <w:t xml:space="preserve"> должны соответствовать данным климатическим целям</w:t>
      </w:r>
      <w:r w:rsidRPr="00CA78BD">
        <w:rPr>
          <w:rFonts w:ascii="Times New Roman" w:eastAsia="Times New Roman" w:hAnsi="Times New Roman" w:cs="Times New Roman"/>
          <w:vertAlign w:val="superscript"/>
        </w:rPr>
        <w:footnoteReference w:id="57"/>
      </w:r>
      <w:r w:rsidRPr="00CA78BD">
        <w:rPr>
          <w:rFonts w:ascii="Times New Roman" w:hAnsi="Times New Roman" w:cs="Times New Roman"/>
        </w:rPr>
        <w:t xml:space="preserve">. </w:t>
      </w:r>
      <w:r w:rsidR="009E324B" w:rsidRPr="00CA78BD">
        <w:rPr>
          <w:rFonts w:ascii="Times New Roman" w:hAnsi="Times New Roman" w:cs="Times New Roman"/>
        </w:rPr>
        <w:t xml:space="preserve">Климатическое регулирование Евросоюза при этом основано на экономических методах как наиболее эффективных способах воздействия на бизнес. С 2005 г. в Евросоюзе действует система торговли квотами на выбросы парниковых газов, которая выступает гибким механизмом участия в климатической политике. </w:t>
      </w:r>
      <w:r w:rsidR="00B42D57" w:rsidRPr="00CA78BD">
        <w:rPr>
          <w:rFonts w:ascii="Times New Roman" w:hAnsi="Times New Roman" w:cs="Times New Roman"/>
        </w:rPr>
        <w:t>Возрастающая роль климатической повестки в международной торговле также ограничивается исключительно экономическими методами. В этой связи встаёт важный вопрос дилеммы между заботой об окружающей среде и принципами свободы торговли. Например, о</w:t>
      </w:r>
      <w:r w:rsidR="00B42D57" w:rsidRPr="00CA78BD">
        <w:rPr>
          <w:rFonts w:ascii="Times New Roman" w:eastAsia="Times New Roman" w:hAnsi="Times New Roman" w:cs="Times New Roman"/>
          <w:shd w:val="clear" w:color="auto" w:fill="FFFFFF"/>
        </w:rPr>
        <w:t>пределение контуров пограничного корректирующего механизма Евросоюза (ПКУМ) или углеродного налога очевидно принесет конкурентные преимущества европейским производителям.</w:t>
      </w:r>
    </w:p>
    <w:p w14:paraId="06260BAE" w14:textId="77777777" w:rsidR="009E324B" w:rsidRPr="00CA78BD" w:rsidRDefault="00B42D57" w:rsidP="00B42D5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eastAsia="Times New Roman" w:hAnsi="Times New Roman" w:cs="Times New Roman"/>
        </w:rPr>
      </w:pPr>
      <w:r w:rsidRPr="00CA78BD">
        <w:rPr>
          <w:rFonts w:ascii="Times New Roman" w:hAnsi="Times New Roman" w:cs="Times New Roman"/>
        </w:rPr>
        <w:tab/>
      </w:r>
      <w:r w:rsidR="009F756D" w:rsidRPr="00CA78BD">
        <w:rPr>
          <w:rFonts w:ascii="Times New Roman" w:hAnsi="Times New Roman" w:cs="Times New Roman"/>
        </w:rPr>
        <w:t xml:space="preserve">Другие направления новой экологической политики включают План действий по экономике замкнутого цикла, в котором сформулированы принципы устойчивого производства, Стратегию по сохранению биоразнообразия, </w:t>
      </w:r>
      <w:r w:rsidR="009F756D" w:rsidRPr="00CA78BD">
        <w:rPr>
          <w:rFonts w:ascii="Times New Roman" w:hAnsi="Times New Roman" w:cs="Times New Roman"/>
        </w:rPr>
        <w:lastRenderedPageBreak/>
        <w:t xml:space="preserve">предполагающую борьбу с основными факторами его сокращения, Стратегию «От фермы к столу», нацеленную на значительное сокращение использования химических пестицидов, удобрений и антибиотиков в сельском хозяйстве, новые ограничения и предписания для автомобильной промышленности и авиации, разработку экологически чистых технологий и </w:t>
      </w:r>
      <w:proofErr w:type="spellStart"/>
      <w:r w:rsidR="009F756D" w:rsidRPr="00CA78BD">
        <w:rPr>
          <w:rFonts w:ascii="Times New Roman" w:hAnsi="Times New Roman" w:cs="Times New Roman"/>
        </w:rPr>
        <w:t>др</w:t>
      </w:r>
      <w:proofErr w:type="spellEnd"/>
      <w:r w:rsidR="009F756D" w:rsidRPr="00CA78BD">
        <w:rPr>
          <w:rFonts w:ascii="Times New Roman" w:eastAsia="Times New Roman" w:hAnsi="Times New Roman" w:cs="Times New Roman"/>
          <w:vertAlign w:val="superscript"/>
        </w:rPr>
        <w:footnoteReference w:id="58"/>
      </w:r>
      <w:r w:rsidR="009F756D" w:rsidRPr="00CA78BD">
        <w:rPr>
          <w:rFonts w:ascii="Times New Roman" w:hAnsi="Times New Roman" w:cs="Times New Roman"/>
        </w:rPr>
        <w:t>. Все направления «Европейского зелёного курса» должны найти своё отражение в будущей 8-ой Программе действий в области охраны окружающей среды (ПДООС), которая ляжет в основу экологической политики Евросоюза на период до 2030 г. В настоящий момент Программа находится в процессе согласования, окончательно утвердить её планируют до конца 2021</w:t>
      </w:r>
      <w:r w:rsidRPr="00CA78BD">
        <w:rPr>
          <w:rFonts w:ascii="Times New Roman" w:hAnsi="Times New Roman" w:cs="Times New Roman"/>
        </w:rPr>
        <w:t>.</w:t>
      </w:r>
    </w:p>
    <w:p w14:paraId="7C9ABD37" w14:textId="77777777" w:rsidR="000D45FA" w:rsidRPr="00CA78BD" w:rsidRDefault="000D45FA" w:rsidP="000D45FA">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hAnsi="Times New Roman" w:cs="Times New Roman"/>
        </w:rPr>
      </w:pPr>
      <w:r w:rsidRPr="00CA78BD">
        <w:rPr>
          <w:rStyle w:val="af2"/>
          <w:rFonts w:ascii="Times New Roman" w:hAnsi="Times New Roman" w:cs="Times New Roman"/>
        </w:rPr>
        <w:tab/>
        <w:t>Хотя тенденция к более «устойчивой» экономике сегодня очевидна, и, по всей вероятности, продолжит набирать обороты, европейский бизнес не теряет надежды на сохранение статуса-</w:t>
      </w:r>
      <w:proofErr w:type="spellStart"/>
      <w:r w:rsidRPr="00CA78BD">
        <w:rPr>
          <w:rStyle w:val="af2"/>
          <w:rFonts w:ascii="Times New Roman" w:hAnsi="Times New Roman" w:cs="Times New Roman"/>
        </w:rPr>
        <w:t>кво</w:t>
      </w:r>
      <w:proofErr w:type="spellEnd"/>
      <w:r w:rsidRPr="00CA78BD">
        <w:rPr>
          <w:rStyle w:val="af2"/>
          <w:rFonts w:ascii="Times New Roman" w:hAnsi="Times New Roman" w:cs="Times New Roman"/>
        </w:rPr>
        <w:t xml:space="preserve"> еще на какое-то время. Он делает всё возможное, чтобы заявить о себе, как о непревзойдённой силе. И если на первый взгляд может показаться, что значительные затраты на лоббизм со стороны бизнес-структур — это показатель его силы, то на практике становится понятно, что это может быть следствием ощущения своей слабости и уязвимости перед лицом неизбежных изменений. Например, наблюдения показали, что с момента публикации новых инвестиционных правил, касающихся финансирования соответствующих климатическим целям проектов, лоббистская деятельность газового сектора и сектора ядерной энергетики резко возросла</w:t>
      </w:r>
      <w:r w:rsidRPr="00CA78BD">
        <w:rPr>
          <w:rStyle w:val="ab"/>
          <w:rFonts w:ascii="Times New Roman" w:hAnsi="Times New Roman" w:cs="Times New Roman"/>
        </w:rPr>
        <w:footnoteReference w:id="59"/>
      </w:r>
      <w:r w:rsidRPr="00CA78BD">
        <w:rPr>
          <w:rStyle w:val="af2"/>
          <w:rFonts w:ascii="Times New Roman" w:hAnsi="Times New Roman" w:cs="Times New Roman"/>
        </w:rPr>
        <w:t xml:space="preserve">. В соответствии с опубликованными в марте 2020 г. правилами, инвестиции в расширение газопроводов и в ядерную энергетику не считаются отвечающими климатическим целям Евросоюза, что ведёт к потере денежных средств для этих отраслей экономики. Вследствие этого с их стороны началась массивная кампания за пересмотр целей по сокращению выбросов и сроков их реализации. За 4 месяца с момента оглашения новых правил лоббисты от соответствующих секторов провели 52 встречи с представителями власти. При </w:t>
      </w:r>
      <w:r w:rsidRPr="00CA78BD">
        <w:rPr>
          <w:rStyle w:val="af2"/>
          <w:rFonts w:ascii="Times New Roman" w:hAnsi="Times New Roman" w:cs="Times New Roman"/>
        </w:rPr>
        <w:lastRenderedPageBreak/>
        <w:t>этом из 36 встреч с лоббистами из сферы ядерной энергетики за последние 2,5 года, 10 из них были проведены за те 4 месяца после публикации новых правил</w:t>
      </w:r>
      <w:r w:rsidRPr="00CA78BD">
        <w:rPr>
          <w:rStyle w:val="af2"/>
          <w:rFonts w:ascii="Times New Roman" w:eastAsia="Times New Roman" w:hAnsi="Times New Roman" w:cs="Times New Roman"/>
          <w:vertAlign w:val="superscript"/>
        </w:rPr>
        <w:footnoteReference w:id="60"/>
      </w:r>
      <w:r w:rsidRPr="00CA78BD">
        <w:rPr>
          <w:rStyle w:val="af2"/>
          <w:rFonts w:ascii="Times New Roman" w:hAnsi="Times New Roman" w:cs="Times New Roman"/>
        </w:rPr>
        <w:t xml:space="preserve">.  </w:t>
      </w:r>
    </w:p>
    <w:p w14:paraId="5759F139" w14:textId="77777777" w:rsidR="000D45FA" w:rsidRPr="00CA78BD" w:rsidRDefault="000D45FA" w:rsidP="000D45FA">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eastAsia="Times New Roman" w:hAnsi="Times New Roman" w:cs="Times New Roman"/>
        </w:rPr>
      </w:pPr>
      <w:r w:rsidRPr="00CA78BD">
        <w:rPr>
          <w:rStyle w:val="af2"/>
          <w:rFonts w:ascii="Times New Roman" w:eastAsia="Times New Roman" w:hAnsi="Times New Roman" w:cs="Times New Roman"/>
        </w:rPr>
        <w:tab/>
      </w:r>
      <w:r w:rsidRPr="00CA78BD">
        <w:rPr>
          <w:rStyle w:val="af2"/>
          <w:rFonts w:ascii="Times New Roman" w:hAnsi="Times New Roman" w:cs="Times New Roman"/>
        </w:rPr>
        <w:t>Ещё один пример некогда сильнейшей отрасли экономики в Евросоюзе, но сейчас столкнувшейся с вызовом со стороны экологических активистов — сельское хозяйство. До 1980-х сельское хозяйство получало 3/4 бюджета Европейского союза на Общую сельскохозяйственную политику (</w:t>
      </w:r>
      <w:r w:rsidRPr="00CA78BD">
        <w:rPr>
          <w:rStyle w:val="af2"/>
          <w:rFonts w:ascii="Times New Roman" w:hAnsi="Times New Roman" w:cs="Times New Roman"/>
          <w:lang w:val="en-US"/>
        </w:rPr>
        <w:t>CAP</w:t>
      </w:r>
      <w:r w:rsidRPr="00CA78BD">
        <w:rPr>
          <w:rStyle w:val="af2"/>
          <w:rFonts w:ascii="Times New Roman" w:hAnsi="Times New Roman" w:cs="Times New Roman"/>
        </w:rPr>
        <w:t>). Сегодня сельскохозяйственное лобби продолжает добиваться значительных успехов на европейском уровне, и в 2019 г. сельское хозяйство получило внушительную сумму, составляющую 36% бюджета</w:t>
      </w:r>
      <w:r w:rsidRPr="00CA78BD">
        <w:rPr>
          <w:rStyle w:val="af2"/>
          <w:rFonts w:ascii="Times New Roman" w:eastAsia="Times New Roman" w:hAnsi="Times New Roman" w:cs="Times New Roman"/>
          <w:vertAlign w:val="superscript"/>
        </w:rPr>
        <w:footnoteReference w:id="61"/>
      </w:r>
      <w:r w:rsidRPr="00CA78BD">
        <w:rPr>
          <w:rStyle w:val="af2"/>
          <w:rFonts w:ascii="Times New Roman" w:hAnsi="Times New Roman" w:cs="Times New Roman"/>
        </w:rPr>
        <w:t xml:space="preserve">. Однако всё изменилось в мае 2020 г., когда были оглашены стратегия «От фермы к столу» и стратегия по биоразнообразию. В рамках этих стратегий Евросоюз намерен сократить использование пестицидов, остановить эрозию почв, защитить популяцию насекомых, увеличить число охраняемых природных заповедников, создать цветочные полосы между сельхоз угодьями и высадить миллиарды деревьев. Фермеры будут вынуждены вдвое сократить использование пестицидов и удобрений, а также отказаться </w:t>
      </w:r>
      <w:r w:rsidR="00F150CE" w:rsidRPr="00CA78BD">
        <w:rPr>
          <w:rStyle w:val="af2"/>
          <w:rFonts w:ascii="Times New Roman" w:hAnsi="Times New Roman" w:cs="Times New Roman"/>
        </w:rPr>
        <w:t>от части</w:t>
      </w:r>
      <w:r w:rsidRPr="00CA78BD">
        <w:rPr>
          <w:rStyle w:val="af2"/>
          <w:rFonts w:ascii="Times New Roman" w:hAnsi="Times New Roman" w:cs="Times New Roman"/>
        </w:rPr>
        <w:t xml:space="preserve"> своих площадей. От них ожидают расширение площади полей, на которых будут выращивать продукцию в строгом соответствии с экологическими стандартами, вплоть до 30%, тогда как сейчас такие поля составляют лишь 8% от общей площади</w:t>
      </w:r>
      <w:r w:rsidRPr="00CA78BD">
        <w:rPr>
          <w:rStyle w:val="af2"/>
          <w:rFonts w:ascii="Times New Roman" w:eastAsia="Times New Roman" w:hAnsi="Times New Roman" w:cs="Times New Roman"/>
          <w:vertAlign w:val="superscript"/>
        </w:rPr>
        <w:footnoteReference w:id="62"/>
      </w:r>
      <w:r w:rsidRPr="00CA78BD">
        <w:rPr>
          <w:rStyle w:val="af2"/>
          <w:rFonts w:ascii="Times New Roman" w:hAnsi="Times New Roman" w:cs="Times New Roman"/>
        </w:rPr>
        <w:t xml:space="preserve">. </w:t>
      </w:r>
    </w:p>
    <w:p w14:paraId="3087F67E" w14:textId="77777777" w:rsidR="000D45FA" w:rsidRPr="00CA78BD" w:rsidRDefault="000D45FA" w:rsidP="000D45FA">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eastAsia="Times New Roman" w:hAnsi="Times New Roman" w:cs="Times New Roman"/>
        </w:rPr>
      </w:pPr>
      <w:r w:rsidRPr="00CA78BD">
        <w:rPr>
          <w:rStyle w:val="af2"/>
          <w:rFonts w:ascii="Times New Roman" w:eastAsia="Times New Roman" w:hAnsi="Times New Roman" w:cs="Times New Roman"/>
        </w:rPr>
        <w:tab/>
      </w:r>
      <w:r w:rsidRPr="00CA78BD">
        <w:rPr>
          <w:rStyle w:val="af2"/>
          <w:rFonts w:ascii="Times New Roman" w:hAnsi="Times New Roman" w:cs="Times New Roman"/>
        </w:rPr>
        <w:t xml:space="preserve">Такие серьёзные перемены в сельском хозяйстве стали возможны благодаря решительности нынешнего комиссара по вопросам экологии Франса </w:t>
      </w:r>
      <w:proofErr w:type="spellStart"/>
      <w:r w:rsidRPr="00CA78BD">
        <w:rPr>
          <w:rStyle w:val="af2"/>
          <w:rFonts w:ascii="Times New Roman" w:hAnsi="Times New Roman" w:cs="Times New Roman"/>
        </w:rPr>
        <w:t>Тиммерманса</w:t>
      </w:r>
      <w:proofErr w:type="spellEnd"/>
      <w:r w:rsidRPr="00CA78BD">
        <w:rPr>
          <w:rStyle w:val="af2"/>
          <w:rFonts w:ascii="Times New Roman" w:hAnsi="Times New Roman" w:cs="Times New Roman"/>
        </w:rPr>
        <w:t xml:space="preserve">. Если раньше в вопросах сельскохозяйственной политики доминировал </w:t>
      </w:r>
      <w:r w:rsidRPr="00CA78BD">
        <w:rPr>
          <w:rStyle w:val="af2"/>
          <w:rFonts w:ascii="Times New Roman" w:hAnsi="Times New Roman" w:cs="Times New Roman"/>
          <w:lang w:val="en-US"/>
        </w:rPr>
        <w:t>DG</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AGRI</w:t>
      </w:r>
      <w:r w:rsidRPr="00CA78BD">
        <w:rPr>
          <w:rStyle w:val="af2"/>
          <w:rFonts w:ascii="Times New Roman" w:hAnsi="Times New Roman" w:cs="Times New Roman"/>
        </w:rPr>
        <w:t xml:space="preserve">, то сейчас проекты двух вышеназванных стратегий были отправлены в другие генеральные директораты — </w:t>
      </w:r>
      <w:r w:rsidRPr="00CA78BD">
        <w:rPr>
          <w:rStyle w:val="af2"/>
          <w:rFonts w:ascii="Times New Roman" w:hAnsi="Times New Roman" w:cs="Times New Roman"/>
          <w:lang w:val="en-US"/>
        </w:rPr>
        <w:t>DG</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SANTE</w:t>
      </w:r>
      <w:r w:rsidRPr="00CA78BD">
        <w:rPr>
          <w:rStyle w:val="af2"/>
          <w:rFonts w:ascii="Times New Roman" w:hAnsi="Times New Roman" w:cs="Times New Roman"/>
        </w:rPr>
        <w:t xml:space="preserve"> и </w:t>
      </w:r>
      <w:r w:rsidRPr="00CA78BD">
        <w:rPr>
          <w:rStyle w:val="af2"/>
          <w:rFonts w:ascii="Times New Roman" w:hAnsi="Times New Roman" w:cs="Times New Roman"/>
          <w:lang w:val="en-US"/>
        </w:rPr>
        <w:t>DG</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ENV</w:t>
      </w:r>
      <w:r w:rsidRPr="00CA78BD">
        <w:rPr>
          <w:rStyle w:val="af2"/>
          <w:rFonts w:ascii="Times New Roman" w:hAnsi="Times New Roman" w:cs="Times New Roman"/>
        </w:rPr>
        <w:t xml:space="preserve"> — в обход </w:t>
      </w:r>
      <w:r w:rsidRPr="00CA78BD">
        <w:rPr>
          <w:rStyle w:val="af2"/>
          <w:rFonts w:ascii="Times New Roman" w:hAnsi="Times New Roman" w:cs="Times New Roman"/>
          <w:lang w:val="en-US"/>
        </w:rPr>
        <w:t>DG</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AGRI</w:t>
      </w:r>
      <w:r w:rsidRPr="00CA78BD">
        <w:rPr>
          <w:rStyle w:val="af2"/>
          <w:rFonts w:ascii="Times New Roman" w:hAnsi="Times New Roman" w:cs="Times New Roman"/>
        </w:rPr>
        <w:t xml:space="preserve">. Это решение может говорить о потере доверия к </w:t>
      </w:r>
      <w:r w:rsidRPr="00CA78BD">
        <w:rPr>
          <w:rStyle w:val="af2"/>
          <w:rFonts w:ascii="Times New Roman" w:hAnsi="Times New Roman" w:cs="Times New Roman"/>
          <w:lang w:val="en-US"/>
        </w:rPr>
        <w:t>DG</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AGRI</w:t>
      </w:r>
      <w:r w:rsidRPr="00CA78BD">
        <w:rPr>
          <w:rStyle w:val="af2"/>
          <w:rFonts w:ascii="Times New Roman" w:hAnsi="Times New Roman" w:cs="Times New Roman"/>
        </w:rPr>
        <w:t xml:space="preserve">, где оперируют сильнейшие лоббисты, представляющие интересы фермерства. Прежняя сельскохозяйственная политика никак не укладывалась в концепцию «устойчивого развития», поэтому требовался её коренной пересмотр. Экологические последствия интенсивного земледелия с использованием химикатов привели к значительному снижению </w:t>
      </w:r>
      <w:r w:rsidRPr="00CA78BD">
        <w:rPr>
          <w:rStyle w:val="af2"/>
          <w:rFonts w:ascii="Times New Roman" w:hAnsi="Times New Roman" w:cs="Times New Roman"/>
        </w:rPr>
        <w:lastRenderedPageBreak/>
        <w:t>биоразнообразия, которое угрожает окружающей среде. В этой связи выработка решений относительно новой сельскохозяйственной политики была поручена некогда находившимся в самом низу неформальной иерархии директоратам по здоровью и безопасности пищевых продуктов (</w:t>
      </w:r>
      <w:r w:rsidRPr="00CA78BD">
        <w:rPr>
          <w:rStyle w:val="af2"/>
          <w:rFonts w:ascii="Times New Roman" w:hAnsi="Times New Roman" w:cs="Times New Roman"/>
          <w:lang w:val="en-US"/>
        </w:rPr>
        <w:t>DG</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SANTI</w:t>
      </w:r>
      <w:r w:rsidRPr="00CA78BD">
        <w:rPr>
          <w:rStyle w:val="af2"/>
          <w:rFonts w:ascii="Times New Roman" w:hAnsi="Times New Roman" w:cs="Times New Roman"/>
        </w:rPr>
        <w:t>) и экологии (</w:t>
      </w:r>
      <w:r w:rsidRPr="00CA78BD">
        <w:rPr>
          <w:rStyle w:val="af2"/>
          <w:rFonts w:ascii="Times New Roman" w:hAnsi="Times New Roman" w:cs="Times New Roman"/>
          <w:lang w:val="en-US"/>
        </w:rPr>
        <w:t>DG</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ENV</w:t>
      </w:r>
      <w:r w:rsidRPr="00CA78BD">
        <w:rPr>
          <w:rStyle w:val="af2"/>
          <w:rFonts w:ascii="Times New Roman" w:hAnsi="Times New Roman" w:cs="Times New Roman"/>
        </w:rPr>
        <w:t>)</w:t>
      </w:r>
      <w:r w:rsidRPr="00CA78BD">
        <w:rPr>
          <w:rStyle w:val="af2"/>
          <w:rFonts w:ascii="Times New Roman" w:eastAsia="Times New Roman" w:hAnsi="Times New Roman" w:cs="Times New Roman"/>
          <w:vertAlign w:val="superscript"/>
        </w:rPr>
        <w:footnoteReference w:id="63"/>
      </w:r>
      <w:r w:rsidRPr="00CA78BD">
        <w:rPr>
          <w:rStyle w:val="af2"/>
          <w:rFonts w:ascii="Times New Roman" w:hAnsi="Times New Roman" w:cs="Times New Roman"/>
        </w:rPr>
        <w:t xml:space="preserve">. </w:t>
      </w:r>
    </w:p>
    <w:p w14:paraId="6B0810FE" w14:textId="77777777" w:rsidR="000D45FA" w:rsidRPr="00CA78BD" w:rsidRDefault="000D45FA" w:rsidP="000D45FA">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eastAsia="Times New Roman" w:hAnsi="Times New Roman" w:cs="Times New Roman"/>
        </w:rPr>
      </w:pPr>
      <w:r w:rsidRPr="00CA78BD">
        <w:rPr>
          <w:rStyle w:val="af2"/>
          <w:rFonts w:ascii="Times New Roman" w:eastAsia="Times New Roman" w:hAnsi="Times New Roman" w:cs="Times New Roman"/>
        </w:rPr>
        <w:tab/>
      </w:r>
      <w:r w:rsidRPr="00CA78BD">
        <w:rPr>
          <w:rStyle w:val="af2"/>
          <w:rFonts w:ascii="Times New Roman" w:hAnsi="Times New Roman" w:cs="Times New Roman"/>
        </w:rPr>
        <w:t xml:space="preserve">Несмотря на вмешательство в свою сферу со стороны других директоратов, </w:t>
      </w:r>
      <w:r w:rsidRPr="00CA78BD">
        <w:rPr>
          <w:rStyle w:val="af2"/>
          <w:rFonts w:ascii="Times New Roman" w:hAnsi="Times New Roman" w:cs="Times New Roman"/>
          <w:lang w:val="en-US"/>
        </w:rPr>
        <w:t>DG</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AGRI</w:t>
      </w:r>
      <w:r w:rsidRPr="00CA78BD">
        <w:rPr>
          <w:rStyle w:val="af2"/>
          <w:rFonts w:ascii="Times New Roman" w:hAnsi="Times New Roman" w:cs="Times New Roman"/>
        </w:rPr>
        <w:t xml:space="preserve"> и традиционно сотрудничающее с ним фермерское лобби намерены повлиять на реализацию новых инициатив и отстоять свои интересы. По их мнению, предложенные в рамках стратегий меры излишни, а предписанные ограничения для фермеров приведут к неблагоприятным последствиям для всей экономики Европы</w:t>
      </w:r>
      <w:r w:rsidRPr="00CA78BD">
        <w:rPr>
          <w:rStyle w:val="af2"/>
          <w:rFonts w:ascii="Times New Roman" w:eastAsia="Times New Roman" w:hAnsi="Times New Roman" w:cs="Times New Roman"/>
          <w:vertAlign w:val="superscript"/>
        </w:rPr>
        <w:footnoteReference w:id="64"/>
      </w:r>
      <w:r w:rsidRPr="00CA78BD">
        <w:rPr>
          <w:rStyle w:val="af2"/>
          <w:rFonts w:ascii="Times New Roman" w:hAnsi="Times New Roman" w:cs="Times New Roman"/>
        </w:rPr>
        <w:t xml:space="preserve">. Реализация новой политики может привести к увеличению импорта и потере рынка в Северной Америке. Это особенно тяжело будет пережить во время вызванного пандемией кризиса. В общем и целом, сельскохозяйственный сектор настаивает на том, что переход к экологическому земледелию должен быть обусловлен предложением, а не навязан «свыше» Европейской комиссией. В этой связи звучат предложения передать полномочия по реализации инициатив на национальный уровень, где уже отдельные правительства будут оценивать состояние сельскохозяйственного сектора в своей стране. </w:t>
      </w:r>
    </w:p>
    <w:p w14:paraId="2F80DC95" w14:textId="77777777" w:rsidR="000D45FA" w:rsidRPr="00CA78BD" w:rsidRDefault="000D45FA" w:rsidP="000D45FA">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hAnsi="Times New Roman" w:cs="Times New Roman"/>
        </w:rPr>
      </w:pPr>
      <w:r w:rsidRPr="00CA78BD">
        <w:rPr>
          <w:rStyle w:val="af2"/>
          <w:rFonts w:ascii="Times New Roman" w:eastAsia="Times New Roman" w:hAnsi="Times New Roman" w:cs="Times New Roman"/>
        </w:rPr>
        <w:tab/>
      </w:r>
      <w:r w:rsidRPr="00CA78BD">
        <w:rPr>
          <w:rStyle w:val="af2"/>
          <w:rFonts w:ascii="Times New Roman" w:hAnsi="Times New Roman" w:cs="Times New Roman"/>
        </w:rPr>
        <w:t xml:space="preserve">Можно сказать, что </w:t>
      </w:r>
      <w:r w:rsidRPr="00CA78BD">
        <w:rPr>
          <w:rStyle w:val="af2"/>
          <w:rFonts w:ascii="Times New Roman" w:hAnsi="Times New Roman" w:cs="Times New Roman"/>
          <w:lang w:val="en-US"/>
        </w:rPr>
        <w:t>DG</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AGRI</w:t>
      </w:r>
      <w:r w:rsidRPr="00CA78BD">
        <w:rPr>
          <w:rStyle w:val="af2"/>
          <w:rFonts w:ascii="Times New Roman" w:hAnsi="Times New Roman" w:cs="Times New Roman"/>
        </w:rPr>
        <w:t xml:space="preserve"> и фермерское лобби отвоевали своё право определять сельскохозяйственную политику в Евросоюзе. Конкретные вопросы по имплементации решений и распределении средств будут решаться на национальном уровне. Все решения должны будут быть включены в Национальный стратегический план (</w:t>
      </w:r>
      <w:r w:rsidRPr="00CA78BD">
        <w:rPr>
          <w:rStyle w:val="af2"/>
          <w:rFonts w:ascii="Times New Roman" w:hAnsi="Times New Roman" w:cs="Times New Roman"/>
          <w:lang w:val="en-US"/>
        </w:rPr>
        <w:t>National</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Strategic</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Plan</w:t>
      </w:r>
      <w:r w:rsidRPr="00CA78BD">
        <w:rPr>
          <w:rStyle w:val="af2"/>
          <w:rFonts w:ascii="Times New Roman" w:hAnsi="Times New Roman" w:cs="Times New Roman"/>
        </w:rPr>
        <w:t xml:space="preserve">), который отправится на одобрение </w:t>
      </w:r>
      <w:r w:rsidR="000B5AAD" w:rsidRPr="00CA78BD">
        <w:rPr>
          <w:rStyle w:val="af2"/>
          <w:rFonts w:ascii="Times New Roman" w:hAnsi="Times New Roman" w:cs="Times New Roman"/>
        </w:rPr>
        <w:t>Комиссии</w:t>
      </w:r>
      <w:r w:rsidRPr="00CA78BD">
        <w:rPr>
          <w:rStyle w:val="af2"/>
          <w:rFonts w:ascii="Times New Roman" w:hAnsi="Times New Roman" w:cs="Times New Roman"/>
        </w:rPr>
        <w:t xml:space="preserve">, в том числе и в лице </w:t>
      </w:r>
      <w:r w:rsidRPr="00CA78BD">
        <w:rPr>
          <w:rStyle w:val="af2"/>
          <w:rFonts w:ascii="Times New Roman" w:hAnsi="Times New Roman" w:cs="Times New Roman"/>
          <w:lang w:val="en-US"/>
        </w:rPr>
        <w:t>DG</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AGRI</w:t>
      </w:r>
      <w:r w:rsidRPr="00CA78BD">
        <w:rPr>
          <w:rStyle w:val="af2"/>
          <w:rFonts w:ascii="Times New Roman" w:eastAsia="Times New Roman" w:hAnsi="Times New Roman" w:cs="Times New Roman"/>
          <w:vertAlign w:val="superscript"/>
        </w:rPr>
        <w:footnoteReference w:id="65"/>
      </w:r>
      <w:r w:rsidRPr="00CA78BD">
        <w:rPr>
          <w:rStyle w:val="af2"/>
          <w:rFonts w:ascii="Times New Roman" w:hAnsi="Times New Roman" w:cs="Times New Roman"/>
        </w:rPr>
        <w:t xml:space="preserve">. </w:t>
      </w:r>
    </w:p>
    <w:p w14:paraId="7D9B00CA" w14:textId="77777777" w:rsidR="002C1199" w:rsidRPr="00CA78BD" w:rsidRDefault="00D60629" w:rsidP="00FC1EE3">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hAnsi="Times New Roman" w:cs="Times New Roman"/>
        </w:rPr>
      </w:pPr>
      <w:r w:rsidRPr="00CA78BD">
        <w:rPr>
          <w:rStyle w:val="af2"/>
          <w:rFonts w:ascii="Times New Roman" w:eastAsia="Times New Roman" w:hAnsi="Times New Roman" w:cs="Times New Roman"/>
        </w:rPr>
        <w:tab/>
        <w:t xml:space="preserve">Таким образом, </w:t>
      </w:r>
      <w:r w:rsidRPr="00CA78BD">
        <w:rPr>
          <w:rStyle w:val="af2"/>
          <w:rFonts w:ascii="Times New Roman" w:hAnsi="Times New Roman" w:cs="Times New Roman"/>
        </w:rPr>
        <w:t xml:space="preserve">соотношение сил групп интересов в современном Европейском союзе меняется. Экологические группы интересов и их лидеры мнений занимают сильные позиции и успешно конкурируют с бизнесом за право определять направления развития. </w:t>
      </w:r>
      <w:r w:rsidR="000B5AAD" w:rsidRPr="00CA78BD">
        <w:rPr>
          <w:rStyle w:val="af2"/>
          <w:rFonts w:ascii="Times New Roman" w:hAnsi="Times New Roman" w:cs="Times New Roman"/>
        </w:rPr>
        <w:t xml:space="preserve">На примере газового сектора, сектора ядерной энергетики и сельского хозяйства можно проследить переход представителей бизнеса к оборонительной позиции. То есть действия бизнеса сегодня часто носят реактивный </w:t>
      </w:r>
      <w:r w:rsidR="000B5AAD" w:rsidRPr="00CA78BD">
        <w:rPr>
          <w:rStyle w:val="af2"/>
          <w:rFonts w:ascii="Times New Roman" w:hAnsi="Times New Roman" w:cs="Times New Roman"/>
        </w:rPr>
        <w:lastRenderedPageBreak/>
        <w:t>характер</w:t>
      </w:r>
      <w:r w:rsidR="00F67E71" w:rsidRPr="00CA78BD">
        <w:rPr>
          <w:rStyle w:val="af2"/>
          <w:rFonts w:ascii="Times New Roman" w:hAnsi="Times New Roman" w:cs="Times New Roman"/>
        </w:rPr>
        <w:t xml:space="preserve"> и следуют в ответ на угрозу со стороны своих оппонентов. </w:t>
      </w:r>
      <w:r w:rsidR="000B5AAD" w:rsidRPr="00CA78BD">
        <w:rPr>
          <w:rStyle w:val="af2"/>
          <w:rFonts w:ascii="Times New Roman" w:hAnsi="Times New Roman" w:cs="Times New Roman"/>
        </w:rPr>
        <w:t xml:space="preserve">Из этого следует, что повестку в области экологии сегодня скорее определяют </w:t>
      </w:r>
      <w:r w:rsidR="00F67E71" w:rsidRPr="00CA78BD">
        <w:rPr>
          <w:rStyle w:val="af2"/>
          <w:rFonts w:ascii="Times New Roman" w:hAnsi="Times New Roman" w:cs="Times New Roman"/>
        </w:rPr>
        <w:t xml:space="preserve">экологические активисты и НКО. </w:t>
      </w:r>
    </w:p>
    <w:p w14:paraId="72650D7A" w14:textId="0D21005A" w:rsidR="00DF65CA" w:rsidRPr="00CA78BD" w:rsidRDefault="002C1199" w:rsidP="00ED7E81">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hAnsi="Times New Roman" w:cs="Times New Roman"/>
        </w:rPr>
      </w:pPr>
      <w:r w:rsidRPr="00CA78BD">
        <w:rPr>
          <w:rStyle w:val="af2"/>
          <w:rFonts w:ascii="Times New Roman" w:hAnsi="Times New Roman" w:cs="Times New Roman"/>
        </w:rPr>
        <w:tab/>
      </w:r>
      <w:r w:rsidR="00F67E71" w:rsidRPr="00CA78BD">
        <w:rPr>
          <w:rStyle w:val="af2"/>
          <w:rFonts w:ascii="Times New Roman" w:hAnsi="Times New Roman" w:cs="Times New Roman"/>
        </w:rPr>
        <w:t xml:space="preserve">Усилия </w:t>
      </w:r>
      <w:r w:rsidR="00FC1EE3" w:rsidRPr="00CA78BD">
        <w:rPr>
          <w:rStyle w:val="af2"/>
          <w:rFonts w:ascii="Times New Roman" w:hAnsi="Times New Roman" w:cs="Times New Roman"/>
        </w:rPr>
        <w:t>европейских политиков</w:t>
      </w:r>
      <w:r w:rsidR="00F67E71" w:rsidRPr="00CA78BD">
        <w:rPr>
          <w:rStyle w:val="af2"/>
          <w:rFonts w:ascii="Times New Roman" w:hAnsi="Times New Roman" w:cs="Times New Roman"/>
        </w:rPr>
        <w:t xml:space="preserve"> по продвижению «Зелёной повестки» внутри союза и в мире сегодня становятся частью мягкой силы </w:t>
      </w:r>
      <w:r w:rsidR="00FC1EE3" w:rsidRPr="00CA78BD">
        <w:rPr>
          <w:rStyle w:val="af2"/>
          <w:rFonts w:ascii="Times New Roman" w:hAnsi="Times New Roman" w:cs="Times New Roman"/>
        </w:rPr>
        <w:t xml:space="preserve">Евросоюза, и повышение общественной значимости этого вопроса важный фактор принятия решений. </w:t>
      </w:r>
      <w:r w:rsidR="00FC1EE3" w:rsidRPr="00CA78BD">
        <w:rPr>
          <w:rFonts w:ascii="Times New Roman" w:hAnsi="Times New Roman" w:cs="Times New Roman"/>
        </w:rPr>
        <w:t>Но проблема экологической политики в том, что она должна быть справедливой по отношению к тем, кто окажется в неблагоприятных условиях после перехода к так называемой «</w:t>
      </w:r>
      <w:proofErr w:type="spellStart"/>
      <w:r w:rsidR="00FC1EE3" w:rsidRPr="00CA78BD">
        <w:rPr>
          <w:rFonts w:ascii="Times New Roman" w:hAnsi="Times New Roman" w:cs="Times New Roman"/>
        </w:rPr>
        <w:t>низкоуглеродной</w:t>
      </w:r>
      <w:proofErr w:type="spellEnd"/>
      <w:r w:rsidR="00FC1EE3" w:rsidRPr="00CA78BD">
        <w:rPr>
          <w:rFonts w:ascii="Times New Roman" w:hAnsi="Times New Roman" w:cs="Times New Roman"/>
        </w:rPr>
        <w:t xml:space="preserve">» экономике. Политические лидеры сталкиваются с непростой задачей неравномерного распределения издержек и выгод в результате системных изменений. Смелая экологическая политика ведёт к дестабилизации инвестиционного климата, потере рабочих мест, </w:t>
      </w:r>
      <w:r w:rsidR="006764A5" w:rsidRPr="00CA78BD">
        <w:rPr>
          <w:rFonts w:ascii="Times New Roman" w:hAnsi="Times New Roman" w:cs="Times New Roman"/>
        </w:rPr>
        <w:t xml:space="preserve">ограничению свободы торговли, </w:t>
      </w:r>
      <w:r w:rsidR="00FC1EE3" w:rsidRPr="00CA78BD">
        <w:rPr>
          <w:rFonts w:ascii="Times New Roman" w:hAnsi="Times New Roman" w:cs="Times New Roman"/>
        </w:rPr>
        <w:t xml:space="preserve">изменению модели поведения и ценностей, что в свою очередь логично вытекает в сопротивление затронутых отраслей и регионов. Общество столкнулось с дилеммой между экономическим благосостоянием и комфортной жизнью сегодня и опасностью, исходящей от климатических изменений, завтра. </w:t>
      </w:r>
    </w:p>
    <w:p w14:paraId="29C2F90F" w14:textId="77777777" w:rsidR="00DF65CA" w:rsidRPr="00CA78BD" w:rsidRDefault="00DF65CA" w:rsidP="00DF65CA">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hAnsi="Times New Roman" w:cs="Times New Roman"/>
        </w:rPr>
      </w:pPr>
    </w:p>
    <w:p w14:paraId="37D9721E" w14:textId="77777777" w:rsidR="00D60629" w:rsidRPr="00CA78BD" w:rsidRDefault="00E50441" w:rsidP="00E50441">
      <w:pPr>
        <w:pStyle w:val="2"/>
        <w:ind w:firstLine="708"/>
        <w:rPr>
          <w:rStyle w:val="af2"/>
          <w:rFonts w:ascii="Times New Roman" w:hAnsi="Times New Roman" w:cs="Times New Roman"/>
          <w:b/>
          <w:color w:val="000000" w:themeColor="text1"/>
          <w:sz w:val="24"/>
          <w:szCs w:val="24"/>
        </w:rPr>
      </w:pPr>
      <w:bookmarkStart w:id="11" w:name="_Toc72956538"/>
      <w:r w:rsidRPr="00CA78BD">
        <w:rPr>
          <w:rStyle w:val="af2"/>
          <w:rFonts w:ascii="Times New Roman" w:hAnsi="Times New Roman" w:cs="Times New Roman"/>
          <w:b/>
          <w:color w:val="000000" w:themeColor="text1"/>
          <w:sz w:val="24"/>
          <w:szCs w:val="24"/>
        </w:rPr>
        <w:t xml:space="preserve">3.2 </w:t>
      </w:r>
      <w:r w:rsidR="00D60629" w:rsidRPr="00CA78BD">
        <w:rPr>
          <w:rStyle w:val="af2"/>
          <w:rFonts w:ascii="Times New Roman" w:hAnsi="Times New Roman" w:cs="Times New Roman"/>
          <w:b/>
          <w:color w:val="000000" w:themeColor="text1"/>
          <w:sz w:val="24"/>
          <w:szCs w:val="24"/>
        </w:rPr>
        <w:t xml:space="preserve">Зелёная повестка в условиях пандемии </w:t>
      </w:r>
      <w:r w:rsidR="00D60629" w:rsidRPr="00CA78BD">
        <w:rPr>
          <w:rStyle w:val="af2"/>
          <w:rFonts w:ascii="Times New Roman" w:hAnsi="Times New Roman" w:cs="Times New Roman"/>
          <w:b/>
          <w:color w:val="000000" w:themeColor="text1"/>
          <w:sz w:val="24"/>
          <w:szCs w:val="24"/>
          <w:lang w:val="en-US"/>
        </w:rPr>
        <w:t>COVID</w:t>
      </w:r>
      <w:r w:rsidR="00D60629" w:rsidRPr="00CA78BD">
        <w:rPr>
          <w:rStyle w:val="af2"/>
          <w:rFonts w:ascii="Times New Roman" w:hAnsi="Times New Roman" w:cs="Times New Roman"/>
          <w:b/>
          <w:color w:val="000000" w:themeColor="text1"/>
          <w:sz w:val="24"/>
          <w:szCs w:val="24"/>
        </w:rPr>
        <w:t>-19</w:t>
      </w:r>
      <w:bookmarkEnd w:id="11"/>
    </w:p>
    <w:p w14:paraId="2BFBAF2F" w14:textId="77777777" w:rsidR="00D60629" w:rsidRPr="00CA78BD" w:rsidRDefault="00D60629" w:rsidP="00D6062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08"/>
        <w:jc w:val="both"/>
        <w:rPr>
          <w:rStyle w:val="af2"/>
          <w:rFonts w:ascii="Times New Roman" w:hAnsi="Times New Roman" w:cs="Times New Roman"/>
        </w:rPr>
      </w:pPr>
    </w:p>
    <w:p w14:paraId="717C6015" w14:textId="77777777" w:rsidR="00D60629" w:rsidRPr="00CA78BD" w:rsidRDefault="00D60629" w:rsidP="00D6062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Fonts w:ascii="Times New Roman" w:eastAsia="Times New Roman" w:hAnsi="Times New Roman" w:cs="Times New Roman"/>
        </w:rPr>
      </w:pPr>
      <w:r w:rsidRPr="00CA78BD">
        <w:rPr>
          <w:rFonts w:ascii="Times New Roman" w:hAnsi="Times New Roman" w:cs="Times New Roman"/>
        </w:rPr>
        <w:tab/>
        <w:t xml:space="preserve">Между тем в 2020 г. Европейский союз столкнулся с неожиданным вызовом. Глобальная пандемия </w:t>
      </w:r>
      <w:r w:rsidRPr="00CA78BD">
        <w:rPr>
          <w:rFonts w:ascii="Times New Roman" w:hAnsi="Times New Roman" w:cs="Times New Roman"/>
          <w:lang w:val="en-US"/>
        </w:rPr>
        <w:t>COVID</w:t>
      </w:r>
      <w:r w:rsidRPr="00CA78BD">
        <w:rPr>
          <w:rFonts w:ascii="Times New Roman" w:hAnsi="Times New Roman" w:cs="Times New Roman"/>
        </w:rPr>
        <w:t xml:space="preserve">-19 и вызванный ею локдаун в странах Европы затронули все сферы жизни общества, и в особенности бизнес. В результате продолжительной неопределённости из-за эпидемиологической обстановки и введённых ограничений на осуществление деятельности пострадал как средний и малый, так крупный бизнес. Как и следовало ожидать, представители крупнейших компаний и бизнес-ассоциаций Евросоюза не упустили возможность использовать сложившуюся ситуацию в своих целях. С весны 2020 г. вплоть до сегодняшних дней коммерческие структуры используют вызванный глобальной пандемией кризис как основной аргумент против реализации положений «Европейского зелёного курса». </w:t>
      </w:r>
    </w:p>
    <w:p w14:paraId="4B7F06CE" w14:textId="77777777" w:rsidR="00D60629" w:rsidRPr="00CA78BD" w:rsidRDefault="00D60629" w:rsidP="00D6062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eastAsia="Times New Roman" w:hAnsi="Times New Roman" w:cs="Times New Roman"/>
        </w:rPr>
      </w:pPr>
      <w:r w:rsidRPr="00CA78BD">
        <w:rPr>
          <w:rFonts w:ascii="Times New Roman" w:eastAsia="Times New Roman" w:hAnsi="Times New Roman" w:cs="Times New Roman"/>
        </w:rPr>
        <w:tab/>
      </w:r>
      <w:r w:rsidRPr="00CA78BD">
        <w:rPr>
          <w:rFonts w:ascii="Times New Roman" w:hAnsi="Times New Roman" w:cs="Times New Roman"/>
        </w:rPr>
        <w:t>Депутат Европейского парламента от «Европейской партии зелёных» и фракции «Зелёные — Европейский свободный альянс» («</w:t>
      </w:r>
      <w:r w:rsidRPr="00CA78BD">
        <w:rPr>
          <w:rFonts w:ascii="Times New Roman" w:hAnsi="Times New Roman" w:cs="Times New Roman"/>
          <w:lang w:val="en-US"/>
        </w:rPr>
        <w:t>Greens</w:t>
      </w:r>
      <w:r w:rsidRPr="00CA78BD">
        <w:rPr>
          <w:rFonts w:ascii="Times New Roman" w:hAnsi="Times New Roman" w:cs="Times New Roman"/>
        </w:rPr>
        <w:t xml:space="preserve"> — </w:t>
      </w:r>
      <w:r w:rsidRPr="00CA78BD">
        <w:rPr>
          <w:rFonts w:ascii="Times New Roman" w:hAnsi="Times New Roman" w:cs="Times New Roman"/>
          <w:lang w:val="en-US"/>
        </w:rPr>
        <w:t>EFA</w:t>
      </w:r>
      <w:r w:rsidRPr="00CA78BD">
        <w:rPr>
          <w:rFonts w:ascii="Times New Roman" w:hAnsi="Times New Roman" w:cs="Times New Roman"/>
        </w:rPr>
        <w:t xml:space="preserve">») Свен </w:t>
      </w:r>
      <w:proofErr w:type="spellStart"/>
      <w:r w:rsidRPr="00CA78BD">
        <w:rPr>
          <w:rFonts w:ascii="Times New Roman" w:hAnsi="Times New Roman" w:cs="Times New Roman"/>
        </w:rPr>
        <w:t>Гегольд</w:t>
      </w:r>
      <w:proofErr w:type="spellEnd"/>
      <w:r w:rsidRPr="00CA78BD">
        <w:rPr>
          <w:rFonts w:ascii="Times New Roman" w:hAnsi="Times New Roman" w:cs="Times New Roman"/>
        </w:rPr>
        <w:t xml:space="preserve"> отмечает усилившееся с начала пандемии давление коммерческих структур </w:t>
      </w:r>
      <w:r w:rsidRPr="00CA78BD">
        <w:rPr>
          <w:rFonts w:ascii="Times New Roman" w:hAnsi="Times New Roman" w:cs="Times New Roman"/>
        </w:rPr>
        <w:lastRenderedPageBreak/>
        <w:t>с целью повлиять на реализацию «Европейского зелёного курса»</w:t>
      </w:r>
      <w:r w:rsidRPr="00CA78BD">
        <w:rPr>
          <w:rFonts w:ascii="Times New Roman" w:eastAsia="Times New Roman" w:hAnsi="Times New Roman" w:cs="Times New Roman"/>
          <w:vertAlign w:val="superscript"/>
        </w:rPr>
        <w:footnoteReference w:id="66"/>
      </w:r>
      <w:r w:rsidRPr="00CA78BD">
        <w:rPr>
          <w:rStyle w:val="af2"/>
          <w:rFonts w:ascii="Times New Roman" w:hAnsi="Times New Roman" w:cs="Times New Roman"/>
        </w:rPr>
        <w:t xml:space="preserve">. Влиятельные на рынке Европы компании и бизнес-ассоциации настаивают на пересмотре сроков реализации принятых инициатив и переоценке приоритетов в это непростое время. По их мнению, Европе для начала необходимо полное восстановление экономики, для чего требуется занизить заложенные в программах «Европейского зелёного курса» цели. </w:t>
      </w:r>
    </w:p>
    <w:p w14:paraId="6334EC5E" w14:textId="77777777" w:rsidR="00D60629" w:rsidRPr="00CA78BD" w:rsidRDefault="00D60629" w:rsidP="00D6062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eastAsia="Times New Roman" w:hAnsi="Times New Roman" w:cs="Times New Roman"/>
        </w:rPr>
      </w:pPr>
      <w:r w:rsidRPr="00CA78BD">
        <w:rPr>
          <w:rStyle w:val="af2"/>
          <w:rFonts w:ascii="Times New Roman" w:eastAsia="Times New Roman" w:hAnsi="Times New Roman" w:cs="Times New Roman"/>
        </w:rPr>
        <w:tab/>
      </w:r>
      <w:r w:rsidRPr="00CA78BD">
        <w:rPr>
          <w:rStyle w:val="af2"/>
          <w:rFonts w:ascii="Times New Roman" w:hAnsi="Times New Roman" w:cs="Times New Roman"/>
        </w:rPr>
        <w:t xml:space="preserve">За пересмотр сроков и масштабов экологических программ выступает крупнейшая бизнес-ассоциация Европы </w:t>
      </w:r>
      <w:r w:rsidRPr="00CA78BD">
        <w:rPr>
          <w:rStyle w:val="af2"/>
          <w:rFonts w:ascii="Times New Roman" w:hAnsi="Times New Roman" w:cs="Times New Roman"/>
          <w:b/>
          <w:bCs/>
          <w:i/>
          <w:iCs/>
        </w:rPr>
        <w:t>«</w:t>
      </w:r>
      <w:r w:rsidRPr="00CA78BD">
        <w:rPr>
          <w:rStyle w:val="af2"/>
          <w:rFonts w:ascii="Times New Roman" w:hAnsi="Times New Roman" w:cs="Times New Roman"/>
          <w:b/>
          <w:bCs/>
          <w:i/>
          <w:iCs/>
          <w:lang w:val="en-US"/>
        </w:rPr>
        <w:t>Business</w:t>
      </w:r>
      <w:r w:rsidRPr="00CA78BD">
        <w:rPr>
          <w:rStyle w:val="af2"/>
          <w:rFonts w:ascii="Times New Roman" w:hAnsi="Times New Roman" w:cs="Times New Roman"/>
          <w:b/>
          <w:bCs/>
          <w:i/>
          <w:iCs/>
        </w:rPr>
        <w:t xml:space="preserve"> </w:t>
      </w:r>
      <w:r w:rsidRPr="00CA78BD">
        <w:rPr>
          <w:rStyle w:val="af2"/>
          <w:rFonts w:ascii="Times New Roman" w:hAnsi="Times New Roman" w:cs="Times New Roman"/>
          <w:b/>
          <w:bCs/>
          <w:i/>
          <w:iCs/>
          <w:lang w:val="en-US"/>
        </w:rPr>
        <w:t>Europe</w:t>
      </w:r>
      <w:r w:rsidRPr="00CA78BD">
        <w:rPr>
          <w:rStyle w:val="af2"/>
          <w:rFonts w:ascii="Times New Roman" w:hAnsi="Times New Roman" w:cs="Times New Roman"/>
          <w:b/>
          <w:bCs/>
          <w:i/>
          <w:iCs/>
        </w:rPr>
        <w:t>»</w:t>
      </w:r>
      <w:r w:rsidRPr="00CA78BD">
        <w:rPr>
          <w:rStyle w:val="af2"/>
          <w:rFonts w:ascii="Times New Roman" w:eastAsia="Times New Roman" w:hAnsi="Times New Roman" w:cs="Times New Roman"/>
          <w:vertAlign w:val="superscript"/>
        </w:rPr>
        <w:footnoteReference w:id="67"/>
      </w:r>
      <w:r w:rsidRPr="00CA78BD">
        <w:rPr>
          <w:rStyle w:val="af2"/>
          <w:rFonts w:ascii="Times New Roman" w:hAnsi="Times New Roman" w:cs="Times New Roman"/>
        </w:rPr>
        <w:t xml:space="preserve">, а соответственно, большинство крупнейших компаний. Они настаивают на необходимости поддерживать бизнес, чтобы минимизировать экономический ущерб и снизить риски неблагоприятных социальных последствий, отмечая возможную потерю рабочих мест. Со стороны бизнеса ожидают колоссальные усилия по восстановлению экономики, и он в свою очередь отмечает необходимость принять во внимание новые условия, в которых теперь ему приходится существовать, и привести все экологические программы в соответствие со сложившимися обстоятельствами. </w:t>
      </w:r>
    </w:p>
    <w:p w14:paraId="005CC2B2" w14:textId="77777777" w:rsidR="00D60629" w:rsidRPr="00CA78BD" w:rsidRDefault="00D60629" w:rsidP="00D6062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eastAsia="Times New Roman" w:hAnsi="Times New Roman" w:cs="Times New Roman"/>
        </w:rPr>
      </w:pPr>
      <w:r w:rsidRPr="00CA78BD">
        <w:rPr>
          <w:rStyle w:val="af2"/>
          <w:rFonts w:ascii="Times New Roman" w:eastAsia="Times New Roman" w:hAnsi="Times New Roman" w:cs="Times New Roman"/>
        </w:rPr>
        <w:tab/>
      </w:r>
      <w:r w:rsidRPr="00CA78BD">
        <w:rPr>
          <w:rStyle w:val="af2"/>
          <w:rFonts w:ascii="Times New Roman" w:hAnsi="Times New Roman" w:cs="Times New Roman"/>
        </w:rPr>
        <w:t xml:space="preserve">Каждая из транспортных отраслей — автомобильная промышленность, авиация и судоходство — имеют свои причины выступать против новых экологических инициатив, но все они едины в своём желании затормозить их реализацию. Автомобильное лобби в лице ассоциации </w:t>
      </w:r>
      <w:r w:rsidRPr="00CA78BD">
        <w:rPr>
          <w:rStyle w:val="af2"/>
          <w:rFonts w:ascii="Times New Roman" w:hAnsi="Times New Roman" w:cs="Times New Roman"/>
          <w:b/>
          <w:bCs/>
          <w:i/>
          <w:iCs/>
        </w:rPr>
        <w:t>«</w:t>
      </w:r>
      <w:r w:rsidRPr="00CA78BD">
        <w:rPr>
          <w:rStyle w:val="af2"/>
          <w:rFonts w:ascii="Times New Roman" w:hAnsi="Times New Roman" w:cs="Times New Roman"/>
          <w:b/>
          <w:bCs/>
          <w:i/>
          <w:iCs/>
          <w:lang w:val="en-US"/>
        </w:rPr>
        <w:t>European</w:t>
      </w:r>
      <w:r w:rsidRPr="00CA78BD">
        <w:rPr>
          <w:rStyle w:val="af2"/>
          <w:rFonts w:ascii="Times New Roman" w:hAnsi="Times New Roman" w:cs="Times New Roman"/>
          <w:b/>
          <w:bCs/>
          <w:i/>
          <w:iCs/>
        </w:rPr>
        <w:t xml:space="preserve"> </w:t>
      </w:r>
      <w:r w:rsidRPr="00CA78BD">
        <w:rPr>
          <w:rStyle w:val="af2"/>
          <w:rFonts w:ascii="Times New Roman" w:hAnsi="Times New Roman" w:cs="Times New Roman"/>
          <w:b/>
          <w:bCs/>
          <w:i/>
          <w:iCs/>
          <w:lang w:val="en-US"/>
        </w:rPr>
        <w:t>Automobile</w:t>
      </w:r>
      <w:r w:rsidRPr="00CA78BD">
        <w:rPr>
          <w:rStyle w:val="af2"/>
          <w:rFonts w:ascii="Times New Roman" w:hAnsi="Times New Roman" w:cs="Times New Roman"/>
          <w:b/>
          <w:bCs/>
          <w:i/>
          <w:iCs/>
        </w:rPr>
        <w:t xml:space="preserve"> </w:t>
      </w:r>
      <w:r w:rsidRPr="00CA78BD">
        <w:rPr>
          <w:rStyle w:val="af2"/>
          <w:rFonts w:ascii="Times New Roman" w:hAnsi="Times New Roman" w:cs="Times New Roman"/>
          <w:b/>
          <w:bCs/>
          <w:i/>
          <w:iCs/>
          <w:lang w:val="en-US"/>
        </w:rPr>
        <w:t>Manufacturers</w:t>
      </w:r>
      <w:r w:rsidRPr="00CA78BD">
        <w:rPr>
          <w:rStyle w:val="af2"/>
          <w:rFonts w:ascii="Times New Roman" w:hAnsi="Times New Roman" w:cs="Times New Roman"/>
          <w:b/>
          <w:bCs/>
          <w:i/>
          <w:iCs/>
        </w:rPr>
        <w:t xml:space="preserve"> </w:t>
      </w:r>
      <w:r w:rsidRPr="00CA78BD">
        <w:rPr>
          <w:rStyle w:val="af2"/>
          <w:rFonts w:ascii="Times New Roman" w:hAnsi="Times New Roman" w:cs="Times New Roman"/>
          <w:b/>
          <w:bCs/>
          <w:i/>
          <w:iCs/>
          <w:lang w:val="en-US"/>
        </w:rPr>
        <w:t>Association</w:t>
      </w:r>
      <w:r w:rsidRPr="00CA78BD">
        <w:rPr>
          <w:rStyle w:val="af2"/>
          <w:rFonts w:ascii="Times New Roman" w:hAnsi="Times New Roman" w:cs="Times New Roman"/>
          <w:b/>
          <w:bCs/>
          <w:i/>
          <w:iCs/>
        </w:rPr>
        <w:t xml:space="preserve">» </w:t>
      </w:r>
      <w:r w:rsidRPr="00CA78BD">
        <w:rPr>
          <w:rStyle w:val="af2"/>
          <w:rFonts w:ascii="Times New Roman" w:hAnsi="Times New Roman" w:cs="Times New Roman"/>
        </w:rPr>
        <w:t>обращает внимание законодателей на те трудности, с которыми столкнулись производители и дилеры во время пандемии, и требуют отложить реализацию целей по сокращению выбросов углекислого газа в атмосферу</w:t>
      </w:r>
      <w:r w:rsidRPr="00CA78BD">
        <w:rPr>
          <w:rStyle w:val="af2"/>
          <w:rFonts w:ascii="Times New Roman" w:eastAsia="Times New Roman" w:hAnsi="Times New Roman" w:cs="Times New Roman"/>
          <w:vertAlign w:val="superscript"/>
        </w:rPr>
        <w:footnoteReference w:id="68"/>
      </w:r>
      <w:r w:rsidRPr="00CA78BD">
        <w:rPr>
          <w:rStyle w:val="af2"/>
          <w:rFonts w:ascii="Times New Roman" w:hAnsi="Times New Roman" w:cs="Times New Roman"/>
        </w:rPr>
        <w:t xml:space="preserve">. Крупнейшая ассоциация авиакомпаний Европы </w:t>
      </w:r>
      <w:r w:rsidRPr="00CA78BD">
        <w:rPr>
          <w:rStyle w:val="af2"/>
          <w:rFonts w:ascii="Times New Roman" w:hAnsi="Times New Roman" w:cs="Times New Roman"/>
          <w:b/>
          <w:bCs/>
          <w:i/>
          <w:iCs/>
        </w:rPr>
        <w:t>«</w:t>
      </w:r>
      <w:r w:rsidRPr="00CA78BD">
        <w:rPr>
          <w:rStyle w:val="af2"/>
          <w:rFonts w:ascii="Times New Roman" w:hAnsi="Times New Roman" w:cs="Times New Roman"/>
          <w:b/>
          <w:bCs/>
          <w:i/>
          <w:iCs/>
          <w:lang w:val="en-US"/>
        </w:rPr>
        <w:t>Airlines</w:t>
      </w:r>
      <w:r w:rsidRPr="00CA78BD">
        <w:rPr>
          <w:rStyle w:val="af2"/>
          <w:rFonts w:ascii="Times New Roman" w:hAnsi="Times New Roman" w:cs="Times New Roman"/>
          <w:b/>
          <w:bCs/>
          <w:i/>
          <w:iCs/>
        </w:rPr>
        <w:t xml:space="preserve"> </w:t>
      </w:r>
      <w:r w:rsidRPr="00CA78BD">
        <w:rPr>
          <w:rStyle w:val="af2"/>
          <w:rFonts w:ascii="Times New Roman" w:hAnsi="Times New Roman" w:cs="Times New Roman"/>
          <w:b/>
          <w:bCs/>
          <w:i/>
          <w:iCs/>
          <w:lang w:val="en-US"/>
        </w:rPr>
        <w:t>for</w:t>
      </w:r>
      <w:r w:rsidRPr="00CA78BD">
        <w:rPr>
          <w:rStyle w:val="af2"/>
          <w:rFonts w:ascii="Times New Roman" w:hAnsi="Times New Roman" w:cs="Times New Roman"/>
          <w:b/>
          <w:bCs/>
          <w:i/>
          <w:iCs/>
        </w:rPr>
        <w:t xml:space="preserve"> </w:t>
      </w:r>
      <w:r w:rsidRPr="00CA78BD">
        <w:rPr>
          <w:rStyle w:val="af2"/>
          <w:rFonts w:ascii="Times New Roman" w:hAnsi="Times New Roman" w:cs="Times New Roman"/>
          <w:b/>
          <w:bCs/>
          <w:i/>
          <w:iCs/>
          <w:lang w:val="en-US"/>
        </w:rPr>
        <w:t>Europe</w:t>
      </w:r>
      <w:r w:rsidRPr="00CA78BD">
        <w:rPr>
          <w:rStyle w:val="af2"/>
          <w:rFonts w:ascii="Times New Roman" w:hAnsi="Times New Roman" w:cs="Times New Roman"/>
          <w:b/>
          <w:bCs/>
          <w:i/>
          <w:iCs/>
        </w:rPr>
        <w:t>»</w:t>
      </w:r>
      <w:r w:rsidRPr="00CA78BD">
        <w:rPr>
          <w:rStyle w:val="af2"/>
          <w:rFonts w:ascii="Times New Roman" w:hAnsi="Times New Roman" w:cs="Times New Roman"/>
        </w:rPr>
        <w:t xml:space="preserve"> также указывает на ущерб, понесённый вследствие пандемии, и настаивает на отмене дополнительного налога на керосин</w:t>
      </w:r>
      <w:r w:rsidRPr="00CA78BD">
        <w:rPr>
          <w:rStyle w:val="af2"/>
          <w:rFonts w:ascii="Times New Roman" w:eastAsia="Times New Roman" w:hAnsi="Times New Roman" w:cs="Times New Roman"/>
          <w:vertAlign w:val="superscript"/>
        </w:rPr>
        <w:footnoteReference w:id="69"/>
      </w:r>
      <w:r w:rsidRPr="00CA78BD">
        <w:rPr>
          <w:rStyle w:val="af2"/>
          <w:rFonts w:ascii="Times New Roman" w:hAnsi="Times New Roman" w:cs="Times New Roman"/>
        </w:rPr>
        <w:t xml:space="preserve">. И наконец, отрасль судоходства, представленная ассоциацией </w:t>
      </w:r>
      <w:r w:rsidRPr="00CA78BD">
        <w:rPr>
          <w:rStyle w:val="af2"/>
          <w:rFonts w:ascii="Times New Roman" w:hAnsi="Times New Roman" w:cs="Times New Roman"/>
          <w:b/>
          <w:bCs/>
          <w:i/>
          <w:iCs/>
        </w:rPr>
        <w:t>«</w:t>
      </w:r>
      <w:r w:rsidRPr="00CA78BD">
        <w:rPr>
          <w:rStyle w:val="af2"/>
          <w:rFonts w:ascii="Times New Roman" w:hAnsi="Times New Roman" w:cs="Times New Roman"/>
          <w:b/>
          <w:bCs/>
          <w:i/>
          <w:iCs/>
          <w:lang w:val="en-US"/>
        </w:rPr>
        <w:t>European</w:t>
      </w:r>
      <w:r w:rsidRPr="00CA78BD">
        <w:rPr>
          <w:rStyle w:val="af2"/>
          <w:rFonts w:ascii="Times New Roman" w:hAnsi="Times New Roman" w:cs="Times New Roman"/>
          <w:b/>
          <w:bCs/>
          <w:i/>
          <w:iCs/>
        </w:rPr>
        <w:t xml:space="preserve"> </w:t>
      </w:r>
      <w:r w:rsidRPr="00CA78BD">
        <w:rPr>
          <w:rStyle w:val="af2"/>
          <w:rFonts w:ascii="Times New Roman" w:hAnsi="Times New Roman" w:cs="Times New Roman"/>
          <w:b/>
          <w:bCs/>
          <w:i/>
          <w:iCs/>
          <w:lang w:val="en-US"/>
        </w:rPr>
        <w:t>Community</w:t>
      </w:r>
      <w:r w:rsidRPr="00CA78BD">
        <w:rPr>
          <w:rStyle w:val="af2"/>
          <w:rFonts w:ascii="Times New Roman" w:hAnsi="Times New Roman" w:cs="Times New Roman"/>
          <w:b/>
          <w:bCs/>
          <w:i/>
          <w:iCs/>
        </w:rPr>
        <w:t xml:space="preserve"> </w:t>
      </w:r>
      <w:r w:rsidRPr="00CA78BD">
        <w:rPr>
          <w:rStyle w:val="af2"/>
          <w:rFonts w:ascii="Times New Roman" w:hAnsi="Times New Roman" w:cs="Times New Roman"/>
          <w:b/>
          <w:bCs/>
          <w:i/>
          <w:iCs/>
          <w:lang w:val="en-US"/>
        </w:rPr>
        <w:t>Shipowners</w:t>
      </w:r>
      <w:r w:rsidRPr="00CA78BD">
        <w:rPr>
          <w:rStyle w:val="af2"/>
          <w:rFonts w:ascii="Times New Roman" w:hAnsi="Times New Roman" w:cs="Times New Roman"/>
          <w:b/>
          <w:bCs/>
          <w:i/>
          <w:iCs/>
        </w:rPr>
        <w:t xml:space="preserve">’ </w:t>
      </w:r>
      <w:r w:rsidRPr="00CA78BD">
        <w:rPr>
          <w:rStyle w:val="af2"/>
          <w:rFonts w:ascii="Times New Roman" w:hAnsi="Times New Roman" w:cs="Times New Roman"/>
          <w:b/>
          <w:bCs/>
          <w:i/>
          <w:iCs/>
          <w:lang w:val="en-US"/>
        </w:rPr>
        <w:t>Associations</w:t>
      </w:r>
      <w:r w:rsidRPr="00CA78BD">
        <w:rPr>
          <w:rStyle w:val="af2"/>
          <w:rFonts w:ascii="Times New Roman" w:hAnsi="Times New Roman" w:cs="Times New Roman"/>
          <w:b/>
          <w:bCs/>
          <w:i/>
          <w:iCs/>
        </w:rPr>
        <w:t xml:space="preserve">» </w:t>
      </w:r>
      <w:r w:rsidRPr="00CA78BD">
        <w:rPr>
          <w:rStyle w:val="af2"/>
          <w:rFonts w:ascii="Times New Roman" w:hAnsi="Times New Roman" w:cs="Times New Roman"/>
        </w:rPr>
        <w:lastRenderedPageBreak/>
        <w:t>также публично заявляет о несвоевременности реализации целей «Европейского зелёного курса»</w:t>
      </w:r>
      <w:r w:rsidRPr="00CA78BD">
        <w:rPr>
          <w:rStyle w:val="af2"/>
          <w:rFonts w:ascii="Times New Roman" w:eastAsia="Times New Roman" w:hAnsi="Times New Roman" w:cs="Times New Roman"/>
          <w:vertAlign w:val="superscript"/>
        </w:rPr>
        <w:footnoteReference w:id="70"/>
      </w:r>
      <w:r w:rsidRPr="00CA78BD">
        <w:rPr>
          <w:rStyle w:val="af2"/>
          <w:rFonts w:ascii="Times New Roman" w:hAnsi="Times New Roman" w:cs="Times New Roman"/>
        </w:rPr>
        <w:t xml:space="preserve">. Объединившись в своём стремлении повлиять на власть, они представляют собой серьёзную силу и способны </w:t>
      </w:r>
      <w:r w:rsidR="002C1199" w:rsidRPr="00CA78BD">
        <w:rPr>
          <w:rStyle w:val="af2"/>
          <w:rFonts w:ascii="Times New Roman" w:hAnsi="Times New Roman" w:cs="Times New Roman"/>
        </w:rPr>
        <w:t>подтолкнуть</w:t>
      </w:r>
      <w:r w:rsidRPr="00CA78BD">
        <w:rPr>
          <w:rStyle w:val="af2"/>
          <w:rFonts w:ascii="Times New Roman" w:hAnsi="Times New Roman" w:cs="Times New Roman"/>
        </w:rPr>
        <w:t xml:space="preserve"> Евросоюз к переоценке ценностей в текущих экономических условиях. </w:t>
      </w:r>
    </w:p>
    <w:p w14:paraId="01A5D366" w14:textId="77777777" w:rsidR="00D60629" w:rsidRPr="00CA78BD" w:rsidRDefault="00D60629" w:rsidP="00D6062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eastAsia="Times New Roman" w:hAnsi="Times New Roman" w:cs="Times New Roman"/>
        </w:rPr>
      </w:pPr>
      <w:r w:rsidRPr="00CA78BD">
        <w:rPr>
          <w:rStyle w:val="af2"/>
          <w:rFonts w:ascii="Times New Roman" w:eastAsia="Times New Roman" w:hAnsi="Times New Roman" w:cs="Times New Roman"/>
        </w:rPr>
        <w:tab/>
      </w:r>
      <w:r w:rsidRPr="00CA78BD">
        <w:rPr>
          <w:rStyle w:val="af2"/>
          <w:rFonts w:ascii="Times New Roman" w:hAnsi="Times New Roman" w:cs="Times New Roman"/>
        </w:rPr>
        <w:t>Перебои в работе крупных компаний также дают им надежду на послабления в европейской системе торговли выбросами (</w:t>
      </w:r>
      <w:r w:rsidRPr="00CA78BD">
        <w:rPr>
          <w:rStyle w:val="af2"/>
          <w:rFonts w:ascii="Times New Roman" w:hAnsi="Times New Roman" w:cs="Times New Roman"/>
          <w:lang w:val="en-US"/>
        </w:rPr>
        <w:t>EU</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Emissions</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Trading</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System</w:t>
      </w:r>
      <w:r w:rsidRPr="00CA78BD">
        <w:rPr>
          <w:rStyle w:val="af2"/>
          <w:rFonts w:ascii="Times New Roman" w:hAnsi="Times New Roman" w:cs="Times New Roman"/>
        </w:rPr>
        <w:t>). В рамках этой системы собираются годовые данные о выбросах углерода компаниями, что позволяет контролировать предложение так называемых «разрешений» (</w:t>
      </w:r>
      <w:r w:rsidRPr="00CA78BD">
        <w:rPr>
          <w:rStyle w:val="af2"/>
          <w:rFonts w:ascii="Times New Roman" w:hAnsi="Times New Roman" w:cs="Times New Roman"/>
          <w:lang w:val="en-US"/>
        </w:rPr>
        <w:t>permits</w:t>
      </w:r>
      <w:r w:rsidRPr="00CA78BD">
        <w:rPr>
          <w:rStyle w:val="af2"/>
          <w:rFonts w:ascii="Times New Roman" w:hAnsi="Times New Roman" w:cs="Times New Roman"/>
        </w:rPr>
        <w:t>) на выбросы и не допустить их удешевления. В частности, сталелитейная и цементная промышленность запросила у ЕК отсрочку по предоставлению отчётов за прошедший 2019 г.</w:t>
      </w:r>
      <w:r w:rsidRPr="00CA78BD">
        <w:rPr>
          <w:rStyle w:val="af2"/>
          <w:rFonts w:ascii="Times New Roman" w:eastAsia="Times New Roman" w:hAnsi="Times New Roman" w:cs="Times New Roman"/>
          <w:vertAlign w:val="superscript"/>
        </w:rPr>
        <w:footnoteReference w:id="71"/>
      </w:r>
      <w:r w:rsidRPr="00CA78BD">
        <w:rPr>
          <w:rStyle w:val="af2"/>
          <w:rFonts w:ascii="Times New Roman" w:hAnsi="Times New Roman" w:cs="Times New Roman"/>
        </w:rPr>
        <w:t xml:space="preserve"> Такая регулятивная неопределённость может нарушить сложившийся баланс на рынке. </w:t>
      </w:r>
      <w:r w:rsidR="002C1199" w:rsidRPr="00CA78BD">
        <w:rPr>
          <w:rStyle w:val="af2"/>
          <w:rFonts w:ascii="Times New Roman" w:hAnsi="Times New Roman" w:cs="Times New Roman"/>
        </w:rPr>
        <w:t>Еврокомиссия</w:t>
      </w:r>
      <w:r w:rsidRPr="00CA78BD">
        <w:rPr>
          <w:rStyle w:val="af2"/>
          <w:rFonts w:ascii="Times New Roman" w:hAnsi="Times New Roman" w:cs="Times New Roman"/>
        </w:rPr>
        <w:t xml:space="preserve"> отказалась пойти навстречу, поскольку не считает, что для этого есть основания, но промышленные группы также лоббируют национальные агентства, которые в ответе за сбор данных на национальном уровне. </w:t>
      </w:r>
    </w:p>
    <w:p w14:paraId="51ABB464" w14:textId="77777777" w:rsidR="00D60629" w:rsidRPr="00CA78BD" w:rsidRDefault="00D60629" w:rsidP="00D6062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eastAsia="Times New Roman" w:hAnsi="Times New Roman" w:cs="Times New Roman"/>
        </w:rPr>
      </w:pPr>
      <w:r w:rsidRPr="00CA78BD">
        <w:rPr>
          <w:rStyle w:val="af2"/>
          <w:rFonts w:ascii="Times New Roman" w:eastAsia="Times New Roman" w:hAnsi="Times New Roman" w:cs="Times New Roman"/>
        </w:rPr>
        <w:tab/>
      </w:r>
      <w:r w:rsidRPr="00CA78BD">
        <w:rPr>
          <w:rStyle w:val="af2"/>
          <w:rFonts w:ascii="Times New Roman" w:hAnsi="Times New Roman" w:cs="Times New Roman"/>
        </w:rPr>
        <w:t xml:space="preserve">Пандемия коронавирусной инфекции подарила особенно весомые аргументы для производителей пластмассы. В своём письме к ЕК от имени отраслевой ассоциации — </w:t>
      </w:r>
      <w:r w:rsidRPr="00CA78BD">
        <w:rPr>
          <w:rStyle w:val="af2"/>
          <w:rFonts w:ascii="Times New Roman" w:hAnsi="Times New Roman" w:cs="Times New Roman"/>
          <w:b/>
          <w:bCs/>
          <w:i/>
          <w:iCs/>
          <w:lang w:val="en-US"/>
        </w:rPr>
        <w:t>European</w:t>
      </w:r>
      <w:r w:rsidRPr="00CA78BD">
        <w:rPr>
          <w:rStyle w:val="af2"/>
          <w:rFonts w:ascii="Times New Roman" w:hAnsi="Times New Roman" w:cs="Times New Roman"/>
          <w:b/>
          <w:bCs/>
          <w:i/>
          <w:iCs/>
        </w:rPr>
        <w:t xml:space="preserve"> </w:t>
      </w:r>
      <w:r w:rsidRPr="00CA78BD">
        <w:rPr>
          <w:rStyle w:val="af2"/>
          <w:rFonts w:ascii="Times New Roman" w:hAnsi="Times New Roman" w:cs="Times New Roman"/>
          <w:b/>
          <w:bCs/>
          <w:i/>
          <w:iCs/>
          <w:lang w:val="en-US"/>
        </w:rPr>
        <w:t>Plastics</w:t>
      </w:r>
      <w:r w:rsidRPr="00CA78BD">
        <w:rPr>
          <w:rStyle w:val="af2"/>
          <w:rFonts w:ascii="Times New Roman" w:hAnsi="Times New Roman" w:cs="Times New Roman"/>
          <w:b/>
          <w:bCs/>
          <w:i/>
          <w:iCs/>
        </w:rPr>
        <w:t xml:space="preserve"> </w:t>
      </w:r>
      <w:r w:rsidRPr="00CA78BD">
        <w:rPr>
          <w:rStyle w:val="af2"/>
          <w:rFonts w:ascii="Times New Roman" w:hAnsi="Times New Roman" w:cs="Times New Roman"/>
          <w:b/>
          <w:bCs/>
          <w:i/>
          <w:iCs/>
          <w:lang w:val="en-US"/>
        </w:rPr>
        <w:t>Converters</w:t>
      </w:r>
      <w:r w:rsidRPr="00CA78BD">
        <w:rPr>
          <w:rStyle w:val="af2"/>
          <w:rFonts w:ascii="Times New Roman" w:hAnsi="Times New Roman" w:cs="Times New Roman"/>
        </w:rPr>
        <w:t xml:space="preserve"> </w:t>
      </w:r>
      <w:r w:rsidRPr="00CA78BD">
        <w:rPr>
          <w:rStyle w:val="af2"/>
          <w:rFonts w:ascii="Times New Roman" w:hAnsi="Times New Roman" w:cs="Times New Roman"/>
          <w:b/>
          <w:bCs/>
          <w:i/>
          <w:iCs/>
        </w:rPr>
        <w:t>(</w:t>
      </w:r>
      <w:r w:rsidRPr="00CA78BD">
        <w:rPr>
          <w:rStyle w:val="af2"/>
          <w:rFonts w:ascii="Times New Roman" w:hAnsi="Times New Roman" w:cs="Times New Roman"/>
          <w:b/>
          <w:bCs/>
          <w:i/>
          <w:iCs/>
          <w:lang w:val="en-US"/>
        </w:rPr>
        <w:t>EUPC</w:t>
      </w:r>
      <w:r w:rsidRPr="00CA78BD">
        <w:rPr>
          <w:rStyle w:val="af2"/>
          <w:rFonts w:ascii="Times New Roman" w:hAnsi="Times New Roman" w:cs="Times New Roman"/>
          <w:b/>
          <w:bCs/>
          <w:i/>
          <w:iCs/>
        </w:rPr>
        <w:t>)</w:t>
      </w:r>
      <w:r w:rsidRPr="00CA78BD">
        <w:rPr>
          <w:rStyle w:val="af2"/>
          <w:rFonts w:ascii="Times New Roman" w:hAnsi="Times New Roman" w:cs="Times New Roman"/>
        </w:rPr>
        <w:t xml:space="preserve"> — они указывают на эпидемиологические последствия запрета или сокращения использования одноразовых пластмассовых продуктов</w:t>
      </w:r>
      <w:r w:rsidRPr="00CA78BD">
        <w:rPr>
          <w:rStyle w:val="af2"/>
          <w:rFonts w:ascii="Times New Roman" w:eastAsia="Times New Roman" w:hAnsi="Times New Roman" w:cs="Times New Roman"/>
          <w:vertAlign w:val="superscript"/>
        </w:rPr>
        <w:footnoteReference w:id="72"/>
      </w:r>
      <w:r w:rsidRPr="00CA78BD">
        <w:rPr>
          <w:rStyle w:val="af2"/>
          <w:rFonts w:ascii="Times New Roman" w:hAnsi="Times New Roman" w:cs="Times New Roman"/>
        </w:rPr>
        <w:t>. В подтверждение своей аргументации они ссылаются на независимые исследования о роли пластмассы в обеспечении гигиены населения, транспортировке пищевых продуктов и медицинских препаратов. Таким образом производители пластмасс буквально ставят себя во главе борьбы с инфекцией в Европе и, пользуясь своим положением, просят об отсрочке реализации Директивы об одноразовом пластике (</w:t>
      </w:r>
      <w:r w:rsidRPr="00CA78BD">
        <w:rPr>
          <w:rStyle w:val="af2"/>
          <w:rFonts w:ascii="Times New Roman" w:hAnsi="Times New Roman" w:cs="Times New Roman"/>
          <w:lang w:val="en-US"/>
        </w:rPr>
        <w:t>Single</w:t>
      </w:r>
      <w:r w:rsidRPr="00CA78BD">
        <w:rPr>
          <w:rStyle w:val="af2"/>
          <w:rFonts w:ascii="Times New Roman" w:hAnsi="Times New Roman" w:cs="Times New Roman"/>
        </w:rPr>
        <w:t>-</w:t>
      </w:r>
      <w:r w:rsidRPr="00CA78BD">
        <w:rPr>
          <w:rStyle w:val="af2"/>
          <w:rFonts w:ascii="Times New Roman" w:hAnsi="Times New Roman" w:cs="Times New Roman"/>
          <w:lang w:val="en-US"/>
        </w:rPr>
        <w:t>use</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Plastics</w:t>
      </w:r>
      <w:r w:rsidRPr="00CA78BD">
        <w:rPr>
          <w:rStyle w:val="af2"/>
          <w:rFonts w:ascii="Times New Roman" w:hAnsi="Times New Roman" w:cs="Times New Roman"/>
        </w:rPr>
        <w:t xml:space="preserve"> </w:t>
      </w:r>
      <w:r w:rsidRPr="00CA78BD">
        <w:rPr>
          <w:rStyle w:val="af2"/>
          <w:rFonts w:ascii="Times New Roman" w:hAnsi="Times New Roman" w:cs="Times New Roman"/>
          <w:lang w:val="en-US"/>
        </w:rPr>
        <w:t>Directive</w:t>
      </w:r>
      <w:r w:rsidRPr="00CA78BD">
        <w:rPr>
          <w:rStyle w:val="af2"/>
          <w:rFonts w:ascii="Times New Roman" w:hAnsi="Times New Roman" w:cs="Times New Roman"/>
        </w:rPr>
        <w:t xml:space="preserve">). По их мнению, национальным правительствам нужно дать возможность заняться более насущными проблемами, а именно борьбой с пандемией и выходом из сложившегося кризиса. </w:t>
      </w:r>
      <w:r w:rsidRPr="00CA78BD">
        <w:rPr>
          <w:rStyle w:val="af2"/>
          <w:rFonts w:ascii="Times New Roman" w:hAnsi="Times New Roman" w:cs="Times New Roman"/>
        </w:rPr>
        <w:lastRenderedPageBreak/>
        <w:t xml:space="preserve">Их цель — отсрочить прописанные в директиве меры хотя бы на один год или передать право решить этот вопрос на национальный уровень. </w:t>
      </w:r>
    </w:p>
    <w:p w14:paraId="43343B5A" w14:textId="77777777" w:rsidR="00D60629" w:rsidRPr="00CA78BD" w:rsidRDefault="00D60629" w:rsidP="00D6062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eastAsia="Times New Roman" w:hAnsi="Times New Roman" w:cs="Times New Roman"/>
        </w:rPr>
      </w:pPr>
      <w:r w:rsidRPr="00CA78BD">
        <w:rPr>
          <w:rStyle w:val="af2"/>
          <w:rFonts w:ascii="Times New Roman" w:eastAsia="Times New Roman" w:hAnsi="Times New Roman" w:cs="Times New Roman"/>
        </w:rPr>
        <w:tab/>
      </w:r>
      <w:r w:rsidRPr="00CA78BD">
        <w:rPr>
          <w:rStyle w:val="af2"/>
          <w:rFonts w:ascii="Times New Roman" w:hAnsi="Times New Roman" w:cs="Times New Roman"/>
        </w:rPr>
        <w:t xml:space="preserve">Ссылаясь на пандемию, лоббисты пытались отложить не только реализацию уже одобренных мер, но и консультации с группами интересов перед принятием последующих программ. Они просят </w:t>
      </w:r>
      <w:r w:rsidR="002C1199" w:rsidRPr="00CA78BD">
        <w:rPr>
          <w:rStyle w:val="af2"/>
          <w:rFonts w:ascii="Times New Roman" w:hAnsi="Times New Roman" w:cs="Times New Roman"/>
        </w:rPr>
        <w:t>Комиссию</w:t>
      </w:r>
      <w:r w:rsidRPr="00CA78BD">
        <w:rPr>
          <w:rStyle w:val="af2"/>
          <w:rFonts w:ascii="Times New Roman" w:hAnsi="Times New Roman" w:cs="Times New Roman"/>
        </w:rPr>
        <w:t xml:space="preserve"> продлить срок для незавершённых консультаций и отложить любые новые до того, как пандемия не отступит. Например, две торговые ассоциации —</w:t>
      </w:r>
      <w:r w:rsidRPr="00CA78BD">
        <w:rPr>
          <w:rStyle w:val="af2"/>
          <w:rFonts w:ascii="Times New Roman" w:hAnsi="Times New Roman" w:cs="Times New Roman"/>
          <w:b/>
          <w:bCs/>
          <w:i/>
          <w:iCs/>
        </w:rPr>
        <w:t xml:space="preserve"> </w:t>
      </w:r>
      <w:proofErr w:type="spellStart"/>
      <w:r w:rsidRPr="00CA78BD">
        <w:rPr>
          <w:rStyle w:val="af2"/>
          <w:rFonts w:ascii="Times New Roman" w:hAnsi="Times New Roman" w:cs="Times New Roman"/>
          <w:b/>
          <w:bCs/>
          <w:i/>
          <w:iCs/>
          <w:lang w:val="en-US"/>
        </w:rPr>
        <w:t>EuroCommerce</w:t>
      </w:r>
      <w:proofErr w:type="spellEnd"/>
      <w:r w:rsidRPr="00CA78BD">
        <w:rPr>
          <w:rStyle w:val="af2"/>
          <w:rFonts w:ascii="Times New Roman" w:hAnsi="Times New Roman" w:cs="Times New Roman"/>
        </w:rPr>
        <w:t xml:space="preserve"> и </w:t>
      </w:r>
      <w:r w:rsidRPr="00CA78BD">
        <w:rPr>
          <w:rStyle w:val="af2"/>
          <w:rFonts w:ascii="Times New Roman" w:hAnsi="Times New Roman" w:cs="Times New Roman"/>
          <w:b/>
          <w:bCs/>
          <w:i/>
          <w:iCs/>
          <w:lang w:val="en-US"/>
        </w:rPr>
        <w:t>Independent</w:t>
      </w:r>
      <w:r w:rsidRPr="00CA78BD">
        <w:rPr>
          <w:rStyle w:val="af2"/>
          <w:rFonts w:ascii="Times New Roman" w:hAnsi="Times New Roman" w:cs="Times New Roman"/>
          <w:b/>
          <w:bCs/>
          <w:i/>
          <w:iCs/>
        </w:rPr>
        <w:t xml:space="preserve"> </w:t>
      </w:r>
      <w:r w:rsidRPr="00CA78BD">
        <w:rPr>
          <w:rStyle w:val="af2"/>
          <w:rFonts w:ascii="Times New Roman" w:hAnsi="Times New Roman" w:cs="Times New Roman"/>
          <w:b/>
          <w:bCs/>
          <w:i/>
          <w:iCs/>
          <w:lang w:val="en-US"/>
        </w:rPr>
        <w:t>Retail</w:t>
      </w:r>
      <w:r w:rsidRPr="00CA78BD">
        <w:rPr>
          <w:rStyle w:val="af2"/>
          <w:rFonts w:ascii="Times New Roman" w:hAnsi="Times New Roman" w:cs="Times New Roman"/>
          <w:b/>
          <w:bCs/>
          <w:i/>
          <w:iCs/>
        </w:rPr>
        <w:t xml:space="preserve"> </w:t>
      </w:r>
      <w:r w:rsidRPr="00CA78BD">
        <w:rPr>
          <w:rStyle w:val="af2"/>
          <w:rFonts w:ascii="Times New Roman" w:hAnsi="Times New Roman" w:cs="Times New Roman"/>
          <w:b/>
          <w:bCs/>
          <w:i/>
          <w:iCs/>
          <w:lang w:val="en-US"/>
        </w:rPr>
        <w:t>Europe</w:t>
      </w:r>
      <w:r w:rsidRPr="00CA78BD">
        <w:rPr>
          <w:rStyle w:val="af2"/>
          <w:rFonts w:ascii="Times New Roman" w:hAnsi="Times New Roman" w:cs="Times New Roman"/>
        </w:rPr>
        <w:t xml:space="preserve"> — указывают на невозможность предоставить ЕК качественную обратную связь в нынешних условиях</w:t>
      </w:r>
      <w:r w:rsidRPr="00CA78BD">
        <w:rPr>
          <w:rStyle w:val="af2"/>
          <w:rFonts w:ascii="Times New Roman" w:eastAsia="Times New Roman" w:hAnsi="Times New Roman" w:cs="Times New Roman"/>
          <w:vertAlign w:val="superscript"/>
        </w:rPr>
        <w:footnoteReference w:id="73"/>
      </w:r>
      <w:r w:rsidRPr="00CA78BD">
        <w:rPr>
          <w:rStyle w:val="af2"/>
          <w:rFonts w:ascii="Times New Roman" w:hAnsi="Times New Roman" w:cs="Times New Roman"/>
        </w:rPr>
        <w:t>. Аналогично высказывается и Федерация бизнеса Германии (</w:t>
      </w:r>
      <w:r w:rsidRPr="00CA78BD">
        <w:rPr>
          <w:rStyle w:val="af2"/>
          <w:rFonts w:ascii="Times New Roman" w:hAnsi="Times New Roman" w:cs="Times New Roman"/>
          <w:b/>
          <w:bCs/>
          <w:i/>
          <w:iCs/>
          <w:caps/>
          <w:lang w:val="en-US"/>
        </w:rPr>
        <w:t>Bdi</w:t>
      </w:r>
      <w:r w:rsidRPr="00CA78BD">
        <w:rPr>
          <w:rStyle w:val="af2"/>
          <w:rFonts w:ascii="Times New Roman" w:hAnsi="Times New Roman" w:cs="Times New Roman"/>
        </w:rPr>
        <w:t>), которая предупреждает о нехватке ресурсов для проведения работы над оценкой инициатив и вынесении предложений в текущей ситуации</w:t>
      </w:r>
      <w:r w:rsidRPr="00CA78BD">
        <w:rPr>
          <w:rStyle w:val="af2"/>
          <w:rFonts w:ascii="Times New Roman" w:eastAsia="Times New Roman" w:hAnsi="Times New Roman" w:cs="Times New Roman"/>
          <w:vertAlign w:val="superscript"/>
        </w:rPr>
        <w:footnoteReference w:id="74"/>
      </w:r>
      <w:r w:rsidRPr="00CA78BD">
        <w:rPr>
          <w:rStyle w:val="af2"/>
          <w:rFonts w:ascii="Times New Roman" w:hAnsi="Times New Roman" w:cs="Times New Roman"/>
        </w:rPr>
        <w:t xml:space="preserve">. </w:t>
      </w:r>
      <w:r w:rsidRPr="00CA78BD">
        <w:rPr>
          <w:rStyle w:val="af2"/>
          <w:rFonts w:ascii="Times New Roman" w:hAnsi="Times New Roman" w:cs="Times New Roman"/>
          <w:caps/>
        </w:rPr>
        <w:t>Т</w:t>
      </w:r>
      <w:r w:rsidRPr="00CA78BD">
        <w:rPr>
          <w:rStyle w:val="af2"/>
          <w:rFonts w:ascii="Times New Roman" w:hAnsi="Times New Roman" w:cs="Times New Roman"/>
        </w:rPr>
        <w:t xml:space="preserve">акое беспокойство за итоги консультаций может быть связано с неуверенностью в своих силах. Несмотря на свою значительную роль на европейском рынке, бизнес все равно чувствует свою уязвимость перед лицом набирающей обороты зелёной повестки. </w:t>
      </w:r>
    </w:p>
    <w:p w14:paraId="45D5D4BF" w14:textId="77777777" w:rsidR="00D60629" w:rsidRPr="00CA78BD" w:rsidRDefault="00D60629" w:rsidP="00D6062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eastAsia="Times New Roman" w:hAnsi="Times New Roman" w:cs="Times New Roman"/>
        </w:rPr>
      </w:pPr>
      <w:r w:rsidRPr="00CA78BD">
        <w:rPr>
          <w:rStyle w:val="af2"/>
          <w:rFonts w:ascii="Times New Roman" w:eastAsia="Times New Roman" w:hAnsi="Times New Roman" w:cs="Times New Roman"/>
        </w:rPr>
        <w:tab/>
      </w:r>
      <w:r w:rsidRPr="00CA78BD">
        <w:rPr>
          <w:rStyle w:val="af2"/>
          <w:rFonts w:ascii="Times New Roman" w:hAnsi="Times New Roman" w:cs="Times New Roman"/>
        </w:rPr>
        <w:t xml:space="preserve">Ко мнению промышленных кругов прислушиваются многие представители власти. Так на сторону бизнеса в Европарламенте встали Христианские демократы и консерваторы, высказавшиеся за перенос сроков реализации новой сельскохозяйственной стратегии, а также фракция европейских консерваторов и реформистов. Эти партии всегда были восприимчивы к проблемам промышленников и поддерживали их стремление сохранить статус-кво. </w:t>
      </w:r>
      <w:r w:rsidR="00EA064B" w:rsidRPr="00CA78BD">
        <w:rPr>
          <w:rStyle w:val="af2"/>
          <w:rFonts w:ascii="Times New Roman" w:hAnsi="Times New Roman" w:cs="Times New Roman"/>
        </w:rPr>
        <w:t>Ситуация сегодня –</w:t>
      </w:r>
      <w:r w:rsidRPr="00CA78BD">
        <w:rPr>
          <w:rStyle w:val="af2"/>
          <w:rFonts w:ascii="Times New Roman" w:hAnsi="Times New Roman" w:cs="Times New Roman"/>
        </w:rPr>
        <w:t xml:space="preserve"> не исключение, парламентарии стараются поддержать своих основных избирателей, призывают </w:t>
      </w:r>
      <w:r w:rsidR="00EA064B" w:rsidRPr="00CA78BD">
        <w:rPr>
          <w:rStyle w:val="af2"/>
          <w:rFonts w:ascii="Times New Roman" w:hAnsi="Times New Roman" w:cs="Times New Roman"/>
        </w:rPr>
        <w:t>Комиссию</w:t>
      </w:r>
      <w:r w:rsidRPr="00CA78BD">
        <w:rPr>
          <w:rStyle w:val="af2"/>
          <w:rFonts w:ascii="Times New Roman" w:hAnsi="Times New Roman" w:cs="Times New Roman"/>
        </w:rPr>
        <w:t xml:space="preserve"> быть прагматичными и отказаться от «Европейского зелёного курса» в пользу бизнеса на время борьбы с пандемией и её последствиями</w:t>
      </w:r>
      <w:r w:rsidRPr="00CA78BD">
        <w:rPr>
          <w:rStyle w:val="af2"/>
          <w:rFonts w:ascii="Times New Roman" w:eastAsia="Times New Roman" w:hAnsi="Times New Roman" w:cs="Times New Roman"/>
          <w:vertAlign w:val="superscript"/>
        </w:rPr>
        <w:footnoteReference w:id="75"/>
      </w:r>
      <w:r w:rsidRPr="00CA78BD">
        <w:rPr>
          <w:rStyle w:val="af2"/>
          <w:rFonts w:ascii="Times New Roman" w:hAnsi="Times New Roman" w:cs="Times New Roman"/>
        </w:rPr>
        <w:t>. Свою позицию на этот счёт также высказали премьер-министр Чешской республики и правительство Польши, которое надеялось таким образом добиться исключения Польши из европейской системы торговли выбросами</w:t>
      </w:r>
      <w:r w:rsidRPr="00CA78BD">
        <w:rPr>
          <w:rStyle w:val="af2"/>
          <w:rFonts w:ascii="Times New Roman" w:eastAsia="Times New Roman" w:hAnsi="Times New Roman" w:cs="Times New Roman"/>
          <w:vertAlign w:val="superscript"/>
        </w:rPr>
        <w:footnoteReference w:id="76"/>
      </w:r>
      <w:r w:rsidRPr="00CA78BD">
        <w:rPr>
          <w:rStyle w:val="af2"/>
          <w:rFonts w:ascii="Times New Roman" w:hAnsi="Times New Roman" w:cs="Times New Roman"/>
        </w:rPr>
        <w:t xml:space="preserve">. </w:t>
      </w:r>
      <w:r w:rsidRPr="00CA78BD">
        <w:rPr>
          <w:rStyle w:val="af2"/>
          <w:rFonts w:ascii="Times New Roman" w:hAnsi="Times New Roman" w:cs="Times New Roman"/>
        </w:rPr>
        <w:lastRenderedPageBreak/>
        <w:t xml:space="preserve">Экономики Чешской республики и Республики Польша сильно зависят от атомной энергии и угольной промышленности. В этой связи позиции промышленных групп в этих странах очень сильны и заставляют пересмотреть приоритеты, которые ставит для себя единая Европа. Премьер-министр Чехии, Андрей </w:t>
      </w:r>
      <w:proofErr w:type="spellStart"/>
      <w:r w:rsidRPr="00CA78BD">
        <w:rPr>
          <w:rStyle w:val="af2"/>
          <w:rFonts w:ascii="Times New Roman" w:hAnsi="Times New Roman" w:cs="Times New Roman"/>
        </w:rPr>
        <w:t>Бабиш</w:t>
      </w:r>
      <w:proofErr w:type="spellEnd"/>
      <w:r w:rsidRPr="00CA78BD">
        <w:rPr>
          <w:rStyle w:val="af2"/>
          <w:rFonts w:ascii="Times New Roman" w:hAnsi="Times New Roman" w:cs="Times New Roman"/>
        </w:rPr>
        <w:t>, однако заявляет о необходимости отказаться от «Европейского зелёного курса» лишь на том основании, что сейчас все усилия должны быть направлены на борьбу с пандемией</w:t>
      </w:r>
      <w:r w:rsidRPr="00CA78BD">
        <w:rPr>
          <w:rStyle w:val="af2"/>
          <w:rFonts w:ascii="Times New Roman" w:eastAsia="Times New Roman" w:hAnsi="Times New Roman" w:cs="Times New Roman"/>
          <w:vertAlign w:val="superscript"/>
        </w:rPr>
        <w:footnoteReference w:id="77"/>
      </w:r>
      <w:r w:rsidRPr="00CA78BD">
        <w:rPr>
          <w:rStyle w:val="af2"/>
          <w:rFonts w:ascii="Times New Roman" w:hAnsi="Times New Roman" w:cs="Times New Roman"/>
        </w:rPr>
        <w:t xml:space="preserve">. </w:t>
      </w:r>
      <w:r w:rsidR="00EA064B" w:rsidRPr="00CA78BD">
        <w:rPr>
          <w:rStyle w:val="af2"/>
          <w:rFonts w:ascii="Times New Roman" w:hAnsi="Times New Roman" w:cs="Times New Roman"/>
        </w:rPr>
        <w:t>Комиссия</w:t>
      </w:r>
      <w:r w:rsidRPr="00CA78BD">
        <w:rPr>
          <w:rStyle w:val="af2"/>
          <w:rFonts w:ascii="Times New Roman" w:hAnsi="Times New Roman" w:cs="Times New Roman"/>
        </w:rPr>
        <w:t xml:space="preserve"> тем временем не видит причин для отказа от новых экологических программ. Несмотря на то, что сейчас приходится тратить много сил на борьбу с пандемией, климатический кризис продолжает существовать и требует соответствующих мер, которые </w:t>
      </w:r>
      <w:r w:rsidR="00EA064B" w:rsidRPr="00CA78BD">
        <w:rPr>
          <w:rStyle w:val="af2"/>
          <w:rFonts w:ascii="Times New Roman" w:hAnsi="Times New Roman" w:cs="Times New Roman"/>
        </w:rPr>
        <w:t>Комиссия</w:t>
      </w:r>
      <w:r w:rsidRPr="00CA78BD">
        <w:rPr>
          <w:rStyle w:val="af2"/>
          <w:rFonts w:ascii="Times New Roman" w:hAnsi="Times New Roman" w:cs="Times New Roman"/>
        </w:rPr>
        <w:t xml:space="preserve"> намерена осуществлять параллельно с мерами по преодолению кризиса. </w:t>
      </w:r>
    </w:p>
    <w:p w14:paraId="374F7030" w14:textId="77777777" w:rsidR="00D60629" w:rsidRPr="00CA78BD" w:rsidRDefault="00D60629" w:rsidP="00D6062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eastAsia="Times New Roman" w:hAnsi="Times New Roman" w:cs="Times New Roman"/>
        </w:rPr>
      </w:pPr>
      <w:r w:rsidRPr="00CA78BD">
        <w:rPr>
          <w:rStyle w:val="af2"/>
          <w:rFonts w:ascii="Times New Roman" w:eastAsia="Times New Roman" w:hAnsi="Times New Roman" w:cs="Times New Roman"/>
        </w:rPr>
        <w:tab/>
      </w:r>
      <w:r w:rsidRPr="00CA78BD">
        <w:rPr>
          <w:rStyle w:val="af2"/>
          <w:rFonts w:ascii="Times New Roman" w:hAnsi="Times New Roman" w:cs="Times New Roman"/>
        </w:rPr>
        <w:t>Политические разногласия в демократическом обществе отражают существующий конфликт интересов среди населения. Аналогично происходит трансляция на европейский уровень конфликта интересов между населением стран Восточной Европы и Западной. На сегодняшний день в вопросах экологической политики страны Восточной Европы остаются в меньшинстве. В отличие от стран бывшего социалистического лагеря в большинстве стран Западной Европы население уже готово к качественной перестройке своего образа жизни в соответствии с новыми экологическими стандартами. В этой связи Европейская комиссия чувствует свою уверенность в успешном принятии экологических инициатив и их проведении в жизнь в дальнейшем. Новое мышление, основанное на концепции «устойчивого развития»</w:t>
      </w:r>
      <w:r w:rsidR="00EA064B" w:rsidRPr="00CA78BD">
        <w:rPr>
          <w:rStyle w:val="af2"/>
          <w:rFonts w:ascii="Times New Roman" w:hAnsi="Times New Roman" w:cs="Times New Roman"/>
        </w:rPr>
        <w:t>,</w:t>
      </w:r>
      <w:r w:rsidRPr="00CA78BD">
        <w:rPr>
          <w:rStyle w:val="af2"/>
          <w:rFonts w:ascii="Times New Roman" w:hAnsi="Times New Roman" w:cs="Times New Roman"/>
        </w:rPr>
        <w:t xml:space="preserve"> завоёвывает всё больше последователей по всей Европе, и сопротивляться новым трендам становится всё сложнее. Пандемия </w:t>
      </w:r>
      <w:proofErr w:type="spellStart"/>
      <w:r w:rsidRPr="00CA78BD">
        <w:rPr>
          <w:rStyle w:val="af2"/>
          <w:rFonts w:ascii="Times New Roman" w:hAnsi="Times New Roman" w:cs="Times New Roman"/>
        </w:rPr>
        <w:t>короновирусной</w:t>
      </w:r>
      <w:proofErr w:type="spellEnd"/>
      <w:r w:rsidRPr="00CA78BD">
        <w:rPr>
          <w:rStyle w:val="af2"/>
          <w:rFonts w:ascii="Times New Roman" w:hAnsi="Times New Roman" w:cs="Times New Roman"/>
        </w:rPr>
        <w:t xml:space="preserve"> инфекции в Европе подарила определённым группам интересов возможность усилить свою позицию за счет переключения внимания с зелёной повестки на борьбу за жизни и экономическое восстановление. Вероятно, не будь коронавирусной инфекции, определённые круги и лица не смогли бы высказаться столь резко за отмену «Европейского зелёного курса». Доминирующее мнение в обществе ограничивает группы интересов в их возможностях прибегать к публичным каналам взаимодействия с властью и высказывать непопулярные идеи. Как хорошо видно на примере заявлений премьер-министра Чешской республики, </w:t>
      </w:r>
      <w:r w:rsidRPr="00CA78BD">
        <w:rPr>
          <w:rStyle w:val="af2"/>
          <w:rFonts w:ascii="Times New Roman" w:hAnsi="Times New Roman" w:cs="Times New Roman"/>
        </w:rPr>
        <w:lastRenderedPageBreak/>
        <w:t xml:space="preserve">иногда на публике предпочитают не озвучивать настоящую причину своих поступков, а используют любой другой повод для оправдания своей позиции.  Зелёная повестка постепенно проникает во все сферы жизни и диктует новые нормы поведения. Для тех, кто беспокоится о своей репутации и желает заручиться поддержкой широких слоёв населения, открыто выступать против зелёных инициатив уже недопустимо. Относительно поведения бизнеса в публичном пространстве даже появился термин </w:t>
      </w:r>
      <w:r w:rsidRPr="00CA78BD">
        <w:rPr>
          <w:rStyle w:val="af2"/>
          <w:rFonts w:ascii="Times New Roman" w:hAnsi="Times New Roman" w:cs="Times New Roman"/>
          <w:b/>
          <w:bCs/>
          <w:i/>
          <w:iCs/>
        </w:rPr>
        <w:t>«</w:t>
      </w:r>
      <w:r w:rsidRPr="00CA78BD">
        <w:rPr>
          <w:rStyle w:val="af2"/>
          <w:rFonts w:ascii="Times New Roman" w:hAnsi="Times New Roman" w:cs="Times New Roman"/>
          <w:b/>
          <w:bCs/>
          <w:i/>
          <w:iCs/>
          <w:lang w:val="en-US"/>
        </w:rPr>
        <w:t>greenwashing</w:t>
      </w:r>
      <w:r w:rsidRPr="00CA78BD">
        <w:rPr>
          <w:rStyle w:val="af2"/>
          <w:rFonts w:ascii="Times New Roman" w:hAnsi="Times New Roman" w:cs="Times New Roman"/>
          <w:b/>
          <w:bCs/>
          <w:i/>
          <w:iCs/>
        </w:rPr>
        <w:t>»</w:t>
      </w:r>
      <w:r w:rsidRPr="00CA78BD">
        <w:rPr>
          <w:rStyle w:val="af2"/>
          <w:rFonts w:ascii="Times New Roman" w:eastAsia="Times New Roman" w:hAnsi="Times New Roman" w:cs="Times New Roman"/>
          <w:b/>
          <w:bCs/>
          <w:i/>
          <w:iCs/>
          <w:vertAlign w:val="superscript"/>
        </w:rPr>
        <w:footnoteReference w:id="78"/>
      </w:r>
      <w:r w:rsidRPr="00CA78BD">
        <w:rPr>
          <w:rStyle w:val="af2"/>
          <w:rFonts w:ascii="Times New Roman" w:hAnsi="Times New Roman" w:cs="Times New Roman"/>
        </w:rPr>
        <w:t xml:space="preserve">. Этот термин применяют в отношении тех компаний, которые на публике поддерживают экологические инициативы, но при этом скрывают свои усилия по торможению процесса перехода к «устойчивому развитию». Проще говоря, </w:t>
      </w:r>
      <w:r w:rsidRPr="00CA78BD">
        <w:rPr>
          <w:rStyle w:val="af2"/>
          <w:rFonts w:ascii="Times New Roman" w:hAnsi="Times New Roman" w:cs="Times New Roman"/>
          <w:i/>
          <w:iCs/>
        </w:rPr>
        <w:t>«</w:t>
      </w:r>
      <w:r w:rsidRPr="00CA78BD">
        <w:rPr>
          <w:rStyle w:val="af2"/>
          <w:rFonts w:ascii="Times New Roman" w:hAnsi="Times New Roman" w:cs="Times New Roman"/>
          <w:i/>
          <w:iCs/>
          <w:lang w:val="en-US"/>
        </w:rPr>
        <w:t>talking</w:t>
      </w:r>
      <w:r w:rsidRPr="00CA78BD">
        <w:rPr>
          <w:rStyle w:val="af2"/>
          <w:rFonts w:ascii="Times New Roman" w:hAnsi="Times New Roman" w:cs="Times New Roman"/>
          <w:i/>
          <w:iCs/>
        </w:rPr>
        <w:t xml:space="preserve"> </w:t>
      </w:r>
      <w:r w:rsidRPr="00CA78BD">
        <w:rPr>
          <w:rStyle w:val="af2"/>
          <w:rFonts w:ascii="Times New Roman" w:hAnsi="Times New Roman" w:cs="Times New Roman"/>
          <w:i/>
          <w:iCs/>
          <w:lang w:val="en-US"/>
        </w:rPr>
        <w:t>green</w:t>
      </w:r>
      <w:r w:rsidRPr="00CA78BD">
        <w:rPr>
          <w:rStyle w:val="af2"/>
          <w:rFonts w:ascii="Times New Roman" w:hAnsi="Times New Roman" w:cs="Times New Roman"/>
          <w:i/>
          <w:iCs/>
        </w:rPr>
        <w:t xml:space="preserve"> </w:t>
      </w:r>
      <w:r w:rsidRPr="00CA78BD">
        <w:rPr>
          <w:rStyle w:val="af2"/>
          <w:rFonts w:ascii="Times New Roman" w:hAnsi="Times New Roman" w:cs="Times New Roman"/>
          <w:i/>
          <w:iCs/>
          <w:lang w:val="en-US"/>
        </w:rPr>
        <w:t>while</w:t>
      </w:r>
      <w:r w:rsidRPr="00CA78BD">
        <w:rPr>
          <w:rStyle w:val="af2"/>
          <w:rFonts w:ascii="Times New Roman" w:hAnsi="Times New Roman" w:cs="Times New Roman"/>
          <w:i/>
          <w:iCs/>
        </w:rPr>
        <w:t xml:space="preserve"> </w:t>
      </w:r>
      <w:r w:rsidRPr="00CA78BD">
        <w:rPr>
          <w:rStyle w:val="af2"/>
          <w:rFonts w:ascii="Times New Roman" w:hAnsi="Times New Roman" w:cs="Times New Roman"/>
          <w:i/>
          <w:iCs/>
          <w:lang w:val="en-US"/>
        </w:rPr>
        <w:t>lobbying</w:t>
      </w:r>
      <w:r w:rsidRPr="00CA78BD">
        <w:rPr>
          <w:rStyle w:val="af2"/>
          <w:rFonts w:ascii="Times New Roman" w:hAnsi="Times New Roman" w:cs="Times New Roman"/>
          <w:i/>
          <w:iCs/>
        </w:rPr>
        <w:t xml:space="preserve"> </w:t>
      </w:r>
      <w:r w:rsidRPr="00CA78BD">
        <w:rPr>
          <w:rStyle w:val="af2"/>
          <w:rFonts w:ascii="Times New Roman" w:hAnsi="Times New Roman" w:cs="Times New Roman"/>
          <w:i/>
          <w:iCs/>
          <w:lang w:val="en-US"/>
        </w:rPr>
        <w:t>brown</w:t>
      </w:r>
      <w:r w:rsidRPr="00CA78BD">
        <w:rPr>
          <w:rStyle w:val="af2"/>
          <w:rFonts w:ascii="Times New Roman" w:hAnsi="Times New Roman" w:cs="Times New Roman"/>
          <w:i/>
          <w:iCs/>
        </w:rPr>
        <w:t>»</w:t>
      </w:r>
      <w:r w:rsidRPr="00CA78BD">
        <w:rPr>
          <w:rStyle w:val="af2"/>
          <w:rFonts w:ascii="Times New Roman" w:eastAsia="Times New Roman" w:hAnsi="Times New Roman" w:cs="Times New Roman"/>
          <w:vertAlign w:val="superscript"/>
        </w:rPr>
        <w:footnoteReference w:id="79"/>
      </w:r>
      <w:r w:rsidRPr="00CA78BD">
        <w:rPr>
          <w:rStyle w:val="af2"/>
          <w:rFonts w:ascii="Times New Roman" w:hAnsi="Times New Roman" w:cs="Times New Roman"/>
        </w:rPr>
        <w:t xml:space="preserve">. На самом деле реализация экологических инициатив сильно противоречит их экономическим интересам, и их потенциал позволяет им отодвинуть нежелательные меры на годы или даже десятилетия. Однако они ощущают общественное давление и в этой связи имеют ограниченный арсенал инструментов воздействия на власть и общественные настроения. Выступление против ответственного потребления и заботы об окружающей среде может мгновенно похоронить их имидж, выстраиваемый на протяжении многих лет. В этой связи они предпочитают концентрировать внимание на чём-то хорошем и разумном в их деятельности и усилиях по влиянию на законодательный процесс, отвлекая тем самым внимание от разговоров о вреде для окружающей среды. </w:t>
      </w:r>
    </w:p>
    <w:p w14:paraId="7D8FC23E" w14:textId="77777777" w:rsidR="00D60629" w:rsidRPr="00CA78BD" w:rsidRDefault="00D60629" w:rsidP="00D6062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hAnsi="Times New Roman" w:cs="Times New Roman"/>
        </w:rPr>
      </w:pPr>
      <w:r w:rsidRPr="00CA78BD">
        <w:rPr>
          <w:rStyle w:val="af2"/>
          <w:rFonts w:ascii="Times New Roman" w:eastAsia="Times New Roman" w:hAnsi="Times New Roman" w:cs="Times New Roman"/>
        </w:rPr>
        <w:tab/>
      </w:r>
      <w:r w:rsidRPr="00CA78BD">
        <w:rPr>
          <w:rStyle w:val="af2"/>
          <w:rFonts w:ascii="Times New Roman" w:hAnsi="Times New Roman" w:cs="Times New Roman"/>
        </w:rPr>
        <w:t xml:space="preserve">Европейская комиссия при этом должна понимать реальное положение дел, в связи с чем её восприимчивость к публичным заявлениям снижается. Ей необходимо понимать, в каком случае лоббисты лишь прикрываются формальной причиной для возражения, а в каком они имеют веские основания для беспокойства. Любое успешное прохождение инициативы через Европейский парламент и Совет говорит о грамотном учёте мнения каждой из заинтересованных групп и отражении реального баланса сил групп интересов. Именно поэтому для Европейской комиссии чрезвычайно важно сохранять практику неформальных консультаций с влиятельными компаниями и бизнес-ассоциациями. Если НКО может достаточно открыто заявлять о своей позиции, то для коммерческих структур это </w:t>
      </w:r>
      <w:r w:rsidRPr="00CA78BD">
        <w:rPr>
          <w:rStyle w:val="af2"/>
          <w:rFonts w:ascii="Times New Roman" w:hAnsi="Times New Roman" w:cs="Times New Roman"/>
        </w:rPr>
        <w:lastRenderedPageBreak/>
        <w:t>затруднительно, а реальные возможности бизнеса на современном этапе развития и последствия для экономики учитывать необходимо. Так, например, повышение цели по сокращению вредных выбросов к 2050 г. — результат компромисса между противоположными группами интересов</w:t>
      </w:r>
      <w:r w:rsidRPr="00CA78BD">
        <w:rPr>
          <w:rStyle w:val="af2"/>
          <w:rFonts w:ascii="Times New Roman" w:eastAsia="Times New Roman" w:hAnsi="Times New Roman" w:cs="Times New Roman"/>
          <w:vertAlign w:val="superscript"/>
        </w:rPr>
        <w:footnoteReference w:id="80"/>
      </w:r>
      <w:r w:rsidRPr="00CA78BD">
        <w:rPr>
          <w:rStyle w:val="af2"/>
          <w:rFonts w:ascii="Times New Roman" w:hAnsi="Times New Roman" w:cs="Times New Roman"/>
        </w:rPr>
        <w:t>. Изначальная цель, установленная еще в 2014 году, составляла 40% от уровня 1990 г. к 2030 г. Тогда экологические активисты заявляли, что цель слишком низкая, чтобы привести к сколько-нибудь значимому результату, и требовали цели в 65%.  В итоге сегодня мы видим цель в 50-55%, среднее значение. Эта и другие цели были приняты с учётом потенциального ущерба для европейского бизнеса. Европейский союз не пошёл по пути радикальных изменений и запретов, которые угрожали бы стабильности всего объединения, да и вряд ли были бы реализуемы на практике.</w:t>
      </w:r>
    </w:p>
    <w:p w14:paraId="0F1BB871" w14:textId="77777777" w:rsidR="00562EEC" w:rsidRPr="00CA78BD" w:rsidRDefault="00EA064B" w:rsidP="00EA064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hAnsi="Times New Roman" w:cs="Times New Roman"/>
        </w:rPr>
      </w:pPr>
      <w:r w:rsidRPr="00CA78BD">
        <w:rPr>
          <w:rStyle w:val="af2"/>
          <w:rFonts w:ascii="Times New Roman" w:hAnsi="Times New Roman" w:cs="Times New Roman"/>
        </w:rPr>
        <w:tab/>
        <w:t>Таким образом, можно заметить постепенное усиление тенденции к утверждению более строгих и высоких экологических стандартов и переход экономики Европейского союза на соответствующий путь развития. Крупный бизнес продолжает сопротивляться новым неблагоприятным для него мерам и делает всё возможное для того, чтобы отсрочить провозглашённый переход к «устойчивому развитию», хотя скорее всего осознаёт неизбежность прихода новой реальности, под которую придётся подстраиваться. Об этом свидетельствует поведение бизнеса на публике, где любое высказывание против зелёной политики рискует обернуться потерей репутации. В своих стремлениях повлиять на власть в нынешних условиях бизнес настаивает лишь на отсрочке реализации инициатив, но никогда прямо не говорит о необходимости отмены. Переход к новым условиям ведения бизнеса становится неизбежностью, и откат назад кажется уже невозможным. Сегодня под давлением со стороны общества бизнес может лишь на некоторое время минимизировать свои издержки от новой экологической политики, но в будущем всё равно будет вынужден уступить.</w:t>
      </w:r>
    </w:p>
    <w:p w14:paraId="357F7A87" w14:textId="77777777" w:rsidR="00562EEC" w:rsidRPr="00CA78BD" w:rsidRDefault="00562EEC">
      <w:pPr>
        <w:rPr>
          <w:rStyle w:val="af2"/>
          <w:rFonts w:ascii="Times New Roman" w:eastAsia="Arial Unicode MS" w:hAnsi="Times New Roman" w:cs="Times New Roman"/>
          <w:color w:val="000000"/>
          <w:bdr w:val="nil"/>
          <w:lang w:eastAsia="ru-RU"/>
          <w14:textOutline w14:w="0" w14:cap="flat" w14:cmpd="sng" w14:algn="ctr">
            <w14:noFill/>
            <w14:prstDash w14:val="solid"/>
            <w14:bevel/>
          </w14:textOutline>
        </w:rPr>
      </w:pPr>
      <w:r w:rsidRPr="00CA78BD">
        <w:rPr>
          <w:rStyle w:val="af2"/>
          <w:rFonts w:ascii="Times New Roman" w:hAnsi="Times New Roman" w:cs="Times New Roman"/>
        </w:rPr>
        <w:br w:type="page"/>
      </w:r>
    </w:p>
    <w:p w14:paraId="768C5EB6" w14:textId="77777777" w:rsidR="00EA064B" w:rsidRPr="00CA78BD" w:rsidRDefault="00562EEC" w:rsidP="00E50441">
      <w:pPr>
        <w:pStyle w:val="1"/>
        <w:jc w:val="center"/>
        <w:rPr>
          <w:rStyle w:val="af2"/>
          <w:rFonts w:ascii="Times New Roman" w:hAnsi="Times New Roman" w:cs="Times New Roman"/>
          <w:b/>
          <w:color w:val="000000" w:themeColor="text1"/>
          <w:sz w:val="24"/>
          <w:szCs w:val="24"/>
        </w:rPr>
      </w:pPr>
      <w:bookmarkStart w:id="12" w:name="_Toc72956539"/>
      <w:r w:rsidRPr="00CA78BD">
        <w:rPr>
          <w:rStyle w:val="af2"/>
          <w:rFonts w:ascii="Times New Roman" w:hAnsi="Times New Roman" w:cs="Times New Roman"/>
          <w:b/>
          <w:color w:val="000000" w:themeColor="text1"/>
          <w:sz w:val="24"/>
          <w:szCs w:val="24"/>
        </w:rPr>
        <w:lastRenderedPageBreak/>
        <w:t>Заключение</w:t>
      </w:r>
      <w:bookmarkEnd w:id="12"/>
    </w:p>
    <w:p w14:paraId="021A6BE0" w14:textId="77777777" w:rsidR="00EA064B" w:rsidRPr="00CA78BD" w:rsidRDefault="00EA064B" w:rsidP="00D60629">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jc w:val="both"/>
        <w:rPr>
          <w:rStyle w:val="af2"/>
          <w:rFonts w:ascii="Times New Roman" w:eastAsia="Times New Roman" w:hAnsi="Times New Roman" w:cs="Times New Roman"/>
        </w:rPr>
      </w:pPr>
    </w:p>
    <w:p w14:paraId="4AA91850" w14:textId="77777777" w:rsidR="009F756D" w:rsidRPr="00CA78BD" w:rsidRDefault="003C180D" w:rsidP="00EA064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rPr>
      </w:pPr>
      <w:r w:rsidRPr="00CA78BD">
        <w:rPr>
          <w:rFonts w:ascii="Times New Roman" w:eastAsia="Times New Roman" w:hAnsi="Times New Roman" w:cs="Times New Roman"/>
        </w:rPr>
        <w:tab/>
        <w:t xml:space="preserve">Наряду с необходимостью обеспечения базовых потребностей общества в безопасности, экономическом благосостоянии и </w:t>
      </w:r>
      <w:r w:rsidR="00617253" w:rsidRPr="00CA78BD">
        <w:rPr>
          <w:rFonts w:ascii="Times New Roman" w:eastAsia="Times New Roman" w:hAnsi="Times New Roman" w:cs="Times New Roman"/>
        </w:rPr>
        <w:t xml:space="preserve">возможностях для самореализации личности политическое руководство в рамках демократических систем должно учитывать тенденции общественного развития. Именно общественный дискурс ставит перед политическими лидерами задачи, решение которых требует политической воли. Игнорирование запроса населения в свою очередь несёт на себе риски потери доверия электората, снижения легитимности и, </w:t>
      </w:r>
      <w:r w:rsidR="00E02C57" w:rsidRPr="00CA78BD">
        <w:rPr>
          <w:rFonts w:ascii="Times New Roman" w:eastAsia="Times New Roman" w:hAnsi="Times New Roman" w:cs="Times New Roman"/>
        </w:rPr>
        <w:t>наконец</w:t>
      </w:r>
      <w:r w:rsidR="00617253" w:rsidRPr="00CA78BD">
        <w:rPr>
          <w:rFonts w:ascii="Times New Roman" w:eastAsia="Times New Roman" w:hAnsi="Times New Roman" w:cs="Times New Roman"/>
        </w:rPr>
        <w:t xml:space="preserve">, дестабилизации в обществе.  </w:t>
      </w:r>
      <w:r w:rsidR="00E02C57" w:rsidRPr="00CA78BD">
        <w:rPr>
          <w:rFonts w:ascii="Times New Roman" w:eastAsia="Times New Roman" w:hAnsi="Times New Roman" w:cs="Times New Roman"/>
        </w:rPr>
        <w:t xml:space="preserve">Сегодня очевидным запросом со стороны европейского общества является пересмотр основ экономического развития и в конечном итоге снижение вредоносного воздействия человека на окружающую среду. </w:t>
      </w:r>
    </w:p>
    <w:p w14:paraId="541687C9" w14:textId="77777777" w:rsidR="00E02C57" w:rsidRPr="00CA78BD" w:rsidRDefault="00E02C57" w:rsidP="00EA064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rPr>
      </w:pPr>
      <w:r w:rsidRPr="00CA78BD">
        <w:rPr>
          <w:rFonts w:ascii="Times New Roman" w:eastAsia="Times New Roman" w:hAnsi="Times New Roman" w:cs="Times New Roman"/>
        </w:rPr>
        <w:tab/>
        <w:t xml:space="preserve">Выразителями рассматриваемого общественного запроса в Европейском союзе в основном являются экологические НКО. Им противостоит крупный бизнес, который активно сопротивляется введению экономически невыгодных мер и обладает колоссальными ресурсами влияния на власть. Возможности бизнес-сообщества вызывают беспокойство среди социально активной части населения, озабоченной непропорциональным представительством групп интересов в институтах власти Европейского союза. </w:t>
      </w:r>
      <w:r w:rsidR="00256890" w:rsidRPr="00CA78BD">
        <w:rPr>
          <w:rFonts w:ascii="Times New Roman" w:eastAsia="Times New Roman" w:hAnsi="Times New Roman" w:cs="Times New Roman"/>
        </w:rPr>
        <w:t>На первый взгляд наиболее представленная и сильная группа получает определённое преимущество и способна заблокировать любое общественно-значимое решение, если то окажется невыгодным с коммерческой точки зрения. Однако приведённая причинно-следственная связь противоречит уже достигнутым успехам Евросоюза в области климатической и экологической политики.  Кроме уверенной позиции на рынке, объема располагаемых ресурсов и профессиональной работ</w:t>
      </w:r>
      <w:r w:rsidR="00E6107A" w:rsidRPr="00CA78BD">
        <w:rPr>
          <w:rFonts w:ascii="Times New Roman" w:eastAsia="Times New Roman" w:hAnsi="Times New Roman" w:cs="Times New Roman"/>
        </w:rPr>
        <w:t>ы</w:t>
      </w:r>
      <w:r w:rsidR="00256890" w:rsidRPr="00CA78BD">
        <w:rPr>
          <w:rFonts w:ascii="Times New Roman" w:eastAsia="Times New Roman" w:hAnsi="Times New Roman" w:cs="Times New Roman"/>
        </w:rPr>
        <w:t xml:space="preserve"> по представительству интересов необходимо </w:t>
      </w:r>
      <w:r w:rsidR="00F40E8F" w:rsidRPr="00CA78BD">
        <w:rPr>
          <w:rFonts w:ascii="Times New Roman" w:eastAsia="Times New Roman" w:hAnsi="Times New Roman" w:cs="Times New Roman"/>
        </w:rPr>
        <w:t>принимать во внимание</w:t>
      </w:r>
      <w:r w:rsidR="00256890" w:rsidRPr="00CA78BD">
        <w:rPr>
          <w:rFonts w:ascii="Times New Roman" w:eastAsia="Times New Roman" w:hAnsi="Times New Roman" w:cs="Times New Roman"/>
        </w:rPr>
        <w:t xml:space="preserve"> общественн</w:t>
      </w:r>
      <w:r w:rsidR="00F40E8F" w:rsidRPr="00CA78BD">
        <w:rPr>
          <w:rFonts w:ascii="Times New Roman" w:eastAsia="Times New Roman" w:hAnsi="Times New Roman" w:cs="Times New Roman"/>
        </w:rPr>
        <w:t>ую</w:t>
      </w:r>
      <w:r w:rsidR="00256890" w:rsidRPr="00CA78BD">
        <w:rPr>
          <w:rFonts w:ascii="Times New Roman" w:eastAsia="Times New Roman" w:hAnsi="Times New Roman" w:cs="Times New Roman"/>
        </w:rPr>
        <w:t xml:space="preserve"> поддержк</w:t>
      </w:r>
      <w:r w:rsidR="00F40E8F" w:rsidRPr="00CA78BD">
        <w:rPr>
          <w:rFonts w:ascii="Times New Roman" w:eastAsia="Times New Roman" w:hAnsi="Times New Roman" w:cs="Times New Roman"/>
        </w:rPr>
        <w:t>у</w:t>
      </w:r>
      <w:r w:rsidR="00256890" w:rsidRPr="00CA78BD">
        <w:rPr>
          <w:rFonts w:ascii="Times New Roman" w:eastAsia="Times New Roman" w:hAnsi="Times New Roman" w:cs="Times New Roman"/>
        </w:rPr>
        <w:t xml:space="preserve"> и современн</w:t>
      </w:r>
      <w:r w:rsidR="00F40E8F" w:rsidRPr="00CA78BD">
        <w:rPr>
          <w:rFonts w:ascii="Times New Roman" w:eastAsia="Times New Roman" w:hAnsi="Times New Roman" w:cs="Times New Roman"/>
        </w:rPr>
        <w:t>ые</w:t>
      </w:r>
      <w:r w:rsidR="00256890" w:rsidRPr="00CA78BD">
        <w:rPr>
          <w:rFonts w:ascii="Times New Roman" w:eastAsia="Times New Roman" w:hAnsi="Times New Roman" w:cs="Times New Roman"/>
        </w:rPr>
        <w:t xml:space="preserve"> </w:t>
      </w:r>
      <w:r w:rsidR="00F40E8F" w:rsidRPr="00CA78BD">
        <w:rPr>
          <w:rFonts w:ascii="Times New Roman" w:eastAsia="Times New Roman" w:hAnsi="Times New Roman" w:cs="Times New Roman"/>
        </w:rPr>
        <w:t>научные исследования</w:t>
      </w:r>
      <w:r w:rsidR="00256890" w:rsidRPr="00CA78BD">
        <w:rPr>
          <w:rFonts w:ascii="Times New Roman" w:eastAsia="Times New Roman" w:hAnsi="Times New Roman" w:cs="Times New Roman"/>
        </w:rPr>
        <w:t xml:space="preserve">. </w:t>
      </w:r>
      <w:r w:rsidR="00F40E8F" w:rsidRPr="00CA78BD">
        <w:rPr>
          <w:rFonts w:ascii="Times New Roman" w:eastAsia="Times New Roman" w:hAnsi="Times New Roman" w:cs="Times New Roman"/>
        </w:rPr>
        <w:t xml:space="preserve">В этой связи НКО выступают сильными оппонентами представителям бизнеса, которые не обладают такой научной аргументацией и общественной поддержкой, как экологические активисты. </w:t>
      </w:r>
    </w:p>
    <w:p w14:paraId="7F6408E0" w14:textId="77777777" w:rsidR="002C4C91" w:rsidRPr="00CA78BD" w:rsidRDefault="002C4C91" w:rsidP="00EA064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rPr>
      </w:pPr>
      <w:r w:rsidRPr="00CA78BD">
        <w:rPr>
          <w:rFonts w:ascii="Times New Roman" w:eastAsia="Times New Roman" w:hAnsi="Times New Roman" w:cs="Times New Roman"/>
        </w:rPr>
        <w:tab/>
        <w:t>Борьба за влияние на экологическую политику в основном разворачивается в Европейской комиссии, тогда как Европейский парламент играет второстепенную роль для организованных групп интересов. Взаимодействие лоббистов и представителей власти происходит в многочисленных экспертных группах</w:t>
      </w:r>
      <w:r w:rsidR="00286955" w:rsidRPr="00CA78BD">
        <w:rPr>
          <w:rFonts w:ascii="Times New Roman" w:eastAsia="Times New Roman" w:hAnsi="Times New Roman" w:cs="Times New Roman"/>
        </w:rPr>
        <w:t>,</w:t>
      </w:r>
      <w:r w:rsidR="00683427" w:rsidRPr="00CA78BD">
        <w:rPr>
          <w:rFonts w:ascii="Times New Roman" w:eastAsia="Times New Roman" w:hAnsi="Times New Roman" w:cs="Times New Roman"/>
        </w:rPr>
        <w:t xml:space="preserve"> при личной встрече</w:t>
      </w:r>
      <w:r w:rsidR="00286955" w:rsidRPr="00CA78BD">
        <w:rPr>
          <w:rFonts w:ascii="Times New Roman" w:eastAsia="Times New Roman" w:hAnsi="Times New Roman" w:cs="Times New Roman"/>
        </w:rPr>
        <w:t xml:space="preserve"> или посредством других каналов коммуникации (открытые письма, обращения, СМИ)</w:t>
      </w:r>
      <w:r w:rsidR="00683427" w:rsidRPr="00CA78BD">
        <w:rPr>
          <w:rFonts w:ascii="Times New Roman" w:eastAsia="Times New Roman" w:hAnsi="Times New Roman" w:cs="Times New Roman"/>
        </w:rPr>
        <w:t xml:space="preserve">. Так или иначе, </w:t>
      </w:r>
      <w:r w:rsidR="00683427" w:rsidRPr="00CA78BD">
        <w:rPr>
          <w:rFonts w:ascii="Times New Roman" w:eastAsia="Times New Roman" w:hAnsi="Times New Roman" w:cs="Times New Roman"/>
        </w:rPr>
        <w:lastRenderedPageBreak/>
        <w:t>лоббизм в Европейском союзе – это профессиональная деятельность, требующая всестороннего изучения рассматриваемого вопроса</w:t>
      </w:r>
      <w:r w:rsidR="00286955" w:rsidRPr="00CA78BD">
        <w:rPr>
          <w:rFonts w:ascii="Times New Roman" w:eastAsia="Times New Roman" w:hAnsi="Times New Roman" w:cs="Times New Roman"/>
        </w:rPr>
        <w:t xml:space="preserve"> и</w:t>
      </w:r>
      <w:r w:rsidR="00683427" w:rsidRPr="00CA78BD">
        <w:rPr>
          <w:rFonts w:ascii="Times New Roman" w:eastAsia="Times New Roman" w:hAnsi="Times New Roman" w:cs="Times New Roman"/>
        </w:rPr>
        <w:t xml:space="preserve"> объективной аргументации своей позиции </w:t>
      </w:r>
      <w:r w:rsidR="00286955" w:rsidRPr="00CA78BD">
        <w:rPr>
          <w:rFonts w:ascii="Times New Roman" w:eastAsia="Times New Roman" w:hAnsi="Times New Roman" w:cs="Times New Roman"/>
        </w:rPr>
        <w:t>с опорой на факты и научные данные. Таким образом, г</w:t>
      </w:r>
      <w:r w:rsidR="00683427" w:rsidRPr="00CA78BD">
        <w:rPr>
          <w:rFonts w:ascii="Times New Roman" w:eastAsia="Times New Roman" w:hAnsi="Times New Roman" w:cs="Times New Roman"/>
        </w:rPr>
        <w:t xml:space="preserve">лавный ресурс групп интересов в институтах Европейского союза – информация. </w:t>
      </w:r>
      <w:r w:rsidR="00F8799C" w:rsidRPr="00CA78BD">
        <w:rPr>
          <w:rFonts w:ascii="Times New Roman" w:eastAsia="Times New Roman" w:hAnsi="Times New Roman" w:cs="Times New Roman"/>
        </w:rPr>
        <w:t xml:space="preserve">Успех группы интересов зависит от её способности убедить законодателя в объективности занимаемой ею позиции и общественной значимости вопроса. Экологические НКО могут оперировать последними научными исследованиями и подтверждать ими факты истощения экосистем в Европе, сокращения биоразнообразия, климатических изменений и их последствий для человечества и др. Кроме того, </w:t>
      </w:r>
      <w:r w:rsidR="00B27A77" w:rsidRPr="00CA78BD">
        <w:rPr>
          <w:rFonts w:ascii="Times New Roman" w:eastAsia="Times New Roman" w:hAnsi="Times New Roman" w:cs="Times New Roman"/>
        </w:rPr>
        <w:t>НКО могут усилить свою позицию информацией об общественных настроениях в наиболее пострадавших от техногенного воздействия регионах или статистикой заболеваемости в наиболее загрязнённых местах проживания людей. Представители крупного бизнеса в свою очередь используют информацию о состоянии рынка в том или ином секторе экономики, занятости населения, технических возможностях предприятий</w:t>
      </w:r>
      <w:r w:rsidR="00812EF7" w:rsidRPr="00CA78BD">
        <w:rPr>
          <w:rFonts w:ascii="Times New Roman" w:eastAsia="Times New Roman" w:hAnsi="Times New Roman" w:cs="Times New Roman"/>
        </w:rPr>
        <w:t xml:space="preserve"> и т.д. Баланс сил групп интересов, таким образом, отражает баланс </w:t>
      </w:r>
      <w:r w:rsidR="009757EF" w:rsidRPr="00CA78BD">
        <w:rPr>
          <w:rFonts w:ascii="Times New Roman" w:eastAsia="Times New Roman" w:hAnsi="Times New Roman" w:cs="Times New Roman"/>
        </w:rPr>
        <w:t xml:space="preserve">между заботой о состоянии окружающей среды и поддержанием </w:t>
      </w:r>
      <w:r w:rsidR="003C1576" w:rsidRPr="00CA78BD">
        <w:rPr>
          <w:rFonts w:ascii="Times New Roman" w:eastAsia="Times New Roman" w:hAnsi="Times New Roman" w:cs="Times New Roman"/>
        </w:rPr>
        <w:t xml:space="preserve">высокого уровня экономического развития. Эта идея лежит в основе концепции «устойчивого развития», выступающей главным ориентиром Европейского союза в его экологической и климатической политике. </w:t>
      </w:r>
    </w:p>
    <w:p w14:paraId="3BB577EE" w14:textId="77777777" w:rsidR="00BA197B" w:rsidRPr="00CA78BD" w:rsidRDefault="003C1576" w:rsidP="00EA064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rPr>
      </w:pPr>
      <w:r w:rsidRPr="00CA78BD">
        <w:rPr>
          <w:rFonts w:ascii="Times New Roman" w:eastAsia="Times New Roman" w:hAnsi="Times New Roman" w:cs="Times New Roman"/>
        </w:rPr>
        <w:tab/>
        <w:t>В этой связи, возможности экологических НКО ограничены лишь</w:t>
      </w:r>
      <w:r w:rsidR="00945153" w:rsidRPr="00CA78BD">
        <w:rPr>
          <w:rFonts w:ascii="Times New Roman" w:eastAsia="Times New Roman" w:hAnsi="Times New Roman" w:cs="Times New Roman"/>
        </w:rPr>
        <w:t xml:space="preserve"> </w:t>
      </w:r>
      <w:r w:rsidR="00825AAD" w:rsidRPr="00CA78BD">
        <w:rPr>
          <w:rFonts w:ascii="Times New Roman" w:eastAsia="Times New Roman" w:hAnsi="Times New Roman" w:cs="Times New Roman"/>
        </w:rPr>
        <w:t>ресурсами</w:t>
      </w:r>
      <w:r w:rsidR="00945153" w:rsidRPr="00CA78BD">
        <w:rPr>
          <w:rFonts w:ascii="Times New Roman" w:eastAsia="Times New Roman" w:hAnsi="Times New Roman" w:cs="Times New Roman"/>
        </w:rPr>
        <w:t xml:space="preserve"> европейской экономики. </w:t>
      </w:r>
      <w:r w:rsidR="00AF3654" w:rsidRPr="00CA78BD">
        <w:rPr>
          <w:rFonts w:ascii="Times New Roman" w:eastAsia="Times New Roman" w:hAnsi="Times New Roman" w:cs="Times New Roman"/>
        </w:rPr>
        <w:t xml:space="preserve">Зелёная повестка прочно закрепилась в европейском политическом дискурсе, и усилия крупного бизнеса сегодня направлены скорее на замедление введения новых экологических мер и стандартов, нежели на отказ от их принятия. Как показала пандемия </w:t>
      </w:r>
      <w:r w:rsidR="00AF3654" w:rsidRPr="00CA78BD">
        <w:rPr>
          <w:rFonts w:ascii="Times New Roman" w:eastAsia="Times New Roman" w:hAnsi="Times New Roman" w:cs="Times New Roman"/>
          <w:lang w:val="en-US"/>
        </w:rPr>
        <w:t>COVID</w:t>
      </w:r>
      <w:r w:rsidR="00AF3654" w:rsidRPr="00CA78BD">
        <w:rPr>
          <w:rFonts w:ascii="Times New Roman" w:eastAsia="Times New Roman" w:hAnsi="Times New Roman" w:cs="Times New Roman"/>
        </w:rPr>
        <w:t>-19, бизнес намерен только отсрочить принятие нового экологического законодательства</w:t>
      </w:r>
      <w:r w:rsidR="00BA197B" w:rsidRPr="00CA78BD">
        <w:rPr>
          <w:rFonts w:ascii="Times New Roman" w:eastAsia="Times New Roman" w:hAnsi="Times New Roman" w:cs="Times New Roman"/>
        </w:rPr>
        <w:t xml:space="preserve"> Евросоюза</w:t>
      </w:r>
      <w:r w:rsidR="00AF3654" w:rsidRPr="00CA78BD">
        <w:rPr>
          <w:rFonts w:ascii="Times New Roman" w:eastAsia="Times New Roman" w:hAnsi="Times New Roman" w:cs="Times New Roman"/>
        </w:rPr>
        <w:t xml:space="preserve">, хотя бы до восстановления экономики после вызванного пандемией кризиса, но он не может </w:t>
      </w:r>
      <w:r w:rsidR="00BA197B" w:rsidRPr="00CA78BD">
        <w:rPr>
          <w:rFonts w:ascii="Times New Roman" w:eastAsia="Times New Roman" w:hAnsi="Times New Roman" w:cs="Times New Roman"/>
        </w:rPr>
        <w:t>убедить власть отказаться от «Европейского зелёного курса» окончательно. Движение к более «зелёной» экономике и образу жизни кажется сегодня необратимым, и бизнес осознаёт необходимость перестраиваться под новые условия, а не настаивать на отказе от этих идей. Следовательно, борьба за экологическую политику между группами интересов разворачивается сегодня только вокруг темпов реализации новых экологических инициатив.</w:t>
      </w:r>
    </w:p>
    <w:p w14:paraId="3BC6B75C" w14:textId="77777777" w:rsidR="00670A78" w:rsidRPr="00CA78BD" w:rsidRDefault="00BA197B" w:rsidP="00EA064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cs="Times New Roman"/>
        </w:rPr>
      </w:pPr>
      <w:r w:rsidRPr="00CA78BD">
        <w:rPr>
          <w:rFonts w:ascii="Times New Roman" w:eastAsia="Times New Roman" w:hAnsi="Times New Roman" w:cs="Times New Roman"/>
        </w:rPr>
        <w:tab/>
        <w:t xml:space="preserve">В этой борьбе количественные силы противоположных групп интересов не равны. </w:t>
      </w:r>
      <w:r w:rsidR="00587FEB" w:rsidRPr="00CA78BD">
        <w:rPr>
          <w:rFonts w:ascii="Times New Roman" w:eastAsia="Times New Roman" w:hAnsi="Times New Roman" w:cs="Times New Roman"/>
        </w:rPr>
        <w:t xml:space="preserve">Коммерческие организации тратят значительно больше средств на лоббистскую деятельность в институтах Европейского союза. Кроме того, представителей со стороны </w:t>
      </w:r>
      <w:r w:rsidR="00587FEB" w:rsidRPr="00CA78BD">
        <w:rPr>
          <w:rFonts w:ascii="Times New Roman" w:eastAsia="Times New Roman" w:hAnsi="Times New Roman" w:cs="Times New Roman"/>
        </w:rPr>
        <w:lastRenderedPageBreak/>
        <w:t xml:space="preserve">бизнеса просто больше, чем со стороны экологических НКО. В соответствии с «логикой коллективного действия» М. Олсона, публичные интересы, затрагивающее большее количество людей, оказываются менее представлены в силу наличия издержек организации общественного давления на власть. </w:t>
      </w:r>
      <w:r w:rsidR="00670A78" w:rsidRPr="00CA78BD">
        <w:rPr>
          <w:rFonts w:ascii="Times New Roman" w:eastAsia="Times New Roman" w:hAnsi="Times New Roman" w:cs="Times New Roman"/>
        </w:rPr>
        <w:t xml:space="preserve">Сегодня наиболее активными субъектами в области экологической политики в институтах Европейского союза выступают такие некоммерческие организации, как </w:t>
      </w:r>
      <w:r w:rsidR="00670A78" w:rsidRPr="00CA78BD">
        <w:rPr>
          <w:rFonts w:ascii="Times New Roman" w:hAnsi="Times New Roman" w:cs="Times New Roman"/>
          <w:b/>
          <w:bCs/>
          <w:i/>
          <w:iCs/>
        </w:rPr>
        <w:t>T&amp;E, WWF</w:t>
      </w:r>
      <w:r w:rsidR="00670A78" w:rsidRPr="00CA78BD">
        <w:rPr>
          <w:rFonts w:ascii="Times New Roman" w:hAnsi="Times New Roman" w:cs="Times New Roman"/>
        </w:rPr>
        <w:t xml:space="preserve"> и </w:t>
      </w:r>
      <w:r w:rsidR="00670A78" w:rsidRPr="00CA78BD">
        <w:rPr>
          <w:rFonts w:ascii="Times New Roman" w:hAnsi="Times New Roman" w:cs="Times New Roman"/>
          <w:b/>
          <w:bCs/>
          <w:i/>
          <w:iCs/>
        </w:rPr>
        <w:t xml:space="preserve">EEB. </w:t>
      </w:r>
      <w:r w:rsidR="00670A78" w:rsidRPr="00CA78BD">
        <w:rPr>
          <w:rFonts w:ascii="Times New Roman" w:hAnsi="Times New Roman" w:cs="Times New Roman"/>
          <w:bCs/>
          <w:iCs/>
        </w:rPr>
        <w:t xml:space="preserve">Им противостоят такие мощные бизнес-ассоциации и торговые палаты, как </w:t>
      </w:r>
      <w:proofErr w:type="spellStart"/>
      <w:r w:rsidR="00670A78" w:rsidRPr="00CA78BD">
        <w:rPr>
          <w:rFonts w:ascii="Times New Roman" w:hAnsi="Times New Roman" w:cs="Times New Roman"/>
          <w:b/>
          <w:bCs/>
          <w:i/>
          <w:iCs/>
        </w:rPr>
        <w:t>BusinessEurope</w:t>
      </w:r>
      <w:proofErr w:type="spellEnd"/>
      <w:r w:rsidR="00670A78" w:rsidRPr="00CA78BD">
        <w:rPr>
          <w:rFonts w:ascii="Times New Roman" w:hAnsi="Times New Roman" w:cs="Times New Roman"/>
        </w:rPr>
        <w:t xml:space="preserve">, </w:t>
      </w:r>
      <w:proofErr w:type="spellStart"/>
      <w:r w:rsidR="00670A78" w:rsidRPr="00CA78BD">
        <w:rPr>
          <w:rFonts w:ascii="Times New Roman" w:hAnsi="Times New Roman" w:cs="Times New Roman"/>
          <w:b/>
          <w:bCs/>
          <w:i/>
          <w:iCs/>
        </w:rPr>
        <w:t>AmCham</w:t>
      </w:r>
      <w:proofErr w:type="spellEnd"/>
      <w:r w:rsidR="00670A78" w:rsidRPr="00CA78BD">
        <w:rPr>
          <w:rFonts w:ascii="Times New Roman" w:hAnsi="Times New Roman" w:cs="Times New Roman"/>
          <w:b/>
          <w:bCs/>
          <w:i/>
          <w:iCs/>
        </w:rPr>
        <w:t xml:space="preserve"> EU</w:t>
      </w:r>
      <w:r w:rsidR="00670A78" w:rsidRPr="00CA78BD">
        <w:rPr>
          <w:rFonts w:ascii="Times New Roman" w:hAnsi="Times New Roman" w:cs="Times New Roman"/>
        </w:rPr>
        <w:t xml:space="preserve">, </w:t>
      </w:r>
      <w:proofErr w:type="spellStart"/>
      <w:r w:rsidR="00670A78" w:rsidRPr="00CA78BD">
        <w:rPr>
          <w:rFonts w:ascii="Times New Roman" w:hAnsi="Times New Roman" w:cs="Times New Roman"/>
          <w:b/>
          <w:bCs/>
          <w:i/>
          <w:iCs/>
        </w:rPr>
        <w:t>Cefic</w:t>
      </w:r>
      <w:proofErr w:type="spellEnd"/>
      <w:r w:rsidR="00670A78" w:rsidRPr="00CA78BD">
        <w:rPr>
          <w:rFonts w:ascii="Times New Roman" w:hAnsi="Times New Roman" w:cs="Times New Roman"/>
          <w:b/>
          <w:bCs/>
          <w:i/>
          <w:iCs/>
        </w:rPr>
        <w:t xml:space="preserve"> </w:t>
      </w:r>
      <w:r w:rsidR="00670A78" w:rsidRPr="00CA78BD">
        <w:rPr>
          <w:rFonts w:ascii="Times New Roman" w:hAnsi="Times New Roman" w:cs="Times New Roman"/>
          <w:bCs/>
          <w:iCs/>
        </w:rPr>
        <w:t>и др</w:t>
      </w:r>
      <w:r w:rsidR="00670A78" w:rsidRPr="00CA78BD">
        <w:rPr>
          <w:rFonts w:ascii="Times New Roman" w:hAnsi="Times New Roman" w:cs="Times New Roman"/>
          <w:b/>
          <w:bCs/>
          <w:i/>
          <w:iCs/>
        </w:rPr>
        <w:t xml:space="preserve">. </w:t>
      </w:r>
      <w:r w:rsidR="00670A78" w:rsidRPr="00CA78BD">
        <w:rPr>
          <w:rFonts w:ascii="Times New Roman" w:hAnsi="Times New Roman" w:cs="Times New Roman"/>
          <w:bCs/>
          <w:iCs/>
        </w:rPr>
        <w:t xml:space="preserve">Сильных представителей со стороны бизнеса, который был бы заинтересован в продвижении зелёной повестки, обнаружено не было. </w:t>
      </w:r>
      <w:r w:rsidR="00670A78" w:rsidRPr="00CA78BD">
        <w:rPr>
          <w:rFonts w:ascii="Times New Roman" w:hAnsi="Times New Roman" w:cs="Times New Roman"/>
        </w:rPr>
        <w:t>Сектор ВИЭ в Европейском союзе ещё пока не имеет большой политической силы, что опровергает предположения о коммерческом интересе, который стоит за решениями Евросоюза в области экологической политики.</w:t>
      </w:r>
    </w:p>
    <w:p w14:paraId="51750C5A" w14:textId="77777777" w:rsidR="00BA525D" w:rsidRPr="00CA78BD" w:rsidRDefault="00670A78" w:rsidP="00EA064B">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cs="Times New Roman"/>
        </w:rPr>
      </w:pPr>
      <w:r w:rsidRPr="00CA78BD">
        <w:rPr>
          <w:rFonts w:ascii="Times New Roman" w:hAnsi="Times New Roman" w:cs="Times New Roman"/>
        </w:rPr>
        <w:tab/>
        <w:t xml:space="preserve">Тем не менее экологические НКО демонстрируют </w:t>
      </w:r>
      <w:r w:rsidR="00D013A1" w:rsidRPr="00CA78BD">
        <w:rPr>
          <w:rFonts w:ascii="Times New Roman" w:hAnsi="Times New Roman" w:cs="Times New Roman"/>
        </w:rPr>
        <w:t xml:space="preserve">высокий потенциал в процессе влияния на политические решения в Европейском союзе. Несмотря на свои ограниченные ресурсы, они не сильно уступают представителям бизнеса по числу личных контактов с лицами, принимающими решения. НКО пользуются большим доверием </w:t>
      </w:r>
      <w:r w:rsidR="002B4F61" w:rsidRPr="00CA78BD">
        <w:rPr>
          <w:rFonts w:ascii="Times New Roman" w:hAnsi="Times New Roman" w:cs="Times New Roman"/>
        </w:rPr>
        <w:t xml:space="preserve">и экспертной информацией, благодаря которой </w:t>
      </w:r>
      <w:r w:rsidR="00F27B10" w:rsidRPr="00CA78BD">
        <w:rPr>
          <w:rFonts w:ascii="Times New Roman" w:hAnsi="Times New Roman" w:cs="Times New Roman"/>
        </w:rPr>
        <w:t xml:space="preserve">именно </w:t>
      </w:r>
      <w:r w:rsidR="002B4F61" w:rsidRPr="00CA78BD">
        <w:rPr>
          <w:rFonts w:ascii="Times New Roman" w:hAnsi="Times New Roman" w:cs="Times New Roman"/>
        </w:rPr>
        <w:t xml:space="preserve">они определяют направления экологической политики, а бизнес </w:t>
      </w:r>
      <w:r w:rsidR="00F27B10" w:rsidRPr="00CA78BD">
        <w:rPr>
          <w:rFonts w:ascii="Times New Roman" w:hAnsi="Times New Roman" w:cs="Times New Roman"/>
        </w:rPr>
        <w:t>лишь</w:t>
      </w:r>
      <w:r w:rsidR="002B4F61" w:rsidRPr="00CA78BD">
        <w:rPr>
          <w:rFonts w:ascii="Times New Roman" w:hAnsi="Times New Roman" w:cs="Times New Roman"/>
        </w:rPr>
        <w:t xml:space="preserve"> </w:t>
      </w:r>
      <w:r w:rsidR="00F27B10" w:rsidRPr="00CA78BD">
        <w:rPr>
          <w:rFonts w:ascii="Times New Roman" w:hAnsi="Times New Roman" w:cs="Times New Roman"/>
        </w:rPr>
        <w:t xml:space="preserve">защищается, стараясь снизить издержки от неблагоприятных последствий принимаемых мер. Таким образом, НКО играют ведущую роль в определении зелёной повестки в институтах Европейского союза и имеют потенциал противостоять крупному бизнесу в его намерениях затормозить процесс перехода европейской экономики к так называемому «устойчивому развитию». </w:t>
      </w:r>
    </w:p>
    <w:p w14:paraId="1267C0EC" w14:textId="77777777" w:rsidR="00BA525D" w:rsidRPr="00CA78BD" w:rsidRDefault="00BA525D">
      <w:pPr>
        <w:rPr>
          <w:rFonts w:ascii="Times New Roman" w:eastAsia="Arial Unicode MS" w:hAnsi="Times New Roman" w:cs="Times New Roman"/>
          <w:color w:val="000000"/>
          <w:bdr w:val="nil"/>
          <w:lang w:eastAsia="ru-RU"/>
          <w14:textOutline w14:w="0" w14:cap="flat" w14:cmpd="sng" w14:algn="ctr">
            <w14:noFill/>
            <w14:prstDash w14:val="solid"/>
            <w14:bevel/>
          </w14:textOutline>
        </w:rPr>
      </w:pPr>
      <w:r w:rsidRPr="00CA78BD">
        <w:rPr>
          <w:rFonts w:ascii="Times New Roman" w:hAnsi="Times New Roman" w:cs="Times New Roman"/>
        </w:rPr>
        <w:br w:type="page"/>
      </w:r>
    </w:p>
    <w:p w14:paraId="3160EA9D" w14:textId="77777777" w:rsidR="00670A78" w:rsidRPr="00CA78BD" w:rsidRDefault="00BA525D" w:rsidP="00E50441">
      <w:pPr>
        <w:pStyle w:val="1"/>
        <w:jc w:val="center"/>
        <w:rPr>
          <w:rFonts w:ascii="Times New Roman" w:hAnsi="Times New Roman" w:cs="Times New Roman"/>
          <w:b/>
          <w:color w:val="000000" w:themeColor="text1"/>
          <w:sz w:val="24"/>
          <w:szCs w:val="24"/>
        </w:rPr>
      </w:pPr>
      <w:bookmarkStart w:id="13" w:name="_Toc72956540"/>
      <w:r w:rsidRPr="00CA78BD">
        <w:rPr>
          <w:rFonts w:ascii="Times New Roman" w:hAnsi="Times New Roman" w:cs="Times New Roman"/>
          <w:b/>
          <w:color w:val="000000" w:themeColor="text1"/>
          <w:sz w:val="24"/>
          <w:szCs w:val="24"/>
        </w:rPr>
        <w:lastRenderedPageBreak/>
        <w:t>Список источников и литературы</w:t>
      </w:r>
      <w:bookmarkEnd w:id="13"/>
    </w:p>
    <w:p w14:paraId="6E154A72" w14:textId="77777777" w:rsidR="00BA525D" w:rsidRPr="00CA78BD" w:rsidRDefault="00BA525D" w:rsidP="00595EE3">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cs="Times New Roman"/>
        </w:rPr>
      </w:pPr>
    </w:p>
    <w:p w14:paraId="41D5E735" w14:textId="77777777" w:rsidR="00595EE3" w:rsidRPr="00CA78BD" w:rsidRDefault="00595EE3" w:rsidP="00595EE3">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hAnsi="Times New Roman" w:cs="Times New Roman"/>
        </w:rPr>
      </w:pPr>
      <w:r w:rsidRPr="00CA78BD">
        <w:rPr>
          <w:rFonts w:ascii="Times New Roman" w:hAnsi="Times New Roman" w:cs="Times New Roman"/>
        </w:rPr>
        <w:t>Источники</w:t>
      </w:r>
    </w:p>
    <w:p w14:paraId="4613B665" w14:textId="77777777" w:rsidR="009221A8" w:rsidRPr="00CA78BD" w:rsidRDefault="009221A8" w:rsidP="009221A8">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r w:rsidRPr="00CA78BD">
        <w:rPr>
          <w:rFonts w:ascii="Times New Roman" w:hAnsi="Times New Roman" w:cs="Times New Roman"/>
          <w:lang w:val="en-US"/>
        </w:rPr>
        <w:t>A4E, open letter</w:t>
      </w:r>
      <w:r w:rsidR="006E6AC5" w:rsidRPr="00CA78BD">
        <w:rPr>
          <w:rFonts w:ascii="Times New Roman" w:hAnsi="Times New Roman" w:cs="Times New Roman"/>
          <w:lang w:val="en-US"/>
        </w:rPr>
        <w:t xml:space="preserve">. // </w:t>
      </w:r>
      <w:r w:rsidRPr="00CA78BD">
        <w:rPr>
          <w:rFonts w:ascii="Times New Roman" w:hAnsi="Times New Roman" w:cs="Times New Roman"/>
          <w:lang w:val="en-US"/>
        </w:rPr>
        <w:t xml:space="preserve">URL: </w:t>
      </w:r>
      <w:r w:rsidR="006E6AC5" w:rsidRPr="00CA78BD">
        <w:rPr>
          <w:rFonts w:ascii="Times New Roman" w:hAnsi="Times New Roman" w:cs="Times New Roman"/>
          <w:lang w:val="en-US"/>
        </w:rPr>
        <w:t>https://a4e.eu/publications/european-governments-must-act-now-to-reduce-covid-19-impact-on-aviation/ (</w:t>
      </w:r>
      <w:r w:rsidR="006E6AC5" w:rsidRPr="00CA78BD">
        <w:rPr>
          <w:rFonts w:ascii="Times New Roman" w:hAnsi="Times New Roman" w:cs="Times New Roman"/>
        </w:rPr>
        <w:t>Дата</w:t>
      </w:r>
      <w:r w:rsidR="006E6AC5" w:rsidRPr="00CA78BD">
        <w:rPr>
          <w:rFonts w:ascii="Times New Roman" w:hAnsi="Times New Roman" w:cs="Times New Roman"/>
          <w:lang w:val="en-US"/>
        </w:rPr>
        <w:t xml:space="preserve"> </w:t>
      </w:r>
      <w:r w:rsidR="006E6AC5" w:rsidRPr="00CA78BD">
        <w:rPr>
          <w:rFonts w:ascii="Times New Roman" w:hAnsi="Times New Roman" w:cs="Times New Roman"/>
        </w:rPr>
        <w:t>обращения</w:t>
      </w:r>
      <w:r w:rsidR="006E6AC5" w:rsidRPr="00CA78BD">
        <w:rPr>
          <w:rFonts w:ascii="Times New Roman" w:hAnsi="Times New Roman" w:cs="Times New Roman"/>
          <w:lang w:val="en-US"/>
        </w:rPr>
        <w:t>: 02.05.2021)</w:t>
      </w:r>
    </w:p>
    <w:p w14:paraId="7D4907DF" w14:textId="77777777" w:rsidR="009221A8" w:rsidRPr="00CA78BD" w:rsidRDefault="009221A8" w:rsidP="009221A8">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r w:rsidRPr="00CA78BD">
        <w:rPr>
          <w:rFonts w:ascii="Times New Roman" w:hAnsi="Times New Roman" w:cs="Times New Roman"/>
          <w:lang w:val="en-US"/>
        </w:rPr>
        <w:t>ACEA, open letter</w:t>
      </w:r>
      <w:r w:rsidR="006E6AC5" w:rsidRPr="00CA78BD">
        <w:rPr>
          <w:rFonts w:ascii="Times New Roman" w:hAnsi="Times New Roman" w:cs="Times New Roman"/>
          <w:lang w:val="en-US"/>
        </w:rPr>
        <w:t xml:space="preserve">. // </w:t>
      </w:r>
      <w:r w:rsidRPr="00CA78BD">
        <w:rPr>
          <w:rFonts w:ascii="Times New Roman" w:hAnsi="Times New Roman" w:cs="Times New Roman"/>
          <w:lang w:val="en-US"/>
        </w:rPr>
        <w:t xml:space="preserve">URL: </w:t>
      </w:r>
      <w:r w:rsidR="006E6AC5" w:rsidRPr="00CA78BD">
        <w:rPr>
          <w:rFonts w:ascii="Times New Roman" w:hAnsi="Times New Roman" w:cs="Times New Roman"/>
          <w:lang w:val="en-US"/>
        </w:rPr>
        <w:t>https://www.acea.be/news/article/covid-19-auto-sector-letter-to-von-der-leyen (</w:t>
      </w:r>
      <w:r w:rsidR="006E6AC5" w:rsidRPr="00CA78BD">
        <w:rPr>
          <w:rFonts w:ascii="Times New Roman" w:hAnsi="Times New Roman" w:cs="Times New Roman"/>
        </w:rPr>
        <w:t>Дата</w:t>
      </w:r>
      <w:r w:rsidR="006E6AC5" w:rsidRPr="00CA78BD">
        <w:rPr>
          <w:rFonts w:ascii="Times New Roman" w:hAnsi="Times New Roman" w:cs="Times New Roman"/>
          <w:lang w:val="en-US"/>
        </w:rPr>
        <w:t xml:space="preserve"> </w:t>
      </w:r>
      <w:r w:rsidR="006E6AC5" w:rsidRPr="00CA78BD">
        <w:rPr>
          <w:rFonts w:ascii="Times New Roman" w:hAnsi="Times New Roman" w:cs="Times New Roman"/>
        </w:rPr>
        <w:t>обращения</w:t>
      </w:r>
      <w:r w:rsidR="006E6AC5" w:rsidRPr="00CA78BD">
        <w:rPr>
          <w:rFonts w:ascii="Times New Roman" w:hAnsi="Times New Roman" w:cs="Times New Roman"/>
          <w:lang w:val="en-US"/>
        </w:rPr>
        <w:t>: 02.05.2021)</w:t>
      </w:r>
    </w:p>
    <w:p w14:paraId="75BFE547" w14:textId="77777777" w:rsidR="009221A8" w:rsidRPr="00CA78BD" w:rsidRDefault="009221A8" w:rsidP="009221A8">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r w:rsidRPr="00CA78BD">
        <w:rPr>
          <w:rFonts w:ascii="Times New Roman" w:hAnsi="Times New Roman" w:cs="Times New Roman"/>
          <w:lang w:val="en-US"/>
        </w:rPr>
        <w:t>BDI, open letter</w:t>
      </w:r>
      <w:r w:rsidR="006E6AC5" w:rsidRPr="00CA78BD">
        <w:rPr>
          <w:rFonts w:ascii="Times New Roman" w:hAnsi="Times New Roman" w:cs="Times New Roman"/>
          <w:lang w:val="en-US"/>
        </w:rPr>
        <w:t xml:space="preserve">. // </w:t>
      </w:r>
      <w:r w:rsidRPr="00CA78BD">
        <w:rPr>
          <w:rFonts w:ascii="Times New Roman" w:hAnsi="Times New Roman" w:cs="Times New Roman"/>
          <w:lang w:val="en-US"/>
        </w:rPr>
        <w:t>URL:</w:t>
      </w:r>
      <w:r w:rsidR="006E6AC5" w:rsidRPr="00CA78BD">
        <w:rPr>
          <w:rFonts w:ascii="Times New Roman" w:hAnsi="Times New Roman" w:cs="Times New Roman"/>
          <w:lang w:val="en-US"/>
        </w:rPr>
        <w:t xml:space="preserve"> https://echa.europa.eu/documents/10162/28801697/bdi_letter_ </w:t>
      </w:r>
      <w:r w:rsidRPr="00CA78BD">
        <w:rPr>
          <w:rFonts w:ascii="Times New Roman" w:hAnsi="Times New Roman" w:cs="Times New Roman"/>
          <w:lang w:val="en-US"/>
        </w:rPr>
        <w:t>to_echa_during_covid_en.pdf/5d04a4b9-724f-68d9-c7ba-11111d69ee3d</w:t>
      </w:r>
      <w:r w:rsidR="006E6AC5" w:rsidRPr="00CA78BD">
        <w:rPr>
          <w:rFonts w:ascii="Times New Roman" w:hAnsi="Times New Roman" w:cs="Times New Roman"/>
          <w:lang w:val="en-US"/>
        </w:rPr>
        <w:t xml:space="preserve"> (</w:t>
      </w:r>
      <w:r w:rsidR="006E6AC5" w:rsidRPr="00CA78BD">
        <w:rPr>
          <w:rFonts w:ascii="Times New Roman" w:hAnsi="Times New Roman" w:cs="Times New Roman"/>
        </w:rPr>
        <w:t>Дата</w:t>
      </w:r>
      <w:r w:rsidR="006E6AC5" w:rsidRPr="00CA78BD">
        <w:rPr>
          <w:rFonts w:ascii="Times New Roman" w:hAnsi="Times New Roman" w:cs="Times New Roman"/>
          <w:lang w:val="en-US"/>
        </w:rPr>
        <w:t xml:space="preserve"> </w:t>
      </w:r>
      <w:r w:rsidR="006E6AC5" w:rsidRPr="00CA78BD">
        <w:rPr>
          <w:rFonts w:ascii="Times New Roman" w:hAnsi="Times New Roman" w:cs="Times New Roman"/>
        </w:rPr>
        <w:t>обращения</w:t>
      </w:r>
      <w:r w:rsidR="006E6AC5" w:rsidRPr="00CA78BD">
        <w:rPr>
          <w:rFonts w:ascii="Times New Roman" w:hAnsi="Times New Roman" w:cs="Times New Roman"/>
          <w:lang w:val="en-US"/>
        </w:rPr>
        <w:t>: 02.05.2021)</w:t>
      </w:r>
    </w:p>
    <w:p w14:paraId="5DCBCAF4" w14:textId="77777777" w:rsidR="009221A8" w:rsidRPr="00CA78BD" w:rsidRDefault="009221A8" w:rsidP="006E6AC5">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proofErr w:type="spellStart"/>
      <w:r w:rsidRPr="00CA78BD">
        <w:rPr>
          <w:rFonts w:ascii="Times New Roman" w:hAnsi="Times New Roman" w:cs="Times New Roman"/>
          <w:lang w:val="en-US"/>
        </w:rPr>
        <w:t>BusinessEurope</w:t>
      </w:r>
      <w:proofErr w:type="spellEnd"/>
      <w:r w:rsidRPr="00CA78BD">
        <w:rPr>
          <w:rFonts w:ascii="Times New Roman" w:hAnsi="Times New Roman" w:cs="Times New Roman"/>
          <w:lang w:val="en-US"/>
        </w:rPr>
        <w:t>, open letter</w:t>
      </w:r>
      <w:r w:rsidR="006E6AC5" w:rsidRPr="00CA78BD">
        <w:rPr>
          <w:rFonts w:ascii="Times New Roman" w:hAnsi="Times New Roman" w:cs="Times New Roman"/>
          <w:lang w:val="en-US"/>
        </w:rPr>
        <w:t xml:space="preserve">. // </w:t>
      </w:r>
      <w:r w:rsidRPr="00CA78BD">
        <w:rPr>
          <w:rFonts w:ascii="Times New Roman" w:hAnsi="Times New Roman" w:cs="Times New Roman"/>
          <w:lang w:val="en-US"/>
        </w:rPr>
        <w:t>URL:</w:t>
      </w:r>
      <w:r w:rsidR="006E6AC5" w:rsidRPr="00CA78BD">
        <w:rPr>
          <w:rFonts w:ascii="Times New Roman" w:hAnsi="Times New Roman" w:cs="Times New Roman"/>
          <w:lang w:val="en-US"/>
        </w:rPr>
        <w:t xml:space="preserve"> https://www.businesseurope.eu/publications/over coming-covid-19-crisis-and-focussing-essential-message-members-european-council (</w:t>
      </w:r>
      <w:r w:rsidR="006E6AC5" w:rsidRPr="00CA78BD">
        <w:rPr>
          <w:rFonts w:ascii="Times New Roman" w:hAnsi="Times New Roman" w:cs="Times New Roman"/>
        </w:rPr>
        <w:t>Дата</w:t>
      </w:r>
      <w:r w:rsidR="006E6AC5" w:rsidRPr="00CA78BD">
        <w:rPr>
          <w:rFonts w:ascii="Times New Roman" w:hAnsi="Times New Roman" w:cs="Times New Roman"/>
          <w:lang w:val="en-US"/>
        </w:rPr>
        <w:t xml:space="preserve"> </w:t>
      </w:r>
      <w:r w:rsidR="006E6AC5" w:rsidRPr="00CA78BD">
        <w:rPr>
          <w:rFonts w:ascii="Times New Roman" w:hAnsi="Times New Roman" w:cs="Times New Roman"/>
        </w:rPr>
        <w:t>обращения</w:t>
      </w:r>
      <w:r w:rsidR="006E6AC5" w:rsidRPr="00CA78BD">
        <w:rPr>
          <w:rFonts w:ascii="Times New Roman" w:hAnsi="Times New Roman" w:cs="Times New Roman"/>
          <w:lang w:val="en-US"/>
        </w:rPr>
        <w:t>: 02.05.2021)</w:t>
      </w:r>
    </w:p>
    <w:p w14:paraId="6E35DDB6" w14:textId="77777777" w:rsidR="006E6AC5" w:rsidRPr="00CA78BD" w:rsidRDefault="006E6AC5" w:rsidP="009221A8">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lang w:val="en-US"/>
        </w:rPr>
        <w:t xml:space="preserve">Consolidated version of the Treaty on the Functioning of the European Union from 26.10.2012 // Official Journal of the European Union. – 2012. </w:t>
      </w:r>
      <w:r w:rsidRPr="00CA78BD">
        <w:rPr>
          <w:rFonts w:ascii="Times New Roman" w:hAnsi="Times New Roman" w:cs="Times New Roman"/>
        </w:rPr>
        <w:t xml:space="preserve">№ </w:t>
      </w:r>
      <w:r w:rsidRPr="00CA78BD">
        <w:rPr>
          <w:rFonts w:ascii="Times New Roman" w:hAnsi="Times New Roman" w:cs="Times New Roman"/>
          <w:lang w:val="en-US"/>
        </w:rPr>
        <w:t>326 Part 1, Title 1. – Art. 4. P. 51-52</w:t>
      </w:r>
    </w:p>
    <w:p w14:paraId="23877E9D" w14:textId="77777777" w:rsidR="009221A8" w:rsidRPr="00CA78BD" w:rsidRDefault="009221A8" w:rsidP="009221A8">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r w:rsidRPr="00CA78BD">
        <w:rPr>
          <w:rFonts w:ascii="Times New Roman" w:hAnsi="Times New Roman" w:cs="Times New Roman"/>
          <w:lang w:val="en-US"/>
        </w:rPr>
        <w:t>ECSA, open letter</w:t>
      </w:r>
      <w:r w:rsidR="006E6AC5" w:rsidRPr="00CA78BD">
        <w:rPr>
          <w:rFonts w:ascii="Times New Roman" w:hAnsi="Times New Roman" w:cs="Times New Roman"/>
          <w:lang w:val="en-US"/>
        </w:rPr>
        <w:t xml:space="preserve">. // </w:t>
      </w:r>
      <w:r w:rsidRPr="00CA78BD">
        <w:rPr>
          <w:rFonts w:ascii="Times New Roman" w:hAnsi="Times New Roman" w:cs="Times New Roman"/>
          <w:lang w:val="en-US"/>
        </w:rPr>
        <w:t xml:space="preserve">URL: </w:t>
      </w:r>
      <w:r w:rsidR="006E6AC5" w:rsidRPr="00CA78BD">
        <w:rPr>
          <w:rFonts w:ascii="Times New Roman" w:hAnsi="Times New Roman" w:cs="Times New Roman"/>
          <w:lang w:val="en-US"/>
        </w:rPr>
        <w:t>https://www.ecsa.eu/news/ecsa-european-green-deal-must-take-account-devastating-impact-covid-19-pandemic (</w:t>
      </w:r>
      <w:r w:rsidR="006E6AC5" w:rsidRPr="00CA78BD">
        <w:rPr>
          <w:rFonts w:ascii="Times New Roman" w:hAnsi="Times New Roman" w:cs="Times New Roman"/>
        </w:rPr>
        <w:t>Дата</w:t>
      </w:r>
      <w:r w:rsidR="006E6AC5" w:rsidRPr="00CA78BD">
        <w:rPr>
          <w:rFonts w:ascii="Times New Roman" w:hAnsi="Times New Roman" w:cs="Times New Roman"/>
          <w:lang w:val="en-US"/>
        </w:rPr>
        <w:t xml:space="preserve"> </w:t>
      </w:r>
      <w:r w:rsidR="006E6AC5" w:rsidRPr="00CA78BD">
        <w:rPr>
          <w:rFonts w:ascii="Times New Roman" w:hAnsi="Times New Roman" w:cs="Times New Roman"/>
        </w:rPr>
        <w:t>обращения</w:t>
      </w:r>
      <w:r w:rsidR="006E6AC5" w:rsidRPr="00CA78BD">
        <w:rPr>
          <w:rFonts w:ascii="Times New Roman" w:hAnsi="Times New Roman" w:cs="Times New Roman"/>
          <w:lang w:val="en-US"/>
        </w:rPr>
        <w:t>: 02.05.2021)</w:t>
      </w:r>
    </w:p>
    <w:p w14:paraId="20110B4E" w14:textId="77777777" w:rsidR="009221A8" w:rsidRPr="00CA78BD" w:rsidRDefault="009221A8" w:rsidP="009221A8">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proofErr w:type="spellStart"/>
      <w:r w:rsidRPr="00CA78BD">
        <w:rPr>
          <w:rFonts w:ascii="Times New Roman" w:hAnsi="Times New Roman" w:cs="Times New Roman"/>
          <w:lang w:val="en-US"/>
        </w:rPr>
        <w:t>EuPC</w:t>
      </w:r>
      <w:proofErr w:type="spellEnd"/>
      <w:r w:rsidRPr="00CA78BD">
        <w:rPr>
          <w:rFonts w:ascii="Times New Roman" w:hAnsi="Times New Roman" w:cs="Times New Roman"/>
          <w:lang w:val="en-US"/>
        </w:rPr>
        <w:t>, open letter</w:t>
      </w:r>
      <w:r w:rsidR="006E6AC5" w:rsidRPr="00CA78BD">
        <w:rPr>
          <w:rFonts w:ascii="Times New Roman" w:hAnsi="Times New Roman" w:cs="Times New Roman"/>
          <w:lang w:val="en-US"/>
        </w:rPr>
        <w:t xml:space="preserve">. // </w:t>
      </w:r>
      <w:r w:rsidRPr="00CA78BD">
        <w:rPr>
          <w:rFonts w:ascii="Times New Roman" w:hAnsi="Times New Roman" w:cs="Times New Roman"/>
          <w:lang w:val="en-US"/>
        </w:rPr>
        <w:t xml:space="preserve">URL: </w:t>
      </w:r>
      <w:r w:rsidR="006E6AC5" w:rsidRPr="00CA78BD">
        <w:rPr>
          <w:rFonts w:ascii="Times New Roman" w:hAnsi="Times New Roman" w:cs="Times New Roman"/>
          <w:lang w:val="en-US"/>
        </w:rPr>
        <w:t>https://sven-giegold.de/wp-content/uploads/2020/04/ EuPC_Corona_Single-Use-Plastics.pdf (</w:t>
      </w:r>
      <w:r w:rsidR="006E6AC5" w:rsidRPr="00CA78BD">
        <w:rPr>
          <w:rFonts w:ascii="Times New Roman" w:hAnsi="Times New Roman" w:cs="Times New Roman"/>
        </w:rPr>
        <w:t>Дата</w:t>
      </w:r>
      <w:r w:rsidR="006E6AC5" w:rsidRPr="00CA78BD">
        <w:rPr>
          <w:rFonts w:ascii="Times New Roman" w:hAnsi="Times New Roman" w:cs="Times New Roman"/>
          <w:lang w:val="en-US"/>
        </w:rPr>
        <w:t xml:space="preserve"> </w:t>
      </w:r>
      <w:r w:rsidR="006E6AC5" w:rsidRPr="00CA78BD">
        <w:rPr>
          <w:rFonts w:ascii="Times New Roman" w:hAnsi="Times New Roman" w:cs="Times New Roman"/>
        </w:rPr>
        <w:t>обращения</w:t>
      </w:r>
      <w:r w:rsidR="006E6AC5" w:rsidRPr="00CA78BD">
        <w:rPr>
          <w:rFonts w:ascii="Times New Roman" w:hAnsi="Times New Roman" w:cs="Times New Roman"/>
          <w:lang w:val="en-US"/>
        </w:rPr>
        <w:t>: 02.05.2021)</w:t>
      </w:r>
    </w:p>
    <w:p w14:paraId="48EB60A3" w14:textId="77777777" w:rsidR="009221A8" w:rsidRPr="00CA78BD" w:rsidRDefault="009221A8" w:rsidP="009221A8">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proofErr w:type="spellStart"/>
      <w:r w:rsidRPr="00CA78BD">
        <w:rPr>
          <w:rFonts w:ascii="Times New Roman" w:hAnsi="Times New Roman" w:cs="Times New Roman"/>
          <w:lang w:val="en-US"/>
        </w:rPr>
        <w:t>Eurocommerce</w:t>
      </w:r>
      <w:proofErr w:type="spellEnd"/>
      <w:r w:rsidRPr="00CA78BD">
        <w:rPr>
          <w:rFonts w:ascii="Times New Roman" w:hAnsi="Times New Roman" w:cs="Times New Roman"/>
          <w:lang w:val="en-US"/>
        </w:rPr>
        <w:t xml:space="preserve"> </w:t>
      </w:r>
      <w:r w:rsidRPr="00CA78BD">
        <w:rPr>
          <w:rFonts w:ascii="Times New Roman" w:hAnsi="Times New Roman" w:cs="Times New Roman"/>
        </w:rPr>
        <w:t>и</w:t>
      </w:r>
      <w:r w:rsidRPr="00CA78BD">
        <w:rPr>
          <w:rFonts w:ascii="Times New Roman" w:hAnsi="Times New Roman" w:cs="Times New Roman"/>
          <w:lang w:val="en-US"/>
        </w:rPr>
        <w:t xml:space="preserve"> IRE, open letter</w:t>
      </w:r>
      <w:r w:rsidR="006E6AC5" w:rsidRPr="00CA78BD">
        <w:rPr>
          <w:rFonts w:ascii="Times New Roman" w:hAnsi="Times New Roman" w:cs="Times New Roman"/>
          <w:lang w:val="en-US"/>
        </w:rPr>
        <w:t xml:space="preserve">. // </w:t>
      </w:r>
      <w:r w:rsidRPr="00CA78BD">
        <w:rPr>
          <w:rFonts w:ascii="Times New Roman" w:hAnsi="Times New Roman" w:cs="Times New Roman"/>
          <w:lang w:val="en-US"/>
        </w:rPr>
        <w:t xml:space="preserve">URL: </w:t>
      </w:r>
      <w:r w:rsidR="006E6AC5" w:rsidRPr="00CA78BD">
        <w:rPr>
          <w:rFonts w:ascii="Times New Roman" w:hAnsi="Times New Roman" w:cs="Times New Roman"/>
          <w:lang w:val="en-US"/>
        </w:rPr>
        <w:t xml:space="preserve">https://www.eurocommerce.eu/media/ </w:t>
      </w:r>
      <w:r w:rsidRPr="00CA78BD">
        <w:rPr>
          <w:rFonts w:ascii="Times New Roman" w:hAnsi="Times New Roman" w:cs="Times New Roman"/>
          <w:lang w:val="en-US"/>
        </w:rPr>
        <w:t>175017/Joint%20letter%20EC%20IRE%20to%20Commissioner%20Sefcovic.pdf</w:t>
      </w:r>
      <w:r w:rsidR="006E6AC5" w:rsidRPr="00CA78BD">
        <w:rPr>
          <w:rFonts w:ascii="Times New Roman" w:hAnsi="Times New Roman" w:cs="Times New Roman"/>
          <w:lang w:val="en-US"/>
        </w:rPr>
        <w:t xml:space="preserve"> (</w:t>
      </w:r>
      <w:r w:rsidR="006E6AC5" w:rsidRPr="00CA78BD">
        <w:rPr>
          <w:rFonts w:ascii="Times New Roman" w:hAnsi="Times New Roman" w:cs="Times New Roman"/>
        </w:rPr>
        <w:t>Дата</w:t>
      </w:r>
      <w:r w:rsidR="006E6AC5" w:rsidRPr="00CA78BD">
        <w:rPr>
          <w:rFonts w:ascii="Times New Roman" w:hAnsi="Times New Roman" w:cs="Times New Roman"/>
          <w:lang w:val="en-US"/>
        </w:rPr>
        <w:t xml:space="preserve"> </w:t>
      </w:r>
      <w:r w:rsidR="006E6AC5" w:rsidRPr="00CA78BD">
        <w:rPr>
          <w:rFonts w:ascii="Times New Roman" w:hAnsi="Times New Roman" w:cs="Times New Roman"/>
        </w:rPr>
        <w:t>обращения</w:t>
      </w:r>
      <w:r w:rsidR="006E6AC5" w:rsidRPr="00CA78BD">
        <w:rPr>
          <w:rFonts w:ascii="Times New Roman" w:hAnsi="Times New Roman" w:cs="Times New Roman"/>
          <w:lang w:val="en-US"/>
        </w:rPr>
        <w:t>: 02.05.2021)</w:t>
      </w:r>
    </w:p>
    <w:p w14:paraId="08E73AFD" w14:textId="77777777" w:rsidR="00293D16" w:rsidRPr="00CA78BD" w:rsidRDefault="00293D16" w:rsidP="00293D16">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rPr>
        <w:t>European Commission</w:t>
      </w:r>
      <w:r w:rsidR="00B878A1" w:rsidRPr="00CA78BD">
        <w:rPr>
          <w:rFonts w:ascii="Times New Roman" w:hAnsi="Times New Roman" w:cs="Times New Roman"/>
        </w:rPr>
        <w:t xml:space="preserve">, </w:t>
      </w:r>
      <w:r w:rsidR="00B878A1" w:rsidRPr="00CA78BD">
        <w:rPr>
          <w:rFonts w:ascii="Times New Roman" w:hAnsi="Times New Roman" w:cs="Times New Roman"/>
          <w:lang w:val="en-US"/>
        </w:rPr>
        <w:t>info</w:t>
      </w:r>
      <w:r w:rsidR="00B878A1" w:rsidRPr="00CA78BD">
        <w:rPr>
          <w:rFonts w:ascii="Times New Roman" w:hAnsi="Times New Roman" w:cs="Times New Roman"/>
        </w:rPr>
        <w:t xml:space="preserve">, </w:t>
      </w:r>
      <w:r w:rsidR="00B878A1" w:rsidRPr="00CA78BD">
        <w:rPr>
          <w:rFonts w:ascii="Times New Roman" w:hAnsi="Times New Roman" w:cs="Times New Roman"/>
          <w:lang w:val="en-US"/>
        </w:rPr>
        <w:t>departments</w:t>
      </w:r>
      <w:r w:rsidR="00B878A1" w:rsidRPr="00CA78BD">
        <w:rPr>
          <w:rFonts w:ascii="Times New Roman" w:hAnsi="Times New Roman" w:cs="Times New Roman"/>
        </w:rPr>
        <w:t xml:space="preserve"> </w:t>
      </w:r>
      <w:r w:rsidRPr="00CA78BD">
        <w:rPr>
          <w:rFonts w:ascii="Times New Roman" w:hAnsi="Times New Roman" w:cs="Times New Roman"/>
        </w:rPr>
        <w:t>[Электронный ресурс]. – Режим доступа: https://ec.europa.eu/info/departments (Дата обращения: 02.04.2021)</w:t>
      </w:r>
    </w:p>
    <w:p w14:paraId="29CEB35C" w14:textId="77777777" w:rsidR="00293D16" w:rsidRPr="00CA78BD" w:rsidRDefault="00293D16" w:rsidP="00293D16">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rPr>
        <w:t xml:space="preserve">European </w:t>
      </w:r>
      <w:proofErr w:type="spellStart"/>
      <w:r w:rsidRPr="00CA78BD">
        <w:rPr>
          <w:rFonts w:ascii="Times New Roman" w:hAnsi="Times New Roman" w:cs="Times New Roman"/>
        </w:rPr>
        <w:t>Parliament</w:t>
      </w:r>
      <w:proofErr w:type="spellEnd"/>
      <w:r w:rsidR="00B878A1" w:rsidRPr="00CA78BD">
        <w:rPr>
          <w:rFonts w:ascii="Times New Roman" w:hAnsi="Times New Roman" w:cs="Times New Roman"/>
        </w:rPr>
        <w:t xml:space="preserve">, </w:t>
      </w:r>
      <w:r w:rsidR="00B878A1" w:rsidRPr="00CA78BD">
        <w:rPr>
          <w:rFonts w:ascii="Times New Roman" w:hAnsi="Times New Roman" w:cs="Times New Roman"/>
          <w:lang w:val="en-US"/>
        </w:rPr>
        <w:t>committees</w:t>
      </w:r>
      <w:r w:rsidR="00B878A1" w:rsidRPr="00CA78BD">
        <w:rPr>
          <w:rFonts w:ascii="Times New Roman" w:hAnsi="Times New Roman" w:cs="Times New Roman"/>
        </w:rPr>
        <w:t xml:space="preserve"> </w:t>
      </w:r>
      <w:r w:rsidRPr="00CA78BD">
        <w:rPr>
          <w:rFonts w:ascii="Times New Roman" w:hAnsi="Times New Roman" w:cs="Times New Roman"/>
        </w:rPr>
        <w:t>[Электронный ресурс] – Режим доступа: https://www.europarl.europa.eu/committees/en/about/list-of-committees (Дата обращения: 02.04.2021)</w:t>
      </w:r>
    </w:p>
    <w:p w14:paraId="79C393C7" w14:textId="77777777" w:rsidR="009221A8" w:rsidRPr="00CA78BD" w:rsidRDefault="009221A8" w:rsidP="009221A8">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r w:rsidRPr="00CA78BD">
        <w:rPr>
          <w:rFonts w:ascii="Times New Roman" w:hAnsi="Times New Roman" w:cs="Times New Roman"/>
          <w:lang w:val="en-US"/>
        </w:rPr>
        <w:t>European Parliament, open letter</w:t>
      </w:r>
      <w:r w:rsidR="006E6AC5" w:rsidRPr="00CA78BD">
        <w:rPr>
          <w:rFonts w:ascii="Times New Roman" w:hAnsi="Times New Roman" w:cs="Times New Roman"/>
          <w:lang w:val="en-US"/>
        </w:rPr>
        <w:t xml:space="preserve">. // </w:t>
      </w:r>
      <w:r w:rsidRPr="00CA78BD">
        <w:rPr>
          <w:rFonts w:ascii="Times New Roman" w:hAnsi="Times New Roman" w:cs="Times New Roman"/>
          <w:lang w:val="en-US"/>
        </w:rPr>
        <w:t xml:space="preserve">URL: </w:t>
      </w:r>
      <w:r w:rsidR="006E6AC5" w:rsidRPr="00CA78BD">
        <w:rPr>
          <w:rFonts w:ascii="Times New Roman" w:hAnsi="Times New Roman" w:cs="Times New Roman"/>
          <w:lang w:val="en-US"/>
        </w:rPr>
        <w:t>https://sven-giegold.de/wp-content/uploads/2020/04/ECR-letter-Green-Deal-Corona.pdf (</w:t>
      </w:r>
      <w:r w:rsidR="006E6AC5" w:rsidRPr="00CA78BD">
        <w:rPr>
          <w:rFonts w:ascii="Times New Roman" w:hAnsi="Times New Roman" w:cs="Times New Roman"/>
        </w:rPr>
        <w:t>Дата</w:t>
      </w:r>
      <w:r w:rsidR="006E6AC5" w:rsidRPr="00CA78BD">
        <w:rPr>
          <w:rFonts w:ascii="Times New Roman" w:hAnsi="Times New Roman" w:cs="Times New Roman"/>
          <w:lang w:val="en-US"/>
        </w:rPr>
        <w:t xml:space="preserve"> </w:t>
      </w:r>
      <w:r w:rsidR="006E6AC5" w:rsidRPr="00CA78BD">
        <w:rPr>
          <w:rFonts w:ascii="Times New Roman" w:hAnsi="Times New Roman" w:cs="Times New Roman"/>
        </w:rPr>
        <w:t>обращения</w:t>
      </w:r>
      <w:r w:rsidR="006E6AC5" w:rsidRPr="00CA78BD">
        <w:rPr>
          <w:rFonts w:ascii="Times New Roman" w:hAnsi="Times New Roman" w:cs="Times New Roman"/>
          <w:lang w:val="en-US"/>
        </w:rPr>
        <w:t>: 02.05.2021)</w:t>
      </w:r>
    </w:p>
    <w:p w14:paraId="5F0944CF" w14:textId="77777777" w:rsidR="00293D16" w:rsidRPr="00CA78BD" w:rsidRDefault="00293D16" w:rsidP="00293D16">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r w:rsidRPr="00CA78BD">
        <w:rPr>
          <w:rFonts w:ascii="Times New Roman" w:hAnsi="Times New Roman" w:cs="Times New Roman"/>
          <w:lang w:val="en-US"/>
        </w:rPr>
        <w:t xml:space="preserve">European </w:t>
      </w:r>
      <w:r w:rsidR="00B878A1" w:rsidRPr="00CA78BD">
        <w:rPr>
          <w:rFonts w:ascii="Times New Roman" w:hAnsi="Times New Roman" w:cs="Times New Roman"/>
          <w:lang w:val="en-US"/>
        </w:rPr>
        <w:t>Commission, EU</w:t>
      </w:r>
      <w:r w:rsidRPr="00CA78BD">
        <w:rPr>
          <w:rFonts w:ascii="Times New Roman" w:hAnsi="Times New Roman" w:cs="Times New Roman"/>
          <w:lang w:val="en-US"/>
        </w:rPr>
        <w:t xml:space="preserve"> Transparency Register [</w:t>
      </w:r>
      <w:r w:rsidRPr="00CA78BD">
        <w:rPr>
          <w:rFonts w:ascii="Times New Roman" w:hAnsi="Times New Roman" w:cs="Times New Roman"/>
        </w:rPr>
        <w:t>Электронный</w:t>
      </w:r>
      <w:r w:rsidRPr="00CA78BD">
        <w:rPr>
          <w:rFonts w:ascii="Times New Roman" w:hAnsi="Times New Roman" w:cs="Times New Roman"/>
          <w:lang w:val="en-US"/>
        </w:rPr>
        <w:t xml:space="preserve"> </w:t>
      </w:r>
      <w:r w:rsidRPr="00CA78BD">
        <w:rPr>
          <w:rFonts w:ascii="Times New Roman" w:hAnsi="Times New Roman" w:cs="Times New Roman"/>
        </w:rPr>
        <w:t>ресурс</w:t>
      </w:r>
      <w:r w:rsidRPr="00CA78BD">
        <w:rPr>
          <w:rFonts w:ascii="Times New Roman" w:hAnsi="Times New Roman" w:cs="Times New Roman"/>
          <w:lang w:val="en-US"/>
        </w:rPr>
        <w:t xml:space="preserve">] – </w:t>
      </w:r>
      <w:r w:rsidRPr="00CA78BD">
        <w:rPr>
          <w:rFonts w:ascii="Times New Roman" w:hAnsi="Times New Roman" w:cs="Times New Roman"/>
        </w:rPr>
        <w:t>Режим</w:t>
      </w:r>
      <w:r w:rsidRPr="00CA78BD">
        <w:rPr>
          <w:rFonts w:ascii="Times New Roman" w:hAnsi="Times New Roman" w:cs="Times New Roman"/>
          <w:lang w:val="en-US"/>
        </w:rPr>
        <w:t xml:space="preserve"> </w:t>
      </w:r>
      <w:r w:rsidRPr="00CA78BD">
        <w:rPr>
          <w:rFonts w:ascii="Times New Roman" w:hAnsi="Times New Roman" w:cs="Times New Roman"/>
        </w:rPr>
        <w:t>доступа</w:t>
      </w:r>
      <w:r w:rsidRPr="00CA78BD">
        <w:rPr>
          <w:rFonts w:ascii="Times New Roman" w:hAnsi="Times New Roman" w:cs="Times New Roman"/>
          <w:lang w:val="en-US"/>
        </w:rPr>
        <w:t xml:space="preserve">: </w:t>
      </w:r>
      <w:r w:rsidR="006E6AC5" w:rsidRPr="00CA78BD">
        <w:rPr>
          <w:rFonts w:ascii="Times New Roman" w:hAnsi="Times New Roman" w:cs="Times New Roman"/>
          <w:lang w:val="en-US"/>
        </w:rPr>
        <w:t xml:space="preserve">https://ec.europa.eu/transparencyregister/public/consultation </w:t>
      </w:r>
      <w:r w:rsidRPr="00CA78BD">
        <w:rPr>
          <w:rFonts w:ascii="Times New Roman" w:hAnsi="Times New Roman" w:cs="Times New Roman"/>
          <w:lang w:val="en-US"/>
        </w:rPr>
        <w:lastRenderedPageBreak/>
        <w:t>/searchControllerPager.do?declaration=liquid+gas+europe&amp;search=search (</w:t>
      </w:r>
      <w:r w:rsidRPr="00CA78BD">
        <w:rPr>
          <w:rFonts w:ascii="Times New Roman" w:hAnsi="Times New Roman" w:cs="Times New Roman"/>
        </w:rPr>
        <w:t>Дата</w:t>
      </w:r>
      <w:r w:rsidRPr="00CA78BD">
        <w:rPr>
          <w:rFonts w:ascii="Times New Roman" w:hAnsi="Times New Roman" w:cs="Times New Roman"/>
          <w:lang w:val="en-US"/>
        </w:rPr>
        <w:t xml:space="preserve"> </w:t>
      </w:r>
      <w:r w:rsidRPr="00CA78BD">
        <w:rPr>
          <w:rFonts w:ascii="Times New Roman" w:hAnsi="Times New Roman" w:cs="Times New Roman"/>
        </w:rPr>
        <w:t>обращения</w:t>
      </w:r>
      <w:r w:rsidRPr="00CA78BD">
        <w:rPr>
          <w:rFonts w:ascii="Times New Roman" w:hAnsi="Times New Roman" w:cs="Times New Roman"/>
          <w:lang w:val="en-US"/>
        </w:rPr>
        <w:t>: 26.04.2021)</w:t>
      </w:r>
    </w:p>
    <w:p w14:paraId="01A19B6F" w14:textId="77777777" w:rsidR="00293D16" w:rsidRPr="00CA78BD" w:rsidRDefault="00293D16" w:rsidP="00293D16">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proofErr w:type="spellStart"/>
      <w:r w:rsidRPr="00CA78BD">
        <w:rPr>
          <w:rFonts w:ascii="Times New Roman" w:hAnsi="Times New Roman" w:cs="Times New Roman"/>
        </w:rPr>
        <w:t>InfluenceMap</w:t>
      </w:r>
      <w:proofErr w:type="spellEnd"/>
      <w:r w:rsidR="00B878A1" w:rsidRPr="00CA78BD">
        <w:rPr>
          <w:rFonts w:ascii="Times New Roman" w:hAnsi="Times New Roman" w:cs="Times New Roman"/>
        </w:rPr>
        <w:t xml:space="preserve">, </w:t>
      </w:r>
      <w:r w:rsidR="00B878A1" w:rsidRPr="00CA78BD">
        <w:rPr>
          <w:rFonts w:ascii="Times New Roman" w:hAnsi="Times New Roman" w:cs="Times New Roman"/>
          <w:lang w:val="en-US"/>
        </w:rPr>
        <w:t>climate</w:t>
      </w:r>
      <w:r w:rsidR="00B878A1" w:rsidRPr="00CA78BD">
        <w:rPr>
          <w:rFonts w:ascii="Times New Roman" w:hAnsi="Times New Roman" w:cs="Times New Roman"/>
        </w:rPr>
        <w:t>-</w:t>
      </w:r>
      <w:r w:rsidR="00B878A1" w:rsidRPr="00CA78BD">
        <w:rPr>
          <w:rFonts w:ascii="Times New Roman" w:hAnsi="Times New Roman" w:cs="Times New Roman"/>
          <w:lang w:val="en-US"/>
        </w:rPr>
        <w:t>lobbying</w:t>
      </w:r>
      <w:r w:rsidR="00B878A1" w:rsidRPr="00CA78BD">
        <w:rPr>
          <w:rFonts w:ascii="Times New Roman" w:hAnsi="Times New Roman" w:cs="Times New Roman"/>
        </w:rPr>
        <w:t xml:space="preserve"> </w:t>
      </w:r>
      <w:r w:rsidRPr="00CA78BD">
        <w:rPr>
          <w:rFonts w:ascii="Times New Roman" w:hAnsi="Times New Roman" w:cs="Times New Roman"/>
        </w:rPr>
        <w:t>[Электронный ресурс] – Режим доступа: https://influencemap.org/climate-lobbying (Дата обращения: 02.05.2021)</w:t>
      </w:r>
    </w:p>
    <w:p w14:paraId="2FD4A9D2" w14:textId="77777777" w:rsidR="00293D16" w:rsidRPr="00CA78BD" w:rsidRDefault="00293D16" w:rsidP="00293D16">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lang w:val="en-US"/>
        </w:rPr>
        <w:t xml:space="preserve">The A-list of Climate Policy Engagement 2018: An </w:t>
      </w:r>
      <w:proofErr w:type="spellStart"/>
      <w:r w:rsidRPr="00CA78BD">
        <w:rPr>
          <w:rFonts w:ascii="Times New Roman" w:hAnsi="Times New Roman" w:cs="Times New Roman"/>
          <w:lang w:val="en-US"/>
        </w:rPr>
        <w:t>InfluenceMap</w:t>
      </w:r>
      <w:proofErr w:type="spellEnd"/>
      <w:r w:rsidRPr="00CA78BD">
        <w:rPr>
          <w:rFonts w:ascii="Times New Roman" w:hAnsi="Times New Roman" w:cs="Times New Roman"/>
          <w:lang w:val="en-US"/>
        </w:rPr>
        <w:t xml:space="preserve"> Special Report / </w:t>
      </w:r>
      <w:proofErr w:type="spellStart"/>
      <w:r w:rsidRPr="00CA78BD">
        <w:rPr>
          <w:rFonts w:ascii="Times New Roman" w:hAnsi="Times New Roman" w:cs="Times New Roman"/>
          <w:lang w:val="en-US"/>
        </w:rPr>
        <w:t>InfluenceMap</w:t>
      </w:r>
      <w:proofErr w:type="spellEnd"/>
      <w:r w:rsidRPr="00CA78BD">
        <w:rPr>
          <w:rFonts w:ascii="Times New Roman" w:hAnsi="Times New Roman" w:cs="Times New Roman"/>
          <w:lang w:val="en-US"/>
        </w:rPr>
        <w:t xml:space="preserve">. </w:t>
      </w:r>
      <w:r w:rsidRPr="00CA78BD">
        <w:rPr>
          <w:rFonts w:ascii="Times New Roman" w:hAnsi="Times New Roman" w:cs="Times New Roman"/>
        </w:rPr>
        <w:t>2018. – 9</w:t>
      </w:r>
      <w:r w:rsidR="006E6AC5" w:rsidRPr="00CA78BD">
        <w:rPr>
          <w:rFonts w:ascii="Times New Roman" w:hAnsi="Times New Roman" w:cs="Times New Roman"/>
          <w:lang w:val="en-US"/>
        </w:rPr>
        <w:t xml:space="preserve"> p</w:t>
      </w:r>
      <w:r w:rsidRPr="00CA78BD">
        <w:rPr>
          <w:rFonts w:ascii="Times New Roman" w:hAnsi="Times New Roman" w:cs="Times New Roman"/>
        </w:rPr>
        <w:t>.</w:t>
      </w:r>
    </w:p>
    <w:p w14:paraId="0C83B57C" w14:textId="77777777" w:rsidR="00293D16" w:rsidRPr="00CA78BD" w:rsidRDefault="00293D16" w:rsidP="00293D16">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r w:rsidRPr="00CA78BD">
        <w:rPr>
          <w:rFonts w:ascii="Times New Roman" w:hAnsi="Times New Roman" w:cs="Times New Roman"/>
          <w:lang w:val="en-US"/>
        </w:rPr>
        <w:t xml:space="preserve">The Carbon Policy Footprint 2017: An </w:t>
      </w:r>
      <w:proofErr w:type="spellStart"/>
      <w:r w:rsidRPr="00CA78BD">
        <w:rPr>
          <w:rFonts w:ascii="Times New Roman" w:hAnsi="Times New Roman" w:cs="Times New Roman"/>
          <w:lang w:val="en-US"/>
        </w:rPr>
        <w:t>InfluenceMap</w:t>
      </w:r>
      <w:proofErr w:type="spellEnd"/>
      <w:r w:rsidRPr="00CA78BD">
        <w:rPr>
          <w:rFonts w:ascii="Times New Roman" w:hAnsi="Times New Roman" w:cs="Times New Roman"/>
          <w:lang w:val="en-US"/>
        </w:rPr>
        <w:t xml:space="preserve"> Report / </w:t>
      </w:r>
      <w:proofErr w:type="spellStart"/>
      <w:r w:rsidRPr="00CA78BD">
        <w:rPr>
          <w:rFonts w:ascii="Times New Roman" w:hAnsi="Times New Roman" w:cs="Times New Roman"/>
          <w:lang w:val="en-US"/>
        </w:rPr>
        <w:t>InfluenceMap</w:t>
      </w:r>
      <w:proofErr w:type="spellEnd"/>
      <w:r w:rsidRPr="00CA78BD">
        <w:rPr>
          <w:rFonts w:ascii="Times New Roman" w:hAnsi="Times New Roman" w:cs="Times New Roman"/>
          <w:lang w:val="en-US"/>
        </w:rPr>
        <w:t>, 2017. –  13</w:t>
      </w:r>
      <w:r w:rsidR="006E6AC5" w:rsidRPr="00CA78BD">
        <w:rPr>
          <w:rFonts w:ascii="Times New Roman" w:hAnsi="Times New Roman" w:cs="Times New Roman"/>
          <w:lang w:val="en-US"/>
        </w:rPr>
        <w:t xml:space="preserve"> p</w:t>
      </w:r>
      <w:r w:rsidRPr="00CA78BD">
        <w:rPr>
          <w:rFonts w:ascii="Times New Roman" w:hAnsi="Times New Roman" w:cs="Times New Roman"/>
          <w:lang w:val="en-US"/>
        </w:rPr>
        <w:t>.</w:t>
      </w:r>
    </w:p>
    <w:p w14:paraId="33D60D02" w14:textId="77777777" w:rsidR="00293D16" w:rsidRPr="00CA78BD" w:rsidRDefault="00293D16" w:rsidP="00293D16">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rPr>
        <w:t>The Green 10</w:t>
      </w:r>
      <w:r w:rsidR="00B878A1" w:rsidRPr="00CA78BD">
        <w:rPr>
          <w:rFonts w:ascii="Times New Roman" w:hAnsi="Times New Roman" w:cs="Times New Roman"/>
        </w:rPr>
        <w:t xml:space="preserve"> </w:t>
      </w:r>
      <w:r w:rsidRPr="00CA78BD">
        <w:rPr>
          <w:rFonts w:ascii="Times New Roman" w:hAnsi="Times New Roman" w:cs="Times New Roman"/>
        </w:rPr>
        <w:t>[Электронный ресурс] – Режим доступа: https://green10.org (Дата обращения: 26.04.2021)</w:t>
      </w:r>
    </w:p>
    <w:p w14:paraId="35BDD557" w14:textId="77777777" w:rsidR="00293D16" w:rsidRPr="00CA78BD" w:rsidRDefault="00293D16" w:rsidP="00293D16">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lang w:val="en-US"/>
        </w:rPr>
        <w:t xml:space="preserve">Trade Associations and their Climate Policy Footprint 2017: An </w:t>
      </w:r>
      <w:proofErr w:type="spellStart"/>
      <w:r w:rsidRPr="00CA78BD">
        <w:rPr>
          <w:rFonts w:ascii="Times New Roman" w:hAnsi="Times New Roman" w:cs="Times New Roman"/>
          <w:lang w:val="en-US"/>
        </w:rPr>
        <w:t>InfluenceMap</w:t>
      </w:r>
      <w:proofErr w:type="spellEnd"/>
      <w:r w:rsidRPr="00CA78BD">
        <w:rPr>
          <w:rFonts w:ascii="Times New Roman" w:hAnsi="Times New Roman" w:cs="Times New Roman"/>
          <w:lang w:val="en-US"/>
        </w:rPr>
        <w:t xml:space="preserve"> Report / </w:t>
      </w:r>
      <w:proofErr w:type="spellStart"/>
      <w:r w:rsidRPr="00CA78BD">
        <w:rPr>
          <w:rFonts w:ascii="Times New Roman" w:hAnsi="Times New Roman" w:cs="Times New Roman"/>
          <w:lang w:val="en-US"/>
        </w:rPr>
        <w:t>InfluenceMap</w:t>
      </w:r>
      <w:proofErr w:type="spellEnd"/>
      <w:r w:rsidRPr="00CA78BD">
        <w:rPr>
          <w:rFonts w:ascii="Times New Roman" w:hAnsi="Times New Roman" w:cs="Times New Roman"/>
          <w:lang w:val="en-US"/>
        </w:rPr>
        <w:t xml:space="preserve">. </w:t>
      </w:r>
      <w:r w:rsidRPr="00CA78BD">
        <w:rPr>
          <w:rFonts w:ascii="Times New Roman" w:hAnsi="Times New Roman" w:cs="Times New Roman"/>
        </w:rPr>
        <w:t>2017. – 12</w:t>
      </w:r>
      <w:r w:rsidR="006E6AC5" w:rsidRPr="00CA78BD">
        <w:rPr>
          <w:rFonts w:ascii="Times New Roman" w:hAnsi="Times New Roman" w:cs="Times New Roman"/>
          <w:lang w:val="en-US"/>
        </w:rPr>
        <w:t xml:space="preserve"> p</w:t>
      </w:r>
      <w:r w:rsidRPr="00CA78BD">
        <w:rPr>
          <w:rFonts w:ascii="Times New Roman" w:hAnsi="Times New Roman" w:cs="Times New Roman"/>
        </w:rPr>
        <w:t>.</w:t>
      </w:r>
    </w:p>
    <w:p w14:paraId="4EAE3100" w14:textId="77777777" w:rsidR="00293D16" w:rsidRPr="00CA78BD" w:rsidRDefault="00293D16" w:rsidP="00293D16">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rPr>
        <w:t>WECOOP. Экологическая политика ЕС [Электронный ресурс] – Режим доступа: https://wecoop.eu/ru/regional-knowledge-centre/eu-policies-regulations/ (Дата обращения: 06.05.2021)</w:t>
      </w:r>
    </w:p>
    <w:p w14:paraId="0B9AAC9D" w14:textId="77777777" w:rsidR="00293D16" w:rsidRPr="00CA78BD" w:rsidRDefault="00293D16" w:rsidP="00595EE3">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r w:rsidRPr="00CA78BD">
        <w:rPr>
          <w:rFonts w:ascii="Times New Roman" w:hAnsi="Times New Roman" w:cs="Times New Roman"/>
          <w:lang w:val="en-US"/>
        </w:rPr>
        <w:t>We Mean Business Coalition. A Guide to Responsible Corporate Engagement [</w:t>
      </w:r>
      <w:r w:rsidRPr="00CA78BD">
        <w:rPr>
          <w:rFonts w:ascii="Times New Roman" w:hAnsi="Times New Roman" w:cs="Times New Roman"/>
        </w:rPr>
        <w:t>Электронный</w:t>
      </w:r>
      <w:r w:rsidRPr="00CA78BD">
        <w:rPr>
          <w:rFonts w:ascii="Times New Roman" w:hAnsi="Times New Roman" w:cs="Times New Roman"/>
          <w:lang w:val="en-US"/>
        </w:rPr>
        <w:t xml:space="preserve"> </w:t>
      </w:r>
      <w:r w:rsidRPr="00CA78BD">
        <w:rPr>
          <w:rFonts w:ascii="Times New Roman" w:hAnsi="Times New Roman" w:cs="Times New Roman"/>
        </w:rPr>
        <w:t>ресурс</w:t>
      </w:r>
      <w:r w:rsidRPr="00CA78BD">
        <w:rPr>
          <w:rFonts w:ascii="Times New Roman" w:hAnsi="Times New Roman" w:cs="Times New Roman"/>
          <w:lang w:val="en-US"/>
        </w:rPr>
        <w:t xml:space="preserve">] – </w:t>
      </w:r>
      <w:r w:rsidRPr="00CA78BD">
        <w:rPr>
          <w:rFonts w:ascii="Times New Roman" w:hAnsi="Times New Roman" w:cs="Times New Roman"/>
        </w:rPr>
        <w:t>Режим</w:t>
      </w:r>
      <w:r w:rsidRPr="00CA78BD">
        <w:rPr>
          <w:rFonts w:ascii="Times New Roman" w:hAnsi="Times New Roman" w:cs="Times New Roman"/>
          <w:lang w:val="en-US"/>
        </w:rPr>
        <w:t xml:space="preserve"> </w:t>
      </w:r>
      <w:r w:rsidRPr="00CA78BD">
        <w:rPr>
          <w:rFonts w:ascii="Times New Roman" w:hAnsi="Times New Roman" w:cs="Times New Roman"/>
        </w:rPr>
        <w:t>доступа</w:t>
      </w:r>
      <w:r w:rsidRPr="00CA78BD">
        <w:rPr>
          <w:rFonts w:ascii="Times New Roman" w:hAnsi="Times New Roman" w:cs="Times New Roman"/>
          <w:lang w:val="en-US"/>
        </w:rPr>
        <w:t xml:space="preserve">: </w:t>
      </w:r>
      <w:r w:rsidR="006E6AC5" w:rsidRPr="00CA78BD">
        <w:rPr>
          <w:rFonts w:ascii="Times New Roman" w:hAnsi="Times New Roman" w:cs="Times New Roman"/>
          <w:lang w:val="en-US"/>
        </w:rPr>
        <w:t xml:space="preserve">https://d306pr3pise04h.cloudfront.net </w:t>
      </w:r>
      <w:r w:rsidRPr="00CA78BD">
        <w:rPr>
          <w:rFonts w:ascii="Times New Roman" w:hAnsi="Times New Roman" w:cs="Times New Roman"/>
          <w:lang w:val="en-US"/>
        </w:rPr>
        <w:t>/docs/issues_doc%2FEnvironment%2Fclimate%2FGuide_Responsible_Corporate_Engagement_Climate_Policy.pdf (</w:t>
      </w:r>
      <w:r w:rsidRPr="00CA78BD">
        <w:rPr>
          <w:rFonts w:ascii="Times New Roman" w:hAnsi="Times New Roman" w:cs="Times New Roman"/>
        </w:rPr>
        <w:t>Дата</w:t>
      </w:r>
      <w:r w:rsidRPr="00CA78BD">
        <w:rPr>
          <w:rFonts w:ascii="Times New Roman" w:hAnsi="Times New Roman" w:cs="Times New Roman"/>
          <w:lang w:val="en-US"/>
        </w:rPr>
        <w:t xml:space="preserve"> </w:t>
      </w:r>
      <w:r w:rsidRPr="00CA78BD">
        <w:rPr>
          <w:rFonts w:ascii="Times New Roman" w:hAnsi="Times New Roman" w:cs="Times New Roman"/>
        </w:rPr>
        <w:t>обращения</w:t>
      </w:r>
      <w:r w:rsidRPr="00CA78BD">
        <w:rPr>
          <w:rFonts w:ascii="Times New Roman" w:hAnsi="Times New Roman" w:cs="Times New Roman"/>
          <w:lang w:val="en-US"/>
        </w:rPr>
        <w:t>: 27.04.2021)</w:t>
      </w:r>
    </w:p>
    <w:p w14:paraId="47DCADD2" w14:textId="77777777" w:rsidR="00293D16" w:rsidRPr="00CA78BD" w:rsidRDefault="00293D16" w:rsidP="00293D16">
      <w:pPr>
        <w:pStyle w:val="a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r w:rsidRPr="00CA78BD">
        <w:rPr>
          <w:rFonts w:ascii="Times New Roman" w:hAnsi="Times New Roman" w:cs="Times New Roman"/>
          <w:lang w:val="en-US"/>
        </w:rPr>
        <w:t>We Mean Business Coalition. Responsible climate policy [</w:t>
      </w:r>
      <w:r w:rsidRPr="00CA78BD">
        <w:rPr>
          <w:rFonts w:ascii="Times New Roman" w:hAnsi="Times New Roman" w:cs="Times New Roman"/>
        </w:rPr>
        <w:t>Электронный</w:t>
      </w:r>
      <w:r w:rsidRPr="00CA78BD">
        <w:rPr>
          <w:rFonts w:ascii="Times New Roman" w:hAnsi="Times New Roman" w:cs="Times New Roman"/>
          <w:lang w:val="en-US"/>
        </w:rPr>
        <w:t xml:space="preserve"> </w:t>
      </w:r>
      <w:r w:rsidRPr="00CA78BD">
        <w:rPr>
          <w:rFonts w:ascii="Times New Roman" w:hAnsi="Times New Roman" w:cs="Times New Roman"/>
        </w:rPr>
        <w:t>ресурс</w:t>
      </w:r>
      <w:r w:rsidRPr="00CA78BD">
        <w:rPr>
          <w:rFonts w:ascii="Times New Roman" w:hAnsi="Times New Roman" w:cs="Times New Roman"/>
          <w:lang w:val="en-US"/>
        </w:rPr>
        <w:t xml:space="preserve">] – </w:t>
      </w:r>
      <w:r w:rsidRPr="00CA78BD">
        <w:rPr>
          <w:rFonts w:ascii="Times New Roman" w:hAnsi="Times New Roman" w:cs="Times New Roman"/>
        </w:rPr>
        <w:t>Режим</w:t>
      </w:r>
      <w:r w:rsidRPr="00CA78BD">
        <w:rPr>
          <w:rFonts w:ascii="Times New Roman" w:hAnsi="Times New Roman" w:cs="Times New Roman"/>
          <w:lang w:val="en-US"/>
        </w:rPr>
        <w:t xml:space="preserve"> </w:t>
      </w:r>
      <w:r w:rsidRPr="00CA78BD">
        <w:rPr>
          <w:rFonts w:ascii="Times New Roman" w:hAnsi="Times New Roman" w:cs="Times New Roman"/>
        </w:rPr>
        <w:t>доступа</w:t>
      </w:r>
      <w:r w:rsidRPr="00CA78BD">
        <w:rPr>
          <w:rFonts w:ascii="Times New Roman" w:hAnsi="Times New Roman" w:cs="Times New Roman"/>
          <w:lang w:val="en-US"/>
        </w:rPr>
        <w:t>: https://www.wemeanbusinesscoalition.org/commitment/responsible-engagement-in-climate-policy/ (</w:t>
      </w:r>
      <w:r w:rsidRPr="00CA78BD">
        <w:rPr>
          <w:rFonts w:ascii="Times New Roman" w:hAnsi="Times New Roman" w:cs="Times New Roman"/>
        </w:rPr>
        <w:t>Дата</w:t>
      </w:r>
      <w:r w:rsidRPr="00CA78BD">
        <w:rPr>
          <w:rFonts w:ascii="Times New Roman" w:hAnsi="Times New Roman" w:cs="Times New Roman"/>
          <w:lang w:val="en-US"/>
        </w:rPr>
        <w:t xml:space="preserve"> </w:t>
      </w:r>
      <w:r w:rsidRPr="00CA78BD">
        <w:rPr>
          <w:rFonts w:ascii="Times New Roman" w:hAnsi="Times New Roman" w:cs="Times New Roman"/>
        </w:rPr>
        <w:t>обращения</w:t>
      </w:r>
      <w:r w:rsidRPr="00CA78BD">
        <w:rPr>
          <w:rFonts w:ascii="Times New Roman" w:hAnsi="Times New Roman" w:cs="Times New Roman"/>
          <w:lang w:val="en-US"/>
        </w:rPr>
        <w:t>: 27.04.2021)</w:t>
      </w:r>
    </w:p>
    <w:p w14:paraId="78052043" w14:textId="77777777" w:rsidR="009221A8" w:rsidRPr="00CA78BD" w:rsidRDefault="009221A8" w:rsidP="009221A8">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720"/>
        <w:rPr>
          <w:rFonts w:ascii="Times New Roman" w:hAnsi="Times New Roman" w:cs="Times New Roman"/>
          <w:lang w:val="en-US"/>
        </w:rPr>
      </w:pPr>
    </w:p>
    <w:p w14:paraId="77B39569" w14:textId="77777777" w:rsidR="00293D16" w:rsidRPr="00CA78BD" w:rsidRDefault="00293D16" w:rsidP="00293D16">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rPr>
        <w:t>Литература</w:t>
      </w:r>
    </w:p>
    <w:p w14:paraId="3F77CCB7"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proofErr w:type="spellStart"/>
      <w:r w:rsidRPr="00CA78BD">
        <w:rPr>
          <w:rFonts w:ascii="Times New Roman" w:hAnsi="Times New Roman" w:cs="Times New Roman"/>
          <w:lang w:val="en-US"/>
        </w:rPr>
        <w:t>Abnett</w:t>
      </w:r>
      <w:proofErr w:type="spellEnd"/>
      <w:r w:rsidRPr="00CA78BD">
        <w:rPr>
          <w:rFonts w:ascii="Times New Roman" w:hAnsi="Times New Roman" w:cs="Times New Roman"/>
          <w:lang w:val="en-US"/>
        </w:rPr>
        <w:t>, K., </w:t>
      </w:r>
      <w:r w:rsidRPr="00CA78BD">
        <w:rPr>
          <w:rFonts w:ascii="Times New Roman" w:hAnsi="Times New Roman" w:cs="Times New Roman"/>
          <w:color w:val="000000" w:themeColor="text1"/>
          <w:lang w:val="en-US"/>
        </w:rPr>
        <w:t xml:space="preserve">Jessop, </w:t>
      </w:r>
      <w:r w:rsidRPr="00CA78BD">
        <w:rPr>
          <w:rFonts w:ascii="Times New Roman" w:hAnsi="Times New Roman" w:cs="Times New Roman"/>
          <w:lang w:val="en-US"/>
        </w:rPr>
        <w:t xml:space="preserve">S. Gas and nuclear industries fight to the end for 'green' EU investment label </w:t>
      </w:r>
      <w:r w:rsidR="006E6AC5" w:rsidRPr="00CA78BD">
        <w:rPr>
          <w:rFonts w:ascii="Times New Roman" w:hAnsi="Times New Roman" w:cs="Times New Roman"/>
          <w:lang w:val="en-US"/>
        </w:rPr>
        <w:t>/</w:t>
      </w:r>
      <w:r w:rsidRPr="00CA78BD">
        <w:rPr>
          <w:rFonts w:ascii="Times New Roman" w:hAnsi="Times New Roman" w:cs="Times New Roman"/>
          <w:lang w:val="en-US"/>
        </w:rPr>
        <w:t xml:space="preserve">/ Reuters, 2020 </w:t>
      </w:r>
      <w:r w:rsidR="006E6AC5" w:rsidRPr="00CA78BD">
        <w:rPr>
          <w:rFonts w:ascii="Times New Roman" w:hAnsi="Times New Roman" w:cs="Times New Roman"/>
          <w:lang w:val="en-US"/>
        </w:rPr>
        <w:t xml:space="preserve">// </w:t>
      </w:r>
      <w:r w:rsidRPr="00CA78BD">
        <w:rPr>
          <w:rFonts w:ascii="Times New Roman" w:hAnsi="Times New Roman" w:cs="Times New Roman"/>
          <w:lang w:val="en-US"/>
        </w:rPr>
        <w:t xml:space="preserve">URL: </w:t>
      </w:r>
      <w:r w:rsidR="006E6AC5" w:rsidRPr="00CA78BD">
        <w:rPr>
          <w:rFonts w:ascii="Times New Roman" w:hAnsi="Times New Roman" w:cs="Times New Roman"/>
          <w:lang w:val="en-US"/>
        </w:rPr>
        <w:t>https://www.reuters.com/article/us-europe-finance-lobbying-analysis-idUSKBN25L0GA (</w:t>
      </w:r>
      <w:r w:rsidR="006E6AC5" w:rsidRPr="00CA78BD">
        <w:rPr>
          <w:rFonts w:ascii="Times New Roman" w:hAnsi="Times New Roman" w:cs="Times New Roman"/>
        </w:rPr>
        <w:t>Дата</w:t>
      </w:r>
      <w:r w:rsidR="006E6AC5" w:rsidRPr="00CA78BD">
        <w:rPr>
          <w:rFonts w:ascii="Times New Roman" w:hAnsi="Times New Roman" w:cs="Times New Roman"/>
          <w:lang w:val="en-US"/>
        </w:rPr>
        <w:t xml:space="preserve"> </w:t>
      </w:r>
      <w:r w:rsidR="006E6AC5" w:rsidRPr="00CA78BD">
        <w:rPr>
          <w:rFonts w:ascii="Times New Roman" w:hAnsi="Times New Roman" w:cs="Times New Roman"/>
        </w:rPr>
        <w:t>обращения</w:t>
      </w:r>
      <w:r w:rsidR="006E6AC5" w:rsidRPr="00CA78BD">
        <w:rPr>
          <w:rFonts w:ascii="Times New Roman" w:hAnsi="Times New Roman" w:cs="Times New Roman"/>
          <w:lang w:val="en-US"/>
        </w:rPr>
        <w:t>: 05.05.2021)</w:t>
      </w:r>
    </w:p>
    <w:p w14:paraId="71F54DC9"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proofErr w:type="spellStart"/>
      <w:r w:rsidRPr="00CA78BD">
        <w:rPr>
          <w:rFonts w:ascii="Times New Roman" w:hAnsi="Times New Roman" w:cs="Times New Roman"/>
          <w:lang w:val="en-US"/>
        </w:rPr>
        <w:t>Balanyá</w:t>
      </w:r>
      <w:proofErr w:type="spellEnd"/>
      <w:r w:rsidRPr="00CA78BD">
        <w:rPr>
          <w:rFonts w:ascii="Times New Roman" w:hAnsi="Times New Roman" w:cs="Times New Roman"/>
          <w:lang w:val="en-US"/>
        </w:rPr>
        <w:t xml:space="preserve">, B. How the fossil fuel lobby is hijacking the European Green Deal // Open Democracy, 2020 </w:t>
      </w:r>
      <w:r w:rsidR="006E6AC5" w:rsidRPr="00CA78BD">
        <w:rPr>
          <w:rFonts w:ascii="Times New Roman" w:hAnsi="Times New Roman" w:cs="Times New Roman"/>
          <w:lang w:val="en-US"/>
        </w:rPr>
        <w:t xml:space="preserve">// </w:t>
      </w:r>
      <w:r w:rsidRPr="00CA78BD">
        <w:rPr>
          <w:rFonts w:ascii="Times New Roman" w:hAnsi="Times New Roman" w:cs="Times New Roman"/>
          <w:lang w:val="en-US"/>
        </w:rPr>
        <w:t xml:space="preserve">URL: </w:t>
      </w:r>
      <w:r w:rsidR="006E6AC5" w:rsidRPr="00CA78BD">
        <w:rPr>
          <w:rFonts w:ascii="Times New Roman" w:hAnsi="Times New Roman" w:cs="Times New Roman"/>
          <w:lang w:val="en-US"/>
        </w:rPr>
        <w:t>https://www.opendemocracy.net/en/oureconomy/how-fossil-fuel-lobby-hijacking-european-green-deal/ (</w:t>
      </w:r>
      <w:r w:rsidR="006E6AC5" w:rsidRPr="00CA78BD">
        <w:rPr>
          <w:rFonts w:ascii="Times New Roman" w:hAnsi="Times New Roman" w:cs="Times New Roman"/>
        </w:rPr>
        <w:t>Дата</w:t>
      </w:r>
      <w:r w:rsidR="006E6AC5" w:rsidRPr="00CA78BD">
        <w:rPr>
          <w:rFonts w:ascii="Times New Roman" w:hAnsi="Times New Roman" w:cs="Times New Roman"/>
          <w:lang w:val="en-US"/>
        </w:rPr>
        <w:t xml:space="preserve"> </w:t>
      </w:r>
      <w:r w:rsidR="006E6AC5" w:rsidRPr="00CA78BD">
        <w:rPr>
          <w:rFonts w:ascii="Times New Roman" w:hAnsi="Times New Roman" w:cs="Times New Roman"/>
        </w:rPr>
        <w:t>обращения</w:t>
      </w:r>
      <w:r w:rsidR="006E6AC5" w:rsidRPr="00CA78BD">
        <w:rPr>
          <w:rFonts w:ascii="Times New Roman" w:hAnsi="Times New Roman" w:cs="Times New Roman"/>
          <w:lang w:val="en-US"/>
        </w:rPr>
        <w:t>: 05.05.2021)</w:t>
      </w:r>
    </w:p>
    <w:p w14:paraId="6AB618E5" w14:textId="77777777" w:rsidR="00B878A1" w:rsidRPr="00CA78BD" w:rsidRDefault="00B878A1"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r w:rsidRPr="00CA78BD">
        <w:rPr>
          <w:rFonts w:ascii="Times New Roman" w:hAnsi="Times New Roman" w:cs="Times New Roman"/>
          <w:lang w:val="en-US"/>
        </w:rPr>
        <w:t xml:space="preserve">Bentley, A. The Process of Government: A Study of Social Pressures / A. Bentley – University of Chicago Press, 1908. – VII. – </w:t>
      </w:r>
      <w:r w:rsidR="00240E09" w:rsidRPr="00CA78BD">
        <w:rPr>
          <w:rFonts w:ascii="Times New Roman" w:hAnsi="Times New Roman" w:cs="Times New Roman"/>
          <w:lang w:val="en-US"/>
        </w:rPr>
        <w:t>501 p.</w:t>
      </w:r>
    </w:p>
    <w:p w14:paraId="66E5F336"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lang w:val="en-US"/>
        </w:rPr>
        <w:lastRenderedPageBreak/>
        <w:t xml:space="preserve">Beyers, J. </w:t>
      </w:r>
      <w:proofErr w:type="spellStart"/>
      <w:r w:rsidRPr="00CA78BD">
        <w:rPr>
          <w:rFonts w:ascii="Times New Roman" w:hAnsi="Times New Roman" w:cs="Times New Roman"/>
          <w:lang w:val="en-US"/>
        </w:rPr>
        <w:t>Eising</w:t>
      </w:r>
      <w:proofErr w:type="spellEnd"/>
      <w:r w:rsidRPr="00CA78BD">
        <w:rPr>
          <w:rFonts w:ascii="Times New Roman" w:hAnsi="Times New Roman" w:cs="Times New Roman"/>
          <w:lang w:val="en-US"/>
        </w:rPr>
        <w:t xml:space="preserve">, R. Maloney, W. Researching Interest Group Politics in Europe and Elsewhere: Much We Study, Little We Know? / </w:t>
      </w:r>
      <w:proofErr w:type="spellStart"/>
      <w:proofErr w:type="gramStart"/>
      <w:r w:rsidRPr="00CA78BD">
        <w:rPr>
          <w:rFonts w:ascii="Times New Roman" w:hAnsi="Times New Roman" w:cs="Times New Roman"/>
          <w:lang w:val="en-US"/>
        </w:rPr>
        <w:t>J.Beyers</w:t>
      </w:r>
      <w:proofErr w:type="spellEnd"/>
      <w:proofErr w:type="gramEnd"/>
      <w:r w:rsidRPr="00CA78BD">
        <w:rPr>
          <w:rFonts w:ascii="Times New Roman" w:hAnsi="Times New Roman" w:cs="Times New Roman"/>
          <w:lang w:val="en-US"/>
        </w:rPr>
        <w:t xml:space="preserve">, </w:t>
      </w:r>
      <w:proofErr w:type="spellStart"/>
      <w:r w:rsidRPr="00CA78BD">
        <w:rPr>
          <w:rFonts w:ascii="Times New Roman" w:hAnsi="Times New Roman" w:cs="Times New Roman"/>
          <w:lang w:val="en-US"/>
        </w:rPr>
        <w:t>R.Eising</w:t>
      </w:r>
      <w:proofErr w:type="spellEnd"/>
      <w:r w:rsidRPr="00CA78BD">
        <w:rPr>
          <w:rFonts w:ascii="Times New Roman" w:hAnsi="Times New Roman" w:cs="Times New Roman"/>
          <w:lang w:val="en-US"/>
        </w:rPr>
        <w:t xml:space="preserve">, </w:t>
      </w:r>
      <w:proofErr w:type="spellStart"/>
      <w:r w:rsidRPr="00CA78BD">
        <w:rPr>
          <w:rFonts w:ascii="Times New Roman" w:hAnsi="Times New Roman" w:cs="Times New Roman"/>
          <w:lang w:val="en-US"/>
        </w:rPr>
        <w:t>W.Maloney</w:t>
      </w:r>
      <w:proofErr w:type="spellEnd"/>
      <w:r w:rsidRPr="00CA78BD">
        <w:rPr>
          <w:rFonts w:ascii="Times New Roman" w:hAnsi="Times New Roman" w:cs="Times New Roman"/>
          <w:lang w:val="en-US"/>
        </w:rPr>
        <w:t xml:space="preserve"> // West European Politics. – 2008. </w:t>
      </w:r>
      <w:r w:rsidRPr="00CA78BD">
        <w:rPr>
          <w:rFonts w:ascii="Times New Roman" w:hAnsi="Times New Roman" w:cs="Times New Roman"/>
        </w:rPr>
        <w:t xml:space="preserve">№36. </w:t>
      </w:r>
      <w:r w:rsidR="00240E09" w:rsidRPr="00CA78BD">
        <w:rPr>
          <w:rFonts w:ascii="Times New Roman" w:hAnsi="Times New Roman" w:cs="Times New Roman"/>
        </w:rPr>
        <w:t>–</w:t>
      </w:r>
      <w:r w:rsidRPr="00CA78BD">
        <w:rPr>
          <w:rFonts w:ascii="Times New Roman" w:hAnsi="Times New Roman" w:cs="Times New Roman"/>
        </w:rPr>
        <w:t xml:space="preserve"> 110</w:t>
      </w:r>
      <w:r w:rsidR="00240E09" w:rsidRPr="00CA78BD">
        <w:rPr>
          <w:rFonts w:ascii="Times New Roman" w:hAnsi="Times New Roman" w:cs="Times New Roman"/>
          <w:lang w:val="en-US"/>
        </w:rPr>
        <w:t xml:space="preserve">3 – 1128 p. </w:t>
      </w:r>
    </w:p>
    <w:p w14:paraId="1EB05FA5"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lang w:val="en-US"/>
        </w:rPr>
        <w:t xml:space="preserve">Beyers, J. Voice and Access: Political Practices of European Interest Associations / </w:t>
      </w:r>
      <w:proofErr w:type="spellStart"/>
      <w:proofErr w:type="gramStart"/>
      <w:r w:rsidRPr="00CA78BD">
        <w:rPr>
          <w:rFonts w:ascii="Times New Roman" w:hAnsi="Times New Roman" w:cs="Times New Roman"/>
          <w:lang w:val="en-US"/>
        </w:rPr>
        <w:t>J.Beyers</w:t>
      </w:r>
      <w:proofErr w:type="spellEnd"/>
      <w:proofErr w:type="gramEnd"/>
      <w:r w:rsidRPr="00CA78BD">
        <w:rPr>
          <w:rFonts w:ascii="Times New Roman" w:hAnsi="Times New Roman" w:cs="Times New Roman"/>
          <w:lang w:val="en-US"/>
        </w:rPr>
        <w:t xml:space="preserve"> // European Union Politics. - 2004. </w:t>
      </w:r>
      <w:r w:rsidRPr="00CA78BD">
        <w:rPr>
          <w:rFonts w:ascii="Times New Roman" w:hAnsi="Times New Roman" w:cs="Times New Roman"/>
        </w:rPr>
        <w:t>№ 5. – 211– 240</w:t>
      </w:r>
      <w:r w:rsidR="00240E09" w:rsidRPr="00CA78BD">
        <w:rPr>
          <w:rFonts w:ascii="Times New Roman" w:hAnsi="Times New Roman" w:cs="Times New Roman"/>
          <w:lang w:val="en-US"/>
        </w:rPr>
        <w:t xml:space="preserve"> p</w:t>
      </w:r>
      <w:r w:rsidRPr="00CA78BD">
        <w:rPr>
          <w:rFonts w:ascii="Times New Roman" w:hAnsi="Times New Roman" w:cs="Times New Roman"/>
        </w:rPr>
        <w:t>.</w:t>
      </w:r>
    </w:p>
    <w:p w14:paraId="6F520E89"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proofErr w:type="spellStart"/>
      <w:r w:rsidRPr="00CA78BD">
        <w:rPr>
          <w:rFonts w:ascii="Times New Roman" w:hAnsi="Times New Roman" w:cs="Times New Roman"/>
          <w:lang w:val="en-US"/>
        </w:rPr>
        <w:t>Bouwen</w:t>
      </w:r>
      <w:proofErr w:type="spellEnd"/>
      <w:r w:rsidRPr="00CA78BD">
        <w:rPr>
          <w:rFonts w:ascii="Times New Roman" w:hAnsi="Times New Roman" w:cs="Times New Roman"/>
          <w:lang w:val="en-US"/>
        </w:rPr>
        <w:t xml:space="preserve">, P. Corporate lobbying in the European Union: the logic of access / </w:t>
      </w:r>
      <w:proofErr w:type="spellStart"/>
      <w:proofErr w:type="gramStart"/>
      <w:r w:rsidRPr="00CA78BD">
        <w:rPr>
          <w:rFonts w:ascii="Times New Roman" w:hAnsi="Times New Roman" w:cs="Times New Roman"/>
          <w:lang w:val="en-US"/>
        </w:rPr>
        <w:t>P.Bouwen</w:t>
      </w:r>
      <w:proofErr w:type="spellEnd"/>
      <w:proofErr w:type="gramEnd"/>
      <w:r w:rsidRPr="00CA78BD">
        <w:rPr>
          <w:rFonts w:ascii="Times New Roman" w:hAnsi="Times New Roman" w:cs="Times New Roman"/>
          <w:lang w:val="en-US"/>
        </w:rPr>
        <w:t xml:space="preserve"> // Journal of European Public Policy. - 2002. </w:t>
      </w:r>
      <w:r w:rsidRPr="00CA78BD">
        <w:rPr>
          <w:rFonts w:ascii="Times New Roman" w:hAnsi="Times New Roman" w:cs="Times New Roman"/>
        </w:rPr>
        <w:t>№9. — 36</w:t>
      </w:r>
      <w:r w:rsidR="00240E09" w:rsidRPr="00CA78BD">
        <w:rPr>
          <w:rFonts w:ascii="Times New Roman" w:hAnsi="Times New Roman" w:cs="Times New Roman"/>
          <w:lang w:val="en-US"/>
        </w:rPr>
        <w:t>5</w:t>
      </w:r>
      <w:r w:rsidRPr="00CA78BD">
        <w:rPr>
          <w:rFonts w:ascii="Times New Roman" w:hAnsi="Times New Roman" w:cs="Times New Roman"/>
        </w:rPr>
        <w:t>-3</w:t>
      </w:r>
      <w:r w:rsidR="00240E09" w:rsidRPr="00CA78BD">
        <w:rPr>
          <w:rFonts w:ascii="Times New Roman" w:hAnsi="Times New Roman" w:cs="Times New Roman"/>
          <w:lang w:val="en-US"/>
        </w:rPr>
        <w:t xml:space="preserve">90 p. </w:t>
      </w:r>
    </w:p>
    <w:p w14:paraId="3A04968E"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lang w:val="en-US"/>
        </w:rPr>
        <w:t xml:space="preserve">Chalmers, A. W. Trading Information for Access: Informational Lobbying Strategies and Interest Group Access to the European Union / A.W. Chalmers // Journal of European Public Policy. - 2013. </w:t>
      </w:r>
      <w:r w:rsidRPr="00CA78BD">
        <w:rPr>
          <w:rFonts w:ascii="Times New Roman" w:hAnsi="Times New Roman" w:cs="Times New Roman"/>
        </w:rPr>
        <w:t xml:space="preserve">№ 20. — </w:t>
      </w:r>
      <w:r w:rsidR="00240E09" w:rsidRPr="00CA78BD">
        <w:rPr>
          <w:rFonts w:ascii="Times New Roman" w:hAnsi="Times New Roman" w:cs="Times New Roman"/>
          <w:lang w:val="en-US"/>
        </w:rPr>
        <w:t>39-58 p</w:t>
      </w:r>
      <w:r w:rsidRPr="00CA78BD">
        <w:rPr>
          <w:rFonts w:ascii="Times New Roman" w:hAnsi="Times New Roman" w:cs="Times New Roman"/>
        </w:rPr>
        <w:t>.</w:t>
      </w:r>
    </w:p>
    <w:p w14:paraId="5D1097EE"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r w:rsidRPr="00CA78BD">
        <w:rPr>
          <w:rFonts w:ascii="Times New Roman" w:hAnsi="Times New Roman" w:cs="Times New Roman"/>
          <w:lang w:val="en-US"/>
        </w:rPr>
        <w:t xml:space="preserve">Coen, D. Richardson, J. Lobbying the European Union: Institutions, Actors and Issues / D. Coen, J. Richardson – UK: Oxford University Press, 2009. — </w:t>
      </w:r>
      <w:r w:rsidR="00610900" w:rsidRPr="00CA78BD">
        <w:rPr>
          <w:rFonts w:ascii="Times New Roman" w:hAnsi="Times New Roman" w:cs="Times New Roman"/>
          <w:lang w:val="en-US"/>
        </w:rPr>
        <w:t xml:space="preserve">pp. </w:t>
      </w:r>
      <w:r w:rsidR="00240E09" w:rsidRPr="00CA78BD">
        <w:rPr>
          <w:rFonts w:ascii="Times New Roman" w:hAnsi="Times New Roman" w:cs="Times New Roman"/>
          <w:lang w:val="en-US"/>
        </w:rPr>
        <w:t xml:space="preserve">400 </w:t>
      </w:r>
    </w:p>
    <w:p w14:paraId="60A17733"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r w:rsidRPr="00CA78BD">
        <w:rPr>
          <w:rFonts w:ascii="Times New Roman" w:hAnsi="Times New Roman" w:cs="Times New Roman"/>
          <w:lang w:val="en-US"/>
        </w:rPr>
        <w:t>Czech pm urges EU to ditch green deal aimed virus /</w:t>
      </w:r>
      <w:r w:rsidR="00240E09" w:rsidRPr="00CA78BD">
        <w:rPr>
          <w:rFonts w:ascii="Times New Roman" w:hAnsi="Times New Roman" w:cs="Times New Roman"/>
          <w:lang w:val="en-US"/>
        </w:rPr>
        <w:t>/</w:t>
      </w:r>
      <w:r w:rsidRPr="00CA78BD">
        <w:rPr>
          <w:rFonts w:ascii="Times New Roman" w:hAnsi="Times New Roman" w:cs="Times New Roman"/>
          <w:lang w:val="en-US"/>
        </w:rPr>
        <w:t xml:space="preserve"> </w:t>
      </w:r>
      <w:proofErr w:type="spellStart"/>
      <w:r w:rsidRPr="00CA78BD">
        <w:rPr>
          <w:rFonts w:ascii="Times New Roman" w:hAnsi="Times New Roman" w:cs="Times New Roman"/>
          <w:lang w:val="en-US"/>
        </w:rPr>
        <w:t>Euractiv</w:t>
      </w:r>
      <w:proofErr w:type="spellEnd"/>
      <w:r w:rsidRPr="00CA78BD">
        <w:rPr>
          <w:rFonts w:ascii="Times New Roman" w:hAnsi="Times New Roman" w:cs="Times New Roman"/>
          <w:lang w:val="en-US"/>
        </w:rPr>
        <w:t xml:space="preserve"> </w:t>
      </w:r>
      <w:r w:rsidR="00240E09" w:rsidRPr="00CA78BD">
        <w:rPr>
          <w:rFonts w:ascii="Times New Roman" w:hAnsi="Times New Roman" w:cs="Times New Roman"/>
          <w:lang w:val="en-US"/>
        </w:rPr>
        <w:t xml:space="preserve">// </w:t>
      </w:r>
      <w:r w:rsidRPr="00CA78BD">
        <w:rPr>
          <w:rFonts w:ascii="Times New Roman" w:hAnsi="Times New Roman" w:cs="Times New Roman"/>
          <w:lang w:val="en-US"/>
        </w:rPr>
        <w:t xml:space="preserve">URL: </w:t>
      </w:r>
      <w:r w:rsidR="00240E09" w:rsidRPr="00CA78BD">
        <w:rPr>
          <w:rFonts w:ascii="Times New Roman" w:hAnsi="Times New Roman" w:cs="Times New Roman"/>
          <w:lang w:val="en-US"/>
        </w:rPr>
        <w:t>https://www.euractiv.com/section/energy-environment/news/czech-pm-urges-eu-to-ditch-green-deal-amid-virus/ (</w:t>
      </w:r>
      <w:r w:rsidR="00240E09" w:rsidRPr="00CA78BD">
        <w:rPr>
          <w:rFonts w:ascii="Times New Roman" w:hAnsi="Times New Roman" w:cs="Times New Roman"/>
        </w:rPr>
        <w:t>Дата</w:t>
      </w:r>
      <w:r w:rsidR="00240E09" w:rsidRPr="00CA78BD">
        <w:rPr>
          <w:rFonts w:ascii="Times New Roman" w:hAnsi="Times New Roman" w:cs="Times New Roman"/>
          <w:lang w:val="en-US"/>
        </w:rPr>
        <w:t xml:space="preserve"> </w:t>
      </w:r>
      <w:r w:rsidR="00240E09" w:rsidRPr="00CA78BD">
        <w:rPr>
          <w:rFonts w:ascii="Times New Roman" w:hAnsi="Times New Roman" w:cs="Times New Roman"/>
        </w:rPr>
        <w:t>обращения</w:t>
      </w:r>
      <w:r w:rsidR="00240E09" w:rsidRPr="00CA78BD">
        <w:rPr>
          <w:rFonts w:ascii="Times New Roman" w:hAnsi="Times New Roman" w:cs="Times New Roman"/>
          <w:lang w:val="en-US"/>
        </w:rPr>
        <w:t>: 05.05.2021)</w:t>
      </w:r>
    </w:p>
    <w:p w14:paraId="2D66D564"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proofErr w:type="spellStart"/>
      <w:r w:rsidRPr="00CA78BD">
        <w:rPr>
          <w:rFonts w:ascii="Times New Roman" w:hAnsi="Times New Roman" w:cs="Times New Roman"/>
          <w:lang w:val="en-US"/>
        </w:rPr>
        <w:t>Dür</w:t>
      </w:r>
      <w:proofErr w:type="spellEnd"/>
      <w:r w:rsidRPr="00CA78BD">
        <w:rPr>
          <w:rFonts w:ascii="Times New Roman" w:hAnsi="Times New Roman" w:cs="Times New Roman"/>
          <w:lang w:val="en-US"/>
        </w:rPr>
        <w:t>, A. </w:t>
      </w:r>
      <w:proofErr w:type="spellStart"/>
      <w:r w:rsidRPr="00CA78BD">
        <w:rPr>
          <w:rFonts w:ascii="Times New Roman" w:hAnsi="Times New Roman" w:cs="Times New Roman"/>
          <w:lang w:val="en-US"/>
        </w:rPr>
        <w:t>Bernhagen</w:t>
      </w:r>
      <w:proofErr w:type="spellEnd"/>
      <w:r w:rsidRPr="00CA78BD">
        <w:rPr>
          <w:rFonts w:ascii="Times New Roman" w:hAnsi="Times New Roman" w:cs="Times New Roman"/>
          <w:lang w:val="en-US"/>
        </w:rPr>
        <w:t xml:space="preserve">, P. Marshall, D. Interest Group Success in the European Union: When (and </w:t>
      </w:r>
      <w:proofErr w:type="gramStart"/>
      <w:r w:rsidRPr="00CA78BD">
        <w:rPr>
          <w:rFonts w:ascii="Times New Roman" w:hAnsi="Times New Roman" w:cs="Times New Roman"/>
          <w:lang w:val="en-US"/>
        </w:rPr>
        <w:t>Why</w:t>
      </w:r>
      <w:proofErr w:type="gramEnd"/>
      <w:r w:rsidRPr="00CA78BD">
        <w:rPr>
          <w:rFonts w:ascii="Times New Roman" w:hAnsi="Times New Roman" w:cs="Times New Roman"/>
          <w:lang w:val="en-US"/>
        </w:rPr>
        <w:t xml:space="preserve">) Does Business Lose? / </w:t>
      </w:r>
      <w:proofErr w:type="spellStart"/>
      <w:proofErr w:type="gramStart"/>
      <w:r w:rsidRPr="00CA78BD">
        <w:rPr>
          <w:rFonts w:ascii="Times New Roman" w:hAnsi="Times New Roman" w:cs="Times New Roman"/>
          <w:lang w:val="en-US"/>
        </w:rPr>
        <w:t>A.Dür</w:t>
      </w:r>
      <w:proofErr w:type="spellEnd"/>
      <w:proofErr w:type="gramEnd"/>
      <w:r w:rsidRPr="00CA78BD">
        <w:rPr>
          <w:rFonts w:ascii="Times New Roman" w:hAnsi="Times New Roman" w:cs="Times New Roman"/>
          <w:lang w:val="en-US"/>
        </w:rPr>
        <w:t xml:space="preserve">, </w:t>
      </w:r>
      <w:proofErr w:type="spellStart"/>
      <w:r w:rsidRPr="00CA78BD">
        <w:rPr>
          <w:rFonts w:ascii="Times New Roman" w:hAnsi="Times New Roman" w:cs="Times New Roman"/>
          <w:lang w:val="en-US"/>
        </w:rPr>
        <w:t>P.Bernhagen</w:t>
      </w:r>
      <w:proofErr w:type="spellEnd"/>
      <w:r w:rsidRPr="00CA78BD">
        <w:rPr>
          <w:rFonts w:ascii="Times New Roman" w:hAnsi="Times New Roman" w:cs="Times New Roman"/>
          <w:lang w:val="en-US"/>
        </w:rPr>
        <w:t xml:space="preserve">, </w:t>
      </w:r>
      <w:proofErr w:type="spellStart"/>
      <w:r w:rsidRPr="00CA78BD">
        <w:rPr>
          <w:rFonts w:ascii="Times New Roman" w:hAnsi="Times New Roman" w:cs="Times New Roman"/>
          <w:lang w:val="en-US"/>
        </w:rPr>
        <w:t>D.Marshall</w:t>
      </w:r>
      <w:proofErr w:type="spellEnd"/>
      <w:r w:rsidRPr="00CA78BD">
        <w:rPr>
          <w:rFonts w:ascii="Times New Roman" w:hAnsi="Times New Roman" w:cs="Times New Roman"/>
          <w:i/>
          <w:iCs/>
          <w:lang w:val="en-US"/>
        </w:rPr>
        <w:t xml:space="preserve"> </w:t>
      </w:r>
      <w:r w:rsidRPr="00CA78BD">
        <w:rPr>
          <w:rFonts w:ascii="Times New Roman" w:hAnsi="Times New Roman" w:cs="Times New Roman"/>
          <w:lang w:val="en-US"/>
        </w:rPr>
        <w:t xml:space="preserve">// Comparative Political Studies. - 2015. </w:t>
      </w:r>
      <w:r w:rsidRPr="00CA78BD">
        <w:rPr>
          <w:rFonts w:ascii="Times New Roman" w:hAnsi="Times New Roman" w:cs="Times New Roman"/>
        </w:rPr>
        <w:t>№ 48. – 951– 983</w:t>
      </w:r>
      <w:r w:rsidR="00610900" w:rsidRPr="00CA78BD">
        <w:rPr>
          <w:rFonts w:ascii="Times New Roman" w:hAnsi="Times New Roman" w:cs="Times New Roman"/>
          <w:lang w:val="en-US"/>
        </w:rPr>
        <w:t xml:space="preserve"> p</w:t>
      </w:r>
      <w:r w:rsidRPr="00CA78BD">
        <w:rPr>
          <w:rFonts w:ascii="Times New Roman" w:hAnsi="Times New Roman" w:cs="Times New Roman"/>
        </w:rPr>
        <w:t>.</w:t>
      </w:r>
    </w:p>
    <w:p w14:paraId="5D152C73"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proofErr w:type="spellStart"/>
      <w:r w:rsidRPr="00CA78BD">
        <w:rPr>
          <w:rFonts w:ascii="Times New Roman" w:hAnsi="Times New Roman" w:cs="Times New Roman"/>
          <w:lang w:val="en-US"/>
        </w:rPr>
        <w:t>Eising</w:t>
      </w:r>
      <w:proofErr w:type="spellEnd"/>
      <w:r w:rsidRPr="00CA78BD">
        <w:rPr>
          <w:rFonts w:ascii="Times New Roman" w:hAnsi="Times New Roman" w:cs="Times New Roman"/>
          <w:lang w:val="en-US"/>
        </w:rPr>
        <w:t xml:space="preserve">, R. Institutional context, organizational resources, and strategic choices: explaining interest group access in the European Union / </w:t>
      </w:r>
      <w:proofErr w:type="spellStart"/>
      <w:proofErr w:type="gramStart"/>
      <w:r w:rsidRPr="00CA78BD">
        <w:rPr>
          <w:rFonts w:ascii="Times New Roman" w:hAnsi="Times New Roman" w:cs="Times New Roman"/>
          <w:lang w:val="en-US"/>
        </w:rPr>
        <w:t>R.Eising</w:t>
      </w:r>
      <w:proofErr w:type="spellEnd"/>
      <w:proofErr w:type="gramEnd"/>
      <w:r w:rsidRPr="00CA78BD">
        <w:rPr>
          <w:rFonts w:ascii="Times New Roman" w:hAnsi="Times New Roman" w:cs="Times New Roman"/>
          <w:lang w:val="en-US"/>
        </w:rPr>
        <w:t xml:space="preserve"> // European Union Politics. – 2007. </w:t>
      </w:r>
      <w:r w:rsidRPr="00CA78BD">
        <w:rPr>
          <w:rFonts w:ascii="Times New Roman" w:hAnsi="Times New Roman" w:cs="Times New Roman"/>
        </w:rPr>
        <w:t>№8. – 3</w:t>
      </w:r>
      <w:r w:rsidR="00610900" w:rsidRPr="00CA78BD">
        <w:rPr>
          <w:rFonts w:ascii="Times New Roman" w:hAnsi="Times New Roman" w:cs="Times New Roman"/>
          <w:lang w:val="en-US"/>
        </w:rPr>
        <w:t>29</w:t>
      </w:r>
      <w:r w:rsidRPr="00CA78BD">
        <w:rPr>
          <w:rFonts w:ascii="Times New Roman" w:hAnsi="Times New Roman" w:cs="Times New Roman"/>
        </w:rPr>
        <w:t>-3</w:t>
      </w:r>
      <w:r w:rsidR="00610900" w:rsidRPr="00CA78BD">
        <w:rPr>
          <w:rFonts w:ascii="Times New Roman" w:hAnsi="Times New Roman" w:cs="Times New Roman"/>
          <w:lang w:val="en-US"/>
        </w:rPr>
        <w:t xml:space="preserve">63 p. </w:t>
      </w:r>
    </w:p>
    <w:p w14:paraId="105730CA"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proofErr w:type="spellStart"/>
      <w:r w:rsidRPr="00CA78BD">
        <w:rPr>
          <w:rFonts w:ascii="Times New Roman" w:hAnsi="Times New Roman" w:cs="Times New Roman"/>
          <w:lang w:val="en-US"/>
        </w:rPr>
        <w:t>Eising</w:t>
      </w:r>
      <w:proofErr w:type="spellEnd"/>
      <w:r w:rsidRPr="00CA78BD">
        <w:rPr>
          <w:rFonts w:ascii="Times New Roman" w:hAnsi="Times New Roman" w:cs="Times New Roman"/>
          <w:lang w:val="en-US"/>
        </w:rPr>
        <w:t xml:space="preserve">, R. Multilevel Governance and Business Interests in the European Union / </w:t>
      </w:r>
      <w:proofErr w:type="spellStart"/>
      <w:proofErr w:type="gramStart"/>
      <w:r w:rsidRPr="00CA78BD">
        <w:rPr>
          <w:rFonts w:ascii="Times New Roman" w:hAnsi="Times New Roman" w:cs="Times New Roman"/>
          <w:lang w:val="en-US"/>
        </w:rPr>
        <w:t>R.Eising</w:t>
      </w:r>
      <w:proofErr w:type="spellEnd"/>
      <w:proofErr w:type="gramEnd"/>
      <w:r w:rsidRPr="00CA78BD">
        <w:rPr>
          <w:rFonts w:ascii="Times New Roman" w:hAnsi="Times New Roman" w:cs="Times New Roman"/>
          <w:lang w:val="en-US"/>
        </w:rPr>
        <w:t xml:space="preserve"> // Governance. – 2004. </w:t>
      </w:r>
      <w:r w:rsidRPr="00CA78BD">
        <w:rPr>
          <w:rFonts w:ascii="Times New Roman" w:hAnsi="Times New Roman" w:cs="Times New Roman"/>
        </w:rPr>
        <w:t>№ 2. – P. 21</w:t>
      </w:r>
      <w:r w:rsidR="00610900" w:rsidRPr="00CA78BD">
        <w:rPr>
          <w:rFonts w:ascii="Times New Roman" w:hAnsi="Times New Roman" w:cs="Times New Roman"/>
          <w:lang w:val="en-US"/>
        </w:rPr>
        <w:t>1</w:t>
      </w:r>
      <w:r w:rsidRPr="00CA78BD">
        <w:rPr>
          <w:rFonts w:ascii="Times New Roman" w:hAnsi="Times New Roman" w:cs="Times New Roman"/>
        </w:rPr>
        <w:t>– 2</w:t>
      </w:r>
      <w:r w:rsidR="00610900" w:rsidRPr="00CA78BD">
        <w:rPr>
          <w:rFonts w:ascii="Times New Roman" w:hAnsi="Times New Roman" w:cs="Times New Roman"/>
          <w:lang w:val="en-US"/>
        </w:rPr>
        <w:t>45</w:t>
      </w:r>
      <w:r w:rsidRPr="00CA78BD">
        <w:rPr>
          <w:rFonts w:ascii="Times New Roman" w:hAnsi="Times New Roman" w:cs="Times New Roman"/>
        </w:rPr>
        <w:t>.</w:t>
      </w:r>
    </w:p>
    <w:p w14:paraId="7BF77644"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r w:rsidRPr="00CA78BD">
        <w:rPr>
          <w:rFonts w:ascii="Times New Roman" w:hAnsi="Times New Roman" w:cs="Times New Roman"/>
          <w:lang w:val="en-US"/>
        </w:rPr>
        <w:t>EU should scrap emissions trading scheme, polish official says /</w:t>
      </w:r>
      <w:r w:rsidR="00610900" w:rsidRPr="00CA78BD">
        <w:rPr>
          <w:rFonts w:ascii="Times New Roman" w:hAnsi="Times New Roman" w:cs="Times New Roman"/>
          <w:lang w:val="en-US"/>
        </w:rPr>
        <w:t>/</w:t>
      </w:r>
      <w:r w:rsidRPr="00CA78BD">
        <w:rPr>
          <w:rFonts w:ascii="Times New Roman" w:hAnsi="Times New Roman" w:cs="Times New Roman"/>
          <w:lang w:val="en-US"/>
        </w:rPr>
        <w:t xml:space="preserve"> </w:t>
      </w:r>
      <w:proofErr w:type="spellStart"/>
      <w:r w:rsidRPr="00CA78BD">
        <w:rPr>
          <w:rFonts w:ascii="Times New Roman" w:hAnsi="Times New Roman" w:cs="Times New Roman"/>
          <w:lang w:val="en-US"/>
        </w:rPr>
        <w:t>Euractiv</w:t>
      </w:r>
      <w:proofErr w:type="spellEnd"/>
      <w:r w:rsidRPr="00CA78BD">
        <w:rPr>
          <w:rFonts w:ascii="Times New Roman" w:hAnsi="Times New Roman" w:cs="Times New Roman"/>
          <w:lang w:val="en-US"/>
        </w:rPr>
        <w:t xml:space="preserve"> </w:t>
      </w:r>
      <w:r w:rsidR="00610900" w:rsidRPr="00CA78BD">
        <w:rPr>
          <w:rFonts w:ascii="Times New Roman" w:hAnsi="Times New Roman" w:cs="Times New Roman"/>
          <w:lang w:val="en-US"/>
        </w:rPr>
        <w:t xml:space="preserve">// </w:t>
      </w:r>
      <w:r w:rsidRPr="00CA78BD">
        <w:rPr>
          <w:rFonts w:ascii="Times New Roman" w:hAnsi="Times New Roman" w:cs="Times New Roman"/>
          <w:lang w:val="en-US"/>
        </w:rPr>
        <w:t xml:space="preserve">URL: </w:t>
      </w:r>
      <w:r w:rsidR="00610900" w:rsidRPr="00CA78BD">
        <w:rPr>
          <w:rFonts w:ascii="Times New Roman" w:hAnsi="Times New Roman" w:cs="Times New Roman"/>
          <w:lang w:val="en-US"/>
        </w:rPr>
        <w:t>https://www.euractiv.com/section/emissions-trading-scheme/news/eu-should-scrap-emissions-trading-scheme-polish-official-says/ (</w:t>
      </w:r>
      <w:r w:rsidR="00610900" w:rsidRPr="00CA78BD">
        <w:rPr>
          <w:rFonts w:ascii="Times New Roman" w:hAnsi="Times New Roman" w:cs="Times New Roman"/>
        </w:rPr>
        <w:t>Дата</w:t>
      </w:r>
      <w:r w:rsidR="00610900" w:rsidRPr="00CA78BD">
        <w:rPr>
          <w:rFonts w:ascii="Times New Roman" w:hAnsi="Times New Roman" w:cs="Times New Roman"/>
          <w:lang w:val="en-US"/>
        </w:rPr>
        <w:t xml:space="preserve"> </w:t>
      </w:r>
      <w:r w:rsidR="00610900" w:rsidRPr="00CA78BD">
        <w:rPr>
          <w:rFonts w:ascii="Times New Roman" w:hAnsi="Times New Roman" w:cs="Times New Roman"/>
        </w:rPr>
        <w:t>обращения</w:t>
      </w:r>
      <w:r w:rsidR="00610900" w:rsidRPr="00CA78BD">
        <w:rPr>
          <w:rFonts w:ascii="Times New Roman" w:hAnsi="Times New Roman" w:cs="Times New Roman"/>
          <w:lang w:val="en-US"/>
        </w:rPr>
        <w:t>: 05.05.2021)</w:t>
      </w:r>
    </w:p>
    <w:p w14:paraId="5F811A71"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r w:rsidRPr="00CA78BD">
        <w:rPr>
          <w:rFonts w:ascii="Times New Roman" w:hAnsi="Times New Roman" w:cs="Times New Roman"/>
          <w:lang w:val="en-US"/>
        </w:rPr>
        <w:t xml:space="preserve">EU sticks to carbon reporting deadlines, rejects industry calls for coronavirus delay </w:t>
      </w:r>
      <w:r w:rsidR="00610900" w:rsidRPr="00CA78BD">
        <w:rPr>
          <w:rFonts w:ascii="Times New Roman" w:hAnsi="Times New Roman" w:cs="Times New Roman"/>
          <w:lang w:val="en-US"/>
        </w:rPr>
        <w:t>/</w:t>
      </w:r>
      <w:r w:rsidRPr="00CA78BD">
        <w:rPr>
          <w:rFonts w:ascii="Times New Roman" w:hAnsi="Times New Roman" w:cs="Times New Roman"/>
          <w:lang w:val="en-US"/>
        </w:rPr>
        <w:t xml:space="preserve">/ </w:t>
      </w:r>
      <w:proofErr w:type="spellStart"/>
      <w:r w:rsidRPr="00CA78BD">
        <w:rPr>
          <w:rFonts w:ascii="Times New Roman" w:hAnsi="Times New Roman" w:cs="Times New Roman"/>
          <w:lang w:val="en-US"/>
        </w:rPr>
        <w:t>Euractiv</w:t>
      </w:r>
      <w:proofErr w:type="spellEnd"/>
      <w:r w:rsidRPr="00CA78BD">
        <w:rPr>
          <w:rFonts w:ascii="Times New Roman" w:hAnsi="Times New Roman" w:cs="Times New Roman"/>
          <w:lang w:val="en-US"/>
        </w:rPr>
        <w:t xml:space="preserve"> </w:t>
      </w:r>
      <w:r w:rsidR="00610900" w:rsidRPr="00CA78BD">
        <w:rPr>
          <w:rFonts w:ascii="Times New Roman" w:hAnsi="Times New Roman" w:cs="Times New Roman"/>
          <w:lang w:val="en-US"/>
        </w:rPr>
        <w:t xml:space="preserve">// </w:t>
      </w:r>
      <w:r w:rsidRPr="00CA78BD">
        <w:rPr>
          <w:rFonts w:ascii="Times New Roman" w:hAnsi="Times New Roman" w:cs="Times New Roman"/>
          <w:lang w:val="en-US"/>
        </w:rPr>
        <w:t xml:space="preserve">URL: </w:t>
      </w:r>
      <w:r w:rsidR="00610900" w:rsidRPr="00CA78BD">
        <w:rPr>
          <w:rFonts w:ascii="Times New Roman" w:hAnsi="Times New Roman" w:cs="Times New Roman"/>
          <w:lang w:val="en-US"/>
        </w:rPr>
        <w:t>https://www.euractiv.com/section/emissions-trading-scheme/news/eu-sticks-to-carbon-reporting-deadlines-rejects-industry-calls-for-coronavirus-delay/ (</w:t>
      </w:r>
      <w:r w:rsidR="00610900" w:rsidRPr="00CA78BD">
        <w:rPr>
          <w:rFonts w:ascii="Times New Roman" w:hAnsi="Times New Roman" w:cs="Times New Roman"/>
        </w:rPr>
        <w:t>Дата</w:t>
      </w:r>
      <w:r w:rsidR="00610900" w:rsidRPr="00CA78BD">
        <w:rPr>
          <w:rFonts w:ascii="Times New Roman" w:hAnsi="Times New Roman" w:cs="Times New Roman"/>
          <w:lang w:val="en-US"/>
        </w:rPr>
        <w:t xml:space="preserve"> </w:t>
      </w:r>
      <w:r w:rsidR="00610900" w:rsidRPr="00CA78BD">
        <w:rPr>
          <w:rFonts w:ascii="Times New Roman" w:hAnsi="Times New Roman" w:cs="Times New Roman"/>
        </w:rPr>
        <w:t>обращения</w:t>
      </w:r>
      <w:r w:rsidR="00610900" w:rsidRPr="00CA78BD">
        <w:rPr>
          <w:rFonts w:ascii="Times New Roman" w:hAnsi="Times New Roman" w:cs="Times New Roman"/>
          <w:lang w:val="en-US"/>
        </w:rPr>
        <w:t>: 05.05.2021)</w:t>
      </w:r>
    </w:p>
    <w:p w14:paraId="76E0581C"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proofErr w:type="spellStart"/>
      <w:r w:rsidRPr="00CA78BD">
        <w:rPr>
          <w:rFonts w:ascii="Times New Roman" w:hAnsi="Times New Roman" w:cs="Times New Roman"/>
          <w:lang w:val="en-US"/>
        </w:rPr>
        <w:t>Giegold</w:t>
      </w:r>
      <w:proofErr w:type="spellEnd"/>
      <w:r w:rsidRPr="00CA78BD">
        <w:rPr>
          <w:rFonts w:ascii="Times New Roman" w:hAnsi="Times New Roman" w:cs="Times New Roman"/>
          <w:lang w:val="en-US"/>
        </w:rPr>
        <w:t xml:space="preserve">, S. European Green Deal: Lobbyists try to water down a sustainable way out of the Corona crisis // The Greens/EFA, 2020 </w:t>
      </w:r>
      <w:r w:rsidR="00610900" w:rsidRPr="00CA78BD">
        <w:rPr>
          <w:rFonts w:ascii="Times New Roman" w:hAnsi="Times New Roman" w:cs="Times New Roman"/>
          <w:lang w:val="en-US"/>
        </w:rPr>
        <w:t xml:space="preserve">// </w:t>
      </w:r>
      <w:r w:rsidRPr="00CA78BD">
        <w:rPr>
          <w:rFonts w:ascii="Times New Roman" w:hAnsi="Times New Roman" w:cs="Times New Roman"/>
          <w:lang w:val="en-US"/>
        </w:rPr>
        <w:t xml:space="preserve">URL: </w:t>
      </w:r>
      <w:r w:rsidR="00610900" w:rsidRPr="00CA78BD">
        <w:rPr>
          <w:rFonts w:ascii="Times New Roman" w:hAnsi="Times New Roman" w:cs="Times New Roman"/>
          <w:lang w:val="en-US"/>
        </w:rPr>
        <w:t>https://sven-giegold.de/en/green-deal-lobbyists-water-down/ (</w:t>
      </w:r>
      <w:r w:rsidR="00610900" w:rsidRPr="00CA78BD">
        <w:rPr>
          <w:rFonts w:ascii="Times New Roman" w:hAnsi="Times New Roman" w:cs="Times New Roman"/>
        </w:rPr>
        <w:t>Дата</w:t>
      </w:r>
      <w:r w:rsidR="00610900" w:rsidRPr="00CA78BD">
        <w:rPr>
          <w:rFonts w:ascii="Times New Roman" w:hAnsi="Times New Roman" w:cs="Times New Roman"/>
          <w:lang w:val="en-US"/>
        </w:rPr>
        <w:t xml:space="preserve"> </w:t>
      </w:r>
      <w:r w:rsidR="00610900" w:rsidRPr="00CA78BD">
        <w:rPr>
          <w:rFonts w:ascii="Times New Roman" w:hAnsi="Times New Roman" w:cs="Times New Roman"/>
        </w:rPr>
        <w:t>обращения</w:t>
      </w:r>
      <w:r w:rsidR="00610900" w:rsidRPr="00CA78BD">
        <w:rPr>
          <w:rFonts w:ascii="Times New Roman" w:hAnsi="Times New Roman" w:cs="Times New Roman"/>
          <w:lang w:val="en-US"/>
        </w:rPr>
        <w:t>: 05.05.2021)</w:t>
      </w:r>
    </w:p>
    <w:p w14:paraId="17A11C11"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lang w:val="en-US"/>
        </w:rPr>
        <w:lastRenderedPageBreak/>
        <w:t xml:space="preserve">Greenwood, J. Interest Representation in the European Union / J. Greenwood L: Palgrave Macmillan, 2017.  </w:t>
      </w:r>
      <w:r w:rsidRPr="00CA78BD">
        <w:rPr>
          <w:rFonts w:ascii="Times New Roman" w:hAnsi="Times New Roman" w:cs="Times New Roman"/>
        </w:rPr>
        <w:t xml:space="preserve">– VI. – </w:t>
      </w:r>
      <w:r w:rsidR="00610900" w:rsidRPr="00CA78BD">
        <w:rPr>
          <w:rFonts w:ascii="Times New Roman" w:hAnsi="Times New Roman" w:cs="Times New Roman"/>
          <w:lang w:val="en-US"/>
        </w:rPr>
        <w:t xml:space="preserve">pp. 282 </w:t>
      </w:r>
    </w:p>
    <w:p w14:paraId="1ABE6F40"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proofErr w:type="spellStart"/>
      <w:r w:rsidRPr="00CA78BD">
        <w:rPr>
          <w:rFonts w:ascii="Times New Roman" w:hAnsi="Times New Roman" w:cs="Times New Roman"/>
          <w:lang w:val="en-US"/>
        </w:rPr>
        <w:t>Hanegraaff</w:t>
      </w:r>
      <w:proofErr w:type="spellEnd"/>
      <w:r w:rsidRPr="00CA78BD">
        <w:rPr>
          <w:rFonts w:ascii="Times New Roman" w:hAnsi="Times New Roman" w:cs="Times New Roman"/>
          <w:lang w:val="en-US"/>
        </w:rPr>
        <w:t xml:space="preserve">, M. Poletti, A. The Rise of Corporate Lobbying in the European Union: An Agenda for Future Research / </w:t>
      </w:r>
      <w:proofErr w:type="spellStart"/>
      <w:proofErr w:type="gramStart"/>
      <w:r w:rsidRPr="00CA78BD">
        <w:rPr>
          <w:rFonts w:ascii="Times New Roman" w:hAnsi="Times New Roman" w:cs="Times New Roman"/>
          <w:lang w:val="en-US"/>
        </w:rPr>
        <w:t>M.Hanegraaff</w:t>
      </w:r>
      <w:proofErr w:type="spellEnd"/>
      <w:proofErr w:type="gramEnd"/>
      <w:r w:rsidRPr="00CA78BD">
        <w:rPr>
          <w:rFonts w:ascii="Times New Roman" w:hAnsi="Times New Roman" w:cs="Times New Roman"/>
          <w:lang w:val="en-US"/>
        </w:rPr>
        <w:t xml:space="preserve">, </w:t>
      </w:r>
      <w:proofErr w:type="spellStart"/>
      <w:r w:rsidRPr="00CA78BD">
        <w:rPr>
          <w:rFonts w:ascii="Times New Roman" w:hAnsi="Times New Roman" w:cs="Times New Roman"/>
          <w:lang w:val="en-US"/>
        </w:rPr>
        <w:t>A.Poletti</w:t>
      </w:r>
      <w:proofErr w:type="spellEnd"/>
      <w:r w:rsidRPr="00CA78BD">
        <w:rPr>
          <w:rFonts w:ascii="Times New Roman" w:hAnsi="Times New Roman" w:cs="Times New Roman"/>
          <w:lang w:val="en-US"/>
        </w:rPr>
        <w:t xml:space="preserve"> // </w:t>
      </w:r>
      <w:r w:rsidRPr="00CA78BD">
        <w:rPr>
          <w:rFonts w:ascii="Times New Roman" w:hAnsi="Times New Roman" w:cs="Times New Roman"/>
          <w:color w:val="231F20"/>
          <w:lang w:val="en-US"/>
        </w:rPr>
        <w:t>Journal</w:t>
      </w:r>
      <w:r w:rsidRPr="00CA78BD">
        <w:rPr>
          <w:rFonts w:ascii="Times New Roman" w:hAnsi="Times New Roman" w:cs="Times New Roman"/>
          <w:lang w:val="en-US"/>
        </w:rPr>
        <w:t xml:space="preserve"> </w:t>
      </w:r>
      <w:r w:rsidRPr="00CA78BD">
        <w:rPr>
          <w:rFonts w:ascii="Times New Roman" w:hAnsi="Times New Roman" w:cs="Times New Roman"/>
          <w:color w:val="231F20"/>
          <w:lang w:val="en-US"/>
        </w:rPr>
        <w:t>of</w:t>
      </w:r>
      <w:r w:rsidRPr="00CA78BD">
        <w:rPr>
          <w:rFonts w:ascii="Times New Roman" w:hAnsi="Times New Roman" w:cs="Times New Roman"/>
          <w:lang w:val="en-US"/>
        </w:rPr>
        <w:t xml:space="preserve"> </w:t>
      </w:r>
      <w:r w:rsidRPr="00CA78BD">
        <w:rPr>
          <w:rFonts w:ascii="Times New Roman" w:hAnsi="Times New Roman" w:cs="Times New Roman"/>
          <w:color w:val="231F20"/>
          <w:lang w:val="en-US"/>
        </w:rPr>
        <w:t>Common</w:t>
      </w:r>
      <w:r w:rsidRPr="00CA78BD">
        <w:rPr>
          <w:rFonts w:ascii="Times New Roman" w:hAnsi="Times New Roman" w:cs="Times New Roman"/>
          <w:lang w:val="en-US"/>
        </w:rPr>
        <w:t xml:space="preserve"> </w:t>
      </w:r>
      <w:r w:rsidRPr="00CA78BD">
        <w:rPr>
          <w:rFonts w:ascii="Times New Roman" w:hAnsi="Times New Roman" w:cs="Times New Roman"/>
          <w:color w:val="231F20"/>
          <w:lang w:val="en-US"/>
        </w:rPr>
        <w:t>Market</w:t>
      </w:r>
      <w:r w:rsidRPr="00CA78BD">
        <w:rPr>
          <w:rFonts w:ascii="Times New Roman" w:hAnsi="Times New Roman" w:cs="Times New Roman"/>
          <w:lang w:val="en-US"/>
        </w:rPr>
        <w:t xml:space="preserve"> </w:t>
      </w:r>
      <w:r w:rsidRPr="00CA78BD">
        <w:rPr>
          <w:rFonts w:ascii="Times New Roman" w:hAnsi="Times New Roman" w:cs="Times New Roman"/>
          <w:color w:val="231F20"/>
          <w:lang w:val="en-US"/>
        </w:rPr>
        <w:t>Studies</w:t>
      </w:r>
      <w:r w:rsidRPr="00CA78BD">
        <w:rPr>
          <w:rFonts w:ascii="Times New Roman" w:hAnsi="Times New Roman" w:cs="Times New Roman"/>
          <w:lang w:val="en-US"/>
        </w:rPr>
        <w:t xml:space="preserve">. – 2021. – </w:t>
      </w:r>
      <w:r w:rsidR="00610900" w:rsidRPr="00CA78BD">
        <w:rPr>
          <w:rFonts w:ascii="Times New Roman" w:hAnsi="Times New Roman" w:cs="Times New Roman"/>
          <w:lang w:val="en-US"/>
        </w:rPr>
        <w:t xml:space="preserve">256 – 272 p. </w:t>
      </w:r>
    </w:p>
    <w:p w14:paraId="16BEB123"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lang w:val="en-US"/>
        </w:rPr>
        <w:t xml:space="preserve">Heijden, H.-A. van der. Political Parties and NGOs in Global Environ-mental Politics / H.-A. van der Heijden // International Political Science Review. - 2002. </w:t>
      </w:r>
      <w:r w:rsidRPr="00CA78BD">
        <w:rPr>
          <w:rFonts w:ascii="Times New Roman" w:hAnsi="Times New Roman" w:cs="Times New Roman"/>
        </w:rPr>
        <w:t>№ 23. – 18</w:t>
      </w:r>
      <w:r w:rsidR="00610900" w:rsidRPr="00CA78BD">
        <w:rPr>
          <w:rFonts w:ascii="Times New Roman" w:hAnsi="Times New Roman" w:cs="Times New Roman"/>
          <w:lang w:val="en-US"/>
        </w:rPr>
        <w:t>7</w:t>
      </w:r>
      <w:r w:rsidRPr="00CA78BD">
        <w:rPr>
          <w:rFonts w:ascii="Times New Roman" w:hAnsi="Times New Roman" w:cs="Times New Roman"/>
        </w:rPr>
        <w:t>-</w:t>
      </w:r>
      <w:r w:rsidR="00610900" w:rsidRPr="00CA78BD">
        <w:rPr>
          <w:rFonts w:ascii="Times New Roman" w:hAnsi="Times New Roman" w:cs="Times New Roman"/>
          <w:lang w:val="en-US"/>
        </w:rPr>
        <w:t xml:space="preserve">201 p. </w:t>
      </w:r>
    </w:p>
    <w:p w14:paraId="2C9E38C0"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color w:val="000000" w:themeColor="text1"/>
          <w:lang w:val="en-US"/>
        </w:rPr>
      </w:pPr>
      <w:r w:rsidRPr="00CA78BD">
        <w:rPr>
          <w:rFonts w:ascii="Times New Roman" w:hAnsi="Times New Roman" w:cs="Times New Roman"/>
          <w:color w:val="000000" w:themeColor="text1"/>
          <w:lang w:val="en-US"/>
        </w:rPr>
        <w:t xml:space="preserve">Lyon, T., Delmas, M. When corporations take credit for green deeds their lobbying may tell another story // The conversation, 2018 </w:t>
      </w:r>
      <w:r w:rsidR="00610900" w:rsidRPr="00CA78BD">
        <w:rPr>
          <w:rFonts w:ascii="Times New Roman" w:hAnsi="Times New Roman" w:cs="Times New Roman"/>
          <w:color w:val="000000" w:themeColor="text1"/>
          <w:lang w:val="en-US"/>
        </w:rPr>
        <w:t xml:space="preserve">// </w:t>
      </w:r>
      <w:r w:rsidRPr="00CA78BD">
        <w:rPr>
          <w:rFonts w:ascii="Times New Roman" w:hAnsi="Times New Roman" w:cs="Times New Roman"/>
          <w:color w:val="000000" w:themeColor="text1"/>
          <w:lang w:val="en-US"/>
        </w:rPr>
        <w:t xml:space="preserve">URL: </w:t>
      </w:r>
      <w:r w:rsidR="00610900" w:rsidRPr="00CA78BD">
        <w:rPr>
          <w:rFonts w:ascii="Times New Roman" w:hAnsi="Times New Roman" w:cs="Times New Roman"/>
          <w:color w:val="000000" w:themeColor="text1"/>
          <w:lang w:val="en-US"/>
        </w:rPr>
        <w:t xml:space="preserve">https://theconversation.com/when-corporations-take-credit-for-green-deeds-their-lobbying-may-tell-another-story-98988 </w:t>
      </w:r>
      <w:r w:rsidR="00610900" w:rsidRPr="00CA78BD">
        <w:rPr>
          <w:rFonts w:ascii="Times New Roman" w:hAnsi="Times New Roman" w:cs="Times New Roman"/>
          <w:lang w:val="en-US"/>
        </w:rPr>
        <w:t>(</w:t>
      </w:r>
      <w:r w:rsidR="00610900" w:rsidRPr="00CA78BD">
        <w:rPr>
          <w:rFonts w:ascii="Times New Roman" w:hAnsi="Times New Roman" w:cs="Times New Roman"/>
        </w:rPr>
        <w:t>Дата</w:t>
      </w:r>
      <w:r w:rsidR="00610900" w:rsidRPr="00CA78BD">
        <w:rPr>
          <w:rFonts w:ascii="Times New Roman" w:hAnsi="Times New Roman" w:cs="Times New Roman"/>
          <w:lang w:val="en-US"/>
        </w:rPr>
        <w:t xml:space="preserve"> </w:t>
      </w:r>
      <w:r w:rsidR="00610900" w:rsidRPr="00CA78BD">
        <w:rPr>
          <w:rFonts w:ascii="Times New Roman" w:hAnsi="Times New Roman" w:cs="Times New Roman"/>
        </w:rPr>
        <w:t>обращения</w:t>
      </w:r>
      <w:r w:rsidR="00610900" w:rsidRPr="00CA78BD">
        <w:rPr>
          <w:rFonts w:ascii="Times New Roman" w:hAnsi="Times New Roman" w:cs="Times New Roman"/>
          <w:lang w:val="en-US"/>
        </w:rPr>
        <w:t>: 05.05.2021)</w:t>
      </w:r>
    </w:p>
    <w:p w14:paraId="4CF3D798"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r w:rsidRPr="00CA78BD">
        <w:rPr>
          <w:rFonts w:ascii="Times New Roman" w:hAnsi="Times New Roman" w:cs="Times New Roman"/>
          <w:lang w:val="en-US"/>
        </w:rPr>
        <w:t>Truman, D. From the Government Process / D. Truman // The Civil Society Reader / ed.: V. Hodgkinson, M. Foley. – Hanover; London: Tufts University Press, 2003. – P. 168</w:t>
      </w:r>
    </w:p>
    <w:p w14:paraId="41A2C4C0"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lang w:val="en-US"/>
        </w:rPr>
      </w:pPr>
      <w:proofErr w:type="spellStart"/>
      <w:r w:rsidRPr="00CA78BD">
        <w:rPr>
          <w:rFonts w:ascii="Times New Roman" w:hAnsi="Times New Roman" w:cs="Times New Roman"/>
          <w:lang w:val="en-US"/>
        </w:rPr>
        <w:t>Wetzels</w:t>
      </w:r>
      <w:proofErr w:type="spellEnd"/>
      <w:r w:rsidRPr="00CA78BD">
        <w:rPr>
          <w:rFonts w:ascii="Times New Roman" w:hAnsi="Times New Roman" w:cs="Times New Roman"/>
          <w:lang w:val="en-US"/>
        </w:rPr>
        <w:t xml:space="preserve">, H. How the agricultural lobby is sabotaging Europe’s Green Deal // Open Democracy, 2020 </w:t>
      </w:r>
      <w:r w:rsidR="00610900" w:rsidRPr="00CA78BD">
        <w:rPr>
          <w:rFonts w:ascii="Times New Roman" w:hAnsi="Times New Roman" w:cs="Times New Roman"/>
          <w:lang w:val="en-US"/>
        </w:rPr>
        <w:t xml:space="preserve">// </w:t>
      </w:r>
      <w:r w:rsidRPr="00CA78BD">
        <w:rPr>
          <w:rFonts w:ascii="Times New Roman" w:hAnsi="Times New Roman" w:cs="Times New Roman"/>
          <w:lang w:val="en-US"/>
        </w:rPr>
        <w:t xml:space="preserve">URL: </w:t>
      </w:r>
      <w:r w:rsidR="00610900" w:rsidRPr="00CA78BD">
        <w:rPr>
          <w:rFonts w:ascii="Times New Roman" w:hAnsi="Times New Roman" w:cs="Times New Roman"/>
          <w:color w:val="000000" w:themeColor="text1"/>
          <w:lang w:val="en-US"/>
        </w:rPr>
        <w:t xml:space="preserve">https://www.opendemocracy.net/en/oureconomy/how-the-agricultural-lobby-is-sabotaging-europes-green-deal/ </w:t>
      </w:r>
      <w:r w:rsidR="00610900" w:rsidRPr="00CA78BD">
        <w:rPr>
          <w:rFonts w:ascii="Times New Roman" w:hAnsi="Times New Roman" w:cs="Times New Roman"/>
          <w:lang w:val="en-US"/>
        </w:rPr>
        <w:t>(</w:t>
      </w:r>
      <w:r w:rsidR="00610900" w:rsidRPr="00CA78BD">
        <w:rPr>
          <w:rFonts w:ascii="Times New Roman" w:hAnsi="Times New Roman" w:cs="Times New Roman"/>
        </w:rPr>
        <w:t>Дата</w:t>
      </w:r>
      <w:r w:rsidR="00610900" w:rsidRPr="00CA78BD">
        <w:rPr>
          <w:rFonts w:ascii="Times New Roman" w:hAnsi="Times New Roman" w:cs="Times New Roman"/>
          <w:lang w:val="en-US"/>
        </w:rPr>
        <w:t xml:space="preserve"> </w:t>
      </w:r>
      <w:r w:rsidR="00610900" w:rsidRPr="00CA78BD">
        <w:rPr>
          <w:rFonts w:ascii="Times New Roman" w:hAnsi="Times New Roman" w:cs="Times New Roman"/>
        </w:rPr>
        <w:t>обращения</w:t>
      </w:r>
      <w:r w:rsidR="00610900" w:rsidRPr="00CA78BD">
        <w:rPr>
          <w:rFonts w:ascii="Times New Roman" w:hAnsi="Times New Roman" w:cs="Times New Roman"/>
          <w:lang w:val="en-US"/>
        </w:rPr>
        <w:t>: 05.05.2021)</w:t>
      </w:r>
    </w:p>
    <w:p w14:paraId="1C62CE1F" w14:textId="77777777" w:rsidR="009221A8" w:rsidRPr="00CA78BD" w:rsidRDefault="009221A8" w:rsidP="009221A8">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rPr>
        <w:t xml:space="preserve">Золотарева, E. B. Группы интересов в политике / Золотарева, Е. В. </w:t>
      </w:r>
      <w:r w:rsidR="00610900" w:rsidRPr="00CA78BD">
        <w:rPr>
          <w:rFonts w:ascii="Times New Roman" w:hAnsi="Times New Roman" w:cs="Times New Roman"/>
        </w:rPr>
        <w:t xml:space="preserve">// </w:t>
      </w:r>
      <w:proofErr w:type="gramStart"/>
      <w:r w:rsidRPr="00CA78BD">
        <w:rPr>
          <w:rFonts w:ascii="Times New Roman" w:hAnsi="Times New Roman" w:cs="Times New Roman"/>
        </w:rPr>
        <w:t>URL:  http://www.politnauka.org/library/teoria/zolotareva.php</w:t>
      </w:r>
      <w:proofErr w:type="gramEnd"/>
      <w:r w:rsidRPr="00CA78BD">
        <w:rPr>
          <w:rFonts w:ascii="Times New Roman" w:hAnsi="Times New Roman" w:cs="Times New Roman"/>
        </w:rPr>
        <w:t xml:space="preserve"> (</w:t>
      </w:r>
      <w:r w:rsidR="00610900" w:rsidRPr="00CA78BD">
        <w:rPr>
          <w:rFonts w:ascii="Times New Roman" w:hAnsi="Times New Roman" w:cs="Times New Roman"/>
        </w:rPr>
        <w:t>Д</w:t>
      </w:r>
      <w:r w:rsidRPr="00CA78BD">
        <w:rPr>
          <w:rFonts w:ascii="Times New Roman" w:hAnsi="Times New Roman" w:cs="Times New Roman"/>
        </w:rPr>
        <w:t>ата обращения: 20.03.2021)</w:t>
      </w:r>
    </w:p>
    <w:p w14:paraId="158A42F9" w14:textId="77777777" w:rsidR="009221A8" w:rsidRPr="00CA78BD" w:rsidRDefault="009221A8" w:rsidP="009221A8">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rPr>
        <w:t xml:space="preserve">Каневский, П.С. Эволюция и современное состояние теории групп интересов / </w:t>
      </w:r>
      <w:proofErr w:type="spellStart"/>
      <w:r w:rsidRPr="00CA78BD">
        <w:rPr>
          <w:rFonts w:ascii="Times New Roman" w:hAnsi="Times New Roman" w:cs="Times New Roman"/>
        </w:rPr>
        <w:t>П.С.Каневский</w:t>
      </w:r>
      <w:proofErr w:type="spellEnd"/>
      <w:r w:rsidRPr="00CA78BD">
        <w:rPr>
          <w:rFonts w:ascii="Times New Roman" w:hAnsi="Times New Roman" w:cs="Times New Roman"/>
        </w:rPr>
        <w:t xml:space="preserve"> // Вестник Московского университета. Серия 18, Социология и политология. - 2014. No 4. – С. 109</w:t>
      </w:r>
      <w:r w:rsidR="00610900" w:rsidRPr="00CA78BD">
        <w:rPr>
          <w:rFonts w:ascii="Times New Roman" w:hAnsi="Times New Roman" w:cs="Times New Roman"/>
        </w:rPr>
        <w:t>-121</w:t>
      </w:r>
    </w:p>
    <w:p w14:paraId="7437F769"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r w:rsidRPr="00CA78BD">
        <w:rPr>
          <w:rFonts w:ascii="Times New Roman" w:hAnsi="Times New Roman" w:cs="Times New Roman"/>
        </w:rPr>
        <w:t>Олсон, М. Логика коллективных действий. Общественные блага и теория групп / Олсон М. – М.: ФЭИ, 1995, с. 1</w:t>
      </w:r>
      <w:r w:rsidR="00610900" w:rsidRPr="00CA78BD">
        <w:rPr>
          <w:rFonts w:ascii="Times New Roman" w:hAnsi="Times New Roman" w:cs="Times New Roman"/>
        </w:rPr>
        <w:t>74</w:t>
      </w:r>
    </w:p>
    <w:p w14:paraId="221B76C0"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proofErr w:type="spellStart"/>
      <w:r w:rsidRPr="00CA78BD">
        <w:rPr>
          <w:rFonts w:ascii="Times New Roman" w:hAnsi="Times New Roman" w:cs="Times New Roman"/>
        </w:rPr>
        <w:t>Павроз</w:t>
      </w:r>
      <w:proofErr w:type="spellEnd"/>
      <w:r w:rsidRPr="00CA78BD">
        <w:rPr>
          <w:rFonts w:ascii="Times New Roman" w:hAnsi="Times New Roman" w:cs="Times New Roman"/>
        </w:rPr>
        <w:t xml:space="preserve">, А.В. Группы интересов в системе политического представительства: современные тенденции / А.В. </w:t>
      </w:r>
      <w:proofErr w:type="spellStart"/>
      <w:r w:rsidRPr="00CA78BD">
        <w:rPr>
          <w:rFonts w:ascii="Times New Roman" w:hAnsi="Times New Roman" w:cs="Times New Roman"/>
        </w:rPr>
        <w:t>Павроз</w:t>
      </w:r>
      <w:proofErr w:type="spellEnd"/>
      <w:r w:rsidRPr="00CA78BD">
        <w:rPr>
          <w:rFonts w:ascii="Times New Roman" w:hAnsi="Times New Roman" w:cs="Times New Roman"/>
        </w:rPr>
        <w:t xml:space="preserve"> // ПОЛИТЭКС: Политическая экспертиза. – 2013. №3. – С. 263-271</w:t>
      </w:r>
    </w:p>
    <w:p w14:paraId="12A7641E"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proofErr w:type="spellStart"/>
      <w:r w:rsidRPr="00CA78BD">
        <w:rPr>
          <w:rFonts w:ascii="Times New Roman" w:hAnsi="Times New Roman" w:cs="Times New Roman"/>
        </w:rPr>
        <w:t>Павроз</w:t>
      </w:r>
      <w:proofErr w:type="spellEnd"/>
      <w:r w:rsidRPr="00CA78BD">
        <w:rPr>
          <w:rFonts w:ascii="Times New Roman" w:hAnsi="Times New Roman" w:cs="Times New Roman"/>
        </w:rPr>
        <w:t xml:space="preserve">, А. В. Институт лоббизма в современных демократических обществах / А.В. </w:t>
      </w:r>
      <w:proofErr w:type="spellStart"/>
      <w:r w:rsidRPr="00CA78BD">
        <w:rPr>
          <w:rFonts w:ascii="Times New Roman" w:hAnsi="Times New Roman" w:cs="Times New Roman"/>
        </w:rPr>
        <w:t>Павроз</w:t>
      </w:r>
      <w:proofErr w:type="spellEnd"/>
      <w:r w:rsidRPr="00CA78BD">
        <w:rPr>
          <w:rFonts w:ascii="Times New Roman" w:hAnsi="Times New Roman" w:cs="Times New Roman"/>
        </w:rPr>
        <w:t xml:space="preserve"> // ПОЛИТЭКС: Политическая экспертиза. - 2014. № 3. - С. 158–169.</w:t>
      </w:r>
    </w:p>
    <w:p w14:paraId="3AB88780" w14:textId="77777777" w:rsidR="009221A8" w:rsidRPr="00CA78BD" w:rsidRDefault="009221A8" w:rsidP="00293D16">
      <w:pPr>
        <w:pStyle w:val="a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New Roman" w:hAnsi="Times New Roman" w:cs="Times New Roman"/>
        </w:rPr>
      </w:pPr>
      <w:proofErr w:type="spellStart"/>
      <w:r w:rsidRPr="00CA78BD">
        <w:rPr>
          <w:rFonts w:ascii="Times New Roman" w:hAnsi="Times New Roman" w:cs="Times New Roman"/>
        </w:rPr>
        <w:t>Стрежнева</w:t>
      </w:r>
      <w:proofErr w:type="spellEnd"/>
      <w:r w:rsidRPr="00CA78BD">
        <w:rPr>
          <w:rFonts w:ascii="Times New Roman" w:hAnsi="Times New Roman" w:cs="Times New Roman"/>
        </w:rPr>
        <w:t xml:space="preserve">, М.В. </w:t>
      </w:r>
      <w:proofErr w:type="spellStart"/>
      <w:r w:rsidRPr="00CA78BD">
        <w:rPr>
          <w:rFonts w:ascii="Times New Roman" w:hAnsi="Times New Roman" w:cs="Times New Roman"/>
        </w:rPr>
        <w:t>Европейскии</w:t>
      </w:r>
      <w:proofErr w:type="spellEnd"/>
      <w:r w:rsidRPr="00CA78BD">
        <w:rPr>
          <w:rFonts w:ascii="Times New Roman" w:hAnsi="Times New Roman" w:cs="Times New Roman"/>
        </w:rPr>
        <w:t xml:space="preserve">̆ союз в глобальном экономическом управлении / </w:t>
      </w:r>
      <w:proofErr w:type="spellStart"/>
      <w:r w:rsidRPr="00CA78BD">
        <w:rPr>
          <w:rFonts w:ascii="Times New Roman" w:hAnsi="Times New Roman" w:cs="Times New Roman"/>
        </w:rPr>
        <w:t>Стрежнева</w:t>
      </w:r>
      <w:proofErr w:type="spellEnd"/>
      <w:r w:rsidRPr="00CA78BD">
        <w:rPr>
          <w:rFonts w:ascii="Times New Roman" w:hAnsi="Times New Roman" w:cs="Times New Roman"/>
        </w:rPr>
        <w:t>, М.В. – М.: ИМЭМО РАН, 2017, с. 135</w:t>
      </w:r>
    </w:p>
    <w:p w14:paraId="5433009B" w14:textId="77777777" w:rsidR="00DF65CA" w:rsidRPr="00CA78BD" w:rsidRDefault="00DF65CA">
      <w:pPr>
        <w:rPr>
          <w:rFonts w:ascii="Times New Roman" w:eastAsia="Arial Unicode MS" w:hAnsi="Times New Roman" w:cs="Times New Roman"/>
          <w:color w:val="000000"/>
          <w:bdr w:val="nil"/>
          <w:lang w:eastAsia="ru-RU"/>
          <w14:textOutline w14:w="0" w14:cap="flat" w14:cmpd="sng" w14:algn="ctr">
            <w14:noFill/>
            <w14:prstDash w14:val="solid"/>
            <w14:bevel/>
          </w14:textOutline>
        </w:rPr>
      </w:pPr>
      <w:r w:rsidRPr="00CA78BD">
        <w:rPr>
          <w:rFonts w:ascii="Times New Roman" w:hAnsi="Times New Roman" w:cs="Times New Roman"/>
        </w:rPr>
        <w:br w:type="page"/>
      </w:r>
    </w:p>
    <w:p w14:paraId="43AB229C" w14:textId="77777777" w:rsidR="00595EE3" w:rsidRPr="00ED7E81" w:rsidRDefault="00DF65CA" w:rsidP="00E50441">
      <w:pPr>
        <w:pStyle w:val="1"/>
        <w:jc w:val="center"/>
        <w:rPr>
          <w:rFonts w:ascii="Times New Roman" w:hAnsi="Times New Roman" w:cs="Times New Roman"/>
          <w:b/>
          <w:color w:val="000000" w:themeColor="text1"/>
          <w:sz w:val="24"/>
          <w:szCs w:val="24"/>
        </w:rPr>
      </w:pPr>
      <w:bookmarkStart w:id="14" w:name="_Toc72956541"/>
      <w:r w:rsidRPr="00ED7E81">
        <w:rPr>
          <w:rFonts w:ascii="Times New Roman" w:hAnsi="Times New Roman" w:cs="Times New Roman"/>
          <w:b/>
          <w:color w:val="000000" w:themeColor="text1"/>
          <w:sz w:val="24"/>
          <w:szCs w:val="24"/>
        </w:rPr>
        <w:lastRenderedPageBreak/>
        <w:t>Приложение</w:t>
      </w:r>
      <w:bookmarkEnd w:id="14"/>
    </w:p>
    <w:p w14:paraId="175B8E85" w14:textId="77777777" w:rsidR="00DF65CA" w:rsidRPr="00ED7E81" w:rsidRDefault="00DF65CA" w:rsidP="00DF65CA">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360"/>
        <w:jc w:val="center"/>
        <w:rPr>
          <w:rFonts w:ascii="Times New Roman" w:hAnsi="Times New Roman" w:cs="Times New Roman"/>
          <w:b/>
        </w:rPr>
      </w:pPr>
    </w:p>
    <w:p w14:paraId="2E77419C" w14:textId="77777777" w:rsidR="00DF65CA" w:rsidRPr="00ED7E81" w:rsidRDefault="00DF65CA" w:rsidP="00DF65CA">
      <w:pPr>
        <w:pStyle w:val="ac"/>
        <w:rPr>
          <w:rFonts w:ascii="Times New Roman" w:hAnsi="Times New Roman" w:cs="Times New Roman"/>
          <w:sz w:val="24"/>
          <w:szCs w:val="24"/>
        </w:rPr>
      </w:pPr>
      <w:r w:rsidRPr="00ED7E81">
        <w:rPr>
          <w:rFonts w:ascii="Times New Roman" w:hAnsi="Times New Roman" w:cs="Times New Roman"/>
          <w:sz w:val="24"/>
          <w:szCs w:val="24"/>
        </w:rPr>
        <w:t xml:space="preserve">Все данные </w:t>
      </w:r>
      <w:r w:rsidR="00583167" w:rsidRPr="00ED7E81">
        <w:rPr>
          <w:rFonts w:ascii="Times New Roman" w:hAnsi="Times New Roman" w:cs="Times New Roman"/>
          <w:sz w:val="24"/>
          <w:szCs w:val="24"/>
        </w:rPr>
        <w:t xml:space="preserve">взяты </w:t>
      </w:r>
      <w:r w:rsidRPr="00ED7E81">
        <w:rPr>
          <w:rFonts w:ascii="Times New Roman" w:hAnsi="Times New Roman" w:cs="Times New Roman"/>
          <w:sz w:val="24"/>
          <w:szCs w:val="24"/>
        </w:rPr>
        <w:t xml:space="preserve">с портала </w:t>
      </w:r>
      <w:r w:rsidRPr="00ED7E81">
        <w:rPr>
          <w:rFonts w:ascii="Times New Roman" w:hAnsi="Times New Roman" w:cs="Times New Roman"/>
          <w:sz w:val="24"/>
          <w:szCs w:val="24"/>
          <w:lang w:val="en-US"/>
        </w:rPr>
        <w:t>Transparency</w:t>
      </w:r>
      <w:r w:rsidRPr="00ED7E81">
        <w:rPr>
          <w:rFonts w:ascii="Times New Roman" w:hAnsi="Times New Roman" w:cs="Times New Roman"/>
          <w:sz w:val="24"/>
          <w:szCs w:val="24"/>
        </w:rPr>
        <w:t xml:space="preserve"> </w:t>
      </w:r>
      <w:r w:rsidRPr="00ED7E81">
        <w:rPr>
          <w:rFonts w:ascii="Times New Roman" w:hAnsi="Times New Roman" w:cs="Times New Roman"/>
          <w:sz w:val="24"/>
          <w:szCs w:val="24"/>
          <w:lang w:val="en-US"/>
        </w:rPr>
        <w:t>register</w:t>
      </w:r>
      <w:r w:rsidRPr="00ED7E81">
        <w:rPr>
          <w:rFonts w:ascii="Times New Roman" w:hAnsi="Times New Roman" w:cs="Times New Roman"/>
          <w:sz w:val="24"/>
          <w:szCs w:val="24"/>
        </w:rPr>
        <w:t xml:space="preserve"> (на 27.04.2021)</w:t>
      </w:r>
    </w:p>
    <w:p w14:paraId="301CC77A" w14:textId="77777777" w:rsidR="00DF65CA" w:rsidRPr="00ED7E81" w:rsidRDefault="00DF65CA" w:rsidP="00DF65CA">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360"/>
        <w:jc w:val="center"/>
        <w:rPr>
          <w:rFonts w:ascii="Times New Roman" w:hAnsi="Times New Roman" w:cs="Times New Roman"/>
          <w:b/>
        </w:rPr>
      </w:pPr>
    </w:p>
    <w:p w14:paraId="5B1D69F0" w14:textId="77777777" w:rsidR="006222E3" w:rsidRPr="00ED7E81" w:rsidRDefault="006222E3" w:rsidP="006222E3">
      <w:pPr>
        <w:pStyle w:val="ac"/>
        <w:rPr>
          <w:rFonts w:ascii="Times New Roman" w:hAnsi="Times New Roman" w:cs="Times New Roman"/>
          <w:b/>
          <w:bCs/>
        </w:rPr>
      </w:pPr>
      <w:r w:rsidRPr="00ED7E81">
        <w:rPr>
          <w:rFonts w:ascii="Times New Roman" w:hAnsi="Times New Roman" w:cs="Times New Roman"/>
          <w:b/>
          <w:bCs/>
        </w:rPr>
        <w:t xml:space="preserve">Таблица №1. </w:t>
      </w:r>
    </w:p>
    <w:p w14:paraId="1275F521" w14:textId="77777777" w:rsidR="006222E3" w:rsidRPr="00ED7E81" w:rsidRDefault="006222E3" w:rsidP="006222E3">
      <w:pPr>
        <w:pStyle w:val="ac"/>
        <w:rPr>
          <w:rFonts w:ascii="Times New Roman" w:hAnsi="Times New Roman" w:cs="Times New Roman"/>
        </w:rPr>
      </w:pPr>
    </w:p>
    <w:tbl>
      <w:tblPr>
        <w:tblStyle w:val="TableNormal"/>
        <w:tblW w:w="96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73"/>
        <w:gridCol w:w="1549"/>
        <w:gridCol w:w="1483"/>
        <w:gridCol w:w="2006"/>
        <w:gridCol w:w="2505"/>
      </w:tblGrid>
      <w:tr w:rsidR="006222E3" w:rsidRPr="00ED7E81" w14:paraId="624D69E7" w14:textId="77777777" w:rsidTr="000B5462">
        <w:trPr>
          <w:trHeight w:val="662"/>
        </w:trPr>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49BDC4" w14:textId="77777777" w:rsidR="006222E3" w:rsidRPr="00ED7E81" w:rsidRDefault="006222E3" w:rsidP="000B5462"/>
        </w:tc>
        <w:tc>
          <w:tcPr>
            <w:tcW w:w="15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01ECAE"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i/>
                <w:iCs/>
                <w:sz w:val="18"/>
                <w:szCs w:val="18"/>
              </w:rPr>
              <w:t>Кол-во прямых</w:t>
            </w:r>
          </w:p>
          <w:p w14:paraId="4EE1BF4E"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i/>
                <w:iCs/>
                <w:sz w:val="18"/>
                <w:szCs w:val="18"/>
              </w:rPr>
              <w:t>контактов c ЕК за 2020 г.</w:t>
            </w:r>
          </w:p>
        </w:tc>
        <w:tc>
          <w:tcPr>
            <w:tcW w:w="14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74E2FC"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i/>
                <w:iCs/>
                <w:sz w:val="18"/>
                <w:szCs w:val="18"/>
              </w:rPr>
              <w:t>Участие в эксп. группах ЕК</w:t>
            </w:r>
          </w:p>
        </w:tc>
        <w:tc>
          <w:tcPr>
            <w:tcW w:w="20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34BA9C"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i/>
                <w:iCs/>
                <w:sz w:val="18"/>
                <w:szCs w:val="18"/>
              </w:rPr>
              <w:t>Кол-во вовлечённых сотрудников (из них имеют пропуск в ЕП)</w:t>
            </w:r>
          </w:p>
        </w:tc>
        <w:tc>
          <w:tcPr>
            <w:tcW w:w="2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E7BD13"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i/>
                <w:iCs/>
              </w:rPr>
              <w:t>Расходы на лоббизм</w:t>
            </w:r>
          </w:p>
        </w:tc>
      </w:tr>
      <w:tr w:rsidR="006222E3" w:rsidRPr="00ED7E81" w14:paraId="0FF33AFF" w14:textId="77777777" w:rsidTr="000B5462">
        <w:trPr>
          <w:trHeight w:val="295"/>
        </w:trPr>
        <w:tc>
          <w:tcPr>
            <w:tcW w:w="207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EE4A141"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b/>
                <w:bCs/>
                <w:sz w:val="18"/>
                <w:szCs w:val="18"/>
              </w:rPr>
              <w:t>T&amp;E</w:t>
            </w:r>
          </w:p>
        </w:tc>
        <w:tc>
          <w:tcPr>
            <w:tcW w:w="15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0B0864" w14:textId="77777777" w:rsidR="006222E3" w:rsidRPr="00ED7E81" w:rsidRDefault="006222E3" w:rsidP="000B5462">
            <w:pPr>
              <w:jc w:val="right"/>
            </w:pPr>
            <w:r w:rsidRPr="00ED7E81">
              <w:rPr>
                <w:color w:val="000000"/>
                <w:sz w:val="18"/>
                <w:szCs w:val="18"/>
                <w14:textOutline w14:w="0" w14:cap="flat" w14:cmpd="sng" w14:algn="ctr">
                  <w14:noFill/>
                  <w14:prstDash w14:val="solid"/>
                  <w14:bevel/>
                </w14:textOutline>
              </w:rPr>
              <w:t>38</w:t>
            </w:r>
          </w:p>
        </w:tc>
        <w:tc>
          <w:tcPr>
            <w:tcW w:w="14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64DACA3" w14:textId="77777777" w:rsidR="006222E3" w:rsidRPr="00ED7E81" w:rsidRDefault="006222E3" w:rsidP="000B5462">
            <w:pPr>
              <w:jc w:val="right"/>
            </w:pPr>
            <w:r w:rsidRPr="00ED7E81">
              <w:rPr>
                <w:color w:val="000000"/>
                <w:sz w:val="18"/>
                <w:szCs w:val="18"/>
                <w14:textOutline w14:w="0" w14:cap="flat" w14:cmpd="sng" w14:algn="ctr">
                  <w14:noFill/>
                  <w14:prstDash w14:val="solid"/>
                  <w14:bevel/>
                </w14:textOutline>
              </w:rPr>
              <w:t>11</w:t>
            </w:r>
          </w:p>
        </w:tc>
        <w:tc>
          <w:tcPr>
            <w:tcW w:w="200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CE4A78F"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sz w:val="18"/>
                <w:szCs w:val="18"/>
              </w:rPr>
              <w:t>35 (5)</w:t>
            </w:r>
          </w:p>
        </w:tc>
        <w:tc>
          <w:tcPr>
            <w:tcW w:w="250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AFCD139"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800,000 € - 899,999 €</w:t>
            </w:r>
          </w:p>
        </w:tc>
      </w:tr>
      <w:tr w:rsidR="006222E3" w:rsidRPr="00ED7E81" w14:paraId="0B4319B3" w14:textId="77777777" w:rsidTr="000B5462">
        <w:trPr>
          <w:trHeight w:val="295"/>
        </w:trPr>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2B0076"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b/>
                <w:bCs/>
              </w:rPr>
              <w:t>WWF</w:t>
            </w:r>
          </w:p>
        </w:tc>
        <w:tc>
          <w:tcPr>
            <w:tcW w:w="15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BD6EB4" w14:textId="77777777" w:rsidR="006222E3" w:rsidRPr="00ED7E81" w:rsidRDefault="006222E3" w:rsidP="000B5462">
            <w:pPr>
              <w:jc w:val="right"/>
            </w:pPr>
            <w:r w:rsidRPr="00ED7E81">
              <w:rPr>
                <w:color w:val="000000"/>
                <w14:textOutline w14:w="0" w14:cap="flat" w14:cmpd="sng" w14:algn="ctr">
                  <w14:noFill/>
                  <w14:prstDash w14:val="solid"/>
                  <w14:bevel/>
                </w14:textOutline>
              </w:rPr>
              <w:t>35</w:t>
            </w:r>
          </w:p>
        </w:tc>
        <w:tc>
          <w:tcPr>
            <w:tcW w:w="14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4CE64E" w14:textId="77777777" w:rsidR="006222E3" w:rsidRPr="00ED7E81" w:rsidRDefault="006222E3" w:rsidP="000B5462">
            <w:pPr>
              <w:jc w:val="right"/>
            </w:pPr>
            <w:r w:rsidRPr="00ED7E81">
              <w:rPr>
                <w:color w:val="000000"/>
                <w14:textOutline w14:w="0" w14:cap="flat" w14:cmpd="sng" w14:algn="ctr">
                  <w14:noFill/>
                  <w14:prstDash w14:val="solid"/>
                  <w14:bevel/>
                </w14:textOutline>
              </w:rPr>
              <w:t>20</w:t>
            </w:r>
          </w:p>
        </w:tc>
        <w:tc>
          <w:tcPr>
            <w:tcW w:w="20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2C0764" w14:textId="77777777" w:rsidR="006222E3" w:rsidRPr="00ED7E81" w:rsidRDefault="006222E3" w:rsidP="000B5462">
            <w:pPr>
              <w:jc w:val="right"/>
            </w:pPr>
            <w:r w:rsidRPr="00ED7E81">
              <w:rPr>
                <w:color w:val="000000"/>
                <w14:textOutline w14:w="0" w14:cap="flat" w14:cmpd="sng" w14:algn="ctr">
                  <w14:noFill/>
                  <w14:prstDash w14:val="solid"/>
                  <w14:bevel/>
                </w14:textOutline>
              </w:rPr>
              <w:t>35</w:t>
            </w:r>
          </w:p>
        </w:tc>
        <w:tc>
          <w:tcPr>
            <w:tcW w:w="2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2464FD"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2,750,000 € - 2,999,999 €</w:t>
            </w:r>
          </w:p>
        </w:tc>
      </w:tr>
      <w:tr w:rsidR="006222E3" w:rsidRPr="00ED7E81" w14:paraId="1F87DE04" w14:textId="77777777" w:rsidTr="000B5462">
        <w:trPr>
          <w:trHeight w:val="295"/>
        </w:trPr>
        <w:tc>
          <w:tcPr>
            <w:tcW w:w="207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83DAF10"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b/>
                <w:bCs/>
              </w:rPr>
              <w:t>Greenpeace</w:t>
            </w:r>
          </w:p>
        </w:tc>
        <w:tc>
          <w:tcPr>
            <w:tcW w:w="15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71B3C8" w14:textId="77777777" w:rsidR="006222E3" w:rsidRPr="00ED7E81" w:rsidRDefault="006222E3" w:rsidP="000B5462">
            <w:pPr>
              <w:jc w:val="right"/>
            </w:pPr>
            <w:r w:rsidRPr="00ED7E81">
              <w:rPr>
                <w:color w:val="000000"/>
                <w14:textOutline w14:w="0" w14:cap="flat" w14:cmpd="sng" w14:algn="ctr">
                  <w14:noFill/>
                  <w14:prstDash w14:val="solid"/>
                  <w14:bevel/>
                </w14:textOutline>
              </w:rPr>
              <w:t>17</w:t>
            </w:r>
          </w:p>
        </w:tc>
        <w:tc>
          <w:tcPr>
            <w:tcW w:w="14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0AD79F" w14:textId="77777777" w:rsidR="006222E3" w:rsidRPr="00ED7E81" w:rsidRDefault="006222E3" w:rsidP="000B5462">
            <w:pPr>
              <w:jc w:val="right"/>
            </w:pPr>
            <w:r w:rsidRPr="00ED7E81">
              <w:rPr>
                <w:color w:val="000000"/>
                <w14:textOutline w14:w="0" w14:cap="flat" w14:cmpd="sng" w14:algn="ctr">
                  <w14:noFill/>
                  <w14:prstDash w14:val="solid"/>
                  <w14:bevel/>
                </w14:textOutline>
              </w:rPr>
              <w:t>5</w:t>
            </w:r>
          </w:p>
        </w:tc>
        <w:tc>
          <w:tcPr>
            <w:tcW w:w="200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FED20A" w14:textId="77777777" w:rsidR="006222E3" w:rsidRPr="00ED7E81" w:rsidRDefault="006222E3" w:rsidP="000B5462">
            <w:pPr>
              <w:jc w:val="right"/>
            </w:pPr>
            <w:r w:rsidRPr="00ED7E81">
              <w:rPr>
                <w:color w:val="000000"/>
                <w14:textOutline w14:w="0" w14:cap="flat" w14:cmpd="sng" w14:algn="ctr">
                  <w14:noFill/>
                  <w14:prstDash w14:val="solid"/>
                  <w14:bevel/>
                </w14:textOutline>
              </w:rPr>
              <w:t>15</w:t>
            </w:r>
          </w:p>
        </w:tc>
        <w:tc>
          <w:tcPr>
            <w:tcW w:w="250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ECCBD52"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500,000 € - 599,999 €</w:t>
            </w:r>
          </w:p>
        </w:tc>
      </w:tr>
      <w:tr w:rsidR="006222E3" w:rsidRPr="00ED7E81" w14:paraId="3CCBF7F4" w14:textId="77777777" w:rsidTr="000B5462">
        <w:trPr>
          <w:trHeight w:val="295"/>
        </w:trPr>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5CF028"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b/>
                <w:bCs/>
              </w:rPr>
              <w:t>EEB</w:t>
            </w:r>
          </w:p>
        </w:tc>
        <w:tc>
          <w:tcPr>
            <w:tcW w:w="15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760AEC" w14:textId="77777777" w:rsidR="006222E3" w:rsidRPr="00ED7E81" w:rsidRDefault="006222E3" w:rsidP="000B5462">
            <w:pPr>
              <w:jc w:val="right"/>
            </w:pPr>
            <w:r w:rsidRPr="00ED7E81">
              <w:rPr>
                <w:color w:val="000000"/>
                <w14:textOutline w14:w="0" w14:cap="flat" w14:cmpd="sng" w14:algn="ctr">
                  <w14:noFill/>
                  <w14:prstDash w14:val="solid"/>
                  <w14:bevel/>
                </w14:textOutline>
              </w:rPr>
              <w:t>27</w:t>
            </w:r>
          </w:p>
        </w:tc>
        <w:tc>
          <w:tcPr>
            <w:tcW w:w="14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8DB1C9" w14:textId="77777777" w:rsidR="006222E3" w:rsidRPr="00ED7E81" w:rsidRDefault="006222E3" w:rsidP="000B5462">
            <w:pPr>
              <w:jc w:val="right"/>
            </w:pPr>
            <w:r w:rsidRPr="00ED7E81">
              <w:rPr>
                <w:color w:val="000000"/>
                <w14:textOutline w14:w="0" w14:cap="flat" w14:cmpd="sng" w14:algn="ctr">
                  <w14:noFill/>
                  <w14:prstDash w14:val="solid"/>
                  <w14:bevel/>
                </w14:textOutline>
              </w:rPr>
              <w:t>34</w:t>
            </w:r>
          </w:p>
        </w:tc>
        <w:tc>
          <w:tcPr>
            <w:tcW w:w="20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EA52BE"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32 (1)</w:t>
            </w:r>
          </w:p>
        </w:tc>
        <w:tc>
          <w:tcPr>
            <w:tcW w:w="2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754459"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7,250,000 € - 7,499,999 €</w:t>
            </w:r>
          </w:p>
        </w:tc>
      </w:tr>
      <w:tr w:rsidR="006222E3" w:rsidRPr="00ED7E81" w14:paraId="3EF4F36A" w14:textId="77777777" w:rsidTr="000B5462">
        <w:trPr>
          <w:trHeight w:val="295"/>
        </w:trPr>
        <w:tc>
          <w:tcPr>
            <w:tcW w:w="207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7F41B83"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b/>
                <w:bCs/>
              </w:rPr>
              <w:t>CAN</w:t>
            </w:r>
          </w:p>
        </w:tc>
        <w:tc>
          <w:tcPr>
            <w:tcW w:w="15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AD0628E" w14:textId="77777777" w:rsidR="006222E3" w:rsidRPr="00ED7E81" w:rsidRDefault="006222E3" w:rsidP="000B5462">
            <w:pPr>
              <w:jc w:val="right"/>
            </w:pPr>
            <w:r w:rsidRPr="00ED7E81">
              <w:rPr>
                <w:color w:val="000000"/>
                <w14:textOutline w14:w="0" w14:cap="flat" w14:cmpd="sng" w14:algn="ctr">
                  <w14:noFill/>
                  <w14:prstDash w14:val="solid"/>
                  <w14:bevel/>
                </w14:textOutline>
              </w:rPr>
              <w:t>23</w:t>
            </w:r>
          </w:p>
        </w:tc>
        <w:tc>
          <w:tcPr>
            <w:tcW w:w="14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61C610" w14:textId="77777777" w:rsidR="006222E3" w:rsidRPr="00ED7E81" w:rsidRDefault="006222E3" w:rsidP="000B5462">
            <w:pPr>
              <w:jc w:val="right"/>
            </w:pPr>
            <w:r w:rsidRPr="00ED7E81">
              <w:rPr>
                <w:color w:val="000000"/>
                <w14:textOutline w14:w="0" w14:cap="flat" w14:cmpd="sng" w14:algn="ctr">
                  <w14:noFill/>
                  <w14:prstDash w14:val="solid"/>
                  <w14:bevel/>
                </w14:textOutline>
              </w:rPr>
              <w:t>8</w:t>
            </w:r>
          </w:p>
        </w:tc>
        <w:tc>
          <w:tcPr>
            <w:tcW w:w="200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CF843FB" w14:textId="77777777" w:rsidR="006222E3" w:rsidRPr="00ED7E81" w:rsidRDefault="006222E3" w:rsidP="000B5462">
            <w:pPr>
              <w:jc w:val="right"/>
            </w:pPr>
            <w:r w:rsidRPr="00ED7E81">
              <w:rPr>
                <w:color w:val="000000"/>
                <w14:textOutline w14:w="0" w14:cap="flat" w14:cmpd="sng" w14:algn="ctr">
                  <w14:noFill/>
                  <w14:prstDash w14:val="solid"/>
                  <w14:bevel/>
                </w14:textOutline>
              </w:rPr>
              <w:t>21</w:t>
            </w:r>
          </w:p>
        </w:tc>
        <w:tc>
          <w:tcPr>
            <w:tcW w:w="250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B54CACD"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900,000 € - 999,999 €</w:t>
            </w:r>
          </w:p>
        </w:tc>
      </w:tr>
      <w:tr w:rsidR="006222E3" w:rsidRPr="00ED7E81" w14:paraId="40D6E25B" w14:textId="77777777" w:rsidTr="000B5462">
        <w:trPr>
          <w:trHeight w:val="295"/>
        </w:trPr>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AF449" w14:textId="77777777" w:rsidR="006222E3" w:rsidRPr="00ED7E81" w:rsidRDefault="006222E3" w:rsidP="000B5462">
            <w:pPr>
              <w:pStyle w:val="21"/>
              <w:rPr>
                <w:rFonts w:ascii="Times New Roman" w:hAnsi="Times New Roman" w:cs="Times New Roman"/>
              </w:rPr>
            </w:pPr>
            <w:proofErr w:type="spellStart"/>
            <w:r w:rsidRPr="00ED7E81">
              <w:rPr>
                <w:rFonts w:ascii="Times New Roman" w:hAnsi="Times New Roman" w:cs="Times New Roman"/>
                <w:b/>
                <w:bCs/>
              </w:rPr>
              <w:t>Birdlife</w:t>
            </w:r>
            <w:proofErr w:type="spellEnd"/>
          </w:p>
        </w:tc>
        <w:tc>
          <w:tcPr>
            <w:tcW w:w="15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EA7900" w14:textId="77777777" w:rsidR="006222E3" w:rsidRPr="00ED7E81" w:rsidRDefault="006222E3" w:rsidP="000B5462">
            <w:pPr>
              <w:jc w:val="right"/>
            </w:pPr>
            <w:r w:rsidRPr="00ED7E81">
              <w:rPr>
                <w:color w:val="000000"/>
                <w14:textOutline w14:w="0" w14:cap="flat" w14:cmpd="sng" w14:algn="ctr">
                  <w14:noFill/>
                  <w14:prstDash w14:val="solid"/>
                  <w14:bevel/>
                </w14:textOutline>
              </w:rPr>
              <w:t>18</w:t>
            </w:r>
          </w:p>
        </w:tc>
        <w:tc>
          <w:tcPr>
            <w:tcW w:w="14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30BEBA" w14:textId="77777777" w:rsidR="006222E3" w:rsidRPr="00ED7E81" w:rsidRDefault="006222E3" w:rsidP="000B5462">
            <w:pPr>
              <w:jc w:val="right"/>
            </w:pPr>
            <w:r w:rsidRPr="00ED7E81">
              <w:rPr>
                <w:color w:val="000000"/>
                <w14:textOutline w14:w="0" w14:cap="flat" w14:cmpd="sng" w14:algn="ctr">
                  <w14:noFill/>
                  <w14:prstDash w14:val="solid"/>
                  <w14:bevel/>
                </w14:textOutline>
              </w:rPr>
              <w:t>13</w:t>
            </w:r>
          </w:p>
        </w:tc>
        <w:tc>
          <w:tcPr>
            <w:tcW w:w="20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11DB94" w14:textId="77777777" w:rsidR="006222E3" w:rsidRPr="00ED7E81" w:rsidRDefault="006222E3" w:rsidP="000B5462">
            <w:pPr>
              <w:jc w:val="right"/>
            </w:pPr>
            <w:r w:rsidRPr="00ED7E81">
              <w:rPr>
                <w:color w:val="000000"/>
                <w14:textOutline w14:w="0" w14:cap="flat" w14:cmpd="sng" w14:algn="ctr">
                  <w14:noFill/>
                  <w14:prstDash w14:val="solid"/>
                  <w14:bevel/>
                </w14:textOutline>
              </w:rPr>
              <w:t>14</w:t>
            </w:r>
          </w:p>
        </w:tc>
        <w:tc>
          <w:tcPr>
            <w:tcW w:w="2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21C032"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1,250,000 € - 1,499,999 €</w:t>
            </w:r>
          </w:p>
        </w:tc>
      </w:tr>
      <w:tr w:rsidR="006222E3" w:rsidRPr="00ED7E81" w14:paraId="3DB30809" w14:textId="77777777" w:rsidTr="000B5462">
        <w:trPr>
          <w:trHeight w:val="295"/>
        </w:trPr>
        <w:tc>
          <w:tcPr>
            <w:tcW w:w="207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B68CA3" w14:textId="77777777" w:rsidR="006222E3" w:rsidRPr="00ED7E81" w:rsidRDefault="006222E3" w:rsidP="000B5462">
            <w:pPr>
              <w:pStyle w:val="21"/>
              <w:rPr>
                <w:rFonts w:ascii="Times New Roman" w:hAnsi="Times New Roman" w:cs="Times New Roman"/>
              </w:rPr>
            </w:pPr>
            <w:proofErr w:type="spellStart"/>
            <w:r w:rsidRPr="00ED7E81">
              <w:rPr>
                <w:rFonts w:ascii="Times New Roman" w:hAnsi="Times New Roman" w:cs="Times New Roman"/>
                <w:b/>
                <w:bCs/>
              </w:rPr>
              <w:t>FoEE</w:t>
            </w:r>
            <w:proofErr w:type="spellEnd"/>
          </w:p>
        </w:tc>
        <w:tc>
          <w:tcPr>
            <w:tcW w:w="15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C3E0FF3" w14:textId="77777777" w:rsidR="006222E3" w:rsidRPr="00ED7E81" w:rsidRDefault="006222E3" w:rsidP="000B5462">
            <w:pPr>
              <w:jc w:val="right"/>
            </w:pPr>
            <w:r w:rsidRPr="00ED7E81">
              <w:rPr>
                <w:color w:val="000000"/>
                <w14:textOutline w14:w="0" w14:cap="flat" w14:cmpd="sng" w14:algn="ctr">
                  <w14:noFill/>
                  <w14:prstDash w14:val="solid"/>
                  <w14:bevel/>
                </w14:textOutline>
              </w:rPr>
              <w:t>11</w:t>
            </w:r>
          </w:p>
        </w:tc>
        <w:tc>
          <w:tcPr>
            <w:tcW w:w="14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3F6A2BC" w14:textId="77777777" w:rsidR="006222E3" w:rsidRPr="00ED7E81" w:rsidRDefault="006222E3" w:rsidP="000B5462">
            <w:pPr>
              <w:jc w:val="right"/>
            </w:pPr>
            <w:r w:rsidRPr="00ED7E81">
              <w:rPr>
                <w:color w:val="000000"/>
                <w14:textOutline w14:w="0" w14:cap="flat" w14:cmpd="sng" w14:algn="ctr">
                  <w14:noFill/>
                  <w14:prstDash w14:val="solid"/>
                  <w14:bevel/>
                </w14:textOutline>
              </w:rPr>
              <w:t>8</w:t>
            </w:r>
          </w:p>
        </w:tc>
        <w:tc>
          <w:tcPr>
            <w:tcW w:w="200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7CDEEBF" w14:textId="77777777" w:rsidR="006222E3" w:rsidRPr="00ED7E81" w:rsidRDefault="006222E3" w:rsidP="000B5462">
            <w:pPr>
              <w:jc w:val="right"/>
            </w:pPr>
            <w:r w:rsidRPr="00ED7E81">
              <w:rPr>
                <w:color w:val="000000"/>
                <w14:textOutline w14:w="0" w14:cap="flat" w14:cmpd="sng" w14:algn="ctr">
                  <w14:noFill/>
                  <w14:prstDash w14:val="solid"/>
                  <w14:bevel/>
                </w14:textOutline>
              </w:rPr>
              <w:t>16</w:t>
            </w:r>
          </w:p>
        </w:tc>
        <w:tc>
          <w:tcPr>
            <w:tcW w:w="250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4CF72B"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800,000 € - 899,999 €</w:t>
            </w:r>
          </w:p>
        </w:tc>
      </w:tr>
      <w:tr w:rsidR="006222E3" w:rsidRPr="00ED7E81" w14:paraId="23904D04" w14:textId="77777777" w:rsidTr="000B5462">
        <w:trPr>
          <w:trHeight w:val="295"/>
        </w:trPr>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480BD3"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b/>
                <w:bCs/>
              </w:rPr>
              <w:t>HEAL</w:t>
            </w:r>
          </w:p>
        </w:tc>
        <w:tc>
          <w:tcPr>
            <w:tcW w:w="15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A6D3B"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14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3D202B"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20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07B9C9" w14:textId="77777777" w:rsidR="006222E3" w:rsidRPr="00ED7E81" w:rsidRDefault="006222E3" w:rsidP="000B5462">
            <w:pPr>
              <w:jc w:val="right"/>
            </w:pPr>
            <w:r w:rsidRPr="00ED7E81">
              <w:rPr>
                <w:color w:val="000000"/>
                <w14:textOutline w14:w="0" w14:cap="flat" w14:cmpd="sng" w14:algn="ctr">
                  <w14:noFill/>
                  <w14:prstDash w14:val="solid"/>
                  <w14:bevel/>
                </w14:textOutline>
              </w:rPr>
              <w:t>6</w:t>
            </w:r>
          </w:p>
        </w:tc>
        <w:tc>
          <w:tcPr>
            <w:tcW w:w="2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6F1548"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200,000 € - 299,999 €</w:t>
            </w:r>
          </w:p>
        </w:tc>
      </w:tr>
      <w:tr w:rsidR="006222E3" w:rsidRPr="00ED7E81" w14:paraId="5B26056A" w14:textId="77777777" w:rsidTr="000B5462">
        <w:trPr>
          <w:trHeight w:val="295"/>
        </w:trPr>
        <w:tc>
          <w:tcPr>
            <w:tcW w:w="207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1E74E78"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b/>
                <w:bCs/>
              </w:rPr>
              <w:t>NFI</w:t>
            </w:r>
          </w:p>
        </w:tc>
        <w:tc>
          <w:tcPr>
            <w:tcW w:w="15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1BA3E64" w14:textId="77777777" w:rsidR="006222E3" w:rsidRPr="00ED7E81" w:rsidRDefault="006222E3" w:rsidP="000B5462">
            <w:pPr>
              <w:jc w:val="right"/>
            </w:pPr>
            <w:r w:rsidRPr="00ED7E81">
              <w:rPr>
                <w:color w:val="000000"/>
                <w14:textOutline w14:w="0" w14:cap="flat" w14:cmpd="sng" w14:algn="ctr">
                  <w14:noFill/>
                  <w14:prstDash w14:val="solid"/>
                  <w14:bevel/>
                </w14:textOutline>
              </w:rPr>
              <w:t>0</w:t>
            </w:r>
          </w:p>
        </w:tc>
        <w:tc>
          <w:tcPr>
            <w:tcW w:w="14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F85246" w14:textId="77777777" w:rsidR="006222E3" w:rsidRPr="00ED7E81" w:rsidRDefault="006222E3" w:rsidP="000B5462">
            <w:pPr>
              <w:jc w:val="right"/>
            </w:pPr>
            <w:r w:rsidRPr="00ED7E81">
              <w:rPr>
                <w:color w:val="000000"/>
                <w14:textOutline w14:w="0" w14:cap="flat" w14:cmpd="sng" w14:algn="ctr">
                  <w14:noFill/>
                  <w14:prstDash w14:val="solid"/>
                  <w14:bevel/>
                </w14:textOutline>
              </w:rPr>
              <w:t>0</w:t>
            </w:r>
          </w:p>
        </w:tc>
        <w:tc>
          <w:tcPr>
            <w:tcW w:w="200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79405E"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250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71038"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50,000 € - 99,999 €</w:t>
            </w:r>
          </w:p>
        </w:tc>
      </w:tr>
      <w:tr w:rsidR="006222E3" w:rsidRPr="00ED7E81" w14:paraId="7CA15295" w14:textId="77777777" w:rsidTr="000B5462">
        <w:trPr>
          <w:trHeight w:val="295"/>
        </w:trPr>
        <w:tc>
          <w:tcPr>
            <w:tcW w:w="20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AAAD61"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b/>
                <w:bCs/>
              </w:rPr>
              <w:t>CE BN</w:t>
            </w:r>
          </w:p>
        </w:tc>
        <w:tc>
          <w:tcPr>
            <w:tcW w:w="15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CA39C2"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14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1680F2"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0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5DA9F8" w14:textId="77777777" w:rsidR="006222E3" w:rsidRPr="00ED7E81" w:rsidRDefault="006222E3" w:rsidP="000B5462">
            <w:pPr>
              <w:jc w:val="right"/>
            </w:pPr>
            <w:r w:rsidRPr="00ED7E81">
              <w:rPr>
                <w:color w:val="000000"/>
                <w14:textOutline w14:w="0" w14:cap="flat" w14:cmpd="sng" w14:algn="ctr">
                  <w14:noFill/>
                  <w14:prstDash w14:val="solid"/>
                  <w14:bevel/>
                </w14:textOutline>
              </w:rPr>
              <w:t>5</w:t>
            </w:r>
          </w:p>
        </w:tc>
        <w:tc>
          <w:tcPr>
            <w:tcW w:w="2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4E51B4"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100,000 € - 199,999 €</w:t>
            </w:r>
          </w:p>
        </w:tc>
      </w:tr>
    </w:tbl>
    <w:p w14:paraId="53EA296B" w14:textId="77777777" w:rsidR="006222E3" w:rsidRPr="00ED7E81" w:rsidRDefault="006222E3" w:rsidP="006222E3">
      <w:pPr>
        <w:pStyle w:val="ac"/>
        <w:rPr>
          <w:rFonts w:ascii="Times New Roman" w:hAnsi="Times New Roman" w:cs="Times New Roman"/>
        </w:rPr>
      </w:pPr>
    </w:p>
    <w:p w14:paraId="5943E17C" w14:textId="77777777" w:rsidR="006222E3" w:rsidRPr="00ED7E81" w:rsidRDefault="006222E3" w:rsidP="006222E3">
      <w:pPr>
        <w:pStyle w:val="ac"/>
        <w:rPr>
          <w:rFonts w:ascii="Times New Roman" w:hAnsi="Times New Roman" w:cs="Times New Roman"/>
          <w:b/>
          <w:bCs/>
        </w:rPr>
      </w:pPr>
      <w:r w:rsidRPr="00ED7E81">
        <w:rPr>
          <w:rFonts w:ascii="Times New Roman" w:hAnsi="Times New Roman" w:cs="Times New Roman"/>
          <w:b/>
          <w:bCs/>
        </w:rPr>
        <w:t xml:space="preserve">Таблица №2. </w:t>
      </w:r>
    </w:p>
    <w:p w14:paraId="1C2E364E" w14:textId="77777777" w:rsidR="006222E3" w:rsidRPr="00ED7E81" w:rsidRDefault="006222E3" w:rsidP="006222E3">
      <w:pPr>
        <w:pStyle w:val="ac"/>
        <w:rPr>
          <w:rFonts w:ascii="Times New Roman" w:hAnsi="Times New Roman" w:cs="Times New Roman"/>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7"/>
        <w:gridCol w:w="1508"/>
        <w:gridCol w:w="1443"/>
        <w:gridCol w:w="2127"/>
        <w:gridCol w:w="2625"/>
      </w:tblGrid>
      <w:tr w:rsidR="006222E3" w:rsidRPr="00ED7E81" w14:paraId="753116E1" w14:textId="77777777" w:rsidTr="000B5462">
        <w:trPr>
          <w:trHeight w:val="961"/>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E60329" w14:textId="77777777" w:rsidR="006222E3" w:rsidRPr="00ED7E81" w:rsidRDefault="006222E3" w:rsidP="000B5462"/>
        </w:tc>
        <w:tc>
          <w:tcPr>
            <w:tcW w:w="15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417E9"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i/>
                <w:iCs/>
              </w:rPr>
              <w:t xml:space="preserve">Кол-во прямых контактов с ЕК в 2020 г. </w:t>
            </w:r>
          </w:p>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E5FB39"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i/>
                <w:iCs/>
              </w:rPr>
              <w:t xml:space="preserve">Участие в экспертных группах ЕК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E36851"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i/>
                <w:iCs/>
              </w:rPr>
              <w:t>Кол-во вовлечённых сотрудников (из них имеют пропуск в ЕП)</w:t>
            </w:r>
          </w:p>
        </w:tc>
        <w:tc>
          <w:tcPr>
            <w:tcW w:w="26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259E28"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i/>
                <w:iCs/>
              </w:rPr>
              <w:t>Расходы на Лоббизм</w:t>
            </w:r>
          </w:p>
        </w:tc>
      </w:tr>
      <w:tr w:rsidR="006222E3" w:rsidRPr="00ED7E81" w14:paraId="65DFE5B2"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747B856"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Tesla</w:t>
            </w:r>
          </w:p>
        </w:tc>
        <w:tc>
          <w:tcPr>
            <w:tcW w:w="15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77AC29"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14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B14708B"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212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2E618F" w14:textId="77777777" w:rsidR="006222E3" w:rsidRPr="00ED7E81" w:rsidRDefault="006222E3" w:rsidP="000B5462">
            <w:pPr>
              <w:jc w:val="right"/>
            </w:pPr>
            <w:r w:rsidRPr="00ED7E81">
              <w:rPr>
                <w:color w:val="000000"/>
                <w14:textOutline w14:w="0" w14:cap="flat" w14:cmpd="sng" w14:algn="ctr">
                  <w14:noFill/>
                  <w14:prstDash w14:val="solid"/>
                  <w14:bevel/>
                </w14:textOutline>
              </w:rPr>
              <w:t>5</w:t>
            </w:r>
          </w:p>
        </w:tc>
        <w:tc>
          <w:tcPr>
            <w:tcW w:w="262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61755A"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300,000 € - 399,999 €</w:t>
            </w:r>
          </w:p>
        </w:tc>
      </w:tr>
      <w:tr w:rsidR="006222E3" w:rsidRPr="00ED7E81" w14:paraId="7093ABB4"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7BBBFF" w14:textId="77777777" w:rsidR="006222E3" w:rsidRPr="00ED7E81" w:rsidRDefault="006222E3" w:rsidP="000B5462">
            <w:pPr>
              <w:pStyle w:val="21"/>
              <w:rPr>
                <w:rFonts w:ascii="Times New Roman" w:hAnsi="Times New Roman" w:cs="Times New Roman"/>
              </w:rPr>
            </w:pPr>
            <w:proofErr w:type="spellStart"/>
            <w:r w:rsidRPr="00ED7E81">
              <w:rPr>
                <w:rFonts w:ascii="Times New Roman" w:eastAsia="Arial Unicode MS" w:hAnsi="Times New Roman" w:cs="Times New Roman"/>
              </w:rPr>
              <w:t>AkzoNobel</w:t>
            </w:r>
            <w:proofErr w:type="spellEnd"/>
          </w:p>
        </w:tc>
        <w:tc>
          <w:tcPr>
            <w:tcW w:w="15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E819C6" w14:textId="77777777" w:rsidR="006222E3" w:rsidRPr="00ED7E81" w:rsidRDefault="006222E3" w:rsidP="000B5462">
            <w:pPr>
              <w:jc w:val="right"/>
            </w:pPr>
            <w:r w:rsidRPr="00ED7E81">
              <w:rPr>
                <w:color w:val="000000"/>
                <w14:textOutline w14:w="0" w14:cap="flat" w14:cmpd="sng" w14:algn="ctr">
                  <w14:noFill/>
                  <w14:prstDash w14:val="solid"/>
                  <w14:bevel/>
                </w14:textOutline>
              </w:rPr>
              <w:t>1</w:t>
            </w:r>
          </w:p>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31AF9A" w14:textId="77777777" w:rsidR="006222E3" w:rsidRPr="00ED7E81" w:rsidRDefault="006222E3" w:rsidP="000B5462"/>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A655C" w14:textId="77777777" w:rsidR="006222E3" w:rsidRPr="00ED7E81" w:rsidRDefault="006222E3" w:rsidP="000B5462">
            <w:pPr>
              <w:jc w:val="right"/>
            </w:pPr>
            <w:r w:rsidRPr="00ED7E81">
              <w:rPr>
                <w:color w:val="000000"/>
                <w14:textOutline w14:w="0" w14:cap="flat" w14:cmpd="sng" w14:algn="ctr">
                  <w14:noFill/>
                  <w14:prstDash w14:val="solid"/>
                  <w14:bevel/>
                </w14:textOutline>
              </w:rPr>
              <w:t>5</w:t>
            </w:r>
          </w:p>
        </w:tc>
        <w:tc>
          <w:tcPr>
            <w:tcW w:w="26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7F6006"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200,000 € - 299,999 €</w:t>
            </w:r>
          </w:p>
        </w:tc>
      </w:tr>
      <w:tr w:rsidR="006222E3" w:rsidRPr="00ED7E81" w14:paraId="4C0DDB3C"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C2F1D50"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Royal DSM</w:t>
            </w:r>
          </w:p>
        </w:tc>
        <w:tc>
          <w:tcPr>
            <w:tcW w:w="15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68468E4"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14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B8E326" w14:textId="77777777" w:rsidR="006222E3" w:rsidRPr="00ED7E81" w:rsidRDefault="006222E3" w:rsidP="000B5462"/>
        </w:tc>
        <w:tc>
          <w:tcPr>
            <w:tcW w:w="212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FEEE6FF"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3 (1)</w:t>
            </w:r>
          </w:p>
        </w:tc>
        <w:tc>
          <w:tcPr>
            <w:tcW w:w="262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209557"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200,000 € - 299,999 €</w:t>
            </w:r>
          </w:p>
        </w:tc>
      </w:tr>
      <w:tr w:rsidR="006222E3" w:rsidRPr="00ED7E81" w14:paraId="3573426E"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A06237"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Unilever</w:t>
            </w:r>
          </w:p>
        </w:tc>
        <w:tc>
          <w:tcPr>
            <w:tcW w:w="15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E4B485" w14:textId="77777777" w:rsidR="006222E3" w:rsidRPr="00ED7E81" w:rsidRDefault="006222E3" w:rsidP="000B5462">
            <w:pPr>
              <w:jc w:val="right"/>
            </w:pPr>
            <w:r w:rsidRPr="00ED7E81">
              <w:rPr>
                <w:color w:val="000000"/>
                <w14:textOutline w14:w="0" w14:cap="flat" w14:cmpd="sng" w14:algn="ctr">
                  <w14:noFill/>
                  <w14:prstDash w14:val="solid"/>
                  <w14:bevel/>
                </w14:textOutline>
              </w:rPr>
              <w:t>4</w:t>
            </w:r>
          </w:p>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EE124E" w14:textId="77777777" w:rsidR="006222E3" w:rsidRPr="00ED7E81" w:rsidRDefault="006222E3" w:rsidP="000B5462">
            <w:pPr>
              <w:jc w:val="right"/>
            </w:pPr>
            <w:r w:rsidRPr="00ED7E81">
              <w:rPr>
                <w:color w:val="000000"/>
                <w14:textOutline w14:w="0" w14:cap="flat" w14:cmpd="sng" w14:algn="ctr">
                  <w14:noFill/>
                  <w14:prstDash w14:val="solid"/>
                  <w14:bevel/>
                </w14:textOutline>
              </w:rPr>
              <w:t>1</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4118D3"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3 (1)</w:t>
            </w:r>
          </w:p>
        </w:tc>
        <w:tc>
          <w:tcPr>
            <w:tcW w:w="26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620BFF"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100,000 € - 199,999 €</w:t>
            </w:r>
          </w:p>
        </w:tc>
      </w:tr>
      <w:tr w:rsidR="006222E3" w:rsidRPr="00ED7E81" w14:paraId="5A895718"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C83521"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Coca-Cola</w:t>
            </w:r>
          </w:p>
        </w:tc>
        <w:tc>
          <w:tcPr>
            <w:tcW w:w="15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8AAEB30" w14:textId="77777777" w:rsidR="006222E3" w:rsidRPr="00ED7E81" w:rsidRDefault="006222E3" w:rsidP="000B5462">
            <w:pPr>
              <w:jc w:val="right"/>
            </w:pPr>
            <w:r w:rsidRPr="00ED7E81">
              <w:rPr>
                <w:color w:val="000000"/>
                <w14:textOutline w14:w="0" w14:cap="flat" w14:cmpd="sng" w14:algn="ctr">
                  <w14:noFill/>
                  <w14:prstDash w14:val="solid"/>
                  <w14:bevel/>
                </w14:textOutline>
              </w:rPr>
              <w:t>0</w:t>
            </w:r>
          </w:p>
        </w:tc>
        <w:tc>
          <w:tcPr>
            <w:tcW w:w="14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0D4CC1" w14:textId="77777777" w:rsidR="006222E3" w:rsidRPr="00ED7E81" w:rsidRDefault="006222E3" w:rsidP="000B5462"/>
        </w:tc>
        <w:tc>
          <w:tcPr>
            <w:tcW w:w="212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9466A6B"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62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D6D70B3"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200,000 € - 299,999 €</w:t>
            </w:r>
          </w:p>
        </w:tc>
      </w:tr>
      <w:tr w:rsidR="006222E3" w:rsidRPr="00ED7E81" w14:paraId="40C9AE08"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DF2C47" w14:textId="77777777" w:rsidR="006222E3" w:rsidRPr="00ED7E81" w:rsidRDefault="006222E3" w:rsidP="000B5462">
            <w:pPr>
              <w:pStyle w:val="ac"/>
              <w:rPr>
                <w:rFonts w:ascii="Times New Roman" w:hAnsi="Times New Roman" w:cs="Times New Roman"/>
              </w:rPr>
            </w:pPr>
            <w:proofErr w:type="spellStart"/>
            <w:r w:rsidRPr="00ED7E81">
              <w:rPr>
                <w:rFonts w:ascii="Times New Roman" w:hAnsi="Times New Roman" w:cs="Times New Roman"/>
                <w:sz w:val="20"/>
                <w:szCs w:val="20"/>
              </w:rPr>
              <w:t>Nestlé</w:t>
            </w:r>
            <w:proofErr w:type="spellEnd"/>
          </w:p>
        </w:tc>
        <w:tc>
          <w:tcPr>
            <w:tcW w:w="15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B28399" w14:textId="77777777" w:rsidR="006222E3" w:rsidRPr="00ED7E81" w:rsidRDefault="006222E3" w:rsidP="000B5462">
            <w:pPr>
              <w:jc w:val="right"/>
            </w:pPr>
            <w:r w:rsidRPr="00ED7E81">
              <w:rPr>
                <w:color w:val="000000"/>
                <w14:textOutline w14:w="0" w14:cap="flat" w14:cmpd="sng" w14:algn="ctr">
                  <w14:noFill/>
                  <w14:prstDash w14:val="solid"/>
                  <w14:bevel/>
                </w14:textOutline>
              </w:rPr>
              <w:t>6</w:t>
            </w:r>
          </w:p>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6F5C52" w14:textId="77777777" w:rsidR="006222E3" w:rsidRPr="00ED7E81" w:rsidRDefault="006222E3" w:rsidP="000B5462"/>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35AA87"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6 (4)</w:t>
            </w:r>
          </w:p>
        </w:tc>
        <w:tc>
          <w:tcPr>
            <w:tcW w:w="26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DBD6BB"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400,000 € - 499,999 €</w:t>
            </w:r>
          </w:p>
        </w:tc>
      </w:tr>
      <w:tr w:rsidR="006222E3" w:rsidRPr="00ED7E81" w14:paraId="6429322C"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4264A8A"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GSK</w:t>
            </w:r>
          </w:p>
        </w:tc>
        <w:tc>
          <w:tcPr>
            <w:tcW w:w="15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C065D9C" w14:textId="77777777" w:rsidR="006222E3" w:rsidRPr="00ED7E81" w:rsidRDefault="006222E3" w:rsidP="000B5462">
            <w:pPr>
              <w:jc w:val="right"/>
            </w:pPr>
            <w:r w:rsidRPr="00ED7E81">
              <w:rPr>
                <w:color w:val="000000"/>
                <w14:textOutline w14:w="0" w14:cap="flat" w14:cmpd="sng" w14:algn="ctr">
                  <w14:noFill/>
                  <w14:prstDash w14:val="solid"/>
                  <w14:bevel/>
                </w14:textOutline>
              </w:rPr>
              <w:t>0</w:t>
            </w:r>
          </w:p>
        </w:tc>
        <w:tc>
          <w:tcPr>
            <w:tcW w:w="14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B41FC78" w14:textId="77777777" w:rsidR="006222E3" w:rsidRPr="00ED7E81" w:rsidRDefault="006222E3" w:rsidP="000B5462"/>
        </w:tc>
        <w:tc>
          <w:tcPr>
            <w:tcW w:w="212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D7F566A"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9 (4)</w:t>
            </w:r>
          </w:p>
        </w:tc>
        <w:tc>
          <w:tcPr>
            <w:tcW w:w="262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9232402"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1,000,000 € - 1,249,999 €</w:t>
            </w:r>
          </w:p>
        </w:tc>
      </w:tr>
      <w:tr w:rsidR="006222E3" w:rsidRPr="00ED7E81" w14:paraId="13B07F1C"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76ACD6"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ABB</w:t>
            </w:r>
          </w:p>
        </w:tc>
        <w:tc>
          <w:tcPr>
            <w:tcW w:w="15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D141F8" w14:textId="77777777" w:rsidR="006222E3" w:rsidRPr="00ED7E81" w:rsidRDefault="006222E3" w:rsidP="000B5462">
            <w:pPr>
              <w:jc w:val="right"/>
            </w:pPr>
            <w:r w:rsidRPr="00ED7E81">
              <w:rPr>
                <w:color w:val="000000"/>
                <w14:textOutline w14:w="0" w14:cap="flat" w14:cmpd="sng" w14:algn="ctr">
                  <w14:noFill/>
                  <w14:prstDash w14:val="solid"/>
                  <w14:bevel/>
                </w14:textOutline>
              </w:rPr>
              <w:t>1</w:t>
            </w:r>
          </w:p>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DC91B9"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CF3CC0" w14:textId="77777777" w:rsidR="006222E3" w:rsidRPr="00ED7E81" w:rsidRDefault="006222E3" w:rsidP="000B5462">
            <w:pPr>
              <w:jc w:val="right"/>
            </w:pPr>
            <w:r w:rsidRPr="00ED7E81">
              <w:rPr>
                <w:color w:val="000000"/>
                <w14:textOutline w14:w="0" w14:cap="flat" w14:cmpd="sng" w14:algn="ctr">
                  <w14:noFill/>
                  <w14:prstDash w14:val="solid"/>
                  <w14:bevel/>
                </w14:textOutline>
              </w:rPr>
              <w:t>1</w:t>
            </w:r>
          </w:p>
        </w:tc>
        <w:tc>
          <w:tcPr>
            <w:tcW w:w="26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5A63B9"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600,000 € - 699,999 €</w:t>
            </w:r>
          </w:p>
        </w:tc>
      </w:tr>
      <w:tr w:rsidR="006222E3" w:rsidRPr="00ED7E81" w14:paraId="103366F7"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50912E9"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Siemens</w:t>
            </w:r>
          </w:p>
        </w:tc>
        <w:tc>
          <w:tcPr>
            <w:tcW w:w="15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276841" w14:textId="77777777" w:rsidR="006222E3" w:rsidRPr="00ED7E81" w:rsidRDefault="006222E3" w:rsidP="000B5462">
            <w:pPr>
              <w:jc w:val="right"/>
            </w:pPr>
            <w:r w:rsidRPr="00ED7E81">
              <w:rPr>
                <w:color w:val="000000"/>
                <w14:textOutline w14:w="0" w14:cap="flat" w14:cmpd="sng" w14:algn="ctr">
                  <w14:noFill/>
                  <w14:prstDash w14:val="solid"/>
                  <w14:bevel/>
                </w14:textOutline>
              </w:rPr>
              <w:t>14</w:t>
            </w:r>
          </w:p>
        </w:tc>
        <w:tc>
          <w:tcPr>
            <w:tcW w:w="14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AD7904F" w14:textId="77777777" w:rsidR="006222E3" w:rsidRPr="00ED7E81" w:rsidRDefault="006222E3" w:rsidP="000B5462">
            <w:pPr>
              <w:jc w:val="right"/>
            </w:pPr>
            <w:r w:rsidRPr="00ED7E81">
              <w:rPr>
                <w:color w:val="000000"/>
                <w14:textOutline w14:w="0" w14:cap="flat" w14:cmpd="sng" w14:algn="ctr">
                  <w14:noFill/>
                  <w14:prstDash w14:val="solid"/>
                  <w14:bevel/>
                </w14:textOutline>
              </w:rPr>
              <w:t>5</w:t>
            </w:r>
          </w:p>
        </w:tc>
        <w:tc>
          <w:tcPr>
            <w:tcW w:w="212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AC7E291" w14:textId="77777777" w:rsidR="006222E3" w:rsidRPr="00ED7E81" w:rsidRDefault="006222E3" w:rsidP="000B5462">
            <w:pPr>
              <w:jc w:val="right"/>
            </w:pPr>
            <w:r w:rsidRPr="00ED7E81">
              <w:rPr>
                <w:color w:val="000000"/>
                <w14:textOutline w14:w="0" w14:cap="flat" w14:cmpd="sng" w14:algn="ctr">
                  <w14:noFill/>
                  <w14:prstDash w14:val="solid"/>
                  <w14:bevel/>
                </w14:textOutline>
              </w:rPr>
              <w:t>12</w:t>
            </w:r>
          </w:p>
        </w:tc>
        <w:tc>
          <w:tcPr>
            <w:tcW w:w="262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14BB389"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2,500,000 € - 2,749,999 €</w:t>
            </w:r>
          </w:p>
        </w:tc>
      </w:tr>
      <w:tr w:rsidR="006222E3" w:rsidRPr="00ED7E81" w14:paraId="1B1A7C16"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01BD31"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lastRenderedPageBreak/>
              <w:t>Apple</w:t>
            </w:r>
          </w:p>
        </w:tc>
        <w:tc>
          <w:tcPr>
            <w:tcW w:w="15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C3C1C4" w14:textId="77777777" w:rsidR="006222E3" w:rsidRPr="00ED7E81" w:rsidRDefault="006222E3" w:rsidP="000B5462">
            <w:pPr>
              <w:jc w:val="right"/>
            </w:pPr>
            <w:r w:rsidRPr="00ED7E81">
              <w:rPr>
                <w:color w:val="000000"/>
                <w14:textOutline w14:w="0" w14:cap="flat" w14:cmpd="sng" w14:algn="ctr">
                  <w14:noFill/>
                  <w14:prstDash w14:val="solid"/>
                  <w14:bevel/>
                </w14:textOutline>
              </w:rPr>
              <w:t>14</w:t>
            </w:r>
          </w:p>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ED4230" w14:textId="77777777" w:rsidR="006222E3" w:rsidRPr="00ED7E81" w:rsidRDefault="006222E3" w:rsidP="000B5462"/>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10F7F0"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9 (7)</w:t>
            </w:r>
          </w:p>
        </w:tc>
        <w:tc>
          <w:tcPr>
            <w:tcW w:w="26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049D7D"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3,500,000 € - 3,749,999 €</w:t>
            </w:r>
          </w:p>
        </w:tc>
      </w:tr>
      <w:tr w:rsidR="006222E3" w:rsidRPr="00ED7E81" w14:paraId="6C4A3610"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1709E5"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Google</w:t>
            </w:r>
          </w:p>
        </w:tc>
        <w:tc>
          <w:tcPr>
            <w:tcW w:w="15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8E36EFC" w14:textId="77777777" w:rsidR="006222E3" w:rsidRPr="00ED7E81" w:rsidRDefault="006222E3" w:rsidP="000B5462">
            <w:pPr>
              <w:jc w:val="right"/>
            </w:pPr>
            <w:r w:rsidRPr="00ED7E81">
              <w:rPr>
                <w:color w:val="000000"/>
                <w14:textOutline w14:w="0" w14:cap="flat" w14:cmpd="sng" w14:algn="ctr">
                  <w14:noFill/>
                  <w14:prstDash w14:val="solid"/>
                  <w14:bevel/>
                </w14:textOutline>
              </w:rPr>
              <w:t>32</w:t>
            </w:r>
          </w:p>
        </w:tc>
        <w:tc>
          <w:tcPr>
            <w:tcW w:w="14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8257664" w14:textId="77777777" w:rsidR="006222E3" w:rsidRPr="00ED7E81" w:rsidRDefault="006222E3" w:rsidP="000B5462"/>
        </w:tc>
        <w:tc>
          <w:tcPr>
            <w:tcW w:w="212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03BA0B0"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14 (1)</w:t>
            </w:r>
          </w:p>
        </w:tc>
        <w:tc>
          <w:tcPr>
            <w:tcW w:w="262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A9048EB"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5,750,000 € - 5,999,999 €</w:t>
            </w:r>
          </w:p>
        </w:tc>
      </w:tr>
      <w:tr w:rsidR="006222E3" w:rsidRPr="00ED7E81" w14:paraId="2081483D"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8E3B8"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IKEA</w:t>
            </w:r>
          </w:p>
        </w:tc>
        <w:tc>
          <w:tcPr>
            <w:tcW w:w="15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14F6DD"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w:t>
            </w:r>
          </w:p>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4F6137" w14:textId="77777777" w:rsidR="006222E3" w:rsidRPr="00ED7E81" w:rsidRDefault="006222E3" w:rsidP="000B5462"/>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514829" w14:textId="77777777" w:rsidR="006222E3" w:rsidRPr="00ED7E81" w:rsidRDefault="006222E3" w:rsidP="000B5462">
            <w:pPr>
              <w:jc w:val="right"/>
            </w:pPr>
            <w:r w:rsidRPr="00ED7E81">
              <w:rPr>
                <w:color w:val="000000"/>
                <w14:textOutline w14:w="0" w14:cap="flat" w14:cmpd="sng" w14:algn="ctr">
                  <w14:noFill/>
                  <w14:prstDash w14:val="solid"/>
                  <w14:bevel/>
                </w14:textOutline>
              </w:rPr>
              <w:t>4</w:t>
            </w:r>
          </w:p>
        </w:tc>
        <w:tc>
          <w:tcPr>
            <w:tcW w:w="26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A03D1"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100,000 € - 199,999 €</w:t>
            </w:r>
          </w:p>
        </w:tc>
      </w:tr>
      <w:tr w:rsidR="006222E3" w:rsidRPr="00ED7E81" w14:paraId="577098A9"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ABD0170"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Amazon</w:t>
            </w:r>
          </w:p>
        </w:tc>
        <w:tc>
          <w:tcPr>
            <w:tcW w:w="15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FECDEC8" w14:textId="77777777" w:rsidR="006222E3" w:rsidRPr="00ED7E81" w:rsidRDefault="006222E3" w:rsidP="000B5462">
            <w:pPr>
              <w:jc w:val="right"/>
            </w:pPr>
            <w:r w:rsidRPr="00ED7E81">
              <w:rPr>
                <w:color w:val="000000"/>
                <w14:textOutline w14:w="0" w14:cap="flat" w14:cmpd="sng" w14:algn="ctr">
                  <w14:noFill/>
                  <w14:prstDash w14:val="solid"/>
                  <w14:bevel/>
                </w14:textOutline>
              </w:rPr>
              <w:t>12</w:t>
            </w:r>
          </w:p>
        </w:tc>
        <w:tc>
          <w:tcPr>
            <w:tcW w:w="14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D2B883C" w14:textId="77777777" w:rsidR="006222E3" w:rsidRPr="00ED7E81" w:rsidRDefault="006222E3" w:rsidP="000B5462">
            <w:pPr>
              <w:jc w:val="right"/>
            </w:pPr>
            <w:r w:rsidRPr="00ED7E81">
              <w:rPr>
                <w:color w:val="000000"/>
                <w14:textOutline w14:w="0" w14:cap="flat" w14:cmpd="sng" w14:algn="ctr">
                  <w14:noFill/>
                  <w14:prstDash w14:val="solid"/>
                  <w14:bevel/>
                </w14:textOutline>
              </w:rPr>
              <w:t>4</w:t>
            </w:r>
          </w:p>
        </w:tc>
        <w:tc>
          <w:tcPr>
            <w:tcW w:w="212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A1616A7" w14:textId="77777777" w:rsidR="006222E3" w:rsidRPr="00ED7E81" w:rsidRDefault="006222E3" w:rsidP="000B5462">
            <w:pPr>
              <w:jc w:val="right"/>
            </w:pPr>
            <w:r w:rsidRPr="00ED7E81">
              <w:rPr>
                <w:color w:val="000000"/>
                <w14:textOutline w14:w="0" w14:cap="flat" w14:cmpd="sng" w14:algn="ctr">
                  <w14:noFill/>
                  <w14:prstDash w14:val="solid"/>
                  <w14:bevel/>
                </w14:textOutline>
              </w:rPr>
              <w:t>10</w:t>
            </w:r>
          </w:p>
        </w:tc>
        <w:tc>
          <w:tcPr>
            <w:tcW w:w="262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C6FC8A1"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1,750,000 € - 1,999,999 €</w:t>
            </w:r>
          </w:p>
        </w:tc>
      </w:tr>
      <w:tr w:rsidR="006222E3" w:rsidRPr="00ED7E81" w14:paraId="79E64E85"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9D72E0"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Deutsche Telekom</w:t>
            </w:r>
          </w:p>
        </w:tc>
        <w:tc>
          <w:tcPr>
            <w:tcW w:w="15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4CA8EE"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F99D16" w14:textId="77777777" w:rsidR="006222E3" w:rsidRPr="00ED7E81" w:rsidRDefault="006222E3" w:rsidP="000B5462"/>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0C1AAD"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9 (2)</w:t>
            </w:r>
          </w:p>
        </w:tc>
        <w:tc>
          <w:tcPr>
            <w:tcW w:w="26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6835D7"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1,000,000 € - 1,249,999 €</w:t>
            </w:r>
          </w:p>
        </w:tc>
      </w:tr>
      <w:tr w:rsidR="006222E3" w:rsidRPr="00ED7E81" w14:paraId="4F485022"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5F4738"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EDP</w:t>
            </w:r>
          </w:p>
        </w:tc>
        <w:tc>
          <w:tcPr>
            <w:tcW w:w="15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93BEF68" w14:textId="77777777" w:rsidR="006222E3" w:rsidRPr="00ED7E81" w:rsidRDefault="006222E3" w:rsidP="000B5462">
            <w:pPr>
              <w:jc w:val="right"/>
            </w:pPr>
            <w:r w:rsidRPr="00ED7E81">
              <w:rPr>
                <w:color w:val="000000"/>
                <w14:textOutline w14:w="0" w14:cap="flat" w14:cmpd="sng" w14:algn="ctr">
                  <w14:noFill/>
                  <w14:prstDash w14:val="solid"/>
                  <w14:bevel/>
                </w14:textOutline>
              </w:rPr>
              <w:t>4</w:t>
            </w:r>
          </w:p>
        </w:tc>
        <w:tc>
          <w:tcPr>
            <w:tcW w:w="14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5C4E3D" w14:textId="77777777" w:rsidR="006222E3" w:rsidRPr="00ED7E81" w:rsidRDefault="006222E3" w:rsidP="000B5462"/>
        </w:tc>
        <w:tc>
          <w:tcPr>
            <w:tcW w:w="212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F322B63" w14:textId="77777777" w:rsidR="006222E3" w:rsidRPr="00ED7E81" w:rsidRDefault="006222E3" w:rsidP="000B5462">
            <w:pPr>
              <w:jc w:val="right"/>
            </w:pPr>
            <w:r w:rsidRPr="00ED7E81">
              <w:rPr>
                <w:color w:val="000000"/>
                <w14:textOutline w14:w="0" w14:cap="flat" w14:cmpd="sng" w14:algn="ctr">
                  <w14:noFill/>
                  <w14:prstDash w14:val="solid"/>
                  <w14:bevel/>
                </w14:textOutline>
              </w:rPr>
              <w:t>1</w:t>
            </w:r>
          </w:p>
        </w:tc>
        <w:tc>
          <w:tcPr>
            <w:tcW w:w="262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2B75BC5"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100,000 € - 199,999 €</w:t>
            </w:r>
          </w:p>
        </w:tc>
      </w:tr>
      <w:tr w:rsidR="006222E3" w:rsidRPr="00ED7E81" w14:paraId="240BC22D"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3711B5" w14:textId="77777777" w:rsidR="006222E3" w:rsidRPr="00ED7E81" w:rsidRDefault="006222E3" w:rsidP="000B5462">
            <w:pPr>
              <w:pStyle w:val="ac"/>
              <w:rPr>
                <w:rFonts w:ascii="Times New Roman" w:hAnsi="Times New Roman" w:cs="Times New Roman"/>
              </w:rPr>
            </w:pPr>
            <w:proofErr w:type="spellStart"/>
            <w:r w:rsidRPr="00ED7E81">
              <w:rPr>
                <w:rFonts w:ascii="Times New Roman" w:hAnsi="Times New Roman" w:cs="Times New Roman"/>
                <w:sz w:val="20"/>
                <w:szCs w:val="20"/>
              </w:rPr>
              <w:t>EnBW</w:t>
            </w:r>
            <w:proofErr w:type="spellEnd"/>
          </w:p>
        </w:tc>
        <w:tc>
          <w:tcPr>
            <w:tcW w:w="15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AEFFB4"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948A03" w14:textId="77777777" w:rsidR="006222E3" w:rsidRPr="00ED7E81" w:rsidRDefault="006222E3" w:rsidP="000B5462">
            <w:pPr>
              <w:jc w:val="right"/>
            </w:pPr>
            <w:r w:rsidRPr="00ED7E81">
              <w:rPr>
                <w:color w:val="000000"/>
                <w14:textOutline w14:w="0" w14:cap="flat" w14:cmpd="sng" w14:algn="ctr">
                  <w14:noFill/>
                  <w14:prstDash w14:val="solid"/>
                  <w14:bevel/>
                </w14:textOutline>
              </w:rPr>
              <w:t>1</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7F650B" w14:textId="77777777" w:rsidR="006222E3" w:rsidRPr="00ED7E81" w:rsidRDefault="006222E3" w:rsidP="000B5462">
            <w:pPr>
              <w:jc w:val="right"/>
            </w:pPr>
            <w:r w:rsidRPr="00ED7E81">
              <w:rPr>
                <w:color w:val="000000"/>
                <w14:textOutline w14:w="0" w14:cap="flat" w14:cmpd="sng" w14:algn="ctr">
                  <w14:noFill/>
                  <w14:prstDash w14:val="solid"/>
                  <w14:bevel/>
                </w14:textOutline>
              </w:rPr>
              <w:t>6</w:t>
            </w:r>
          </w:p>
        </w:tc>
        <w:tc>
          <w:tcPr>
            <w:tcW w:w="26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540335"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800,000 € - 899,999 €</w:t>
            </w:r>
          </w:p>
        </w:tc>
      </w:tr>
      <w:tr w:rsidR="006222E3" w:rsidRPr="00ED7E81" w14:paraId="21EC2AFF"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224FB7B"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SSE</w:t>
            </w:r>
          </w:p>
        </w:tc>
        <w:tc>
          <w:tcPr>
            <w:tcW w:w="15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D0944C" w14:textId="77777777" w:rsidR="006222E3" w:rsidRPr="00ED7E81" w:rsidRDefault="006222E3" w:rsidP="000B5462">
            <w:pPr>
              <w:jc w:val="right"/>
            </w:pPr>
            <w:r w:rsidRPr="00ED7E81">
              <w:rPr>
                <w:color w:val="000000"/>
                <w14:textOutline w14:w="0" w14:cap="flat" w14:cmpd="sng" w14:algn="ctr">
                  <w14:noFill/>
                  <w14:prstDash w14:val="solid"/>
                  <w14:bevel/>
                </w14:textOutline>
              </w:rPr>
              <w:t>0</w:t>
            </w:r>
          </w:p>
        </w:tc>
        <w:tc>
          <w:tcPr>
            <w:tcW w:w="14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FD5EFC4" w14:textId="77777777" w:rsidR="006222E3" w:rsidRPr="00ED7E81" w:rsidRDefault="006222E3" w:rsidP="000B5462"/>
        </w:tc>
        <w:tc>
          <w:tcPr>
            <w:tcW w:w="212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D5C08F8" w14:textId="77777777" w:rsidR="006222E3" w:rsidRPr="00ED7E81" w:rsidRDefault="006222E3" w:rsidP="000B5462">
            <w:pPr>
              <w:jc w:val="right"/>
            </w:pPr>
            <w:r w:rsidRPr="00ED7E81">
              <w:rPr>
                <w:color w:val="000000"/>
                <w14:textOutline w14:w="0" w14:cap="flat" w14:cmpd="sng" w14:algn="ctr">
                  <w14:noFill/>
                  <w14:prstDash w14:val="solid"/>
                  <w14:bevel/>
                </w14:textOutline>
              </w:rPr>
              <w:t>1</w:t>
            </w:r>
          </w:p>
        </w:tc>
        <w:tc>
          <w:tcPr>
            <w:tcW w:w="262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ED0F8F9"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100,000 € - 199,999 €</w:t>
            </w:r>
          </w:p>
        </w:tc>
      </w:tr>
      <w:tr w:rsidR="006222E3" w:rsidRPr="00ED7E81" w14:paraId="73A27209"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3A3780"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National Grid</w:t>
            </w:r>
          </w:p>
        </w:tc>
        <w:tc>
          <w:tcPr>
            <w:tcW w:w="15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0128C"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w:t>
            </w:r>
          </w:p>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84782D" w14:textId="77777777" w:rsidR="006222E3" w:rsidRPr="00ED7E81" w:rsidRDefault="006222E3" w:rsidP="000B5462"/>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031EBA"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6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BEB13F"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50,000 € - 99,999 €</w:t>
            </w:r>
          </w:p>
        </w:tc>
      </w:tr>
      <w:tr w:rsidR="006222E3" w:rsidRPr="00ED7E81" w14:paraId="4E784316"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FDAD4B"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IBERDROLA</w:t>
            </w:r>
          </w:p>
        </w:tc>
        <w:tc>
          <w:tcPr>
            <w:tcW w:w="15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EDF0FC" w14:textId="77777777" w:rsidR="006222E3" w:rsidRPr="00ED7E81" w:rsidRDefault="006222E3" w:rsidP="000B5462">
            <w:pPr>
              <w:jc w:val="right"/>
            </w:pPr>
            <w:r w:rsidRPr="00ED7E81">
              <w:rPr>
                <w:color w:val="000000"/>
                <w14:textOutline w14:w="0" w14:cap="flat" w14:cmpd="sng" w14:algn="ctr">
                  <w14:noFill/>
                  <w14:prstDash w14:val="solid"/>
                  <w14:bevel/>
                </w14:textOutline>
              </w:rPr>
              <w:t>10</w:t>
            </w:r>
          </w:p>
        </w:tc>
        <w:tc>
          <w:tcPr>
            <w:tcW w:w="14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A42CC1C"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212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F9D42D6"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3 (1)</w:t>
            </w:r>
          </w:p>
        </w:tc>
        <w:tc>
          <w:tcPr>
            <w:tcW w:w="262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F19DE76"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400,000 € - 499,999 €</w:t>
            </w:r>
          </w:p>
        </w:tc>
      </w:tr>
      <w:tr w:rsidR="006222E3" w:rsidRPr="00ED7E81" w14:paraId="1096B540"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B28452"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ENEL</w:t>
            </w:r>
          </w:p>
        </w:tc>
        <w:tc>
          <w:tcPr>
            <w:tcW w:w="15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8B3C1E" w14:textId="77777777" w:rsidR="006222E3" w:rsidRPr="00ED7E81" w:rsidRDefault="006222E3" w:rsidP="000B5462">
            <w:pPr>
              <w:jc w:val="right"/>
            </w:pPr>
            <w:r w:rsidRPr="00ED7E81">
              <w:rPr>
                <w:color w:val="000000"/>
                <w14:textOutline w14:w="0" w14:cap="flat" w14:cmpd="sng" w14:algn="ctr">
                  <w14:noFill/>
                  <w14:prstDash w14:val="solid"/>
                  <w14:bevel/>
                </w14:textOutline>
              </w:rPr>
              <w:t>16</w:t>
            </w:r>
          </w:p>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8E2E54"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9427C7" w14:textId="77777777" w:rsidR="006222E3" w:rsidRPr="00ED7E81" w:rsidRDefault="006222E3" w:rsidP="000B5462">
            <w:pPr>
              <w:jc w:val="right"/>
            </w:pPr>
            <w:r w:rsidRPr="00ED7E81">
              <w:rPr>
                <w:color w:val="000000"/>
                <w14:textOutline w14:w="0" w14:cap="flat" w14:cmpd="sng" w14:algn="ctr">
                  <w14:noFill/>
                  <w14:prstDash w14:val="solid"/>
                  <w14:bevel/>
                </w14:textOutline>
              </w:rPr>
              <w:t>18</w:t>
            </w:r>
          </w:p>
        </w:tc>
        <w:tc>
          <w:tcPr>
            <w:tcW w:w="26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C6E046"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2,000,000 € - 2,249,999 €</w:t>
            </w:r>
          </w:p>
        </w:tc>
      </w:tr>
    </w:tbl>
    <w:p w14:paraId="00B4073C" w14:textId="77777777" w:rsidR="006222E3" w:rsidRPr="00ED7E81" w:rsidRDefault="006222E3" w:rsidP="006222E3">
      <w:pPr>
        <w:pStyle w:val="ac"/>
        <w:rPr>
          <w:rFonts w:ascii="Times New Roman" w:hAnsi="Times New Roman" w:cs="Times New Roman"/>
        </w:rPr>
      </w:pPr>
    </w:p>
    <w:p w14:paraId="15863801" w14:textId="77777777" w:rsidR="006222E3" w:rsidRPr="00ED7E81" w:rsidRDefault="006222E3" w:rsidP="006222E3">
      <w:pPr>
        <w:pStyle w:val="ac"/>
        <w:rPr>
          <w:rFonts w:ascii="Times New Roman" w:hAnsi="Times New Roman" w:cs="Times New Roman"/>
        </w:rPr>
      </w:pPr>
    </w:p>
    <w:p w14:paraId="591F4279" w14:textId="77777777" w:rsidR="006222E3" w:rsidRPr="00ED7E81" w:rsidRDefault="006222E3" w:rsidP="006222E3">
      <w:pPr>
        <w:pStyle w:val="ac"/>
        <w:rPr>
          <w:rFonts w:ascii="Times New Roman" w:hAnsi="Times New Roman" w:cs="Times New Roman"/>
          <w:b/>
          <w:bCs/>
        </w:rPr>
      </w:pPr>
      <w:r w:rsidRPr="00ED7E81">
        <w:rPr>
          <w:rFonts w:ascii="Times New Roman" w:hAnsi="Times New Roman" w:cs="Times New Roman"/>
          <w:b/>
          <w:bCs/>
        </w:rPr>
        <w:t xml:space="preserve">Таблица №3. </w:t>
      </w:r>
    </w:p>
    <w:p w14:paraId="1F460592" w14:textId="77777777" w:rsidR="006222E3" w:rsidRPr="00ED7E81" w:rsidRDefault="006222E3" w:rsidP="006222E3">
      <w:pPr>
        <w:pStyle w:val="ac"/>
        <w:rPr>
          <w:rFonts w:ascii="Times New Roman" w:hAnsi="Times New Roman" w:cs="Times New Roman"/>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50"/>
        <w:gridCol w:w="1530"/>
        <w:gridCol w:w="1461"/>
        <w:gridCol w:w="2224"/>
        <w:gridCol w:w="2765"/>
      </w:tblGrid>
      <w:tr w:rsidR="006222E3" w:rsidRPr="00ED7E81" w14:paraId="64B6B3B1" w14:textId="77777777" w:rsidTr="000B5462">
        <w:trPr>
          <w:trHeight w:val="961"/>
        </w:trPr>
        <w:tc>
          <w:tcPr>
            <w:tcW w:w="1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07985" w14:textId="77777777" w:rsidR="006222E3" w:rsidRPr="00ED7E81" w:rsidRDefault="006222E3" w:rsidP="000B5462"/>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52C819"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i/>
                <w:iCs/>
              </w:rPr>
              <w:t xml:space="preserve">Кол-во прямых контактов с ЕК в 2020 г. </w:t>
            </w:r>
          </w:p>
        </w:tc>
        <w:tc>
          <w:tcPr>
            <w:tcW w:w="1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D32653"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i/>
                <w:iCs/>
              </w:rPr>
              <w:t xml:space="preserve">Участие в экспертных группах ЕК </w:t>
            </w:r>
          </w:p>
        </w:tc>
        <w:tc>
          <w:tcPr>
            <w:tcW w:w="2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71FD51"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i/>
                <w:iCs/>
              </w:rPr>
              <w:t>Кол-во вовлечённых сотрудников (из них имеют пропуск в ЕП)</w:t>
            </w:r>
          </w:p>
        </w:tc>
        <w:tc>
          <w:tcPr>
            <w:tcW w:w="2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FEAFD"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Расходы на Лоббизм</w:t>
            </w:r>
          </w:p>
        </w:tc>
      </w:tr>
      <w:tr w:rsidR="006222E3" w:rsidRPr="00ED7E81" w14:paraId="60953283"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0186797"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ExxonMobil</w:t>
            </w:r>
          </w:p>
        </w:tc>
        <w:tc>
          <w:tcPr>
            <w:tcW w:w="15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4AE0F9" w14:textId="77777777" w:rsidR="006222E3" w:rsidRPr="00ED7E81" w:rsidRDefault="006222E3" w:rsidP="000B5462">
            <w:pPr>
              <w:jc w:val="right"/>
            </w:pPr>
            <w:r w:rsidRPr="00ED7E81">
              <w:rPr>
                <w:color w:val="000000"/>
                <w14:textOutline w14:w="0" w14:cap="flat" w14:cmpd="sng" w14:algn="ctr">
                  <w14:noFill/>
                  <w14:prstDash w14:val="solid"/>
                  <w14:bevel/>
                </w14:textOutline>
              </w:rPr>
              <w:t>5</w:t>
            </w:r>
          </w:p>
        </w:tc>
        <w:tc>
          <w:tcPr>
            <w:tcW w:w="14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AA5977B" w14:textId="77777777" w:rsidR="006222E3" w:rsidRPr="00ED7E81" w:rsidRDefault="006222E3" w:rsidP="000B5462"/>
        </w:tc>
        <w:tc>
          <w:tcPr>
            <w:tcW w:w="22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B14085"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12 (4)</w:t>
            </w:r>
          </w:p>
        </w:tc>
        <w:tc>
          <w:tcPr>
            <w:tcW w:w="27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050B74"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3,250,000 € - 3,499,999 €</w:t>
            </w:r>
          </w:p>
        </w:tc>
      </w:tr>
      <w:tr w:rsidR="006222E3" w:rsidRPr="00ED7E81" w14:paraId="2E8FE961"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BFAF78"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Chevron</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BB6D4E" w14:textId="77777777" w:rsidR="006222E3" w:rsidRPr="00ED7E81" w:rsidRDefault="006222E3" w:rsidP="000B5462">
            <w:pPr>
              <w:jc w:val="right"/>
            </w:pPr>
            <w:r w:rsidRPr="00ED7E81">
              <w:rPr>
                <w:color w:val="000000"/>
                <w14:textOutline w14:w="0" w14:cap="flat" w14:cmpd="sng" w14:algn="ctr">
                  <w14:noFill/>
                  <w14:prstDash w14:val="solid"/>
                  <w14:bevel/>
                </w14:textOutline>
              </w:rPr>
              <w:t>0</w:t>
            </w:r>
          </w:p>
        </w:tc>
        <w:tc>
          <w:tcPr>
            <w:tcW w:w="1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5D1397" w14:textId="77777777" w:rsidR="006222E3" w:rsidRPr="00ED7E81" w:rsidRDefault="006222E3" w:rsidP="000B5462"/>
        </w:tc>
        <w:tc>
          <w:tcPr>
            <w:tcW w:w="2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C561EA"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3 (2)</w:t>
            </w:r>
          </w:p>
        </w:tc>
        <w:tc>
          <w:tcPr>
            <w:tcW w:w="2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4A5AF3"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1,500,000 € - 1,749,999 €</w:t>
            </w:r>
          </w:p>
        </w:tc>
      </w:tr>
      <w:tr w:rsidR="006222E3" w:rsidRPr="00ED7E81" w14:paraId="39A8D6EB"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F9048E"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BASF</w:t>
            </w:r>
          </w:p>
        </w:tc>
        <w:tc>
          <w:tcPr>
            <w:tcW w:w="15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9309F04" w14:textId="77777777" w:rsidR="006222E3" w:rsidRPr="00ED7E81" w:rsidRDefault="006222E3" w:rsidP="000B5462">
            <w:pPr>
              <w:jc w:val="right"/>
            </w:pPr>
            <w:r w:rsidRPr="00ED7E81">
              <w:rPr>
                <w:color w:val="000000"/>
                <w14:textOutline w14:w="0" w14:cap="flat" w14:cmpd="sng" w14:algn="ctr">
                  <w14:noFill/>
                  <w14:prstDash w14:val="solid"/>
                  <w14:bevel/>
                </w14:textOutline>
              </w:rPr>
              <w:t>11</w:t>
            </w:r>
          </w:p>
        </w:tc>
        <w:tc>
          <w:tcPr>
            <w:tcW w:w="14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95137B7"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22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BD34A76"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25 (12)</w:t>
            </w:r>
          </w:p>
        </w:tc>
        <w:tc>
          <w:tcPr>
            <w:tcW w:w="27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3DC68B0"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3,000,000 € - 3,249,999 €</w:t>
            </w:r>
          </w:p>
        </w:tc>
      </w:tr>
      <w:tr w:rsidR="006222E3" w:rsidRPr="00ED7E81" w14:paraId="1CCE6C34"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49CAF1" w14:textId="77777777" w:rsidR="006222E3" w:rsidRPr="00ED7E81" w:rsidRDefault="006222E3" w:rsidP="000B5462">
            <w:pPr>
              <w:pStyle w:val="ac"/>
              <w:rPr>
                <w:rFonts w:ascii="Times New Roman" w:hAnsi="Times New Roman" w:cs="Times New Roman"/>
              </w:rPr>
            </w:pPr>
            <w:proofErr w:type="spellStart"/>
            <w:r w:rsidRPr="00ED7E81">
              <w:rPr>
                <w:rFonts w:ascii="Times New Roman" w:hAnsi="Times New Roman" w:cs="Times New Roman"/>
                <w:sz w:val="20"/>
                <w:szCs w:val="20"/>
              </w:rPr>
              <w:t>ArcelorMittal</w:t>
            </w:r>
            <w:proofErr w:type="spellEnd"/>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FB43A9" w14:textId="77777777" w:rsidR="006222E3" w:rsidRPr="00ED7E81" w:rsidRDefault="006222E3" w:rsidP="000B5462">
            <w:pPr>
              <w:jc w:val="right"/>
            </w:pPr>
            <w:r w:rsidRPr="00ED7E81">
              <w:rPr>
                <w:color w:val="000000"/>
                <w14:textOutline w14:w="0" w14:cap="flat" w14:cmpd="sng" w14:algn="ctr">
                  <w14:noFill/>
                  <w14:prstDash w14:val="solid"/>
                  <w14:bevel/>
                </w14:textOutline>
              </w:rPr>
              <w:t>13</w:t>
            </w:r>
          </w:p>
        </w:tc>
        <w:tc>
          <w:tcPr>
            <w:tcW w:w="1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5F8881"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049C19" w14:textId="77777777" w:rsidR="006222E3" w:rsidRPr="00ED7E81" w:rsidRDefault="006222E3" w:rsidP="000B5462">
            <w:pPr>
              <w:jc w:val="right"/>
            </w:pPr>
            <w:r w:rsidRPr="00ED7E81">
              <w:rPr>
                <w:color w:val="000000"/>
                <w14:textOutline w14:w="0" w14:cap="flat" w14:cmpd="sng" w14:algn="ctr">
                  <w14:noFill/>
                  <w14:prstDash w14:val="solid"/>
                  <w14:bevel/>
                </w14:textOutline>
              </w:rPr>
              <w:t>7</w:t>
            </w:r>
          </w:p>
        </w:tc>
        <w:tc>
          <w:tcPr>
            <w:tcW w:w="2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53FD3"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1,250,000 € - 1,499,999 €</w:t>
            </w:r>
          </w:p>
        </w:tc>
      </w:tr>
      <w:tr w:rsidR="006222E3" w:rsidRPr="00ED7E81" w14:paraId="4DD9BA12"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19C59B"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Rio Tinto</w:t>
            </w:r>
          </w:p>
        </w:tc>
        <w:tc>
          <w:tcPr>
            <w:tcW w:w="15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BEA66D" w14:textId="77777777" w:rsidR="006222E3" w:rsidRPr="00ED7E81" w:rsidRDefault="006222E3" w:rsidP="000B5462">
            <w:pPr>
              <w:jc w:val="right"/>
            </w:pPr>
            <w:r w:rsidRPr="00ED7E81">
              <w:rPr>
                <w:color w:val="000000"/>
                <w14:textOutline w14:w="0" w14:cap="flat" w14:cmpd="sng" w14:algn="ctr">
                  <w14:noFill/>
                  <w14:prstDash w14:val="solid"/>
                  <w14:bevel/>
                </w14:textOutline>
              </w:rPr>
              <w:t>0</w:t>
            </w:r>
          </w:p>
        </w:tc>
        <w:tc>
          <w:tcPr>
            <w:tcW w:w="14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E035247" w14:textId="77777777" w:rsidR="006222E3" w:rsidRPr="00ED7E81" w:rsidRDefault="006222E3" w:rsidP="000B5462"/>
        </w:tc>
        <w:tc>
          <w:tcPr>
            <w:tcW w:w="22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784DD9"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7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24F78CA"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300,000 € - 399,999 €</w:t>
            </w:r>
          </w:p>
        </w:tc>
      </w:tr>
      <w:tr w:rsidR="006222E3" w:rsidRPr="00ED7E81" w14:paraId="0CA5C2AF"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C41277"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BP</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053579" w14:textId="77777777" w:rsidR="006222E3" w:rsidRPr="00ED7E81" w:rsidRDefault="006222E3" w:rsidP="000B5462">
            <w:pPr>
              <w:jc w:val="right"/>
            </w:pPr>
            <w:r w:rsidRPr="00ED7E81">
              <w:rPr>
                <w:color w:val="000000"/>
                <w14:textOutline w14:w="0" w14:cap="flat" w14:cmpd="sng" w14:algn="ctr">
                  <w14:noFill/>
                  <w14:prstDash w14:val="solid"/>
                  <w14:bevel/>
                </w14:textOutline>
              </w:rPr>
              <w:t>0</w:t>
            </w:r>
          </w:p>
        </w:tc>
        <w:tc>
          <w:tcPr>
            <w:tcW w:w="1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E13F6C" w14:textId="77777777" w:rsidR="006222E3" w:rsidRPr="00ED7E81" w:rsidRDefault="006222E3" w:rsidP="000B5462"/>
        </w:tc>
        <w:tc>
          <w:tcPr>
            <w:tcW w:w="2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4ACB42"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9 (5)</w:t>
            </w:r>
          </w:p>
        </w:tc>
        <w:tc>
          <w:tcPr>
            <w:tcW w:w="2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645F39"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3,500,000 € - 3,749,999 €</w:t>
            </w:r>
          </w:p>
        </w:tc>
      </w:tr>
      <w:tr w:rsidR="006222E3" w:rsidRPr="00ED7E81" w14:paraId="040318EE"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E2A7729"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Total</w:t>
            </w:r>
          </w:p>
        </w:tc>
        <w:tc>
          <w:tcPr>
            <w:tcW w:w="15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E2A3397" w14:textId="77777777" w:rsidR="006222E3" w:rsidRPr="00ED7E81" w:rsidRDefault="006222E3" w:rsidP="000B5462">
            <w:pPr>
              <w:jc w:val="right"/>
            </w:pPr>
            <w:r w:rsidRPr="00ED7E81">
              <w:rPr>
                <w:color w:val="000000"/>
                <w14:textOutline w14:w="0" w14:cap="flat" w14:cmpd="sng" w14:algn="ctr">
                  <w14:noFill/>
                  <w14:prstDash w14:val="solid"/>
                  <w14:bevel/>
                </w14:textOutline>
              </w:rPr>
              <w:t>5</w:t>
            </w:r>
          </w:p>
        </w:tc>
        <w:tc>
          <w:tcPr>
            <w:tcW w:w="14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09FD93" w14:textId="77777777" w:rsidR="006222E3" w:rsidRPr="00ED7E81" w:rsidRDefault="006222E3" w:rsidP="000B5462"/>
        </w:tc>
        <w:tc>
          <w:tcPr>
            <w:tcW w:w="22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E51C273"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6 (4)</w:t>
            </w:r>
          </w:p>
        </w:tc>
        <w:tc>
          <w:tcPr>
            <w:tcW w:w="27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19D8BA5"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2,000,000 € - 2,249,999 €</w:t>
            </w:r>
          </w:p>
        </w:tc>
      </w:tr>
      <w:tr w:rsidR="006222E3" w:rsidRPr="00ED7E81" w14:paraId="7A7CBE38"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E009BA"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Bayer</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E1DEF0"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1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328A22" w14:textId="77777777" w:rsidR="006222E3" w:rsidRPr="00ED7E81" w:rsidRDefault="006222E3" w:rsidP="000B5462"/>
        </w:tc>
        <w:tc>
          <w:tcPr>
            <w:tcW w:w="2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A1863"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30 (7)</w:t>
            </w:r>
          </w:p>
        </w:tc>
        <w:tc>
          <w:tcPr>
            <w:tcW w:w="2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B6663C"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4,250,000 € - 4,499,999 €</w:t>
            </w:r>
          </w:p>
        </w:tc>
      </w:tr>
      <w:tr w:rsidR="006222E3" w:rsidRPr="00ED7E81" w14:paraId="69A8F3CA"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9A73EA"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ConocoPhillips</w:t>
            </w:r>
          </w:p>
        </w:tc>
        <w:tc>
          <w:tcPr>
            <w:tcW w:w="15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65D9E5E" w14:textId="77777777" w:rsidR="006222E3" w:rsidRPr="00ED7E81" w:rsidRDefault="006222E3" w:rsidP="000B5462">
            <w:pPr>
              <w:jc w:val="right"/>
            </w:pPr>
            <w:r w:rsidRPr="00ED7E81">
              <w:rPr>
                <w:color w:val="000000"/>
                <w14:textOutline w14:w="0" w14:cap="flat" w14:cmpd="sng" w14:algn="ctr">
                  <w14:noFill/>
                  <w14:prstDash w14:val="solid"/>
                  <w14:bevel/>
                </w14:textOutline>
              </w:rPr>
              <w:t>0</w:t>
            </w:r>
          </w:p>
        </w:tc>
        <w:tc>
          <w:tcPr>
            <w:tcW w:w="14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914520" w14:textId="77777777" w:rsidR="006222E3" w:rsidRPr="00ED7E81" w:rsidRDefault="006222E3" w:rsidP="000B5462"/>
        </w:tc>
        <w:tc>
          <w:tcPr>
            <w:tcW w:w="22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015D9AF"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7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14CC832"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100,000 € - 199,999 €</w:t>
            </w:r>
          </w:p>
        </w:tc>
      </w:tr>
      <w:tr w:rsidR="006222E3" w:rsidRPr="00ED7E81" w14:paraId="3BA37F2B"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9D6D1E"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Shell</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FDE7B" w14:textId="77777777" w:rsidR="006222E3" w:rsidRPr="00ED7E81" w:rsidRDefault="006222E3" w:rsidP="000B5462">
            <w:pPr>
              <w:jc w:val="right"/>
            </w:pPr>
            <w:r w:rsidRPr="00ED7E81">
              <w:rPr>
                <w:color w:val="000000"/>
                <w14:textOutline w14:w="0" w14:cap="flat" w14:cmpd="sng" w14:algn="ctr">
                  <w14:noFill/>
                  <w14:prstDash w14:val="solid"/>
                  <w14:bevel/>
                </w14:textOutline>
              </w:rPr>
              <w:t>15</w:t>
            </w:r>
          </w:p>
        </w:tc>
        <w:tc>
          <w:tcPr>
            <w:tcW w:w="1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B6F291" w14:textId="77777777" w:rsidR="006222E3" w:rsidRPr="00ED7E81" w:rsidRDefault="006222E3" w:rsidP="000B5462">
            <w:pPr>
              <w:jc w:val="right"/>
            </w:pPr>
            <w:r w:rsidRPr="00ED7E81">
              <w:rPr>
                <w:color w:val="000000"/>
                <w14:textOutline w14:w="0" w14:cap="flat" w14:cmpd="sng" w14:algn="ctr">
                  <w14:noFill/>
                  <w14:prstDash w14:val="solid"/>
                  <w14:bevel/>
                </w14:textOutline>
              </w:rPr>
              <w:t>1</w:t>
            </w:r>
          </w:p>
        </w:tc>
        <w:tc>
          <w:tcPr>
            <w:tcW w:w="2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84955E"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16 (3)</w:t>
            </w:r>
          </w:p>
        </w:tc>
        <w:tc>
          <w:tcPr>
            <w:tcW w:w="2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3182E"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4,250,000 € - 4,499,999 €</w:t>
            </w:r>
          </w:p>
        </w:tc>
      </w:tr>
      <w:tr w:rsidR="006222E3" w:rsidRPr="00ED7E81" w14:paraId="1D7C0398"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A52622D"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BHP</w:t>
            </w:r>
          </w:p>
        </w:tc>
        <w:tc>
          <w:tcPr>
            <w:tcW w:w="15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8D0BC0" w14:textId="77777777" w:rsidR="006222E3" w:rsidRPr="00ED7E81" w:rsidRDefault="006222E3" w:rsidP="000B5462">
            <w:pPr>
              <w:jc w:val="right"/>
            </w:pPr>
            <w:r w:rsidRPr="00ED7E81">
              <w:rPr>
                <w:color w:val="000000"/>
                <w14:textOutline w14:w="0" w14:cap="flat" w14:cmpd="sng" w14:algn="ctr">
                  <w14:noFill/>
                  <w14:prstDash w14:val="solid"/>
                  <w14:bevel/>
                </w14:textOutline>
              </w:rPr>
              <w:t>0</w:t>
            </w:r>
          </w:p>
        </w:tc>
        <w:tc>
          <w:tcPr>
            <w:tcW w:w="14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F088F74" w14:textId="77777777" w:rsidR="006222E3" w:rsidRPr="00ED7E81" w:rsidRDefault="006222E3" w:rsidP="000B5462"/>
        </w:tc>
        <w:tc>
          <w:tcPr>
            <w:tcW w:w="22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67432A6"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7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2C7FE86"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25,000 € - 49,999 €</w:t>
            </w:r>
          </w:p>
        </w:tc>
      </w:tr>
      <w:tr w:rsidR="006222E3" w:rsidRPr="00ED7E81" w14:paraId="48CB1460"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A29870" w14:textId="77777777" w:rsidR="006222E3" w:rsidRPr="00ED7E81" w:rsidRDefault="006222E3" w:rsidP="000B5462">
            <w:pPr>
              <w:pStyle w:val="ac"/>
              <w:rPr>
                <w:rFonts w:ascii="Times New Roman" w:hAnsi="Times New Roman" w:cs="Times New Roman"/>
              </w:rPr>
            </w:pPr>
            <w:proofErr w:type="spellStart"/>
            <w:r w:rsidRPr="00ED7E81">
              <w:rPr>
                <w:rFonts w:ascii="Times New Roman" w:hAnsi="Times New Roman" w:cs="Times New Roman"/>
                <w:sz w:val="20"/>
                <w:szCs w:val="20"/>
              </w:rPr>
              <w:t>Solvay</w:t>
            </w:r>
            <w:proofErr w:type="spellEnd"/>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BEDFB3" w14:textId="77777777" w:rsidR="006222E3" w:rsidRPr="00ED7E81" w:rsidRDefault="006222E3" w:rsidP="000B5462">
            <w:pPr>
              <w:jc w:val="right"/>
            </w:pPr>
            <w:r w:rsidRPr="00ED7E81">
              <w:rPr>
                <w:color w:val="000000"/>
                <w14:textOutline w14:w="0" w14:cap="flat" w14:cmpd="sng" w14:algn="ctr">
                  <w14:noFill/>
                  <w14:prstDash w14:val="solid"/>
                  <w14:bevel/>
                </w14:textOutline>
              </w:rPr>
              <w:t>0</w:t>
            </w:r>
          </w:p>
        </w:tc>
        <w:tc>
          <w:tcPr>
            <w:tcW w:w="1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9895CB"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B75654" w14:textId="77777777" w:rsidR="006222E3" w:rsidRPr="00ED7E81" w:rsidRDefault="006222E3" w:rsidP="000B5462">
            <w:pPr>
              <w:jc w:val="right"/>
            </w:pPr>
            <w:r w:rsidRPr="00ED7E81">
              <w:rPr>
                <w:color w:val="000000"/>
                <w14:textOutline w14:w="0" w14:cap="flat" w14:cmpd="sng" w14:algn="ctr">
                  <w14:noFill/>
                  <w14:prstDash w14:val="solid"/>
                  <w14:bevel/>
                </w14:textOutline>
              </w:rPr>
              <w:t>4</w:t>
            </w:r>
          </w:p>
        </w:tc>
        <w:tc>
          <w:tcPr>
            <w:tcW w:w="2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77963B"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900,000 € - 999,999 €</w:t>
            </w:r>
          </w:p>
        </w:tc>
      </w:tr>
      <w:tr w:rsidR="006222E3" w:rsidRPr="00ED7E81" w14:paraId="099E7887"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1D97088"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Caterpillar</w:t>
            </w:r>
          </w:p>
        </w:tc>
        <w:tc>
          <w:tcPr>
            <w:tcW w:w="15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DBEDA15" w14:textId="77777777" w:rsidR="006222E3" w:rsidRPr="00ED7E81" w:rsidRDefault="006222E3" w:rsidP="000B5462">
            <w:pPr>
              <w:jc w:val="right"/>
            </w:pPr>
            <w:r w:rsidRPr="00ED7E81">
              <w:rPr>
                <w:color w:val="000000"/>
                <w14:textOutline w14:w="0" w14:cap="flat" w14:cmpd="sng" w14:algn="ctr">
                  <w14:noFill/>
                  <w14:prstDash w14:val="solid"/>
                  <w14:bevel/>
                </w14:textOutline>
              </w:rPr>
              <w:t>0</w:t>
            </w:r>
          </w:p>
        </w:tc>
        <w:tc>
          <w:tcPr>
            <w:tcW w:w="14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DC15F2D" w14:textId="77777777" w:rsidR="006222E3" w:rsidRPr="00ED7E81" w:rsidRDefault="006222E3" w:rsidP="000B5462">
            <w:pPr>
              <w:jc w:val="right"/>
            </w:pPr>
            <w:r w:rsidRPr="00ED7E81">
              <w:rPr>
                <w:color w:val="000000"/>
                <w14:textOutline w14:w="0" w14:cap="flat" w14:cmpd="sng" w14:algn="ctr">
                  <w14:noFill/>
                  <w14:prstDash w14:val="solid"/>
                  <w14:bevel/>
                </w14:textOutline>
              </w:rPr>
              <w:t>1</w:t>
            </w:r>
          </w:p>
        </w:tc>
        <w:tc>
          <w:tcPr>
            <w:tcW w:w="22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6D0B74" w14:textId="77777777" w:rsidR="006222E3" w:rsidRPr="00ED7E81" w:rsidRDefault="006222E3" w:rsidP="000B5462">
            <w:pPr>
              <w:jc w:val="right"/>
            </w:pPr>
            <w:r w:rsidRPr="00ED7E81">
              <w:rPr>
                <w:color w:val="000000"/>
                <w14:textOutline w14:w="0" w14:cap="flat" w14:cmpd="sng" w14:algn="ctr">
                  <w14:noFill/>
                  <w14:prstDash w14:val="solid"/>
                  <w14:bevel/>
                </w14:textOutline>
              </w:rPr>
              <w:t>1</w:t>
            </w:r>
          </w:p>
        </w:tc>
        <w:tc>
          <w:tcPr>
            <w:tcW w:w="27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85D2D44"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100,000 € - 199,999 €</w:t>
            </w:r>
          </w:p>
        </w:tc>
      </w:tr>
      <w:tr w:rsidR="006222E3" w:rsidRPr="00ED7E81" w14:paraId="6717BBF0"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8278F6" w14:textId="77777777" w:rsidR="006222E3" w:rsidRPr="00ED7E81" w:rsidRDefault="006222E3" w:rsidP="000B5462">
            <w:pPr>
              <w:pStyle w:val="ac"/>
              <w:rPr>
                <w:rFonts w:ascii="Times New Roman" w:hAnsi="Times New Roman" w:cs="Times New Roman"/>
              </w:rPr>
            </w:pPr>
            <w:proofErr w:type="spellStart"/>
            <w:r w:rsidRPr="00ED7E81">
              <w:rPr>
                <w:rFonts w:ascii="Times New Roman" w:hAnsi="Times New Roman" w:cs="Times New Roman"/>
                <w:sz w:val="20"/>
                <w:szCs w:val="20"/>
              </w:rPr>
              <w:t>LyondellBasell</w:t>
            </w:r>
            <w:proofErr w:type="spellEnd"/>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672565"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w:t>
            </w:r>
          </w:p>
        </w:tc>
        <w:tc>
          <w:tcPr>
            <w:tcW w:w="1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127E16" w14:textId="77777777" w:rsidR="006222E3" w:rsidRPr="00ED7E81" w:rsidRDefault="006222E3" w:rsidP="000B5462"/>
        </w:tc>
        <w:tc>
          <w:tcPr>
            <w:tcW w:w="2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7C0F80"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2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6B5E91"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500,000 € - 599,999 €</w:t>
            </w:r>
          </w:p>
        </w:tc>
      </w:tr>
      <w:tr w:rsidR="006222E3" w:rsidRPr="00ED7E81" w14:paraId="3DCDC212" w14:textId="77777777" w:rsidTr="000B5462">
        <w:trPr>
          <w:trHeight w:val="481"/>
        </w:trPr>
        <w:tc>
          <w:tcPr>
            <w:tcW w:w="16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491C92C" w14:textId="77777777" w:rsidR="006222E3" w:rsidRPr="00ED7E81" w:rsidRDefault="006222E3" w:rsidP="000B5462">
            <w:pPr>
              <w:pStyle w:val="ac"/>
              <w:rPr>
                <w:rFonts w:ascii="Times New Roman" w:hAnsi="Times New Roman" w:cs="Times New Roman"/>
              </w:rPr>
            </w:pPr>
            <w:proofErr w:type="spellStart"/>
            <w:r w:rsidRPr="00ED7E81">
              <w:rPr>
                <w:rFonts w:ascii="Times New Roman" w:hAnsi="Times New Roman" w:cs="Times New Roman"/>
                <w:sz w:val="20"/>
                <w:szCs w:val="20"/>
              </w:rPr>
              <w:lastRenderedPageBreak/>
              <w:t>HeidelbergCement</w:t>
            </w:r>
            <w:proofErr w:type="spellEnd"/>
          </w:p>
        </w:tc>
        <w:tc>
          <w:tcPr>
            <w:tcW w:w="15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7DF4E70"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14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CD0F409"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2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72EAC79"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7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9B886E"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100,000 € - 199,999 €</w:t>
            </w:r>
          </w:p>
        </w:tc>
      </w:tr>
      <w:tr w:rsidR="006222E3" w:rsidRPr="00ED7E81" w14:paraId="2C8753F6"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9B0BC7"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General Electric</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1F7F99" w14:textId="77777777" w:rsidR="006222E3" w:rsidRPr="00ED7E81" w:rsidRDefault="006222E3" w:rsidP="000B5462">
            <w:pPr>
              <w:jc w:val="right"/>
            </w:pPr>
            <w:r w:rsidRPr="00ED7E81">
              <w:rPr>
                <w:color w:val="000000"/>
                <w14:textOutline w14:w="0" w14:cap="flat" w14:cmpd="sng" w14:algn="ctr">
                  <w14:noFill/>
                  <w14:prstDash w14:val="solid"/>
                  <w14:bevel/>
                </w14:textOutline>
              </w:rPr>
              <w:t>7</w:t>
            </w:r>
          </w:p>
        </w:tc>
        <w:tc>
          <w:tcPr>
            <w:tcW w:w="1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6EF42A" w14:textId="77777777" w:rsidR="006222E3" w:rsidRPr="00ED7E81" w:rsidRDefault="006222E3" w:rsidP="000B5462"/>
        </w:tc>
        <w:tc>
          <w:tcPr>
            <w:tcW w:w="2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99B22C"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8 (4)</w:t>
            </w:r>
          </w:p>
        </w:tc>
        <w:tc>
          <w:tcPr>
            <w:tcW w:w="2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54FD54"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2,000,000 € - 2,249,999 €</w:t>
            </w:r>
          </w:p>
        </w:tc>
      </w:tr>
      <w:tr w:rsidR="006222E3" w:rsidRPr="00ED7E81" w14:paraId="501886F5"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EACD30A"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Glencore</w:t>
            </w:r>
          </w:p>
        </w:tc>
        <w:tc>
          <w:tcPr>
            <w:tcW w:w="15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7291C32"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w:t>
            </w:r>
          </w:p>
        </w:tc>
        <w:tc>
          <w:tcPr>
            <w:tcW w:w="14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F2B83C7" w14:textId="77777777" w:rsidR="006222E3" w:rsidRPr="00ED7E81" w:rsidRDefault="006222E3" w:rsidP="000B5462"/>
        </w:tc>
        <w:tc>
          <w:tcPr>
            <w:tcW w:w="22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6B4C6C"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7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65FB10F" w14:textId="77777777" w:rsidR="006222E3" w:rsidRPr="00ED7E81" w:rsidRDefault="006222E3" w:rsidP="006222E3">
            <w:pPr>
              <w:pStyle w:val="ac"/>
              <w:rPr>
                <w:rFonts w:ascii="Times New Roman" w:hAnsi="Times New Roman" w:cs="Times New Roman"/>
              </w:rPr>
            </w:pPr>
            <w:proofErr w:type="gramStart"/>
            <w:r w:rsidRPr="00ED7E81">
              <w:rPr>
                <w:rFonts w:ascii="Times New Roman" w:hAnsi="Times New Roman" w:cs="Times New Roman"/>
                <w:sz w:val="20"/>
                <w:szCs w:val="20"/>
              </w:rPr>
              <w:t>&lt; 9,999</w:t>
            </w:r>
            <w:proofErr w:type="gramEnd"/>
            <w:r w:rsidRPr="00ED7E81">
              <w:rPr>
                <w:rFonts w:ascii="Times New Roman" w:hAnsi="Times New Roman" w:cs="Times New Roman"/>
                <w:sz w:val="20"/>
                <w:szCs w:val="20"/>
              </w:rPr>
              <w:t xml:space="preserve"> €</w:t>
            </w:r>
          </w:p>
        </w:tc>
      </w:tr>
      <w:tr w:rsidR="006222E3" w:rsidRPr="00ED7E81" w14:paraId="5580ABB9"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FE3E3E"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AIR LIQUIDE</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A6B72D" w14:textId="77777777" w:rsidR="006222E3" w:rsidRPr="00ED7E81" w:rsidRDefault="006222E3" w:rsidP="000B5462">
            <w:pPr>
              <w:jc w:val="right"/>
            </w:pPr>
            <w:r w:rsidRPr="00ED7E81">
              <w:rPr>
                <w:color w:val="000000"/>
                <w14:textOutline w14:w="0" w14:cap="flat" w14:cmpd="sng" w14:algn="ctr">
                  <w14:noFill/>
                  <w14:prstDash w14:val="solid"/>
                  <w14:bevel/>
                </w14:textOutline>
              </w:rPr>
              <w:t>10</w:t>
            </w:r>
          </w:p>
        </w:tc>
        <w:tc>
          <w:tcPr>
            <w:tcW w:w="1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CE0D58" w14:textId="77777777" w:rsidR="006222E3" w:rsidRPr="00ED7E81" w:rsidRDefault="006222E3" w:rsidP="000B5462"/>
        </w:tc>
        <w:tc>
          <w:tcPr>
            <w:tcW w:w="2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E2B433" w14:textId="77777777" w:rsidR="006222E3" w:rsidRPr="00ED7E81" w:rsidRDefault="006222E3" w:rsidP="000B5462">
            <w:pPr>
              <w:jc w:val="right"/>
            </w:pPr>
            <w:r w:rsidRPr="00ED7E81">
              <w:rPr>
                <w:color w:val="000000"/>
                <w14:textOutline w14:w="0" w14:cap="flat" w14:cmpd="sng" w14:algn="ctr">
                  <w14:noFill/>
                  <w14:prstDash w14:val="solid"/>
                  <w14:bevel/>
                </w14:textOutline>
              </w:rPr>
              <w:t>7</w:t>
            </w:r>
          </w:p>
        </w:tc>
        <w:tc>
          <w:tcPr>
            <w:tcW w:w="2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27CA18"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700,000 € - 799,999 €</w:t>
            </w:r>
          </w:p>
        </w:tc>
      </w:tr>
      <w:tr w:rsidR="006222E3" w:rsidRPr="00ED7E81" w14:paraId="79DB6FDA"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48B59B"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Anglo American</w:t>
            </w:r>
          </w:p>
        </w:tc>
        <w:tc>
          <w:tcPr>
            <w:tcW w:w="15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6BD1ED" w14:textId="77777777" w:rsidR="006222E3" w:rsidRPr="00ED7E81" w:rsidRDefault="006222E3" w:rsidP="000B5462">
            <w:pPr>
              <w:jc w:val="right"/>
            </w:pPr>
            <w:r w:rsidRPr="00ED7E81">
              <w:rPr>
                <w:color w:val="000000"/>
                <w14:textOutline w14:w="0" w14:cap="flat" w14:cmpd="sng" w14:algn="ctr">
                  <w14:noFill/>
                  <w14:prstDash w14:val="solid"/>
                  <w14:bevel/>
                </w14:textOutline>
              </w:rPr>
              <w:t>0</w:t>
            </w:r>
          </w:p>
        </w:tc>
        <w:tc>
          <w:tcPr>
            <w:tcW w:w="14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7614A0A" w14:textId="77777777" w:rsidR="006222E3" w:rsidRPr="00ED7E81" w:rsidRDefault="006222E3" w:rsidP="000B5462"/>
        </w:tc>
        <w:tc>
          <w:tcPr>
            <w:tcW w:w="22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A622C69" w14:textId="77777777" w:rsidR="006222E3" w:rsidRPr="00ED7E81" w:rsidRDefault="006222E3" w:rsidP="000B5462">
            <w:pPr>
              <w:jc w:val="right"/>
            </w:pPr>
            <w:r w:rsidRPr="00ED7E81">
              <w:rPr>
                <w:color w:val="000000"/>
                <w14:textOutline w14:w="0" w14:cap="flat" w14:cmpd="sng" w14:algn="ctr">
                  <w14:noFill/>
                  <w14:prstDash w14:val="solid"/>
                  <w14:bevel/>
                </w14:textOutline>
              </w:rPr>
              <w:t>1</w:t>
            </w:r>
          </w:p>
        </w:tc>
        <w:tc>
          <w:tcPr>
            <w:tcW w:w="27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34E9CA1"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100,000 € - 199,999 €</w:t>
            </w:r>
          </w:p>
        </w:tc>
      </w:tr>
      <w:tr w:rsidR="006222E3" w:rsidRPr="00ED7E81" w14:paraId="514F6CA4"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5EF435"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Eni</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CB8951" w14:textId="77777777" w:rsidR="006222E3" w:rsidRPr="00ED7E81" w:rsidRDefault="006222E3" w:rsidP="000B5462">
            <w:pPr>
              <w:jc w:val="right"/>
            </w:pPr>
            <w:r w:rsidRPr="00ED7E81">
              <w:rPr>
                <w:color w:val="000000"/>
                <w14:textOutline w14:w="0" w14:cap="flat" w14:cmpd="sng" w14:algn="ctr">
                  <w14:noFill/>
                  <w14:prstDash w14:val="solid"/>
                  <w14:bevel/>
                </w14:textOutline>
              </w:rPr>
              <w:t>6</w:t>
            </w:r>
          </w:p>
        </w:tc>
        <w:tc>
          <w:tcPr>
            <w:tcW w:w="1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5FD033" w14:textId="77777777" w:rsidR="006222E3" w:rsidRPr="00ED7E81" w:rsidRDefault="006222E3" w:rsidP="000B5462"/>
        </w:tc>
        <w:tc>
          <w:tcPr>
            <w:tcW w:w="2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C32452" w14:textId="77777777" w:rsidR="006222E3" w:rsidRPr="00ED7E81" w:rsidRDefault="006222E3" w:rsidP="000B5462">
            <w:pPr>
              <w:jc w:val="right"/>
            </w:pPr>
            <w:r w:rsidRPr="00ED7E81">
              <w:rPr>
                <w:color w:val="000000"/>
                <w14:textOutline w14:w="0" w14:cap="flat" w14:cmpd="sng" w14:algn="ctr">
                  <w14:noFill/>
                  <w14:prstDash w14:val="solid"/>
                  <w14:bevel/>
                </w14:textOutline>
              </w:rPr>
              <w:t>9</w:t>
            </w:r>
          </w:p>
        </w:tc>
        <w:tc>
          <w:tcPr>
            <w:tcW w:w="2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5537EE"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1,250,000 € - 1,499,999 €</w:t>
            </w:r>
          </w:p>
        </w:tc>
      </w:tr>
      <w:tr w:rsidR="006222E3" w:rsidRPr="00ED7E81" w14:paraId="7BD7204D"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F07BED8"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Ford Motor</w:t>
            </w:r>
          </w:p>
        </w:tc>
        <w:tc>
          <w:tcPr>
            <w:tcW w:w="15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7315A8F" w14:textId="77777777" w:rsidR="006222E3" w:rsidRPr="00ED7E81" w:rsidRDefault="006222E3" w:rsidP="000B5462">
            <w:pPr>
              <w:jc w:val="right"/>
            </w:pPr>
            <w:r w:rsidRPr="00ED7E81">
              <w:rPr>
                <w:color w:val="000000"/>
                <w14:textOutline w14:w="0" w14:cap="flat" w14:cmpd="sng" w14:algn="ctr">
                  <w14:noFill/>
                  <w14:prstDash w14:val="solid"/>
                  <w14:bevel/>
                </w14:textOutline>
              </w:rPr>
              <w:t>1</w:t>
            </w:r>
          </w:p>
        </w:tc>
        <w:tc>
          <w:tcPr>
            <w:tcW w:w="14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B6BDD9D"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2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21BCAE"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27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D504796"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500,000 € - 599,999 €</w:t>
            </w:r>
          </w:p>
        </w:tc>
      </w:tr>
      <w:tr w:rsidR="006222E3" w:rsidRPr="00ED7E81" w14:paraId="5721C0EC"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FF2FE0"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Daimler</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DC4845" w14:textId="77777777" w:rsidR="006222E3" w:rsidRPr="00ED7E81" w:rsidRDefault="006222E3" w:rsidP="000B5462">
            <w:pPr>
              <w:jc w:val="right"/>
            </w:pPr>
            <w:r w:rsidRPr="00ED7E81">
              <w:rPr>
                <w:color w:val="000000"/>
                <w14:textOutline w14:w="0" w14:cap="flat" w14:cmpd="sng" w14:algn="ctr">
                  <w14:noFill/>
                  <w14:prstDash w14:val="solid"/>
                  <w14:bevel/>
                </w14:textOutline>
              </w:rPr>
              <w:t>4</w:t>
            </w:r>
          </w:p>
        </w:tc>
        <w:tc>
          <w:tcPr>
            <w:tcW w:w="1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CD32C4"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216FC8"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17 (5)</w:t>
            </w:r>
          </w:p>
        </w:tc>
        <w:tc>
          <w:tcPr>
            <w:tcW w:w="2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A18B0"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2,000,000 € - 2,249,999 €</w:t>
            </w:r>
          </w:p>
        </w:tc>
      </w:tr>
      <w:tr w:rsidR="006222E3" w:rsidRPr="00ED7E81" w14:paraId="7A1EEFF8"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F30549"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BMW</w:t>
            </w:r>
          </w:p>
        </w:tc>
        <w:tc>
          <w:tcPr>
            <w:tcW w:w="15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A1E9C69" w14:textId="77777777" w:rsidR="006222E3" w:rsidRPr="00ED7E81" w:rsidRDefault="006222E3" w:rsidP="000B5462">
            <w:pPr>
              <w:jc w:val="right"/>
            </w:pPr>
            <w:r w:rsidRPr="00ED7E81">
              <w:rPr>
                <w:color w:val="000000"/>
                <w14:textOutline w14:w="0" w14:cap="flat" w14:cmpd="sng" w14:algn="ctr">
                  <w14:noFill/>
                  <w14:prstDash w14:val="solid"/>
                  <w14:bevel/>
                </w14:textOutline>
              </w:rPr>
              <w:t>4</w:t>
            </w:r>
          </w:p>
        </w:tc>
        <w:tc>
          <w:tcPr>
            <w:tcW w:w="14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3632849"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2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E0D3E94" w14:textId="77777777" w:rsidR="006222E3" w:rsidRPr="00ED7E81" w:rsidRDefault="006222E3" w:rsidP="000B5462">
            <w:pPr>
              <w:jc w:val="right"/>
            </w:pPr>
            <w:r w:rsidRPr="00ED7E81">
              <w:rPr>
                <w:color w:val="000000"/>
                <w14:textOutline w14:w="0" w14:cap="flat" w14:cmpd="sng" w14:algn="ctr">
                  <w14:noFill/>
                  <w14:prstDash w14:val="solid"/>
                  <w14:bevel/>
                </w14:textOutline>
              </w:rPr>
              <w:t>8</w:t>
            </w:r>
          </w:p>
        </w:tc>
        <w:tc>
          <w:tcPr>
            <w:tcW w:w="27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D26873C"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1,250,000 € - 1,499,999 €</w:t>
            </w:r>
          </w:p>
        </w:tc>
      </w:tr>
      <w:tr w:rsidR="006222E3" w:rsidRPr="00ED7E81" w14:paraId="371F4FEF" w14:textId="77777777" w:rsidTr="000B5462">
        <w:trPr>
          <w:trHeight w:val="295"/>
        </w:trPr>
        <w:tc>
          <w:tcPr>
            <w:tcW w:w="1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E901F2"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RENAULT</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C5656" w14:textId="77777777" w:rsidR="006222E3" w:rsidRPr="00ED7E81" w:rsidRDefault="006222E3" w:rsidP="000B5462">
            <w:pPr>
              <w:jc w:val="right"/>
            </w:pPr>
            <w:r w:rsidRPr="00ED7E81">
              <w:rPr>
                <w:color w:val="000000"/>
                <w14:textOutline w14:w="0" w14:cap="flat" w14:cmpd="sng" w14:algn="ctr">
                  <w14:noFill/>
                  <w14:prstDash w14:val="solid"/>
                  <w14:bevel/>
                </w14:textOutline>
              </w:rPr>
              <w:t>4</w:t>
            </w:r>
          </w:p>
        </w:tc>
        <w:tc>
          <w:tcPr>
            <w:tcW w:w="1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890EA4" w14:textId="77777777" w:rsidR="006222E3" w:rsidRPr="00ED7E81" w:rsidRDefault="006222E3" w:rsidP="000B5462">
            <w:pPr>
              <w:jc w:val="right"/>
            </w:pPr>
            <w:r w:rsidRPr="00ED7E81">
              <w:rPr>
                <w:color w:val="000000"/>
                <w14:textOutline w14:w="0" w14:cap="flat" w14:cmpd="sng" w14:algn="ctr">
                  <w14:noFill/>
                  <w14:prstDash w14:val="solid"/>
                  <w14:bevel/>
                </w14:textOutline>
              </w:rPr>
              <w:t>6</w:t>
            </w:r>
          </w:p>
        </w:tc>
        <w:tc>
          <w:tcPr>
            <w:tcW w:w="2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03648C"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4 (2)</w:t>
            </w:r>
          </w:p>
        </w:tc>
        <w:tc>
          <w:tcPr>
            <w:tcW w:w="2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3526D3"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300,000 €- 399,999 €</w:t>
            </w:r>
          </w:p>
        </w:tc>
      </w:tr>
    </w:tbl>
    <w:p w14:paraId="474A5126" w14:textId="77777777" w:rsidR="006222E3" w:rsidRPr="00ED7E81" w:rsidRDefault="006222E3" w:rsidP="006222E3">
      <w:pPr>
        <w:pStyle w:val="ac"/>
        <w:rPr>
          <w:rFonts w:ascii="Times New Roman" w:hAnsi="Times New Roman" w:cs="Times New Roman"/>
        </w:rPr>
      </w:pPr>
    </w:p>
    <w:p w14:paraId="09180A08" w14:textId="77777777" w:rsidR="006222E3" w:rsidRPr="00ED7E81" w:rsidRDefault="006222E3" w:rsidP="006222E3">
      <w:pPr>
        <w:pStyle w:val="ac"/>
        <w:rPr>
          <w:rFonts w:ascii="Times New Roman" w:hAnsi="Times New Roman" w:cs="Times New Roman"/>
          <w:b/>
          <w:bCs/>
        </w:rPr>
      </w:pPr>
      <w:r w:rsidRPr="00ED7E81">
        <w:rPr>
          <w:rFonts w:ascii="Times New Roman" w:hAnsi="Times New Roman" w:cs="Times New Roman"/>
          <w:b/>
          <w:bCs/>
        </w:rPr>
        <w:t xml:space="preserve">Таблица №4. </w:t>
      </w:r>
    </w:p>
    <w:p w14:paraId="7A45859B" w14:textId="77777777" w:rsidR="006222E3" w:rsidRPr="00ED7E81" w:rsidRDefault="006222E3" w:rsidP="006222E3">
      <w:pPr>
        <w:pStyle w:val="ac"/>
        <w:rPr>
          <w:rFonts w:ascii="Times New Roman" w:hAnsi="Times New Roman" w:cs="Times New Roman"/>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7"/>
        <w:gridCol w:w="1338"/>
        <w:gridCol w:w="1430"/>
        <w:gridCol w:w="2153"/>
        <w:gridCol w:w="2782"/>
      </w:tblGrid>
      <w:tr w:rsidR="006222E3" w:rsidRPr="00ED7E81" w14:paraId="4AF80B78" w14:textId="77777777" w:rsidTr="000B5462">
        <w:trPr>
          <w:trHeight w:val="961"/>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238E0F" w14:textId="77777777" w:rsidR="006222E3" w:rsidRPr="00ED7E81" w:rsidRDefault="006222E3" w:rsidP="000B5462"/>
        </w:tc>
        <w:tc>
          <w:tcPr>
            <w:tcW w:w="1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0DADF0"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i/>
                <w:iCs/>
              </w:rPr>
              <w:t xml:space="preserve">Кол-во прямых контактов с ЕК в 2020 г. </w:t>
            </w:r>
          </w:p>
        </w:tc>
        <w:tc>
          <w:tcPr>
            <w:tcW w:w="1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D6BDE3"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i/>
                <w:iCs/>
              </w:rPr>
              <w:t xml:space="preserve">Участие в экспертных группах ЕК </w:t>
            </w: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3F5DF1" w14:textId="77777777" w:rsidR="006222E3" w:rsidRPr="00ED7E81" w:rsidRDefault="006222E3" w:rsidP="000B5462">
            <w:pPr>
              <w:pStyle w:val="21"/>
              <w:rPr>
                <w:rFonts w:ascii="Times New Roman" w:hAnsi="Times New Roman" w:cs="Times New Roman"/>
              </w:rPr>
            </w:pPr>
            <w:r w:rsidRPr="00ED7E81">
              <w:rPr>
                <w:rFonts w:ascii="Times New Roman" w:hAnsi="Times New Roman" w:cs="Times New Roman"/>
                <w:i/>
                <w:iCs/>
              </w:rPr>
              <w:t>Кол-во вовлечённых сотрудников (из них имеют пропуск в ЕП)</w:t>
            </w:r>
          </w:p>
        </w:tc>
        <w:tc>
          <w:tcPr>
            <w:tcW w:w="2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03D465"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Расходы на Лоббизм</w:t>
            </w:r>
          </w:p>
        </w:tc>
      </w:tr>
      <w:tr w:rsidR="006222E3" w:rsidRPr="00ED7E81" w14:paraId="56F72C14" w14:textId="77777777" w:rsidTr="000B5462">
        <w:trPr>
          <w:trHeight w:val="481"/>
        </w:trPr>
        <w:tc>
          <w:tcPr>
            <w:tcW w:w="1926"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28DCE033"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Ocean Energy Europe</w:t>
            </w:r>
          </w:p>
        </w:tc>
        <w:tc>
          <w:tcPr>
            <w:tcW w:w="1338"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3C91C3B1" w14:textId="77777777" w:rsidR="006222E3" w:rsidRPr="00ED7E81" w:rsidRDefault="006222E3" w:rsidP="000B5462">
            <w:pPr>
              <w:jc w:val="right"/>
            </w:pPr>
            <w:r w:rsidRPr="00ED7E81">
              <w:rPr>
                <w:color w:val="000000"/>
                <w14:textOutline w14:w="0" w14:cap="flat" w14:cmpd="sng" w14:algn="ctr">
                  <w14:noFill/>
                  <w14:prstDash w14:val="solid"/>
                  <w14:bevel/>
                </w14:textOutline>
              </w:rPr>
              <w:t>6</w:t>
            </w:r>
          </w:p>
        </w:tc>
        <w:tc>
          <w:tcPr>
            <w:tcW w:w="1430"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3F0D3BDC" w14:textId="77777777" w:rsidR="006222E3" w:rsidRPr="00ED7E81" w:rsidRDefault="006222E3" w:rsidP="000B5462"/>
        </w:tc>
        <w:tc>
          <w:tcPr>
            <w:tcW w:w="2153"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79BE4999" w14:textId="77777777" w:rsidR="006222E3" w:rsidRPr="00ED7E81" w:rsidRDefault="006222E3" w:rsidP="000B5462">
            <w:pPr>
              <w:jc w:val="right"/>
            </w:pPr>
            <w:r w:rsidRPr="00ED7E81">
              <w:rPr>
                <w:color w:val="000000"/>
                <w14:textOutline w14:w="0" w14:cap="flat" w14:cmpd="sng" w14:algn="ctr">
                  <w14:noFill/>
                  <w14:prstDash w14:val="solid"/>
                  <w14:bevel/>
                </w14:textOutline>
              </w:rPr>
              <w:t>5</w:t>
            </w:r>
          </w:p>
        </w:tc>
        <w:tc>
          <w:tcPr>
            <w:tcW w:w="2781"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141A7B41"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200,000 €- 299,999 €</w:t>
            </w:r>
          </w:p>
        </w:tc>
      </w:tr>
      <w:tr w:rsidR="006222E3" w:rsidRPr="00ED7E81" w14:paraId="60F2F334"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6362CF55" w14:textId="77777777" w:rsidR="006222E3" w:rsidRPr="00ED7E81" w:rsidRDefault="006222E3" w:rsidP="000B5462">
            <w:pPr>
              <w:pStyle w:val="ac"/>
              <w:rPr>
                <w:rFonts w:ascii="Times New Roman" w:hAnsi="Times New Roman" w:cs="Times New Roman"/>
              </w:rPr>
            </w:pPr>
            <w:proofErr w:type="spellStart"/>
            <w:r w:rsidRPr="00ED7E81">
              <w:rPr>
                <w:rFonts w:ascii="Times New Roman" w:hAnsi="Times New Roman" w:cs="Times New Roman"/>
                <w:sz w:val="20"/>
                <w:szCs w:val="20"/>
              </w:rPr>
              <w:t>SolarPower</w:t>
            </w:r>
            <w:proofErr w:type="spellEnd"/>
            <w:r w:rsidRPr="00ED7E81">
              <w:rPr>
                <w:rFonts w:ascii="Times New Roman" w:hAnsi="Times New Roman" w:cs="Times New Roman"/>
                <w:sz w:val="20"/>
                <w:szCs w:val="20"/>
              </w:rPr>
              <w:t xml:space="preserve"> Europe</w:t>
            </w:r>
          </w:p>
        </w:tc>
        <w:tc>
          <w:tcPr>
            <w:tcW w:w="1338"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60B8E870" w14:textId="77777777" w:rsidR="006222E3" w:rsidRPr="00ED7E81" w:rsidRDefault="006222E3" w:rsidP="000B5462">
            <w:pPr>
              <w:jc w:val="right"/>
            </w:pPr>
            <w:r w:rsidRPr="00ED7E81">
              <w:rPr>
                <w:color w:val="000000"/>
                <w14:textOutline w14:w="0" w14:cap="flat" w14:cmpd="sng" w14:algn="ctr">
                  <w14:noFill/>
                  <w14:prstDash w14:val="solid"/>
                  <w14:bevel/>
                </w14:textOutline>
              </w:rPr>
              <w:t>15</w:t>
            </w:r>
          </w:p>
        </w:tc>
        <w:tc>
          <w:tcPr>
            <w:tcW w:w="1430"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30B9F47E"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2153"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68E55D83" w14:textId="77777777" w:rsidR="006222E3" w:rsidRPr="00ED7E81" w:rsidRDefault="006222E3" w:rsidP="000B5462">
            <w:pPr>
              <w:jc w:val="right"/>
            </w:pPr>
            <w:r w:rsidRPr="00ED7E81">
              <w:rPr>
                <w:color w:val="000000"/>
                <w14:textOutline w14:w="0" w14:cap="flat" w14:cmpd="sng" w14:algn="ctr">
                  <w14:noFill/>
                  <w14:prstDash w14:val="solid"/>
                  <w14:bevel/>
                </w14:textOutline>
              </w:rPr>
              <w:t>6</w:t>
            </w:r>
          </w:p>
        </w:tc>
        <w:tc>
          <w:tcPr>
            <w:tcW w:w="2781"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42415F54"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300,000 € - 399,999 €</w:t>
            </w:r>
          </w:p>
        </w:tc>
      </w:tr>
      <w:tr w:rsidR="006222E3" w:rsidRPr="00ED7E81" w14:paraId="05643BD4"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6368FBFD" w14:textId="77777777" w:rsidR="006222E3" w:rsidRPr="00ED7E81" w:rsidRDefault="006222E3" w:rsidP="000B5462">
            <w:pPr>
              <w:pStyle w:val="ac"/>
              <w:rPr>
                <w:rFonts w:ascii="Times New Roman" w:hAnsi="Times New Roman" w:cs="Times New Roman"/>
              </w:rPr>
            </w:pPr>
            <w:proofErr w:type="spellStart"/>
            <w:r w:rsidRPr="00ED7E81">
              <w:rPr>
                <w:rFonts w:ascii="Times New Roman" w:hAnsi="Times New Roman" w:cs="Times New Roman"/>
                <w:sz w:val="20"/>
                <w:szCs w:val="20"/>
              </w:rPr>
              <w:t>WindEurope</w:t>
            </w:r>
            <w:proofErr w:type="spellEnd"/>
          </w:p>
        </w:tc>
        <w:tc>
          <w:tcPr>
            <w:tcW w:w="1338"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4D97FA8B" w14:textId="77777777" w:rsidR="006222E3" w:rsidRPr="00ED7E81" w:rsidRDefault="006222E3" w:rsidP="000B5462">
            <w:pPr>
              <w:jc w:val="right"/>
            </w:pPr>
            <w:r w:rsidRPr="00ED7E81">
              <w:rPr>
                <w:color w:val="000000"/>
                <w14:textOutline w14:w="0" w14:cap="flat" w14:cmpd="sng" w14:algn="ctr">
                  <w14:noFill/>
                  <w14:prstDash w14:val="solid"/>
                  <w14:bevel/>
                </w14:textOutline>
              </w:rPr>
              <w:t>16</w:t>
            </w:r>
          </w:p>
        </w:tc>
        <w:tc>
          <w:tcPr>
            <w:tcW w:w="1430"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5A7373F8"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153"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1A34EA41" w14:textId="77777777" w:rsidR="006222E3" w:rsidRPr="00ED7E81" w:rsidRDefault="006222E3" w:rsidP="000B5462">
            <w:pPr>
              <w:jc w:val="right"/>
            </w:pPr>
            <w:r w:rsidRPr="00ED7E81">
              <w:rPr>
                <w:color w:val="000000"/>
                <w14:textOutline w14:w="0" w14:cap="flat" w14:cmpd="sng" w14:algn="ctr">
                  <w14:noFill/>
                  <w14:prstDash w14:val="solid"/>
                  <w14:bevel/>
                </w14:textOutline>
              </w:rPr>
              <w:t>15</w:t>
            </w:r>
          </w:p>
        </w:tc>
        <w:tc>
          <w:tcPr>
            <w:tcW w:w="2781"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7B0B8E6F"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1,000,000 € - 1,249,999 €</w:t>
            </w:r>
          </w:p>
        </w:tc>
      </w:tr>
      <w:tr w:rsidR="006222E3" w:rsidRPr="00ED7E81" w14:paraId="0A2580F0" w14:textId="77777777" w:rsidTr="000B5462">
        <w:trPr>
          <w:trHeight w:val="481"/>
        </w:trPr>
        <w:tc>
          <w:tcPr>
            <w:tcW w:w="1926"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7157DF19" w14:textId="77777777" w:rsidR="006222E3" w:rsidRPr="00ED7E81" w:rsidRDefault="006222E3" w:rsidP="000B5462">
            <w:pPr>
              <w:pStyle w:val="ac"/>
              <w:rPr>
                <w:rFonts w:ascii="Times New Roman" w:hAnsi="Times New Roman" w:cs="Times New Roman"/>
              </w:rPr>
            </w:pPr>
            <w:proofErr w:type="spellStart"/>
            <w:r w:rsidRPr="00ED7E81">
              <w:rPr>
                <w:rFonts w:ascii="Times New Roman" w:hAnsi="Times New Roman" w:cs="Times New Roman"/>
                <w:sz w:val="20"/>
                <w:szCs w:val="20"/>
              </w:rPr>
              <w:t>Confederation</w:t>
            </w:r>
            <w:proofErr w:type="spellEnd"/>
            <w:r w:rsidRPr="00ED7E81">
              <w:rPr>
                <w:rFonts w:ascii="Times New Roman" w:hAnsi="Times New Roman" w:cs="Times New Roman"/>
                <w:sz w:val="20"/>
                <w:szCs w:val="20"/>
              </w:rPr>
              <w:t xml:space="preserve"> </w:t>
            </w:r>
            <w:proofErr w:type="spellStart"/>
            <w:r w:rsidRPr="00ED7E81">
              <w:rPr>
                <w:rFonts w:ascii="Times New Roman" w:hAnsi="Times New Roman" w:cs="Times New Roman"/>
                <w:sz w:val="20"/>
                <w:szCs w:val="20"/>
              </w:rPr>
              <w:t>of</w:t>
            </w:r>
            <w:proofErr w:type="spellEnd"/>
            <w:r w:rsidRPr="00ED7E81">
              <w:rPr>
                <w:rFonts w:ascii="Times New Roman" w:hAnsi="Times New Roman" w:cs="Times New Roman"/>
                <w:sz w:val="20"/>
                <w:szCs w:val="20"/>
              </w:rPr>
              <w:t xml:space="preserve"> British Industry</w:t>
            </w:r>
          </w:p>
        </w:tc>
        <w:tc>
          <w:tcPr>
            <w:tcW w:w="1338"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5316ACEE" w14:textId="77777777" w:rsidR="006222E3" w:rsidRPr="00ED7E81" w:rsidRDefault="006222E3" w:rsidP="000B5462">
            <w:pPr>
              <w:jc w:val="right"/>
            </w:pPr>
            <w:r w:rsidRPr="00ED7E81">
              <w:rPr>
                <w:color w:val="000000"/>
                <w14:textOutline w14:w="0" w14:cap="flat" w14:cmpd="sng" w14:algn="ctr">
                  <w14:noFill/>
                  <w14:prstDash w14:val="solid"/>
                  <w14:bevel/>
                </w14:textOutline>
              </w:rPr>
              <w:t>1</w:t>
            </w:r>
          </w:p>
        </w:tc>
        <w:tc>
          <w:tcPr>
            <w:tcW w:w="1430"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27F50133"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153"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7D3BDA17" w14:textId="77777777" w:rsidR="006222E3" w:rsidRPr="00ED7E81" w:rsidRDefault="006222E3" w:rsidP="000B5462">
            <w:pPr>
              <w:jc w:val="right"/>
            </w:pPr>
            <w:r w:rsidRPr="00ED7E81">
              <w:rPr>
                <w:color w:val="000000"/>
                <w14:textOutline w14:w="0" w14:cap="flat" w14:cmpd="sng" w14:algn="ctr">
                  <w14:noFill/>
                  <w14:prstDash w14:val="solid"/>
                  <w14:bevel/>
                </w14:textOutline>
              </w:rPr>
              <w:t>30</w:t>
            </w:r>
          </w:p>
        </w:tc>
        <w:tc>
          <w:tcPr>
            <w:tcW w:w="2781"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7C2A9904" w14:textId="77777777" w:rsidR="00C87316"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900,000 € - 999,999 €</w:t>
            </w:r>
          </w:p>
          <w:p w14:paraId="093D279E" w14:textId="77777777" w:rsidR="006222E3" w:rsidRPr="00ED7E81" w:rsidRDefault="006222E3" w:rsidP="00C87316">
            <w:pPr>
              <w:jc w:val="right"/>
            </w:pPr>
          </w:p>
        </w:tc>
      </w:tr>
      <w:tr w:rsidR="006222E3" w:rsidRPr="00ED7E81" w14:paraId="24AE1A92"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BD034ED" w14:textId="77777777" w:rsidR="006222E3" w:rsidRPr="00ED7E81" w:rsidRDefault="006222E3" w:rsidP="000B5462">
            <w:pPr>
              <w:pStyle w:val="ac"/>
              <w:rPr>
                <w:rFonts w:ascii="Times New Roman" w:hAnsi="Times New Roman" w:cs="Times New Roman"/>
              </w:rPr>
            </w:pPr>
            <w:proofErr w:type="spellStart"/>
            <w:r w:rsidRPr="00ED7E81">
              <w:rPr>
                <w:rFonts w:ascii="Times New Roman" w:hAnsi="Times New Roman" w:cs="Times New Roman"/>
                <w:sz w:val="20"/>
                <w:szCs w:val="20"/>
              </w:rPr>
              <w:t>AmCham</w:t>
            </w:r>
            <w:proofErr w:type="spellEnd"/>
            <w:r w:rsidRPr="00ED7E81">
              <w:rPr>
                <w:rFonts w:ascii="Times New Roman" w:hAnsi="Times New Roman" w:cs="Times New Roman"/>
                <w:sz w:val="20"/>
                <w:szCs w:val="20"/>
              </w:rPr>
              <w:t xml:space="preserve"> EU</w:t>
            </w:r>
          </w:p>
        </w:tc>
        <w:tc>
          <w:tcPr>
            <w:tcW w:w="1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D8B5BB6" w14:textId="77777777" w:rsidR="006222E3" w:rsidRPr="00ED7E81" w:rsidRDefault="006222E3" w:rsidP="000B5462">
            <w:pPr>
              <w:jc w:val="right"/>
            </w:pPr>
            <w:r w:rsidRPr="00ED7E81">
              <w:rPr>
                <w:color w:val="000000"/>
                <w14:textOutline w14:w="0" w14:cap="flat" w14:cmpd="sng" w14:algn="ctr">
                  <w14:noFill/>
                  <w14:prstDash w14:val="solid"/>
                  <w14:bevel/>
                </w14:textOutline>
              </w:rPr>
              <w:t>35</w:t>
            </w:r>
          </w:p>
        </w:tc>
        <w:tc>
          <w:tcPr>
            <w:tcW w:w="14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64A395F" w14:textId="77777777" w:rsidR="006222E3" w:rsidRPr="00ED7E81" w:rsidRDefault="006222E3" w:rsidP="000B5462">
            <w:pPr>
              <w:jc w:val="right"/>
            </w:pPr>
            <w:r w:rsidRPr="00ED7E81">
              <w:rPr>
                <w:color w:val="000000"/>
                <w14:textOutline w14:w="0" w14:cap="flat" w14:cmpd="sng" w14:algn="ctr">
                  <w14:noFill/>
                  <w14:prstDash w14:val="solid"/>
                  <w14:bevel/>
                </w14:textOutline>
              </w:rPr>
              <w:t>6</w:t>
            </w:r>
          </w:p>
        </w:tc>
        <w:tc>
          <w:tcPr>
            <w:tcW w:w="21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887CCB4"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29 (9)</w:t>
            </w:r>
          </w:p>
        </w:tc>
        <w:tc>
          <w:tcPr>
            <w:tcW w:w="27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CC4CB09"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1,000,000 € - 1,249,999 €</w:t>
            </w:r>
          </w:p>
        </w:tc>
      </w:tr>
      <w:tr w:rsidR="006222E3" w:rsidRPr="00ED7E81" w14:paraId="163E035F"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3E2815"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IATA</w:t>
            </w:r>
          </w:p>
        </w:tc>
        <w:tc>
          <w:tcPr>
            <w:tcW w:w="1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948DB0" w14:textId="77777777" w:rsidR="006222E3" w:rsidRPr="00ED7E81" w:rsidRDefault="006222E3" w:rsidP="000B5462">
            <w:pPr>
              <w:jc w:val="right"/>
            </w:pPr>
            <w:r w:rsidRPr="00ED7E81">
              <w:rPr>
                <w:color w:val="000000"/>
                <w14:textOutline w14:w="0" w14:cap="flat" w14:cmpd="sng" w14:algn="ctr">
                  <w14:noFill/>
                  <w14:prstDash w14:val="solid"/>
                  <w14:bevel/>
                </w14:textOutline>
              </w:rPr>
              <w:t>6</w:t>
            </w:r>
          </w:p>
        </w:tc>
        <w:tc>
          <w:tcPr>
            <w:tcW w:w="1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0C6D88" w14:textId="77777777" w:rsidR="006222E3" w:rsidRPr="00ED7E81" w:rsidRDefault="006222E3" w:rsidP="000B5462">
            <w:pPr>
              <w:jc w:val="right"/>
            </w:pPr>
            <w:r w:rsidRPr="00ED7E81">
              <w:rPr>
                <w:color w:val="000000"/>
                <w14:textOutline w14:w="0" w14:cap="flat" w14:cmpd="sng" w14:algn="ctr">
                  <w14:noFill/>
                  <w14:prstDash w14:val="solid"/>
                  <w14:bevel/>
                </w14:textOutline>
              </w:rPr>
              <w:t>9</w:t>
            </w: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D2D704" w14:textId="77777777" w:rsidR="006222E3" w:rsidRPr="00ED7E81" w:rsidRDefault="006222E3" w:rsidP="000B5462">
            <w:pPr>
              <w:jc w:val="right"/>
            </w:pPr>
            <w:r w:rsidRPr="00ED7E81">
              <w:rPr>
                <w:color w:val="000000"/>
                <w14:textOutline w14:w="0" w14:cap="flat" w14:cmpd="sng" w14:algn="ctr">
                  <w14:noFill/>
                  <w14:prstDash w14:val="solid"/>
                  <w14:bevel/>
                </w14:textOutline>
              </w:rPr>
              <w:t>4</w:t>
            </w:r>
          </w:p>
        </w:tc>
        <w:tc>
          <w:tcPr>
            <w:tcW w:w="2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8FA1C5"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900,000 € - 999,999 €</w:t>
            </w:r>
          </w:p>
        </w:tc>
      </w:tr>
      <w:tr w:rsidR="006222E3" w:rsidRPr="00ED7E81" w14:paraId="35CD0B84"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141047" w14:textId="77777777" w:rsidR="006222E3" w:rsidRPr="00ED7E81" w:rsidRDefault="006222E3" w:rsidP="000B5462">
            <w:pPr>
              <w:pStyle w:val="ac"/>
              <w:rPr>
                <w:rFonts w:ascii="Times New Roman" w:hAnsi="Times New Roman" w:cs="Times New Roman"/>
              </w:rPr>
            </w:pPr>
            <w:proofErr w:type="spellStart"/>
            <w:r w:rsidRPr="00ED7E81">
              <w:rPr>
                <w:rFonts w:ascii="Times New Roman" w:hAnsi="Times New Roman" w:cs="Times New Roman"/>
                <w:sz w:val="20"/>
                <w:szCs w:val="20"/>
              </w:rPr>
              <w:t>Cefic</w:t>
            </w:r>
            <w:proofErr w:type="spellEnd"/>
          </w:p>
        </w:tc>
        <w:tc>
          <w:tcPr>
            <w:tcW w:w="1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C1598B" w14:textId="77777777" w:rsidR="006222E3" w:rsidRPr="00ED7E81" w:rsidRDefault="006222E3" w:rsidP="000B5462">
            <w:pPr>
              <w:jc w:val="right"/>
            </w:pPr>
            <w:r w:rsidRPr="00ED7E81">
              <w:rPr>
                <w:color w:val="000000"/>
                <w14:textOutline w14:w="0" w14:cap="flat" w14:cmpd="sng" w14:algn="ctr">
                  <w14:noFill/>
                  <w14:prstDash w14:val="solid"/>
                  <w14:bevel/>
                </w14:textOutline>
              </w:rPr>
              <w:t>33</w:t>
            </w:r>
          </w:p>
        </w:tc>
        <w:tc>
          <w:tcPr>
            <w:tcW w:w="14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951CF6" w14:textId="77777777" w:rsidR="006222E3" w:rsidRPr="00ED7E81" w:rsidRDefault="006222E3" w:rsidP="000B5462">
            <w:pPr>
              <w:jc w:val="right"/>
            </w:pPr>
            <w:r w:rsidRPr="00ED7E81">
              <w:rPr>
                <w:color w:val="000000"/>
                <w14:textOutline w14:w="0" w14:cap="flat" w14:cmpd="sng" w14:algn="ctr">
                  <w14:noFill/>
                  <w14:prstDash w14:val="solid"/>
                  <w14:bevel/>
                </w14:textOutline>
              </w:rPr>
              <w:t>32</w:t>
            </w:r>
          </w:p>
        </w:tc>
        <w:tc>
          <w:tcPr>
            <w:tcW w:w="21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784DFC3"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83 (12)</w:t>
            </w:r>
          </w:p>
        </w:tc>
        <w:tc>
          <w:tcPr>
            <w:tcW w:w="27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F88FFE0"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9,000,000 € - 9,249,999 €</w:t>
            </w:r>
          </w:p>
        </w:tc>
      </w:tr>
      <w:tr w:rsidR="006222E3" w:rsidRPr="00ED7E81" w14:paraId="7010F5ED"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3FAA50" w14:textId="77777777" w:rsidR="006222E3" w:rsidRPr="00ED7E81" w:rsidRDefault="006222E3" w:rsidP="000B5462">
            <w:pPr>
              <w:pStyle w:val="ac"/>
              <w:rPr>
                <w:rFonts w:ascii="Times New Roman" w:hAnsi="Times New Roman" w:cs="Times New Roman"/>
              </w:rPr>
            </w:pPr>
            <w:proofErr w:type="spellStart"/>
            <w:r w:rsidRPr="00ED7E81">
              <w:rPr>
                <w:rFonts w:ascii="Times New Roman" w:hAnsi="Times New Roman" w:cs="Times New Roman"/>
                <w:sz w:val="20"/>
                <w:szCs w:val="20"/>
              </w:rPr>
              <w:t>BusinessEurope</w:t>
            </w:r>
            <w:proofErr w:type="spellEnd"/>
          </w:p>
        </w:tc>
        <w:tc>
          <w:tcPr>
            <w:tcW w:w="1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56CFF" w14:textId="77777777" w:rsidR="006222E3" w:rsidRPr="00ED7E81" w:rsidRDefault="006222E3" w:rsidP="000B5462">
            <w:pPr>
              <w:jc w:val="right"/>
            </w:pPr>
            <w:r w:rsidRPr="00ED7E81">
              <w:rPr>
                <w:color w:val="000000"/>
                <w14:textOutline w14:w="0" w14:cap="flat" w14:cmpd="sng" w14:algn="ctr">
                  <w14:noFill/>
                  <w14:prstDash w14:val="solid"/>
                  <w14:bevel/>
                </w14:textOutline>
              </w:rPr>
              <w:t>59</w:t>
            </w:r>
          </w:p>
        </w:tc>
        <w:tc>
          <w:tcPr>
            <w:tcW w:w="1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E3335F" w14:textId="77777777" w:rsidR="006222E3" w:rsidRPr="00ED7E81" w:rsidRDefault="006222E3" w:rsidP="000B5462">
            <w:pPr>
              <w:jc w:val="right"/>
            </w:pPr>
            <w:r w:rsidRPr="00ED7E81">
              <w:rPr>
                <w:color w:val="000000"/>
                <w14:textOutline w14:w="0" w14:cap="flat" w14:cmpd="sng" w14:algn="ctr">
                  <w14:noFill/>
                  <w14:prstDash w14:val="solid"/>
                  <w14:bevel/>
                </w14:textOutline>
              </w:rPr>
              <w:t>50</w:t>
            </w: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36C151" w14:textId="77777777" w:rsidR="006222E3" w:rsidRPr="00ED7E81" w:rsidRDefault="006222E3" w:rsidP="000B5462">
            <w:pPr>
              <w:jc w:val="right"/>
            </w:pPr>
            <w:r w:rsidRPr="00ED7E81">
              <w:rPr>
                <w:color w:val="000000"/>
                <w14:textOutline w14:w="0" w14:cap="flat" w14:cmpd="sng" w14:algn="ctr">
                  <w14:noFill/>
                  <w14:prstDash w14:val="solid"/>
                  <w14:bevel/>
                </w14:textOutline>
              </w:rPr>
              <w:t>30</w:t>
            </w:r>
          </w:p>
        </w:tc>
        <w:tc>
          <w:tcPr>
            <w:tcW w:w="2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A3195E"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4,000,000 € - 4,249,999 €</w:t>
            </w:r>
          </w:p>
        </w:tc>
      </w:tr>
      <w:tr w:rsidR="006222E3" w:rsidRPr="00ED7E81" w14:paraId="08510D48"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5B76993"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ACEA</w:t>
            </w:r>
          </w:p>
        </w:tc>
        <w:tc>
          <w:tcPr>
            <w:tcW w:w="1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5A1C91" w14:textId="77777777" w:rsidR="006222E3" w:rsidRPr="00ED7E81" w:rsidRDefault="006222E3" w:rsidP="000B5462">
            <w:pPr>
              <w:jc w:val="right"/>
            </w:pPr>
            <w:r w:rsidRPr="00ED7E81">
              <w:rPr>
                <w:color w:val="000000"/>
                <w14:textOutline w14:w="0" w14:cap="flat" w14:cmpd="sng" w14:algn="ctr">
                  <w14:noFill/>
                  <w14:prstDash w14:val="solid"/>
                  <w14:bevel/>
                </w14:textOutline>
              </w:rPr>
              <w:t>21</w:t>
            </w:r>
          </w:p>
        </w:tc>
        <w:tc>
          <w:tcPr>
            <w:tcW w:w="14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06E3A8" w14:textId="77777777" w:rsidR="006222E3" w:rsidRPr="00ED7E81" w:rsidRDefault="006222E3" w:rsidP="000B5462">
            <w:pPr>
              <w:jc w:val="right"/>
            </w:pPr>
            <w:r w:rsidRPr="00ED7E81">
              <w:rPr>
                <w:color w:val="000000"/>
                <w14:textOutline w14:w="0" w14:cap="flat" w14:cmpd="sng" w14:algn="ctr">
                  <w14:noFill/>
                  <w14:prstDash w14:val="solid"/>
                  <w14:bevel/>
                </w14:textOutline>
              </w:rPr>
              <w:t>23</w:t>
            </w:r>
          </w:p>
        </w:tc>
        <w:tc>
          <w:tcPr>
            <w:tcW w:w="21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7587CFA"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19 (12)</w:t>
            </w:r>
          </w:p>
        </w:tc>
        <w:tc>
          <w:tcPr>
            <w:tcW w:w="27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8BF273C"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2,500,000 € - 2,749,999 €</w:t>
            </w:r>
          </w:p>
        </w:tc>
      </w:tr>
      <w:tr w:rsidR="006222E3" w:rsidRPr="00ED7E81" w14:paraId="32A203C0"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772686" w14:textId="77777777" w:rsidR="006222E3" w:rsidRPr="00ED7E81" w:rsidRDefault="006222E3" w:rsidP="000B5462">
            <w:pPr>
              <w:pStyle w:val="ac"/>
              <w:rPr>
                <w:rFonts w:ascii="Times New Roman" w:hAnsi="Times New Roman" w:cs="Times New Roman"/>
              </w:rPr>
            </w:pPr>
            <w:proofErr w:type="spellStart"/>
            <w:r w:rsidRPr="00ED7E81">
              <w:rPr>
                <w:rFonts w:ascii="Times New Roman" w:hAnsi="Times New Roman" w:cs="Times New Roman"/>
                <w:sz w:val="20"/>
                <w:szCs w:val="20"/>
              </w:rPr>
              <w:t>FuelsEurope</w:t>
            </w:r>
            <w:proofErr w:type="spellEnd"/>
          </w:p>
        </w:tc>
        <w:tc>
          <w:tcPr>
            <w:tcW w:w="1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0DB253" w14:textId="77777777" w:rsidR="006222E3" w:rsidRPr="00ED7E81" w:rsidRDefault="006222E3" w:rsidP="000B5462">
            <w:pPr>
              <w:jc w:val="right"/>
            </w:pPr>
            <w:r w:rsidRPr="00ED7E81">
              <w:rPr>
                <w:color w:val="000000"/>
                <w14:textOutline w14:w="0" w14:cap="flat" w14:cmpd="sng" w14:algn="ctr">
                  <w14:noFill/>
                  <w14:prstDash w14:val="solid"/>
                  <w14:bevel/>
                </w14:textOutline>
              </w:rPr>
              <w:t>6</w:t>
            </w:r>
          </w:p>
        </w:tc>
        <w:tc>
          <w:tcPr>
            <w:tcW w:w="1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7F1D93" w14:textId="77777777" w:rsidR="006222E3" w:rsidRPr="00ED7E81" w:rsidRDefault="006222E3" w:rsidP="000B5462">
            <w:pPr>
              <w:jc w:val="right"/>
            </w:pPr>
            <w:r w:rsidRPr="00ED7E81">
              <w:rPr>
                <w:color w:val="000000"/>
                <w14:textOutline w14:w="0" w14:cap="flat" w14:cmpd="sng" w14:algn="ctr">
                  <w14:noFill/>
                  <w14:prstDash w14:val="solid"/>
                  <w14:bevel/>
                </w14:textOutline>
              </w:rPr>
              <w:t>8</w:t>
            </w: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E8152"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15 (8)</w:t>
            </w:r>
          </w:p>
        </w:tc>
        <w:tc>
          <w:tcPr>
            <w:tcW w:w="2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D3F670"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3,250,000 € - 3,499,999 €</w:t>
            </w:r>
          </w:p>
        </w:tc>
      </w:tr>
      <w:tr w:rsidR="006222E3" w:rsidRPr="00ED7E81" w14:paraId="44B20C12"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C76A728"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ICS</w:t>
            </w:r>
          </w:p>
        </w:tc>
        <w:tc>
          <w:tcPr>
            <w:tcW w:w="1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F76B2B" w14:textId="77777777" w:rsidR="006222E3" w:rsidRPr="00ED7E81" w:rsidRDefault="006222E3" w:rsidP="000B5462">
            <w:pPr>
              <w:jc w:val="right"/>
            </w:pPr>
            <w:r w:rsidRPr="00ED7E81">
              <w:rPr>
                <w:color w:val="000000"/>
                <w14:textOutline w14:w="0" w14:cap="flat" w14:cmpd="sng" w14:algn="ctr">
                  <w14:noFill/>
                  <w14:prstDash w14:val="solid"/>
                  <w14:bevel/>
                </w14:textOutline>
              </w:rPr>
              <w:t>0</w:t>
            </w:r>
          </w:p>
        </w:tc>
        <w:tc>
          <w:tcPr>
            <w:tcW w:w="14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D72EF5"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1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313AC8" w14:textId="77777777" w:rsidR="006222E3" w:rsidRPr="00ED7E81" w:rsidRDefault="006222E3" w:rsidP="000B5462">
            <w:pPr>
              <w:jc w:val="right"/>
            </w:pPr>
            <w:r w:rsidRPr="00ED7E81">
              <w:rPr>
                <w:color w:val="000000"/>
                <w14:textOutline w14:w="0" w14:cap="flat" w14:cmpd="sng" w14:algn="ctr">
                  <w14:noFill/>
                  <w14:prstDash w14:val="solid"/>
                  <w14:bevel/>
                </w14:textOutline>
              </w:rPr>
              <w:t>4</w:t>
            </w:r>
          </w:p>
        </w:tc>
        <w:tc>
          <w:tcPr>
            <w:tcW w:w="27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A8D2F7"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10,000 € - 24,999 €</w:t>
            </w:r>
          </w:p>
        </w:tc>
      </w:tr>
      <w:tr w:rsidR="006222E3" w:rsidRPr="00ED7E81" w14:paraId="0EE7147B"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85ED2C"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CEMBUREAU</w:t>
            </w:r>
          </w:p>
        </w:tc>
        <w:tc>
          <w:tcPr>
            <w:tcW w:w="1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8A61A" w14:textId="77777777" w:rsidR="006222E3" w:rsidRPr="00ED7E81" w:rsidRDefault="006222E3" w:rsidP="000B5462">
            <w:pPr>
              <w:jc w:val="right"/>
            </w:pPr>
            <w:r w:rsidRPr="00ED7E81">
              <w:rPr>
                <w:color w:val="000000"/>
                <w14:textOutline w14:w="0" w14:cap="flat" w14:cmpd="sng" w14:algn="ctr">
                  <w14:noFill/>
                  <w14:prstDash w14:val="solid"/>
                  <w14:bevel/>
                </w14:textOutline>
              </w:rPr>
              <w:t>10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38E354" w14:textId="77777777" w:rsidR="006222E3" w:rsidRPr="00ED7E81" w:rsidRDefault="006222E3" w:rsidP="000B5462">
            <w:pPr>
              <w:jc w:val="right"/>
            </w:pPr>
            <w:r w:rsidRPr="00ED7E81">
              <w:rPr>
                <w:color w:val="000000"/>
                <w14:textOutline w14:w="0" w14:cap="flat" w14:cmpd="sng" w14:algn="ctr">
                  <w14:noFill/>
                  <w14:prstDash w14:val="solid"/>
                  <w14:bevel/>
                </w14:textOutline>
              </w:rPr>
              <w:t>9</w:t>
            </w: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75C39D"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8 (7)</w:t>
            </w:r>
          </w:p>
        </w:tc>
        <w:tc>
          <w:tcPr>
            <w:tcW w:w="2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DE3D6B"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400,000 € - 499,999 €</w:t>
            </w:r>
          </w:p>
        </w:tc>
      </w:tr>
      <w:tr w:rsidR="006222E3" w:rsidRPr="00ED7E81" w14:paraId="37F0DF17"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20967A8"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BDI</w:t>
            </w:r>
          </w:p>
        </w:tc>
        <w:tc>
          <w:tcPr>
            <w:tcW w:w="1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DDA81FB" w14:textId="77777777" w:rsidR="006222E3" w:rsidRPr="00ED7E81" w:rsidRDefault="006222E3" w:rsidP="000B5462">
            <w:pPr>
              <w:jc w:val="right"/>
            </w:pPr>
            <w:r w:rsidRPr="00ED7E81">
              <w:rPr>
                <w:color w:val="000000"/>
                <w14:textOutline w14:w="0" w14:cap="flat" w14:cmpd="sng" w14:algn="ctr">
                  <w14:noFill/>
                  <w14:prstDash w14:val="solid"/>
                  <w14:bevel/>
                </w14:textOutline>
              </w:rPr>
              <w:t>23</w:t>
            </w:r>
          </w:p>
        </w:tc>
        <w:tc>
          <w:tcPr>
            <w:tcW w:w="14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2B94DE1"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21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9ED8675"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34 (2)</w:t>
            </w:r>
          </w:p>
        </w:tc>
        <w:tc>
          <w:tcPr>
            <w:tcW w:w="27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84C088E"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2,750,000 € - 2,999,999 €</w:t>
            </w:r>
          </w:p>
        </w:tc>
      </w:tr>
      <w:tr w:rsidR="006222E3" w:rsidRPr="00ED7E81" w14:paraId="0520D684"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AB5557"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VCI</w:t>
            </w:r>
          </w:p>
        </w:tc>
        <w:tc>
          <w:tcPr>
            <w:tcW w:w="1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F5B83A"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1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9902A" w14:textId="77777777" w:rsidR="006222E3" w:rsidRPr="00ED7E81" w:rsidRDefault="006222E3" w:rsidP="000B5462">
            <w:pPr>
              <w:jc w:val="right"/>
            </w:pPr>
            <w:r w:rsidRPr="00ED7E81">
              <w:rPr>
                <w:color w:val="000000"/>
                <w14:textOutline w14:w="0" w14:cap="flat" w14:cmpd="sng" w14:algn="ctr">
                  <w14:noFill/>
                  <w14:prstDash w14:val="solid"/>
                  <w14:bevel/>
                </w14:textOutline>
              </w:rPr>
              <w:t>1</w:t>
            </w: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0C8847" w14:textId="77777777" w:rsidR="006222E3" w:rsidRPr="00ED7E81" w:rsidRDefault="006222E3" w:rsidP="000B5462">
            <w:pPr>
              <w:jc w:val="right"/>
            </w:pPr>
            <w:r w:rsidRPr="00ED7E81">
              <w:rPr>
                <w:color w:val="000000"/>
                <w14:textOutline w14:w="0" w14:cap="flat" w14:cmpd="sng" w14:algn="ctr">
                  <w14:noFill/>
                  <w14:prstDash w14:val="solid"/>
                  <w14:bevel/>
                </w14:textOutline>
              </w:rPr>
              <w:t>84</w:t>
            </w:r>
          </w:p>
        </w:tc>
        <w:tc>
          <w:tcPr>
            <w:tcW w:w="2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D4F0A5"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4,250,000 € - 4,499,999 €</w:t>
            </w:r>
          </w:p>
        </w:tc>
      </w:tr>
      <w:tr w:rsidR="006222E3" w:rsidRPr="00ED7E81" w14:paraId="5CB0500A"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D24112"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lastRenderedPageBreak/>
              <w:t>MEDEF</w:t>
            </w:r>
          </w:p>
        </w:tc>
        <w:tc>
          <w:tcPr>
            <w:tcW w:w="1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8173571" w14:textId="77777777" w:rsidR="006222E3" w:rsidRPr="00ED7E81" w:rsidRDefault="006222E3" w:rsidP="000B5462">
            <w:pPr>
              <w:jc w:val="right"/>
            </w:pPr>
            <w:r w:rsidRPr="00ED7E81">
              <w:rPr>
                <w:color w:val="000000"/>
                <w14:textOutline w14:w="0" w14:cap="flat" w14:cmpd="sng" w14:algn="ctr">
                  <w14:noFill/>
                  <w14:prstDash w14:val="solid"/>
                  <w14:bevel/>
                </w14:textOutline>
              </w:rPr>
              <w:t>4</w:t>
            </w:r>
          </w:p>
        </w:tc>
        <w:tc>
          <w:tcPr>
            <w:tcW w:w="14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D6A0B16" w14:textId="77777777" w:rsidR="006222E3" w:rsidRPr="00ED7E81" w:rsidRDefault="006222E3" w:rsidP="000B5462">
            <w:pPr>
              <w:jc w:val="right"/>
            </w:pPr>
            <w:r w:rsidRPr="00ED7E81">
              <w:rPr>
                <w:color w:val="000000"/>
                <w14:textOutline w14:w="0" w14:cap="flat" w14:cmpd="sng" w14:algn="ctr">
                  <w14:noFill/>
                  <w14:prstDash w14:val="solid"/>
                  <w14:bevel/>
                </w14:textOutline>
              </w:rPr>
              <w:t>4</w:t>
            </w:r>
          </w:p>
        </w:tc>
        <w:tc>
          <w:tcPr>
            <w:tcW w:w="21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8383F6F"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8 (4)</w:t>
            </w:r>
          </w:p>
        </w:tc>
        <w:tc>
          <w:tcPr>
            <w:tcW w:w="27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0E6434A"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500,000 € - 599,999 €</w:t>
            </w:r>
          </w:p>
        </w:tc>
      </w:tr>
      <w:tr w:rsidR="006222E3" w:rsidRPr="00ED7E81" w14:paraId="006CAA76"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FB6785"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EUROFER</w:t>
            </w:r>
          </w:p>
        </w:tc>
        <w:tc>
          <w:tcPr>
            <w:tcW w:w="1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BF5BFE" w14:textId="77777777" w:rsidR="006222E3" w:rsidRPr="00ED7E81" w:rsidRDefault="006222E3" w:rsidP="000B5462">
            <w:pPr>
              <w:jc w:val="right"/>
            </w:pPr>
            <w:r w:rsidRPr="00ED7E81">
              <w:rPr>
                <w:color w:val="000000"/>
                <w14:textOutline w14:w="0" w14:cap="flat" w14:cmpd="sng" w14:algn="ctr">
                  <w14:noFill/>
                  <w14:prstDash w14:val="solid"/>
                  <w14:bevel/>
                </w14:textOutline>
              </w:rPr>
              <w:t>21</w:t>
            </w:r>
          </w:p>
        </w:tc>
        <w:tc>
          <w:tcPr>
            <w:tcW w:w="1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38F0B9" w14:textId="77777777" w:rsidR="006222E3" w:rsidRPr="00ED7E81" w:rsidRDefault="006222E3" w:rsidP="000B5462">
            <w:pPr>
              <w:jc w:val="right"/>
            </w:pPr>
            <w:r w:rsidRPr="00ED7E81">
              <w:rPr>
                <w:color w:val="000000"/>
                <w14:textOutline w14:w="0" w14:cap="flat" w14:cmpd="sng" w14:algn="ctr">
                  <w14:noFill/>
                  <w14:prstDash w14:val="solid"/>
                  <w14:bevel/>
                </w14:textOutline>
              </w:rPr>
              <w:t>10</w:t>
            </w: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7ADB1" w14:textId="77777777" w:rsidR="006222E3" w:rsidRPr="00ED7E81" w:rsidRDefault="006222E3" w:rsidP="000B5462">
            <w:pPr>
              <w:jc w:val="right"/>
            </w:pPr>
            <w:r w:rsidRPr="00ED7E81">
              <w:rPr>
                <w:color w:val="000000"/>
                <w14:textOutline w14:w="0" w14:cap="flat" w14:cmpd="sng" w14:algn="ctr">
                  <w14:noFill/>
                  <w14:prstDash w14:val="solid"/>
                  <w14:bevel/>
                </w14:textOutline>
              </w:rPr>
              <w:t>8</w:t>
            </w:r>
          </w:p>
        </w:tc>
        <w:tc>
          <w:tcPr>
            <w:tcW w:w="2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4F39E4"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700,000 € - 799,999 €</w:t>
            </w:r>
          </w:p>
        </w:tc>
      </w:tr>
      <w:tr w:rsidR="006222E3" w:rsidRPr="00ED7E81" w14:paraId="264AA99D"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3D4210B"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EUROMETAUX</w:t>
            </w:r>
          </w:p>
        </w:tc>
        <w:tc>
          <w:tcPr>
            <w:tcW w:w="1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C049B55" w14:textId="77777777" w:rsidR="006222E3" w:rsidRPr="00ED7E81" w:rsidRDefault="006222E3" w:rsidP="000B5462">
            <w:pPr>
              <w:jc w:val="right"/>
            </w:pPr>
            <w:r w:rsidRPr="00ED7E81">
              <w:rPr>
                <w:color w:val="000000"/>
                <w14:textOutline w14:w="0" w14:cap="flat" w14:cmpd="sng" w14:algn="ctr">
                  <w14:noFill/>
                  <w14:prstDash w14:val="solid"/>
                  <w14:bevel/>
                </w14:textOutline>
              </w:rPr>
              <w:t>9</w:t>
            </w:r>
          </w:p>
        </w:tc>
        <w:tc>
          <w:tcPr>
            <w:tcW w:w="14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7C7E63E" w14:textId="77777777" w:rsidR="006222E3" w:rsidRPr="00ED7E81" w:rsidRDefault="006222E3" w:rsidP="000B5462">
            <w:pPr>
              <w:jc w:val="right"/>
            </w:pPr>
            <w:r w:rsidRPr="00ED7E81">
              <w:rPr>
                <w:color w:val="000000"/>
                <w14:textOutline w14:w="0" w14:cap="flat" w14:cmpd="sng" w14:algn="ctr">
                  <w14:noFill/>
                  <w14:prstDash w14:val="solid"/>
                  <w14:bevel/>
                </w14:textOutline>
              </w:rPr>
              <w:t>14</w:t>
            </w:r>
          </w:p>
        </w:tc>
        <w:tc>
          <w:tcPr>
            <w:tcW w:w="21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AD8B49D" w14:textId="77777777" w:rsidR="006222E3" w:rsidRPr="00ED7E81" w:rsidRDefault="006222E3" w:rsidP="000B5462">
            <w:pPr>
              <w:jc w:val="right"/>
            </w:pPr>
            <w:r w:rsidRPr="00ED7E81">
              <w:rPr>
                <w:color w:val="000000"/>
                <w14:textOutline w14:w="0" w14:cap="flat" w14:cmpd="sng" w14:algn="ctr">
                  <w14:noFill/>
                  <w14:prstDash w14:val="solid"/>
                  <w14:bevel/>
                </w14:textOutline>
              </w:rPr>
              <w:t>16</w:t>
            </w:r>
          </w:p>
        </w:tc>
        <w:tc>
          <w:tcPr>
            <w:tcW w:w="27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95A794"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400,000 € - 499,999 €</w:t>
            </w:r>
          </w:p>
        </w:tc>
      </w:tr>
      <w:tr w:rsidR="006222E3" w:rsidRPr="00ED7E81" w14:paraId="37095700"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59C581" w14:textId="77777777" w:rsidR="006222E3" w:rsidRPr="00ED7E81" w:rsidRDefault="006222E3" w:rsidP="000B5462">
            <w:pPr>
              <w:pStyle w:val="ac"/>
              <w:rPr>
                <w:rFonts w:ascii="Times New Roman" w:hAnsi="Times New Roman" w:cs="Times New Roman"/>
              </w:rPr>
            </w:pPr>
            <w:proofErr w:type="spellStart"/>
            <w:r w:rsidRPr="00ED7E81">
              <w:rPr>
                <w:rFonts w:ascii="Times New Roman" w:hAnsi="Times New Roman" w:cs="Times New Roman"/>
                <w:sz w:val="20"/>
                <w:szCs w:val="20"/>
              </w:rPr>
              <w:t>Eurelectric</w:t>
            </w:r>
            <w:proofErr w:type="spellEnd"/>
          </w:p>
        </w:tc>
        <w:tc>
          <w:tcPr>
            <w:tcW w:w="1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FA94B2" w14:textId="77777777" w:rsidR="006222E3" w:rsidRPr="00ED7E81" w:rsidRDefault="006222E3" w:rsidP="000B5462">
            <w:pPr>
              <w:jc w:val="right"/>
            </w:pPr>
            <w:r w:rsidRPr="00ED7E81">
              <w:rPr>
                <w:color w:val="000000"/>
                <w14:textOutline w14:w="0" w14:cap="flat" w14:cmpd="sng" w14:algn="ctr">
                  <w14:noFill/>
                  <w14:prstDash w14:val="solid"/>
                  <w14:bevel/>
                </w14:textOutline>
              </w:rPr>
              <w:t>10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27384B" w14:textId="77777777" w:rsidR="006222E3" w:rsidRPr="00ED7E81" w:rsidRDefault="006222E3" w:rsidP="000B5462">
            <w:pPr>
              <w:jc w:val="right"/>
            </w:pPr>
            <w:r w:rsidRPr="00ED7E81">
              <w:rPr>
                <w:color w:val="000000"/>
                <w14:textOutline w14:w="0" w14:cap="flat" w14:cmpd="sng" w14:algn="ctr">
                  <w14:noFill/>
                  <w14:prstDash w14:val="solid"/>
                  <w14:bevel/>
                </w14:textOutline>
              </w:rPr>
              <w:t>11</w:t>
            </w: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A787F5"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21 (6)</w:t>
            </w:r>
          </w:p>
        </w:tc>
        <w:tc>
          <w:tcPr>
            <w:tcW w:w="2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7C5B9"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200,000 € - 299,999 €</w:t>
            </w:r>
          </w:p>
        </w:tc>
      </w:tr>
      <w:tr w:rsidR="006222E3" w:rsidRPr="00ED7E81" w14:paraId="015A99C4"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C5B5A29"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ERT</w:t>
            </w:r>
          </w:p>
        </w:tc>
        <w:tc>
          <w:tcPr>
            <w:tcW w:w="1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9EDBD1" w14:textId="77777777" w:rsidR="006222E3" w:rsidRPr="00ED7E81" w:rsidRDefault="006222E3" w:rsidP="000B5462">
            <w:pPr>
              <w:jc w:val="right"/>
            </w:pPr>
            <w:r w:rsidRPr="00ED7E81">
              <w:rPr>
                <w:color w:val="000000"/>
                <w14:textOutline w14:w="0" w14:cap="flat" w14:cmpd="sng" w14:algn="ctr">
                  <w14:noFill/>
                  <w14:prstDash w14:val="solid"/>
                  <w14:bevel/>
                </w14:textOutline>
              </w:rPr>
              <w:t>18</w:t>
            </w:r>
          </w:p>
        </w:tc>
        <w:tc>
          <w:tcPr>
            <w:tcW w:w="14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463C3C3" w14:textId="77777777" w:rsidR="006222E3" w:rsidRPr="00ED7E81" w:rsidRDefault="006222E3" w:rsidP="000B5462">
            <w:pPr>
              <w:jc w:val="right"/>
            </w:pPr>
            <w:r w:rsidRPr="00ED7E81">
              <w:rPr>
                <w:color w:val="000000"/>
                <w14:textOutline w14:w="0" w14:cap="flat" w14:cmpd="sng" w14:algn="ctr">
                  <w14:noFill/>
                  <w14:prstDash w14:val="solid"/>
                  <w14:bevel/>
                </w14:textOutline>
              </w:rPr>
              <w:t>1</w:t>
            </w:r>
          </w:p>
        </w:tc>
        <w:tc>
          <w:tcPr>
            <w:tcW w:w="21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259B35C" w14:textId="77777777" w:rsidR="006222E3" w:rsidRPr="00ED7E81" w:rsidRDefault="006222E3" w:rsidP="000B5462">
            <w:pPr>
              <w:jc w:val="right"/>
            </w:pPr>
            <w:r w:rsidRPr="00ED7E81">
              <w:rPr>
                <w:color w:val="000000"/>
                <w14:textOutline w14:w="0" w14:cap="flat" w14:cmpd="sng" w14:algn="ctr">
                  <w14:noFill/>
                  <w14:prstDash w14:val="solid"/>
                  <w14:bevel/>
                </w14:textOutline>
              </w:rPr>
              <w:t>5</w:t>
            </w:r>
          </w:p>
        </w:tc>
        <w:tc>
          <w:tcPr>
            <w:tcW w:w="27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64287A5"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800,000 € - 899,999 €</w:t>
            </w:r>
          </w:p>
        </w:tc>
      </w:tr>
      <w:tr w:rsidR="006222E3" w:rsidRPr="00ED7E81" w14:paraId="6BE9DDE2"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C9B000"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IOGP Europe</w:t>
            </w:r>
          </w:p>
        </w:tc>
        <w:tc>
          <w:tcPr>
            <w:tcW w:w="1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71A187" w14:textId="77777777" w:rsidR="006222E3" w:rsidRPr="00ED7E81" w:rsidRDefault="006222E3" w:rsidP="000B5462">
            <w:pPr>
              <w:jc w:val="right"/>
            </w:pPr>
            <w:r w:rsidRPr="00ED7E81">
              <w:rPr>
                <w:color w:val="000000"/>
                <w14:textOutline w14:w="0" w14:cap="flat" w14:cmpd="sng" w14:algn="ctr">
                  <w14:noFill/>
                  <w14:prstDash w14:val="solid"/>
                  <w14:bevel/>
                </w14:textOutline>
              </w:rPr>
              <w:t>12</w:t>
            </w:r>
          </w:p>
        </w:tc>
        <w:tc>
          <w:tcPr>
            <w:tcW w:w="1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4E9FDB" w14:textId="77777777" w:rsidR="006222E3" w:rsidRPr="00ED7E81" w:rsidRDefault="006222E3" w:rsidP="000B5462">
            <w:pPr>
              <w:jc w:val="right"/>
            </w:pPr>
            <w:r w:rsidRPr="00ED7E81">
              <w:rPr>
                <w:color w:val="000000"/>
                <w14:textOutline w14:w="0" w14:cap="flat" w14:cmpd="sng" w14:algn="ctr">
                  <w14:noFill/>
                  <w14:prstDash w14:val="solid"/>
                  <w14:bevel/>
                </w14:textOutline>
              </w:rPr>
              <w:t>5</w:t>
            </w: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7749D" w14:textId="77777777" w:rsidR="006222E3" w:rsidRPr="00ED7E81" w:rsidRDefault="006222E3" w:rsidP="000B5462">
            <w:pPr>
              <w:pStyle w:val="21"/>
              <w:rPr>
                <w:rFonts w:ascii="Times New Roman" w:hAnsi="Times New Roman" w:cs="Times New Roman"/>
              </w:rPr>
            </w:pPr>
            <w:r w:rsidRPr="00ED7E81">
              <w:rPr>
                <w:rFonts w:ascii="Times New Roman" w:eastAsia="Arial Unicode MS" w:hAnsi="Times New Roman" w:cs="Times New Roman"/>
              </w:rPr>
              <w:t>9 (4)</w:t>
            </w:r>
          </w:p>
        </w:tc>
        <w:tc>
          <w:tcPr>
            <w:tcW w:w="2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21A5FD"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900,000 € - 999,999 €</w:t>
            </w:r>
          </w:p>
        </w:tc>
      </w:tr>
      <w:tr w:rsidR="006222E3" w:rsidRPr="00ED7E81" w14:paraId="7A629B29"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F2146D" w14:textId="77777777" w:rsidR="006222E3" w:rsidRPr="00ED7E81" w:rsidRDefault="006222E3" w:rsidP="000B5462">
            <w:pPr>
              <w:pStyle w:val="ac"/>
              <w:rPr>
                <w:rFonts w:ascii="Times New Roman" w:hAnsi="Times New Roman" w:cs="Times New Roman"/>
              </w:rPr>
            </w:pPr>
            <w:proofErr w:type="spellStart"/>
            <w:r w:rsidRPr="00ED7E81">
              <w:rPr>
                <w:rFonts w:ascii="Times New Roman" w:hAnsi="Times New Roman" w:cs="Times New Roman"/>
                <w:sz w:val="20"/>
                <w:szCs w:val="20"/>
              </w:rPr>
              <w:t>Eurogas</w:t>
            </w:r>
            <w:proofErr w:type="spellEnd"/>
          </w:p>
        </w:tc>
        <w:tc>
          <w:tcPr>
            <w:tcW w:w="1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3064DAD" w14:textId="77777777" w:rsidR="006222E3" w:rsidRPr="00ED7E81" w:rsidRDefault="006222E3" w:rsidP="000B5462">
            <w:pPr>
              <w:jc w:val="right"/>
            </w:pPr>
            <w:r w:rsidRPr="00ED7E81">
              <w:rPr>
                <w:color w:val="000000"/>
                <w14:textOutline w14:w="0" w14:cap="flat" w14:cmpd="sng" w14:algn="ctr">
                  <w14:noFill/>
                  <w14:prstDash w14:val="solid"/>
                  <w14:bevel/>
                </w14:textOutline>
              </w:rPr>
              <w:t>13</w:t>
            </w:r>
          </w:p>
        </w:tc>
        <w:tc>
          <w:tcPr>
            <w:tcW w:w="14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DEA28B"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1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F0E66EA"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5 (3)</w:t>
            </w:r>
          </w:p>
        </w:tc>
        <w:tc>
          <w:tcPr>
            <w:tcW w:w="27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68F1698"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400,000 € - 499,999 €</w:t>
            </w:r>
          </w:p>
        </w:tc>
      </w:tr>
      <w:tr w:rsidR="006222E3" w:rsidRPr="00ED7E81" w14:paraId="6486676A"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E75AD9"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GIE</w:t>
            </w:r>
          </w:p>
        </w:tc>
        <w:tc>
          <w:tcPr>
            <w:tcW w:w="1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95007C" w14:textId="77777777" w:rsidR="006222E3" w:rsidRPr="00ED7E81" w:rsidRDefault="006222E3" w:rsidP="000B5462">
            <w:pPr>
              <w:jc w:val="right"/>
            </w:pPr>
            <w:r w:rsidRPr="00ED7E81">
              <w:rPr>
                <w:color w:val="000000"/>
                <w14:textOutline w14:w="0" w14:cap="flat" w14:cmpd="sng" w14:algn="ctr">
                  <w14:noFill/>
                  <w14:prstDash w14:val="solid"/>
                  <w14:bevel/>
                </w14:textOutline>
              </w:rPr>
              <w:t>3</w:t>
            </w:r>
          </w:p>
        </w:tc>
        <w:tc>
          <w:tcPr>
            <w:tcW w:w="1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408417"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18478A" w14:textId="77777777" w:rsidR="006222E3" w:rsidRPr="00ED7E81" w:rsidRDefault="006222E3" w:rsidP="000B5462">
            <w:pPr>
              <w:jc w:val="right"/>
            </w:pPr>
            <w:r w:rsidRPr="00ED7E81">
              <w:rPr>
                <w:color w:val="000000"/>
                <w14:textOutline w14:w="0" w14:cap="flat" w14:cmpd="sng" w14:algn="ctr">
                  <w14:noFill/>
                  <w14:prstDash w14:val="solid"/>
                  <w14:bevel/>
                </w14:textOutline>
              </w:rPr>
              <w:t>7</w:t>
            </w:r>
          </w:p>
        </w:tc>
        <w:tc>
          <w:tcPr>
            <w:tcW w:w="27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7D4329"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400,000 € - 499,999 €</w:t>
            </w:r>
          </w:p>
        </w:tc>
      </w:tr>
      <w:tr w:rsidR="006222E3" w:rsidRPr="00ED7E81" w14:paraId="74674C0E" w14:textId="77777777" w:rsidTr="000B5462">
        <w:trPr>
          <w:trHeight w:val="295"/>
        </w:trPr>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3A4073" w14:textId="77777777" w:rsidR="006222E3" w:rsidRPr="00ED7E81" w:rsidRDefault="006222E3" w:rsidP="000B5462">
            <w:pPr>
              <w:pStyle w:val="ac"/>
              <w:rPr>
                <w:rFonts w:ascii="Times New Roman" w:hAnsi="Times New Roman" w:cs="Times New Roman"/>
              </w:rPr>
            </w:pPr>
            <w:r w:rsidRPr="00ED7E81">
              <w:rPr>
                <w:rFonts w:ascii="Times New Roman" w:hAnsi="Times New Roman" w:cs="Times New Roman"/>
                <w:sz w:val="20"/>
                <w:szCs w:val="20"/>
              </w:rPr>
              <w:t>Liquid Gas Europe</w:t>
            </w:r>
          </w:p>
        </w:tc>
        <w:tc>
          <w:tcPr>
            <w:tcW w:w="13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CC747AE" w14:textId="77777777" w:rsidR="006222E3" w:rsidRPr="00ED7E81" w:rsidRDefault="006222E3" w:rsidP="000B5462">
            <w:pPr>
              <w:jc w:val="right"/>
            </w:pPr>
            <w:r w:rsidRPr="00ED7E81">
              <w:rPr>
                <w:color w:val="000000"/>
                <w14:textOutline w14:w="0" w14:cap="flat" w14:cmpd="sng" w14:algn="ctr">
                  <w14:noFill/>
                  <w14:prstDash w14:val="solid"/>
                  <w14:bevel/>
                </w14:textOutline>
              </w:rPr>
              <w:t>4</w:t>
            </w:r>
          </w:p>
        </w:tc>
        <w:tc>
          <w:tcPr>
            <w:tcW w:w="14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15B820" w14:textId="77777777" w:rsidR="006222E3" w:rsidRPr="00ED7E81" w:rsidRDefault="006222E3" w:rsidP="000B5462">
            <w:pPr>
              <w:jc w:val="right"/>
            </w:pPr>
            <w:r w:rsidRPr="00ED7E81">
              <w:rPr>
                <w:color w:val="000000"/>
                <w14:textOutline w14:w="0" w14:cap="flat" w14:cmpd="sng" w14:algn="ctr">
                  <w14:noFill/>
                  <w14:prstDash w14:val="solid"/>
                  <w14:bevel/>
                </w14:textOutline>
              </w:rPr>
              <w:t>5</w:t>
            </w:r>
          </w:p>
        </w:tc>
        <w:tc>
          <w:tcPr>
            <w:tcW w:w="21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0457C45" w14:textId="77777777" w:rsidR="006222E3" w:rsidRPr="00ED7E81" w:rsidRDefault="006222E3" w:rsidP="000B5462">
            <w:pPr>
              <w:jc w:val="right"/>
            </w:pPr>
            <w:r w:rsidRPr="00ED7E81">
              <w:rPr>
                <w:color w:val="000000"/>
                <w14:textOutline w14:w="0" w14:cap="flat" w14:cmpd="sng" w14:algn="ctr">
                  <w14:noFill/>
                  <w14:prstDash w14:val="solid"/>
                  <w14:bevel/>
                </w14:textOutline>
              </w:rPr>
              <w:t>2</w:t>
            </w:r>
          </w:p>
        </w:tc>
        <w:tc>
          <w:tcPr>
            <w:tcW w:w="278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BD11F8" w14:textId="77777777" w:rsidR="006222E3" w:rsidRPr="00ED7E81" w:rsidRDefault="006222E3" w:rsidP="006222E3">
            <w:pPr>
              <w:pStyle w:val="ac"/>
              <w:rPr>
                <w:rFonts w:ascii="Times New Roman" w:hAnsi="Times New Roman" w:cs="Times New Roman"/>
              </w:rPr>
            </w:pPr>
            <w:r w:rsidRPr="00ED7E81">
              <w:rPr>
                <w:rFonts w:ascii="Times New Roman" w:hAnsi="Times New Roman" w:cs="Times New Roman"/>
                <w:sz w:val="20"/>
                <w:szCs w:val="20"/>
              </w:rPr>
              <w:t>300,000 € - 399,999 €</w:t>
            </w:r>
          </w:p>
        </w:tc>
      </w:tr>
    </w:tbl>
    <w:p w14:paraId="39DDA3AE" w14:textId="77777777" w:rsidR="006222E3" w:rsidRPr="00ED7E81" w:rsidRDefault="006222E3" w:rsidP="006222E3">
      <w:pPr>
        <w:pStyle w:val="ac"/>
        <w:rPr>
          <w:rFonts w:ascii="Times New Roman" w:hAnsi="Times New Roman" w:cs="Times New Roman"/>
        </w:rPr>
      </w:pPr>
    </w:p>
    <w:p w14:paraId="06DD27F3" w14:textId="77777777" w:rsidR="006222E3" w:rsidRPr="00ED7E81" w:rsidRDefault="006222E3" w:rsidP="006222E3">
      <w:pPr>
        <w:pStyle w:val="ac"/>
        <w:rPr>
          <w:rFonts w:ascii="Times New Roman" w:hAnsi="Times New Roman" w:cs="Times New Roman"/>
        </w:rPr>
      </w:pPr>
    </w:p>
    <w:p w14:paraId="6D5251AB" w14:textId="77777777" w:rsidR="006222E3" w:rsidRPr="00ED7E81" w:rsidRDefault="006222E3" w:rsidP="006222E3">
      <w:pPr>
        <w:pStyle w:val="ac"/>
        <w:rPr>
          <w:rFonts w:ascii="Times New Roman" w:hAnsi="Times New Roman" w:cs="Times New Roman"/>
        </w:rPr>
      </w:pPr>
    </w:p>
    <w:p w14:paraId="0A13F666" w14:textId="77777777" w:rsidR="006222E3" w:rsidRPr="00ED7E81" w:rsidRDefault="006222E3" w:rsidP="00DF65CA">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360"/>
        <w:jc w:val="center"/>
        <w:rPr>
          <w:rFonts w:ascii="Times New Roman" w:hAnsi="Times New Roman" w:cs="Times New Roman"/>
          <w:b/>
        </w:rPr>
      </w:pPr>
    </w:p>
    <w:sectPr w:rsidR="006222E3" w:rsidRPr="00ED7E81" w:rsidSect="00C95A49">
      <w:footerReference w:type="even" r:id="rId8"/>
      <w:footerReference w:type="default" r:id="rId9"/>
      <w:pgSz w:w="11900" w:h="16840"/>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1CD9" w14:textId="77777777" w:rsidR="0046292C" w:rsidRDefault="0046292C" w:rsidP="006A793E">
      <w:r>
        <w:separator/>
      </w:r>
    </w:p>
  </w:endnote>
  <w:endnote w:type="continuationSeparator" w:id="0">
    <w:p w14:paraId="1489EFE7" w14:textId="77777777" w:rsidR="0046292C" w:rsidRDefault="0046292C" w:rsidP="006A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70401200"/>
      <w:docPartObj>
        <w:docPartGallery w:val="Page Numbers (Bottom of Page)"/>
        <w:docPartUnique/>
      </w:docPartObj>
    </w:sdtPr>
    <w:sdtEndPr>
      <w:rPr>
        <w:rStyle w:val="a7"/>
      </w:rPr>
    </w:sdtEndPr>
    <w:sdtContent>
      <w:p w14:paraId="49459A86" w14:textId="77777777" w:rsidR="000B5462" w:rsidRDefault="000B5462" w:rsidP="00FF3A75">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E45F37B" w14:textId="77777777" w:rsidR="000B5462" w:rsidRDefault="000B54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925607734"/>
      <w:docPartObj>
        <w:docPartGallery w:val="Page Numbers (Bottom of Page)"/>
        <w:docPartUnique/>
      </w:docPartObj>
    </w:sdtPr>
    <w:sdtEndPr>
      <w:rPr>
        <w:rStyle w:val="a7"/>
      </w:rPr>
    </w:sdtEndPr>
    <w:sdtContent>
      <w:p w14:paraId="3945ACA3" w14:textId="77777777" w:rsidR="000B5462" w:rsidRDefault="000B5462" w:rsidP="00FF3A75">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p w14:paraId="40FCC97F" w14:textId="77777777" w:rsidR="000B5462" w:rsidRDefault="000B54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6279" w14:textId="77777777" w:rsidR="0046292C" w:rsidRDefault="0046292C" w:rsidP="006A793E">
      <w:r>
        <w:separator/>
      </w:r>
    </w:p>
  </w:footnote>
  <w:footnote w:type="continuationSeparator" w:id="0">
    <w:p w14:paraId="0F71E212" w14:textId="77777777" w:rsidR="0046292C" w:rsidRDefault="0046292C" w:rsidP="006A793E">
      <w:r>
        <w:continuationSeparator/>
      </w:r>
    </w:p>
  </w:footnote>
  <w:footnote w:id="1">
    <w:p w14:paraId="1BACEC50" w14:textId="77777777" w:rsidR="000B5462" w:rsidRPr="00CA78BD" w:rsidRDefault="000B5462" w:rsidP="00FF3A75">
      <w:pPr>
        <w:pStyle w:val="a9"/>
        <w:jc w:val="both"/>
        <w:rPr>
          <w:rFonts w:ascii="Times New Roman" w:hAnsi="Times New Roman" w:cs="Times New Roman"/>
          <w:lang w:val="en-US"/>
        </w:rPr>
      </w:pPr>
      <w:r w:rsidRPr="00CA78BD">
        <w:rPr>
          <w:rStyle w:val="ab"/>
          <w:rFonts w:ascii="Times New Roman" w:hAnsi="Times New Roman" w:cs="Times New Roman"/>
        </w:rPr>
        <w:footnoteRef/>
      </w:r>
      <w:r w:rsidRPr="00CA78BD">
        <w:rPr>
          <w:rFonts w:ascii="Times New Roman" w:hAnsi="Times New Roman" w:cs="Times New Roman"/>
        </w:rPr>
        <w:t xml:space="preserve"> </w:t>
      </w:r>
      <w:bookmarkStart w:id="3" w:name="_Hlk73294321"/>
      <w:r w:rsidRPr="00CA78BD">
        <w:rPr>
          <w:rFonts w:ascii="Times New Roman" w:eastAsia="Arial Unicode MS" w:hAnsi="Times New Roman" w:cs="Times New Roman"/>
        </w:rPr>
        <w:t>Каневский,</w:t>
      </w:r>
      <w:r w:rsidRPr="00CA78BD">
        <w:rPr>
          <w:rFonts w:ascii="Times New Roman" w:hAnsi="Times New Roman" w:cs="Times New Roman"/>
        </w:rPr>
        <w:t xml:space="preserve"> </w:t>
      </w:r>
      <w:r w:rsidRPr="00CA78BD">
        <w:rPr>
          <w:rFonts w:ascii="Times New Roman" w:eastAsia="Arial Unicode MS" w:hAnsi="Times New Roman" w:cs="Times New Roman"/>
        </w:rPr>
        <w:t>П</w:t>
      </w:r>
      <w:r w:rsidRPr="00CA78BD">
        <w:rPr>
          <w:rFonts w:ascii="Times New Roman" w:hAnsi="Times New Roman" w:cs="Times New Roman"/>
        </w:rPr>
        <w:t>.</w:t>
      </w:r>
      <w:r w:rsidRPr="00CA78BD">
        <w:rPr>
          <w:rFonts w:ascii="Times New Roman" w:eastAsia="Arial Unicode MS" w:hAnsi="Times New Roman" w:cs="Times New Roman"/>
        </w:rPr>
        <w:t>С</w:t>
      </w:r>
      <w:r w:rsidRPr="00CA78BD">
        <w:rPr>
          <w:rFonts w:ascii="Times New Roman" w:hAnsi="Times New Roman" w:cs="Times New Roman"/>
        </w:rPr>
        <w:t xml:space="preserve">. </w:t>
      </w:r>
      <w:r w:rsidRPr="00CA78BD">
        <w:rPr>
          <w:rFonts w:ascii="Times New Roman" w:eastAsia="Arial Unicode MS" w:hAnsi="Times New Roman" w:cs="Times New Roman"/>
        </w:rPr>
        <w:t>Эволюция</w:t>
      </w:r>
      <w:r w:rsidRPr="00CA78BD">
        <w:rPr>
          <w:rFonts w:ascii="Times New Roman" w:hAnsi="Times New Roman" w:cs="Times New Roman"/>
        </w:rPr>
        <w:t xml:space="preserve"> </w:t>
      </w:r>
      <w:r w:rsidRPr="00CA78BD">
        <w:rPr>
          <w:rFonts w:ascii="Times New Roman" w:eastAsia="Arial Unicode MS" w:hAnsi="Times New Roman" w:cs="Times New Roman"/>
        </w:rPr>
        <w:t>и</w:t>
      </w:r>
      <w:r w:rsidRPr="00CA78BD">
        <w:rPr>
          <w:rFonts w:ascii="Times New Roman" w:hAnsi="Times New Roman" w:cs="Times New Roman"/>
        </w:rPr>
        <w:t xml:space="preserve"> </w:t>
      </w:r>
      <w:r w:rsidRPr="00CA78BD">
        <w:rPr>
          <w:rFonts w:ascii="Times New Roman" w:eastAsia="Arial Unicode MS" w:hAnsi="Times New Roman" w:cs="Times New Roman"/>
        </w:rPr>
        <w:t>современное</w:t>
      </w:r>
      <w:r w:rsidRPr="00CA78BD">
        <w:rPr>
          <w:rFonts w:ascii="Times New Roman" w:hAnsi="Times New Roman" w:cs="Times New Roman"/>
        </w:rPr>
        <w:t xml:space="preserve"> </w:t>
      </w:r>
      <w:r w:rsidRPr="00CA78BD">
        <w:rPr>
          <w:rFonts w:ascii="Times New Roman" w:eastAsia="Arial Unicode MS" w:hAnsi="Times New Roman" w:cs="Times New Roman"/>
        </w:rPr>
        <w:t>состояние</w:t>
      </w:r>
      <w:r w:rsidRPr="00CA78BD">
        <w:rPr>
          <w:rFonts w:ascii="Times New Roman" w:hAnsi="Times New Roman" w:cs="Times New Roman"/>
        </w:rPr>
        <w:t xml:space="preserve"> </w:t>
      </w:r>
      <w:r w:rsidRPr="00CA78BD">
        <w:rPr>
          <w:rFonts w:ascii="Times New Roman" w:eastAsia="Arial Unicode MS" w:hAnsi="Times New Roman" w:cs="Times New Roman"/>
        </w:rPr>
        <w:t>теории</w:t>
      </w:r>
      <w:r w:rsidRPr="00CA78BD">
        <w:rPr>
          <w:rFonts w:ascii="Times New Roman" w:hAnsi="Times New Roman" w:cs="Times New Roman"/>
        </w:rPr>
        <w:t xml:space="preserve"> </w:t>
      </w:r>
      <w:r w:rsidRPr="00CA78BD">
        <w:rPr>
          <w:rFonts w:ascii="Times New Roman" w:eastAsia="Arial Unicode MS" w:hAnsi="Times New Roman" w:cs="Times New Roman"/>
        </w:rPr>
        <w:t>групп</w:t>
      </w:r>
      <w:r w:rsidRPr="00CA78BD">
        <w:rPr>
          <w:rFonts w:ascii="Times New Roman" w:hAnsi="Times New Roman" w:cs="Times New Roman"/>
        </w:rPr>
        <w:t xml:space="preserve"> </w:t>
      </w:r>
      <w:r w:rsidRPr="00CA78BD">
        <w:rPr>
          <w:rFonts w:ascii="Times New Roman" w:eastAsia="Arial Unicode MS" w:hAnsi="Times New Roman" w:cs="Times New Roman"/>
        </w:rPr>
        <w:t>интересов</w:t>
      </w:r>
      <w:r w:rsidRPr="00CA78BD">
        <w:rPr>
          <w:rFonts w:ascii="Times New Roman" w:hAnsi="Times New Roman" w:cs="Times New Roman"/>
        </w:rPr>
        <w:t xml:space="preserve"> / </w:t>
      </w:r>
      <w:proofErr w:type="spellStart"/>
      <w:r w:rsidRPr="00CA78BD">
        <w:rPr>
          <w:rFonts w:ascii="Times New Roman" w:eastAsia="Arial Unicode MS" w:hAnsi="Times New Roman" w:cs="Times New Roman"/>
        </w:rPr>
        <w:t>П.С.Каневский</w:t>
      </w:r>
      <w:proofErr w:type="spellEnd"/>
      <w:r w:rsidRPr="00CA78BD">
        <w:rPr>
          <w:rFonts w:ascii="Times New Roman" w:eastAsia="Arial Unicode MS" w:hAnsi="Times New Roman" w:cs="Times New Roman"/>
        </w:rPr>
        <w:t xml:space="preserve"> // Вест</w:t>
      </w:r>
      <w:r w:rsidRPr="00CA78BD">
        <w:rPr>
          <w:rFonts w:ascii="Times New Roman" w:hAnsi="Times New Roman" w:cs="Times New Roman"/>
        </w:rPr>
        <w:t xml:space="preserve">ник </w:t>
      </w:r>
      <w:r w:rsidRPr="00CA78BD">
        <w:rPr>
          <w:rFonts w:ascii="Times New Roman" w:eastAsia="Arial Unicode MS" w:hAnsi="Times New Roman" w:cs="Times New Roman"/>
        </w:rPr>
        <w:t>Московского</w:t>
      </w:r>
      <w:r w:rsidRPr="00CA78BD">
        <w:rPr>
          <w:rFonts w:ascii="Times New Roman" w:hAnsi="Times New Roman" w:cs="Times New Roman"/>
        </w:rPr>
        <w:t xml:space="preserve"> </w:t>
      </w:r>
      <w:r w:rsidRPr="00CA78BD">
        <w:rPr>
          <w:rFonts w:ascii="Times New Roman" w:eastAsia="Arial Unicode MS" w:hAnsi="Times New Roman" w:cs="Times New Roman"/>
        </w:rPr>
        <w:t>ун</w:t>
      </w:r>
      <w:r w:rsidRPr="00CA78BD">
        <w:rPr>
          <w:rFonts w:ascii="Times New Roman" w:hAnsi="Times New Roman" w:cs="Times New Roman"/>
        </w:rPr>
        <w:t>иверсите</w:t>
      </w:r>
      <w:r w:rsidRPr="00CA78BD">
        <w:rPr>
          <w:rFonts w:ascii="Times New Roman" w:eastAsia="Arial Unicode MS" w:hAnsi="Times New Roman" w:cs="Times New Roman"/>
        </w:rPr>
        <w:t>та</w:t>
      </w:r>
      <w:r w:rsidRPr="00CA78BD">
        <w:rPr>
          <w:rFonts w:ascii="Times New Roman" w:hAnsi="Times New Roman" w:cs="Times New Roman"/>
        </w:rPr>
        <w:t xml:space="preserve">. </w:t>
      </w:r>
      <w:r w:rsidRPr="00CA78BD">
        <w:rPr>
          <w:rFonts w:ascii="Times New Roman" w:eastAsia="Arial Unicode MS" w:hAnsi="Times New Roman" w:cs="Times New Roman"/>
        </w:rPr>
        <w:t>Сер</w:t>
      </w:r>
      <w:r w:rsidRPr="00CA78BD">
        <w:rPr>
          <w:rFonts w:ascii="Times New Roman" w:hAnsi="Times New Roman" w:cs="Times New Roman"/>
        </w:rPr>
        <w:t>ия</w:t>
      </w:r>
      <w:r w:rsidRPr="00CA78BD">
        <w:rPr>
          <w:rFonts w:ascii="Times New Roman" w:hAnsi="Times New Roman" w:cs="Times New Roman"/>
          <w:lang w:val="en-US"/>
        </w:rPr>
        <w:t xml:space="preserve"> 18, </w:t>
      </w:r>
      <w:r w:rsidRPr="00CA78BD">
        <w:rPr>
          <w:rFonts w:ascii="Times New Roman" w:eastAsia="Arial Unicode MS" w:hAnsi="Times New Roman" w:cs="Times New Roman"/>
        </w:rPr>
        <w:t>Социология</w:t>
      </w:r>
      <w:r w:rsidRPr="00CA78BD">
        <w:rPr>
          <w:rFonts w:ascii="Times New Roman" w:eastAsia="Arial Unicode MS" w:hAnsi="Times New Roman" w:cs="Times New Roman"/>
          <w:lang w:val="en-US"/>
        </w:rPr>
        <w:t xml:space="preserve"> </w:t>
      </w:r>
      <w:r w:rsidRPr="00CA78BD">
        <w:rPr>
          <w:rFonts w:ascii="Times New Roman" w:eastAsia="Arial Unicode MS" w:hAnsi="Times New Roman" w:cs="Times New Roman"/>
        </w:rPr>
        <w:t>и</w:t>
      </w:r>
      <w:r w:rsidRPr="00CA78BD">
        <w:rPr>
          <w:rFonts w:ascii="Times New Roman" w:eastAsia="Arial Unicode MS" w:hAnsi="Times New Roman" w:cs="Times New Roman"/>
          <w:lang w:val="en-US"/>
        </w:rPr>
        <w:t xml:space="preserve"> </w:t>
      </w:r>
      <w:r w:rsidRPr="00CA78BD">
        <w:rPr>
          <w:rFonts w:ascii="Times New Roman" w:eastAsia="Arial Unicode MS" w:hAnsi="Times New Roman" w:cs="Times New Roman"/>
        </w:rPr>
        <w:t>политология</w:t>
      </w:r>
      <w:r w:rsidRPr="00CA78BD">
        <w:rPr>
          <w:rFonts w:ascii="Times New Roman" w:hAnsi="Times New Roman" w:cs="Times New Roman"/>
          <w:lang w:val="de-DE"/>
        </w:rPr>
        <w:t xml:space="preserve">. - 2014. </w:t>
      </w:r>
      <w:proofErr w:type="spellStart"/>
      <w:r w:rsidRPr="00CA78BD">
        <w:rPr>
          <w:rFonts w:ascii="Times New Roman" w:hAnsi="Times New Roman" w:cs="Times New Roman"/>
          <w:lang w:val="de-DE"/>
        </w:rPr>
        <w:t>No</w:t>
      </w:r>
      <w:proofErr w:type="spellEnd"/>
      <w:r w:rsidRPr="00CA78BD">
        <w:rPr>
          <w:rFonts w:ascii="Times New Roman" w:hAnsi="Times New Roman" w:cs="Times New Roman"/>
          <w:lang w:val="de-DE"/>
        </w:rPr>
        <w:t xml:space="preserve"> 4. </w:t>
      </w:r>
      <w:r w:rsidRPr="00CA78BD">
        <w:rPr>
          <w:rFonts w:ascii="Times New Roman" w:hAnsi="Times New Roman" w:cs="Times New Roman"/>
          <w:lang w:val="en-US"/>
        </w:rPr>
        <w:t xml:space="preserve">– </w:t>
      </w:r>
      <w:r w:rsidRPr="00CA78BD">
        <w:rPr>
          <w:rFonts w:ascii="Times New Roman" w:eastAsia="Arial Unicode MS" w:hAnsi="Times New Roman" w:cs="Times New Roman"/>
        </w:rPr>
        <w:t>С</w:t>
      </w:r>
      <w:r w:rsidRPr="00CA78BD">
        <w:rPr>
          <w:rFonts w:ascii="Times New Roman" w:eastAsia="Arial Unicode MS" w:hAnsi="Times New Roman" w:cs="Times New Roman"/>
          <w:lang w:val="en-US"/>
        </w:rPr>
        <w:t>. 109</w:t>
      </w:r>
      <w:bookmarkEnd w:id="3"/>
    </w:p>
  </w:footnote>
  <w:footnote w:id="2">
    <w:p w14:paraId="53F288DC" w14:textId="0DF9B3DE" w:rsidR="000B5462" w:rsidRPr="00CA78BD" w:rsidRDefault="000B5462" w:rsidP="00904D0D">
      <w:pPr>
        <w:pStyle w:val="a8"/>
        <w:jc w:val="both"/>
        <w:rPr>
          <w:rFonts w:ascii="Times New Roman" w:hAnsi="Times New Roman" w:cs="Times New Roman"/>
          <w:sz w:val="20"/>
          <w:szCs w:val="20"/>
          <w:lang w:val="en-US"/>
        </w:rPr>
      </w:pPr>
      <w:r w:rsidRPr="00CA78BD">
        <w:rPr>
          <w:rFonts w:ascii="Times New Roman" w:hAnsi="Times New Roman" w:cs="Times New Roman"/>
          <w:sz w:val="20"/>
          <w:szCs w:val="20"/>
          <w:vertAlign w:val="superscript"/>
        </w:rPr>
        <w:footnoteRef/>
      </w:r>
      <w:r w:rsidRPr="00CA78BD">
        <w:rPr>
          <w:rFonts w:ascii="Times New Roman" w:eastAsia="Arial Unicode MS" w:hAnsi="Times New Roman" w:cs="Times New Roman"/>
          <w:sz w:val="20"/>
          <w:szCs w:val="20"/>
        </w:rPr>
        <w:t xml:space="preserve"> </w:t>
      </w:r>
      <w:r w:rsidR="00CA78BD" w:rsidRPr="00CA78BD">
        <w:rPr>
          <w:rFonts w:ascii="Times New Roman" w:eastAsia="Arial Unicode MS" w:hAnsi="Times New Roman" w:cs="Times New Roman"/>
          <w:sz w:val="20"/>
          <w:szCs w:val="20"/>
        </w:rPr>
        <w:t>Каневский,</w:t>
      </w:r>
      <w:r w:rsidR="00CA78BD" w:rsidRPr="00CA78BD">
        <w:rPr>
          <w:rFonts w:ascii="Times New Roman" w:hAnsi="Times New Roman" w:cs="Times New Roman"/>
          <w:sz w:val="20"/>
          <w:szCs w:val="20"/>
        </w:rPr>
        <w:t xml:space="preserve"> </w:t>
      </w:r>
      <w:r w:rsidR="00CA78BD" w:rsidRPr="00CA78BD">
        <w:rPr>
          <w:rFonts w:ascii="Times New Roman" w:eastAsia="Arial Unicode MS" w:hAnsi="Times New Roman" w:cs="Times New Roman"/>
          <w:sz w:val="20"/>
          <w:szCs w:val="20"/>
        </w:rPr>
        <w:t>П</w:t>
      </w:r>
      <w:r w:rsidR="00CA78BD" w:rsidRPr="00CA78BD">
        <w:rPr>
          <w:rFonts w:ascii="Times New Roman" w:hAnsi="Times New Roman" w:cs="Times New Roman"/>
          <w:sz w:val="20"/>
          <w:szCs w:val="20"/>
        </w:rPr>
        <w:t>.</w:t>
      </w:r>
      <w:r w:rsidR="00CA78BD" w:rsidRPr="00CA78BD">
        <w:rPr>
          <w:rFonts w:ascii="Times New Roman" w:eastAsia="Arial Unicode MS" w:hAnsi="Times New Roman" w:cs="Times New Roman"/>
          <w:sz w:val="20"/>
          <w:szCs w:val="20"/>
        </w:rPr>
        <w:t>С</w:t>
      </w:r>
      <w:r w:rsidR="00CA78BD" w:rsidRPr="00CA78BD">
        <w:rPr>
          <w:rFonts w:ascii="Times New Roman" w:hAnsi="Times New Roman" w:cs="Times New Roman"/>
          <w:sz w:val="20"/>
          <w:szCs w:val="20"/>
        </w:rPr>
        <w:t xml:space="preserve">. </w:t>
      </w:r>
      <w:r w:rsidR="00CA78BD" w:rsidRPr="00CA78BD">
        <w:rPr>
          <w:rFonts w:ascii="Times New Roman" w:eastAsia="Arial Unicode MS" w:hAnsi="Times New Roman" w:cs="Times New Roman"/>
          <w:sz w:val="20"/>
          <w:szCs w:val="20"/>
        </w:rPr>
        <w:t>Эволюция</w:t>
      </w:r>
      <w:r w:rsidR="00CA78BD" w:rsidRPr="00CA78BD">
        <w:rPr>
          <w:rFonts w:ascii="Times New Roman" w:hAnsi="Times New Roman" w:cs="Times New Roman"/>
          <w:sz w:val="20"/>
          <w:szCs w:val="20"/>
        </w:rPr>
        <w:t xml:space="preserve"> </w:t>
      </w:r>
      <w:r w:rsidR="00CA78BD" w:rsidRPr="00CA78BD">
        <w:rPr>
          <w:rFonts w:ascii="Times New Roman" w:eastAsia="Arial Unicode MS" w:hAnsi="Times New Roman" w:cs="Times New Roman"/>
          <w:sz w:val="20"/>
          <w:szCs w:val="20"/>
        </w:rPr>
        <w:t>и</w:t>
      </w:r>
      <w:r w:rsidR="00CA78BD" w:rsidRPr="00CA78BD">
        <w:rPr>
          <w:rFonts w:ascii="Times New Roman" w:hAnsi="Times New Roman" w:cs="Times New Roman"/>
          <w:sz w:val="20"/>
          <w:szCs w:val="20"/>
        </w:rPr>
        <w:t xml:space="preserve"> </w:t>
      </w:r>
      <w:r w:rsidR="00CA78BD" w:rsidRPr="00CA78BD">
        <w:rPr>
          <w:rFonts w:ascii="Times New Roman" w:eastAsia="Arial Unicode MS" w:hAnsi="Times New Roman" w:cs="Times New Roman"/>
          <w:sz w:val="20"/>
          <w:szCs w:val="20"/>
        </w:rPr>
        <w:t>современное</w:t>
      </w:r>
      <w:r w:rsidR="00CA78BD" w:rsidRPr="00CA78BD">
        <w:rPr>
          <w:rFonts w:ascii="Times New Roman" w:hAnsi="Times New Roman" w:cs="Times New Roman"/>
          <w:sz w:val="20"/>
          <w:szCs w:val="20"/>
        </w:rPr>
        <w:t xml:space="preserve"> </w:t>
      </w:r>
      <w:r w:rsidR="00CA78BD" w:rsidRPr="00CA78BD">
        <w:rPr>
          <w:rFonts w:ascii="Times New Roman" w:eastAsia="Arial Unicode MS" w:hAnsi="Times New Roman" w:cs="Times New Roman"/>
          <w:sz w:val="20"/>
          <w:szCs w:val="20"/>
        </w:rPr>
        <w:t>состояние</w:t>
      </w:r>
      <w:r w:rsidR="00CA78BD" w:rsidRPr="00CA78BD">
        <w:rPr>
          <w:rFonts w:ascii="Times New Roman" w:hAnsi="Times New Roman" w:cs="Times New Roman"/>
          <w:sz w:val="20"/>
          <w:szCs w:val="20"/>
        </w:rPr>
        <w:t xml:space="preserve"> </w:t>
      </w:r>
      <w:r w:rsidR="00CA78BD" w:rsidRPr="00CA78BD">
        <w:rPr>
          <w:rFonts w:ascii="Times New Roman" w:eastAsia="Arial Unicode MS" w:hAnsi="Times New Roman" w:cs="Times New Roman"/>
          <w:sz w:val="20"/>
          <w:szCs w:val="20"/>
        </w:rPr>
        <w:t>теории</w:t>
      </w:r>
      <w:r w:rsidR="00CA78BD" w:rsidRPr="00CA78BD">
        <w:rPr>
          <w:rFonts w:ascii="Times New Roman" w:hAnsi="Times New Roman" w:cs="Times New Roman"/>
          <w:sz w:val="20"/>
          <w:szCs w:val="20"/>
        </w:rPr>
        <w:t xml:space="preserve"> </w:t>
      </w:r>
      <w:r w:rsidR="00CA78BD" w:rsidRPr="00CA78BD">
        <w:rPr>
          <w:rFonts w:ascii="Times New Roman" w:eastAsia="Arial Unicode MS" w:hAnsi="Times New Roman" w:cs="Times New Roman"/>
          <w:sz w:val="20"/>
          <w:szCs w:val="20"/>
        </w:rPr>
        <w:t>групп</w:t>
      </w:r>
      <w:r w:rsidR="00CA78BD" w:rsidRPr="00CA78BD">
        <w:rPr>
          <w:rFonts w:ascii="Times New Roman" w:hAnsi="Times New Roman" w:cs="Times New Roman"/>
          <w:sz w:val="20"/>
          <w:szCs w:val="20"/>
        </w:rPr>
        <w:t xml:space="preserve"> </w:t>
      </w:r>
      <w:r w:rsidR="00CA78BD" w:rsidRPr="00CA78BD">
        <w:rPr>
          <w:rFonts w:ascii="Times New Roman" w:eastAsia="Arial Unicode MS" w:hAnsi="Times New Roman" w:cs="Times New Roman"/>
          <w:sz w:val="20"/>
          <w:szCs w:val="20"/>
        </w:rPr>
        <w:t>интересов</w:t>
      </w:r>
      <w:r w:rsidR="00CA78BD" w:rsidRPr="00CA78BD">
        <w:rPr>
          <w:rFonts w:ascii="Times New Roman" w:hAnsi="Times New Roman" w:cs="Times New Roman"/>
          <w:sz w:val="20"/>
          <w:szCs w:val="20"/>
        </w:rPr>
        <w:t xml:space="preserve"> / </w:t>
      </w:r>
      <w:proofErr w:type="spellStart"/>
      <w:r w:rsidR="00CA78BD" w:rsidRPr="00CA78BD">
        <w:rPr>
          <w:rFonts w:ascii="Times New Roman" w:eastAsia="Arial Unicode MS" w:hAnsi="Times New Roman" w:cs="Times New Roman"/>
          <w:sz w:val="20"/>
          <w:szCs w:val="20"/>
        </w:rPr>
        <w:t>П.С.Каневский</w:t>
      </w:r>
      <w:proofErr w:type="spellEnd"/>
      <w:r w:rsidR="00CA78BD" w:rsidRPr="00CA78BD">
        <w:rPr>
          <w:rFonts w:ascii="Times New Roman" w:eastAsia="Arial Unicode MS" w:hAnsi="Times New Roman" w:cs="Times New Roman"/>
          <w:sz w:val="20"/>
          <w:szCs w:val="20"/>
        </w:rPr>
        <w:t xml:space="preserve"> // Вест</w:t>
      </w:r>
      <w:r w:rsidR="00CA78BD" w:rsidRPr="00CA78BD">
        <w:rPr>
          <w:rFonts w:ascii="Times New Roman" w:hAnsi="Times New Roman" w:cs="Times New Roman"/>
          <w:sz w:val="20"/>
          <w:szCs w:val="20"/>
        </w:rPr>
        <w:t xml:space="preserve">ник </w:t>
      </w:r>
      <w:r w:rsidR="00CA78BD" w:rsidRPr="00CA78BD">
        <w:rPr>
          <w:rFonts w:ascii="Times New Roman" w:eastAsia="Arial Unicode MS" w:hAnsi="Times New Roman" w:cs="Times New Roman"/>
          <w:sz w:val="20"/>
          <w:szCs w:val="20"/>
        </w:rPr>
        <w:t>Московского</w:t>
      </w:r>
      <w:r w:rsidR="00CA78BD" w:rsidRPr="00CA78BD">
        <w:rPr>
          <w:rFonts w:ascii="Times New Roman" w:hAnsi="Times New Roman" w:cs="Times New Roman"/>
          <w:sz w:val="20"/>
          <w:szCs w:val="20"/>
        </w:rPr>
        <w:t xml:space="preserve"> </w:t>
      </w:r>
      <w:r w:rsidR="00CA78BD" w:rsidRPr="00CA78BD">
        <w:rPr>
          <w:rFonts w:ascii="Times New Roman" w:eastAsia="Arial Unicode MS" w:hAnsi="Times New Roman" w:cs="Times New Roman"/>
          <w:sz w:val="20"/>
          <w:szCs w:val="20"/>
        </w:rPr>
        <w:t>ун</w:t>
      </w:r>
      <w:r w:rsidR="00CA78BD" w:rsidRPr="00CA78BD">
        <w:rPr>
          <w:rFonts w:ascii="Times New Roman" w:hAnsi="Times New Roman" w:cs="Times New Roman"/>
          <w:sz w:val="20"/>
          <w:szCs w:val="20"/>
        </w:rPr>
        <w:t>иверсите</w:t>
      </w:r>
      <w:r w:rsidR="00CA78BD" w:rsidRPr="00CA78BD">
        <w:rPr>
          <w:rFonts w:ascii="Times New Roman" w:eastAsia="Arial Unicode MS" w:hAnsi="Times New Roman" w:cs="Times New Roman"/>
          <w:sz w:val="20"/>
          <w:szCs w:val="20"/>
        </w:rPr>
        <w:t>та</w:t>
      </w:r>
      <w:r w:rsidR="00CA78BD" w:rsidRPr="00CA78BD">
        <w:rPr>
          <w:rFonts w:ascii="Times New Roman" w:hAnsi="Times New Roman" w:cs="Times New Roman"/>
          <w:sz w:val="20"/>
          <w:szCs w:val="20"/>
        </w:rPr>
        <w:t xml:space="preserve">. </w:t>
      </w:r>
      <w:r w:rsidR="00CA78BD" w:rsidRPr="00CA78BD">
        <w:rPr>
          <w:rFonts w:ascii="Times New Roman" w:eastAsia="Arial Unicode MS" w:hAnsi="Times New Roman" w:cs="Times New Roman"/>
          <w:sz w:val="20"/>
          <w:szCs w:val="20"/>
        </w:rPr>
        <w:t>Сер</w:t>
      </w:r>
      <w:r w:rsidR="00CA78BD" w:rsidRPr="00CA78BD">
        <w:rPr>
          <w:rFonts w:ascii="Times New Roman" w:hAnsi="Times New Roman" w:cs="Times New Roman"/>
          <w:sz w:val="20"/>
          <w:szCs w:val="20"/>
        </w:rPr>
        <w:t>ия</w:t>
      </w:r>
      <w:r w:rsidR="00CA78BD" w:rsidRPr="00CA78BD">
        <w:rPr>
          <w:rFonts w:ascii="Times New Roman" w:hAnsi="Times New Roman" w:cs="Times New Roman"/>
          <w:sz w:val="20"/>
          <w:szCs w:val="20"/>
          <w:lang w:val="en-US"/>
        </w:rPr>
        <w:t xml:space="preserve"> 18, </w:t>
      </w:r>
      <w:r w:rsidR="00CA78BD" w:rsidRPr="00CA78BD">
        <w:rPr>
          <w:rFonts w:ascii="Times New Roman" w:eastAsia="Arial Unicode MS" w:hAnsi="Times New Roman" w:cs="Times New Roman"/>
          <w:sz w:val="20"/>
          <w:szCs w:val="20"/>
        </w:rPr>
        <w:t>Социология</w:t>
      </w:r>
      <w:r w:rsidR="00CA78BD" w:rsidRPr="00CA78BD">
        <w:rPr>
          <w:rFonts w:ascii="Times New Roman" w:eastAsia="Arial Unicode MS" w:hAnsi="Times New Roman" w:cs="Times New Roman"/>
          <w:sz w:val="20"/>
          <w:szCs w:val="20"/>
          <w:lang w:val="en-US"/>
        </w:rPr>
        <w:t xml:space="preserve"> </w:t>
      </w:r>
      <w:r w:rsidR="00CA78BD" w:rsidRPr="00CA78BD">
        <w:rPr>
          <w:rFonts w:ascii="Times New Roman" w:eastAsia="Arial Unicode MS" w:hAnsi="Times New Roman" w:cs="Times New Roman"/>
          <w:sz w:val="20"/>
          <w:szCs w:val="20"/>
        </w:rPr>
        <w:t>и</w:t>
      </w:r>
      <w:r w:rsidR="00CA78BD" w:rsidRPr="00CA78BD">
        <w:rPr>
          <w:rFonts w:ascii="Times New Roman" w:eastAsia="Arial Unicode MS" w:hAnsi="Times New Roman" w:cs="Times New Roman"/>
          <w:sz w:val="20"/>
          <w:szCs w:val="20"/>
          <w:lang w:val="en-US"/>
        </w:rPr>
        <w:t xml:space="preserve"> </w:t>
      </w:r>
      <w:r w:rsidR="00CA78BD" w:rsidRPr="00CA78BD">
        <w:rPr>
          <w:rFonts w:ascii="Times New Roman" w:eastAsia="Arial Unicode MS" w:hAnsi="Times New Roman" w:cs="Times New Roman"/>
          <w:sz w:val="20"/>
          <w:szCs w:val="20"/>
        </w:rPr>
        <w:t>политология</w:t>
      </w:r>
      <w:r w:rsidR="00CA78BD" w:rsidRPr="00CA78BD">
        <w:rPr>
          <w:rFonts w:ascii="Times New Roman" w:hAnsi="Times New Roman" w:cs="Times New Roman"/>
          <w:sz w:val="20"/>
          <w:szCs w:val="20"/>
          <w:lang w:val="de-DE"/>
        </w:rPr>
        <w:t xml:space="preserve">. - 2014. </w:t>
      </w:r>
      <w:proofErr w:type="spellStart"/>
      <w:r w:rsidR="00CA78BD" w:rsidRPr="00CA78BD">
        <w:rPr>
          <w:rFonts w:ascii="Times New Roman" w:hAnsi="Times New Roman" w:cs="Times New Roman"/>
          <w:sz w:val="20"/>
          <w:szCs w:val="20"/>
          <w:lang w:val="de-DE"/>
        </w:rPr>
        <w:t>No</w:t>
      </w:r>
      <w:proofErr w:type="spellEnd"/>
      <w:r w:rsidR="00CA78BD" w:rsidRPr="00CA78BD">
        <w:rPr>
          <w:rFonts w:ascii="Times New Roman" w:hAnsi="Times New Roman" w:cs="Times New Roman"/>
          <w:sz w:val="20"/>
          <w:szCs w:val="20"/>
          <w:lang w:val="de-DE"/>
        </w:rPr>
        <w:t xml:space="preserve"> 4. </w:t>
      </w:r>
      <w:r w:rsidRPr="00CA78BD">
        <w:rPr>
          <w:rFonts w:ascii="Times New Roman" w:hAnsi="Times New Roman" w:cs="Times New Roman"/>
          <w:sz w:val="20"/>
          <w:szCs w:val="20"/>
          <w:lang w:val="en-US"/>
        </w:rPr>
        <w:t xml:space="preserve">– </w:t>
      </w:r>
      <w:r w:rsidRPr="00CA78BD">
        <w:rPr>
          <w:rFonts w:ascii="Times New Roman" w:eastAsia="Arial Unicode MS" w:hAnsi="Times New Roman" w:cs="Times New Roman"/>
          <w:sz w:val="20"/>
          <w:szCs w:val="20"/>
        </w:rPr>
        <w:t>С</w:t>
      </w:r>
      <w:r w:rsidRPr="00CA78BD">
        <w:rPr>
          <w:rFonts w:ascii="Times New Roman" w:eastAsia="Arial Unicode MS" w:hAnsi="Times New Roman" w:cs="Times New Roman"/>
          <w:sz w:val="20"/>
          <w:szCs w:val="20"/>
          <w:lang w:val="en-US"/>
        </w:rPr>
        <w:t>. 110</w:t>
      </w:r>
    </w:p>
  </w:footnote>
  <w:footnote w:id="3">
    <w:p w14:paraId="1A794AEC" w14:textId="77777777" w:rsidR="000B5462" w:rsidRPr="00CA78BD" w:rsidRDefault="000B5462" w:rsidP="00DE6B91">
      <w:pPr>
        <w:pStyle w:val="a8"/>
        <w:jc w:val="both"/>
        <w:rPr>
          <w:rFonts w:ascii="Times New Roman" w:hAnsi="Times New Roman" w:cs="Times New Roman"/>
          <w:sz w:val="20"/>
          <w:szCs w:val="20"/>
          <w:lang w:val="en-US"/>
        </w:rPr>
      </w:pPr>
      <w:r w:rsidRPr="00CA78BD">
        <w:rPr>
          <w:rFonts w:ascii="Times New Roman" w:hAnsi="Times New Roman" w:cs="Times New Roman"/>
          <w:sz w:val="20"/>
          <w:szCs w:val="20"/>
          <w:vertAlign w:val="superscript"/>
        </w:rPr>
        <w:footnoteRef/>
      </w:r>
      <w:r w:rsidRPr="00CA78BD">
        <w:rPr>
          <w:rFonts w:ascii="Times New Roman" w:eastAsia="Arial Unicode MS" w:hAnsi="Times New Roman" w:cs="Times New Roman"/>
          <w:sz w:val="20"/>
          <w:szCs w:val="20"/>
          <w:lang w:val="en-US"/>
        </w:rPr>
        <w:t xml:space="preserve"> </w:t>
      </w:r>
      <w:bookmarkStart w:id="4" w:name="_Hlk73294408"/>
      <w:r w:rsidRPr="00CA78BD">
        <w:rPr>
          <w:rFonts w:ascii="Times New Roman" w:eastAsia="Arial Unicode MS" w:hAnsi="Times New Roman" w:cs="Times New Roman"/>
          <w:sz w:val="20"/>
          <w:szCs w:val="20"/>
          <w:lang w:val="en-US"/>
        </w:rPr>
        <w:t xml:space="preserve">Bentley, A. The Process of Government: A Study of Social Pressures / A. Bentley – University of Chicago Press, 1908. – VII. – </w:t>
      </w:r>
      <w:bookmarkEnd w:id="4"/>
      <w:r w:rsidRPr="00CA78BD">
        <w:rPr>
          <w:rFonts w:ascii="Times New Roman" w:eastAsia="Arial Unicode MS" w:hAnsi="Times New Roman" w:cs="Times New Roman"/>
          <w:sz w:val="20"/>
          <w:szCs w:val="20"/>
          <w:lang w:val="en-US"/>
        </w:rPr>
        <w:t xml:space="preserve">p. 203  </w:t>
      </w:r>
    </w:p>
  </w:footnote>
  <w:footnote w:id="4">
    <w:p w14:paraId="3A3C01E6" w14:textId="348BAE95" w:rsidR="000B5462" w:rsidRPr="00CA78BD" w:rsidRDefault="000B5462" w:rsidP="00234352">
      <w:pPr>
        <w:pStyle w:val="a8"/>
        <w:jc w:val="both"/>
        <w:rPr>
          <w:rFonts w:ascii="Times New Roman" w:hAnsi="Times New Roman" w:cs="Times New Roman"/>
          <w:sz w:val="20"/>
          <w:szCs w:val="20"/>
          <w:lang w:val="en-US"/>
        </w:rPr>
      </w:pPr>
      <w:r w:rsidRPr="00CA78BD">
        <w:rPr>
          <w:rFonts w:ascii="Times New Roman" w:hAnsi="Times New Roman" w:cs="Times New Roman"/>
          <w:sz w:val="20"/>
          <w:szCs w:val="20"/>
          <w:vertAlign w:val="superscript"/>
        </w:rPr>
        <w:footnoteRef/>
      </w:r>
      <w:r w:rsidRPr="00CA78BD">
        <w:rPr>
          <w:rFonts w:ascii="Times New Roman" w:eastAsia="Arial Unicode MS" w:hAnsi="Times New Roman" w:cs="Times New Roman"/>
          <w:sz w:val="20"/>
          <w:szCs w:val="20"/>
          <w:lang w:val="en-US"/>
        </w:rPr>
        <w:t xml:space="preserve"> </w:t>
      </w:r>
      <w:r w:rsidR="00CA78BD" w:rsidRPr="00CA78BD">
        <w:rPr>
          <w:rFonts w:ascii="Times New Roman" w:eastAsia="Arial Unicode MS" w:hAnsi="Times New Roman" w:cs="Times New Roman"/>
          <w:sz w:val="20"/>
          <w:szCs w:val="20"/>
          <w:lang w:val="en-US"/>
        </w:rPr>
        <w:t xml:space="preserve">Bentley, A. The Process of Government: A Study of Social Pressures / A. Bentley – University of Chicago Press, 1908. – VII. </w:t>
      </w:r>
      <w:r w:rsidRPr="00CA78BD">
        <w:rPr>
          <w:rFonts w:ascii="Times New Roman" w:eastAsia="Arial Unicode MS" w:hAnsi="Times New Roman" w:cs="Times New Roman"/>
          <w:sz w:val="20"/>
          <w:szCs w:val="20"/>
          <w:lang w:val="en-US"/>
        </w:rPr>
        <w:t>– p. 221</w:t>
      </w:r>
    </w:p>
  </w:footnote>
  <w:footnote w:id="5">
    <w:p w14:paraId="2B2196F1" w14:textId="77777777" w:rsidR="000B5462" w:rsidRPr="00111764" w:rsidRDefault="000B5462" w:rsidP="00E93B10">
      <w:pPr>
        <w:pStyle w:val="a8"/>
        <w:rPr>
          <w:sz w:val="20"/>
          <w:szCs w:val="20"/>
        </w:rPr>
      </w:pPr>
      <w:r w:rsidRPr="00CA78BD">
        <w:rPr>
          <w:rFonts w:ascii="Times New Roman" w:hAnsi="Times New Roman" w:cs="Times New Roman"/>
          <w:sz w:val="20"/>
          <w:szCs w:val="20"/>
          <w:vertAlign w:val="superscript"/>
        </w:rPr>
        <w:footnoteRef/>
      </w:r>
      <w:r w:rsidRPr="00CA78BD">
        <w:rPr>
          <w:rFonts w:ascii="Times New Roman" w:eastAsia="Arial Unicode MS" w:hAnsi="Times New Roman" w:cs="Times New Roman"/>
          <w:sz w:val="20"/>
          <w:szCs w:val="20"/>
        </w:rPr>
        <w:t xml:space="preserve"> Там же — </w:t>
      </w:r>
      <w:r w:rsidRPr="00CA78BD">
        <w:rPr>
          <w:rFonts w:ascii="Times New Roman" w:eastAsia="Arial Unicode MS" w:hAnsi="Times New Roman" w:cs="Times New Roman"/>
          <w:sz w:val="20"/>
          <w:szCs w:val="20"/>
          <w:lang w:val="en-US"/>
        </w:rPr>
        <w:t>p</w:t>
      </w:r>
      <w:r w:rsidRPr="00CA78BD">
        <w:rPr>
          <w:rFonts w:ascii="Times New Roman" w:eastAsia="Arial Unicode MS" w:hAnsi="Times New Roman" w:cs="Times New Roman"/>
          <w:sz w:val="20"/>
          <w:szCs w:val="20"/>
        </w:rPr>
        <w:t>. 271</w:t>
      </w:r>
    </w:p>
  </w:footnote>
  <w:footnote w:id="6">
    <w:p w14:paraId="42A872D8" w14:textId="77777777" w:rsidR="000B5462" w:rsidRPr="00CA78BD" w:rsidRDefault="000B5462" w:rsidP="005D7D54">
      <w:pPr>
        <w:pStyle w:val="a8"/>
        <w:jc w:val="both"/>
        <w:rPr>
          <w:rFonts w:ascii="Times New Roman" w:hAnsi="Times New Roman" w:cs="Times New Roman"/>
          <w:lang w:val="en-US"/>
        </w:rPr>
      </w:pPr>
      <w:r w:rsidRPr="00CA78BD">
        <w:rPr>
          <w:rFonts w:ascii="Times New Roman" w:hAnsi="Times New Roman" w:cs="Times New Roman"/>
          <w:sz w:val="20"/>
          <w:szCs w:val="20"/>
          <w:vertAlign w:val="superscript"/>
        </w:rPr>
        <w:footnoteRef/>
      </w:r>
      <w:r w:rsidRPr="00CA78BD">
        <w:rPr>
          <w:rFonts w:ascii="Times New Roman" w:eastAsia="Arial Unicode MS" w:hAnsi="Times New Roman" w:cs="Times New Roman"/>
          <w:sz w:val="20"/>
          <w:szCs w:val="20"/>
          <w:lang w:val="en-US"/>
        </w:rPr>
        <w:t xml:space="preserve"> Truman, D. From the Government Process / D. Truman // The Civil Society Reader / ed.: V. Hodgkinson, M. Foley. – Hanover; London: Tufts University Press, 2003. – P. 168</w:t>
      </w:r>
    </w:p>
  </w:footnote>
  <w:footnote w:id="7">
    <w:p w14:paraId="534A9365" w14:textId="77777777" w:rsidR="000B5462" w:rsidRPr="00D74A2B" w:rsidRDefault="000B5462" w:rsidP="00D74A2B">
      <w:pPr>
        <w:pStyle w:val="a8"/>
        <w:rPr>
          <w:rFonts w:ascii="Times" w:hAnsi="Times"/>
        </w:rPr>
      </w:pPr>
      <w:r w:rsidRPr="00CA78BD">
        <w:rPr>
          <w:rFonts w:ascii="Times New Roman" w:hAnsi="Times New Roman" w:cs="Times New Roman"/>
          <w:sz w:val="20"/>
          <w:szCs w:val="20"/>
          <w:vertAlign w:val="superscript"/>
        </w:rPr>
        <w:footnoteRef/>
      </w:r>
      <w:r w:rsidRPr="00CA78BD">
        <w:rPr>
          <w:rFonts w:ascii="Times New Roman" w:eastAsia="Arial Unicode MS" w:hAnsi="Times New Roman" w:cs="Times New Roman"/>
          <w:sz w:val="20"/>
          <w:szCs w:val="20"/>
        </w:rPr>
        <w:t xml:space="preserve"> Там же – </w:t>
      </w:r>
      <w:r w:rsidRPr="00CA78BD">
        <w:rPr>
          <w:rFonts w:ascii="Times New Roman" w:eastAsia="Arial Unicode MS" w:hAnsi="Times New Roman" w:cs="Times New Roman"/>
          <w:sz w:val="20"/>
          <w:szCs w:val="20"/>
          <w:lang w:val="en-US"/>
        </w:rPr>
        <w:t>P</w:t>
      </w:r>
      <w:r w:rsidRPr="00CA78BD">
        <w:rPr>
          <w:rFonts w:ascii="Times New Roman" w:eastAsia="Arial Unicode MS" w:hAnsi="Times New Roman" w:cs="Times New Roman"/>
          <w:sz w:val="20"/>
          <w:szCs w:val="20"/>
        </w:rPr>
        <w:t>. 172</w:t>
      </w:r>
    </w:p>
  </w:footnote>
  <w:footnote w:id="8">
    <w:p w14:paraId="6F057C1B" w14:textId="567AE887" w:rsidR="000B5462" w:rsidRPr="00CA78BD" w:rsidRDefault="000B5462" w:rsidP="00114AE4">
      <w:pPr>
        <w:pStyle w:val="a8"/>
        <w:jc w:val="both"/>
        <w:rPr>
          <w:rFonts w:ascii="Times New Roman" w:hAnsi="Times New Roman" w:cs="Times New Roman"/>
          <w:sz w:val="20"/>
          <w:szCs w:val="20"/>
          <w:lang w:val="en-US"/>
        </w:rPr>
      </w:pPr>
      <w:r w:rsidRPr="00CA78BD">
        <w:rPr>
          <w:rFonts w:ascii="Times New Roman" w:hAnsi="Times New Roman" w:cs="Times New Roman"/>
          <w:sz w:val="20"/>
          <w:szCs w:val="20"/>
          <w:vertAlign w:val="superscript"/>
        </w:rPr>
        <w:footnoteRef/>
      </w:r>
      <w:r w:rsidRPr="00CA78BD">
        <w:rPr>
          <w:rFonts w:ascii="Times New Roman" w:eastAsia="Arial Unicode MS" w:hAnsi="Times New Roman" w:cs="Times New Roman"/>
          <w:sz w:val="20"/>
          <w:szCs w:val="20"/>
          <w:lang w:val="en-US"/>
        </w:rPr>
        <w:t xml:space="preserve"> </w:t>
      </w:r>
      <w:r w:rsidR="00CA78BD" w:rsidRPr="00CA78BD">
        <w:rPr>
          <w:rFonts w:ascii="Times New Roman" w:eastAsia="Arial Unicode MS" w:hAnsi="Times New Roman" w:cs="Times New Roman"/>
          <w:sz w:val="20"/>
          <w:szCs w:val="20"/>
          <w:lang w:val="en-US"/>
        </w:rPr>
        <w:t xml:space="preserve">Truman, D. From the Government Process / D. Truman // The Civil Society Reader / ed.: V. Hodgkinson, M. Foley. – Hanover; London: Tufts University Press, 2003. </w:t>
      </w:r>
      <w:r w:rsidRPr="00CA78BD">
        <w:rPr>
          <w:rFonts w:ascii="Times New Roman" w:eastAsia="Arial Unicode MS" w:hAnsi="Times New Roman" w:cs="Times New Roman"/>
          <w:sz w:val="20"/>
          <w:szCs w:val="20"/>
          <w:lang w:val="en-US"/>
        </w:rPr>
        <w:t>– P. 175</w:t>
      </w:r>
    </w:p>
  </w:footnote>
  <w:footnote w:id="9">
    <w:p w14:paraId="4076FFA9" w14:textId="164E6EB1" w:rsidR="000B5462" w:rsidRPr="00CA78BD" w:rsidRDefault="000B5462" w:rsidP="00D74A2B">
      <w:pPr>
        <w:pStyle w:val="a8"/>
        <w:jc w:val="both"/>
        <w:rPr>
          <w:sz w:val="20"/>
          <w:szCs w:val="20"/>
          <w:lang w:val="en-US"/>
        </w:rPr>
      </w:pPr>
      <w:r w:rsidRPr="00CA78BD">
        <w:rPr>
          <w:rFonts w:ascii="Times New Roman" w:hAnsi="Times New Roman" w:cs="Times New Roman"/>
          <w:sz w:val="20"/>
          <w:szCs w:val="20"/>
          <w:vertAlign w:val="superscript"/>
        </w:rPr>
        <w:footnoteRef/>
      </w:r>
      <w:r w:rsidRPr="00CA78BD">
        <w:rPr>
          <w:rFonts w:ascii="Times New Roman" w:eastAsia="Arial Unicode MS" w:hAnsi="Times New Roman" w:cs="Times New Roman"/>
          <w:sz w:val="20"/>
          <w:szCs w:val="20"/>
          <w:lang w:val="en-US"/>
        </w:rPr>
        <w:t xml:space="preserve"> </w:t>
      </w:r>
      <w:r w:rsidR="00CA78BD">
        <w:rPr>
          <w:rFonts w:ascii="Times New Roman" w:eastAsia="Arial Unicode MS" w:hAnsi="Times New Roman" w:cs="Times New Roman"/>
          <w:sz w:val="20"/>
          <w:szCs w:val="20"/>
        </w:rPr>
        <w:t>Там же</w:t>
      </w:r>
      <w:r w:rsidRPr="00CA78BD">
        <w:rPr>
          <w:rFonts w:ascii="Times New Roman" w:eastAsia="Arial Unicode MS" w:hAnsi="Times New Roman" w:cs="Times New Roman"/>
          <w:sz w:val="20"/>
          <w:szCs w:val="20"/>
          <w:lang w:val="en-US"/>
        </w:rPr>
        <w:t xml:space="preserve"> – P. 180</w:t>
      </w:r>
    </w:p>
  </w:footnote>
  <w:footnote w:id="10">
    <w:p w14:paraId="303AC6F2" w14:textId="77777777" w:rsidR="000B5462" w:rsidRPr="00111764" w:rsidRDefault="000B5462" w:rsidP="00437CE1">
      <w:pPr>
        <w:pStyle w:val="a8"/>
        <w:jc w:val="both"/>
        <w:rPr>
          <w:rFonts w:ascii="Times New Roman" w:hAnsi="Times New Roman" w:cs="Times New Roman"/>
          <w:sz w:val="20"/>
          <w:szCs w:val="20"/>
        </w:rPr>
      </w:pPr>
      <w:r w:rsidRPr="00111764">
        <w:rPr>
          <w:rFonts w:ascii="Times New Roman" w:hAnsi="Times New Roman" w:cs="Times New Roman"/>
          <w:sz w:val="20"/>
          <w:szCs w:val="20"/>
          <w:vertAlign w:val="superscript"/>
        </w:rPr>
        <w:footnoteRef/>
      </w:r>
      <w:r w:rsidRPr="00111764">
        <w:rPr>
          <w:rFonts w:ascii="Times New Roman" w:eastAsia="Arial Unicode MS" w:hAnsi="Times New Roman" w:cs="Times New Roman"/>
          <w:sz w:val="20"/>
          <w:szCs w:val="20"/>
        </w:rPr>
        <w:t xml:space="preserve"> </w:t>
      </w:r>
      <w:r w:rsidRPr="00CA78BD">
        <w:rPr>
          <w:rFonts w:ascii="Times New Roman" w:eastAsia="Arial Unicode MS" w:hAnsi="Times New Roman" w:cs="Times New Roman"/>
          <w:sz w:val="20"/>
          <w:szCs w:val="20"/>
        </w:rPr>
        <w:t>Золотарева,</w:t>
      </w:r>
      <w:r w:rsidRPr="00CA78BD">
        <w:rPr>
          <w:rFonts w:ascii="Times New Roman" w:hAnsi="Times New Roman" w:cs="Times New Roman"/>
          <w:sz w:val="20"/>
          <w:szCs w:val="20"/>
        </w:rPr>
        <w:t xml:space="preserve"> E. B. </w:t>
      </w:r>
      <w:r w:rsidRPr="00CA78BD">
        <w:rPr>
          <w:rFonts w:ascii="Times New Roman" w:eastAsia="Arial Unicode MS" w:hAnsi="Times New Roman" w:cs="Times New Roman"/>
          <w:sz w:val="20"/>
          <w:szCs w:val="20"/>
        </w:rPr>
        <w:t>Группы</w:t>
      </w:r>
      <w:r w:rsidRPr="00CA78BD">
        <w:rPr>
          <w:rFonts w:ascii="Times New Roman" w:hAnsi="Times New Roman" w:cs="Times New Roman"/>
          <w:sz w:val="20"/>
          <w:szCs w:val="20"/>
        </w:rPr>
        <w:t xml:space="preserve"> </w:t>
      </w:r>
      <w:r w:rsidRPr="00CA78BD">
        <w:rPr>
          <w:rFonts w:ascii="Times New Roman" w:eastAsia="Arial Unicode MS" w:hAnsi="Times New Roman" w:cs="Times New Roman"/>
          <w:sz w:val="20"/>
          <w:szCs w:val="20"/>
        </w:rPr>
        <w:t>интересов</w:t>
      </w:r>
      <w:r w:rsidRPr="00CA78BD">
        <w:rPr>
          <w:rFonts w:ascii="Times New Roman" w:hAnsi="Times New Roman" w:cs="Times New Roman"/>
          <w:sz w:val="20"/>
          <w:szCs w:val="20"/>
        </w:rPr>
        <w:t xml:space="preserve"> </w:t>
      </w:r>
      <w:r w:rsidRPr="00CA78BD">
        <w:rPr>
          <w:rFonts w:ascii="Times New Roman" w:eastAsia="Arial Unicode MS" w:hAnsi="Times New Roman" w:cs="Times New Roman"/>
          <w:sz w:val="20"/>
          <w:szCs w:val="20"/>
        </w:rPr>
        <w:t>в</w:t>
      </w:r>
      <w:r w:rsidRPr="00CA78BD">
        <w:rPr>
          <w:rFonts w:ascii="Times New Roman" w:hAnsi="Times New Roman" w:cs="Times New Roman"/>
          <w:sz w:val="20"/>
          <w:szCs w:val="20"/>
        </w:rPr>
        <w:t xml:space="preserve"> </w:t>
      </w:r>
      <w:r w:rsidRPr="00CA78BD">
        <w:rPr>
          <w:rFonts w:ascii="Times New Roman" w:eastAsia="Arial Unicode MS" w:hAnsi="Times New Roman" w:cs="Times New Roman"/>
          <w:sz w:val="20"/>
          <w:szCs w:val="20"/>
        </w:rPr>
        <w:t>политике / Золотарева,</w:t>
      </w:r>
      <w:r w:rsidRPr="00CA78BD">
        <w:rPr>
          <w:rFonts w:ascii="Times New Roman" w:hAnsi="Times New Roman" w:cs="Times New Roman"/>
          <w:sz w:val="20"/>
          <w:szCs w:val="20"/>
        </w:rPr>
        <w:t xml:space="preserve"> </w:t>
      </w:r>
      <w:r w:rsidRPr="00CA78BD">
        <w:rPr>
          <w:rFonts w:ascii="Times New Roman" w:eastAsia="Arial Unicode MS" w:hAnsi="Times New Roman" w:cs="Times New Roman"/>
          <w:sz w:val="20"/>
          <w:szCs w:val="20"/>
        </w:rPr>
        <w:t>Е. В</w:t>
      </w:r>
      <w:r w:rsidRPr="00CA78BD">
        <w:rPr>
          <w:rFonts w:ascii="Times New Roman" w:eastAsia="Arial Unicode MS" w:hAnsi="Times New Roman" w:cs="Times New Roman"/>
          <w:sz w:val="20"/>
          <w:szCs w:val="20"/>
          <w:lang w:val="de-DE"/>
        </w:rPr>
        <w:t xml:space="preserve">. </w:t>
      </w:r>
      <w:proofErr w:type="gramStart"/>
      <w:r w:rsidRPr="00CA78BD">
        <w:rPr>
          <w:rFonts w:ascii="Times New Roman" w:eastAsia="Arial Unicode MS" w:hAnsi="Times New Roman" w:cs="Times New Roman"/>
          <w:sz w:val="20"/>
          <w:szCs w:val="20"/>
          <w:lang w:val="de-DE"/>
        </w:rPr>
        <w:t>URL:  http://www.politnauka.org/library/teoria/zolotareva.php</w:t>
      </w:r>
      <w:proofErr w:type="gramEnd"/>
      <w:r w:rsidRPr="00CA78BD">
        <w:rPr>
          <w:rFonts w:ascii="Times New Roman" w:eastAsia="Arial Unicode MS" w:hAnsi="Times New Roman" w:cs="Times New Roman"/>
          <w:sz w:val="20"/>
          <w:szCs w:val="20"/>
          <w:lang w:val="de-DE"/>
        </w:rPr>
        <w:t xml:space="preserve"> (</w:t>
      </w:r>
      <w:r w:rsidRPr="00CA78BD">
        <w:rPr>
          <w:rFonts w:ascii="Times New Roman" w:eastAsia="Arial Unicode MS" w:hAnsi="Times New Roman" w:cs="Times New Roman"/>
          <w:sz w:val="20"/>
          <w:szCs w:val="20"/>
        </w:rPr>
        <w:t>Дата обращения: 20.03.2021)</w:t>
      </w:r>
    </w:p>
  </w:footnote>
  <w:footnote w:id="11">
    <w:p w14:paraId="59EEEF81" w14:textId="77777777" w:rsidR="000B5462" w:rsidRPr="00CA78BD" w:rsidRDefault="000B5462" w:rsidP="00C36309">
      <w:pPr>
        <w:pStyle w:val="a8"/>
        <w:jc w:val="both"/>
        <w:rPr>
          <w:rFonts w:ascii="Times New Roman" w:hAnsi="Times New Roman" w:cs="Times New Roman"/>
          <w:sz w:val="20"/>
          <w:szCs w:val="20"/>
        </w:rPr>
      </w:pPr>
      <w:r w:rsidRPr="00CA78BD">
        <w:rPr>
          <w:rFonts w:ascii="Times New Roman" w:hAnsi="Times New Roman" w:cs="Times New Roman"/>
          <w:sz w:val="20"/>
          <w:szCs w:val="20"/>
          <w:vertAlign w:val="superscript"/>
        </w:rPr>
        <w:footnoteRef/>
      </w:r>
      <w:r w:rsidRPr="00CA78BD">
        <w:rPr>
          <w:rFonts w:ascii="Times New Roman" w:eastAsia="Arial Unicode MS" w:hAnsi="Times New Roman" w:cs="Times New Roman"/>
          <w:sz w:val="20"/>
          <w:szCs w:val="20"/>
        </w:rPr>
        <w:t xml:space="preserve"> </w:t>
      </w:r>
      <w:r w:rsidRPr="00CA78BD">
        <w:rPr>
          <w:rFonts w:ascii="Times New Roman" w:hAnsi="Times New Roman" w:cs="Times New Roman"/>
          <w:sz w:val="20"/>
          <w:szCs w:val="20"/>
        </w:rPr>
        <w:t>Олсон</w:t>
      </w:r>
      <w:r w:rsidRPr="00CA78BD">
        <w:rPr>
          <w:rFonts w:ascii="Times New Roman" w:eastAsia="Arial Unicode MS" w:hAnsi="Times New Roman" w:cs="Times New Roman"/>
          <w:sz w:val="20"/>
          <w:szCs w:val="20"/>
        </w:rPr>
        <w:t xml:space="preserve">, </w:t>
      </w:r>
      <w:r w:rsidRPr="00CA78BD">
        <w:rPr>
          <w:rFonts w:ascii="Times New Roman" w:hAnsi="Times New Roman" w:cs="Times New Roman"/>
          <w:sz w:val="20"/>
          <w:szCs w:val="20"/>
        </w:rPr>
        <w:t>М</w:t>
      </w:r>
      <w:r w:rsidRPr="00CA78BD">
        <w:rPr>
          <w:rFonts w:ascii="Times New Roman" w:eastAsia="Arial Unicode MS" w:hAnsi="Times New Roman" w:cs="Times New Roman"/>
          <w:sz w:val="20"/>
          <w:szCs w:val="20"/>
        </w:rPr>
        <w:t xml:space="preserve">. </w:t>
      </w:r>
      <w:r w:rsidRPr="00CA78BD">
        <w:rPr>
          <w:rFonts w:ascii="Times New Roman" w:hAnsi="Times New Roman" w:cs="Times New Roman"/>
          <w:sz w:val="20"/>
          <w:szCs w:val="20"/>
        </w:rPr>
        <w:t>Логика</w:t>
      </w:r>
      <w:r w:rsidRPr="00CA78BD">
        <w:rPr>
          <w:rFonts w:ascii="Times New Roman" w:eastAsia="Arial Unicode MS" w:hAnsi="Times New Roman" w:cs="Times New Roman"/>
          <w:sz w:val="20"/>
          <w:szCs w:val="20"/>
        </w:rPr>
        <w:t xml:space="preserve"> </w:t>
      </w:r>
      <w:r w:rsidRPr="00CA78BD">
        <w:rPr>
          <w:rFonts w:ascii="Times New Roman" w:hAnsi="Times New Roman" w:cs="Times New Roman"/>
          <w:sz w:val="20"/>
          <w:szCs w:val="20"/>
        </w:rPr>
        <w:t>коллективных</w:t>
      </w:r>
      <w:r w:rsidRPr="00CA78BD">
        <w:rPr>
          <w:rFonts w:ascii="Times New Roman" w:eastAsia="Arial Unicode MS" w:hAnsi="Times New Roman" w:cs="Times New Roman"/>
          <w:sz w:val="20"/>
          <w:szCs w:val="20"/>
        </w:rPr>
        <w:t xml:space="preserve"> </w:t>
      </w:r>
      <w:r w:rsidRPr="00CA78BD">
        <w:rPr>
          <w:rFonts w:ascii="Times New Roman" w:hAnsi="Times New Roman" w:cs="Times New Roman"/>
          <w:sz w:val="20"/>
          <w:szCs w:val="20"/>
        </w:rPr>
        <w:t>действий</w:t>
      </w:r>
      <w:r w:rsidRPr="00CA78BD">
        <w:rPr>
          <w:rFonts w:ascii="Times New Roman" w:eastAsia="Arial Unicode MS" w:hAnsi="Times New Roman" w:cs="Times New Roman"/>
          <w:sz w:val="20"/>
          <w:szCs w:val="20"/>
        </w:rPr>
        <w:t xml:space="preserve">. </w:t>
      </w:r>
      <w:r w:rsidRPr="00CA78BD">
        <w:rPr>
          <w:rFonts w:ascii="Times New Roman" w:hAnsi="Times New Roman" w:cs="Times New Roman"/>
          <w:sz w:val="20"/>
          <w:szCs w:val="20"/>
        </w:rPr>
        <w:t>Общественные</w:t>
      </w:r>
      <w:r w:rsidRPr="00CA78BD">
        <w:rPr>
          <w:rFonts w:ascii="Times New Roman" w:eastAsia="Arial Unicode MS" w:hAnsi="Times New Roman" w:cs="Times New Roman"/>
          <w:sz w:val="20"/>
          <w:szCs w:val="20"/>
        </w:rPr>
        <w:t xml:space="preserve"> </w:t>
      </w:r>
      <w:r w:rsidRPr="00CA78BD">
        <w:rPr>
          <w:rFonts w:ascii="Times New Roman" w:hAnsi="Times New Roman" w:cs="Times New Roman"/>
          <w:sz w:val="20"/>
          <w:szCs w:val="20"/>
        </w:rPr>
        <w:t>блага</w:t>
      </w:r>
      <w:r w:rsidRPr="00CA78BD">
        <w:rPr>
          <w:rFonts w:ascii="Times New Roman" w:eastAsia="Arial Unicode MS" w:hAnsi="Times New Roman" w:cs="Times New Roman"/>
          <w:sz w:val="20"/>
          <w:szCs w:val="20"/>
        </w:rPr>
        <w:t xml:space="preserve"> </w:t>
      </w:r>
      <w:r w:rsidRPr="00CA78BD">
        <w:rPr>
          <w:rFonts w:ascii="Times New Roman" w:hAnsi="Times New Roman" w:cs="Times New Roman"/>
          <w:sz w:val="20"/>
          <w:szCs w:val="20"/>
        </w:rPr>
        <w:t>и</w:t>
      </w:r>
      <w:r w:rsidRPr="00CA78BD">
        <w:rPr>
          <w:rFonts w:ascii="Times New Roman" w:eastAsia="Arial Unicode MS" w:hAnsi="Times New Roman" w:cs="Times New Roman"/>
          <w:sz w:val="20"/>
          <w:szCs w:val="20"/>
        </w:rPr>
        <w:t xml:space="preserve"> </w:t>
      </w:r>
      <w:r w:rsidRPr="00CA78BD">
        <w:rPr>
          <w:rFonts w:ascii="Times New Roman" w:hAnsi="Times New Roman" w:cs="Times New Roman"/>
          <w:sz w:val="20"/>
          <w:szCs w:val="20"/>
        </w:rPr>
        <w:t>теория</w:t>
      </w:r>
      <w:r w:rsidRPr="00CA78BD">
        <w:rPr>
          <w:rFonts w:ascii="Times New Roman" w:eastAsia="Arial Unicode MS" w:hAnsi="Times New Roman" w:cs="Times New Roman"/>
          <w:sz w:val="20"/>
          <w:szCs w:val="20"/>
        </w:rPr>
        <w:t xml:space="preserve"> </w:t>
      </w:r>
      <w:r w:rsidRPr="00CA78BD">
        <w:rPr>
          <w:rFonts w:ascii="Times New Roman" w:hAnsi="Times New Roman" w:cs="Times New Roman"/>
          <w:sz w:val="20"/>
          <w:szCs w:val="20"/>
        </w:rPr>
        <w:t>групп</w:t>
      </w:r>
      <w:r w:rsidRPr="00CA78BD">
        <w:rPr>
          <w:rFonts w:ascii="Times New Roman" w:eastAsia="Arial Unicode MS" w:hAnsi="Times New Roman" w:cs="Times New Roman"/>
          <w:sz w:val="20"/>
          <w:szCs w:val="20"/>
        </w:rPr>
        <w:t xml:space="preserve"> / </w:t>
      </w:r>
      <w:r w:rsidRPr="00CA78BD">
        <w:rPr>
          <w:rFonts w:ascii="Times New Roman" w:hAnsi="Times New Roman" w:cs="Times New Roman"/>
          <w:sz w:val="20"/>
          <w:szCs w:val="20"/>
        </w:rPr>
        <w:t>Олсон М.</w:t>
      </w:r>
      <w:r w:rsidRPr="00CA78BD">
        <w:rPr>
          <w:rFonts w:ascii="Times New Roman" w:eastAsia="Arial Unicode MS" w:hAnsi="Times New Roman" w:cs="Times New Roman"/>
          <w:sz w:val="20"/>
          <w:szCs w:val="20"/>
        </w:rPr>
        <w:t xml:space="preserve"> – </w:t>
      </w:r>
      <w:r w:rsidRPr="00CA78BD">
        <w:rPr>
          <w:rFonts w:ascii="Times New Roman" w:hAnsi="Times New Roman" w:cs="Times New Roman"/>
          <w:sz w:val="20"/>
          <w:szCs w:val="20"/>
        </w:rPr>
        <w:t>М</w:t>
      </w:r>
      <w:r w:rsidRPr="00CA78BD">
        <w:rPr>
          <w:rFonts w:ascii="Times New Roman" w:eastAsia="Arial Unicode MS" w:hAnsi="Times New Roman" w:cs="Times New Roman"/>
          <w:sz w:val="20"/>
          <w:szCs w:val="20"/>
        </w:rPr>
        <w:t xml:space="preserve">.: </w:t>
      </w:r>
      <w:r w:rsidRPr="00CA78BD">
        <w:rPr>
          <w:rFonts w:ascii="Times New Roman" w:hAnsi="Times New Roman" w:cs="Times New Roman"/>
          <w:sz w:val="20"/>
          <w:szCs w:val="20"/>
        </w:rPr>
        <w:t>ФЭИ</w:t>
      </w:r>
      <w:r w:rsidRPr="00CA78BD">
        <w:rPr>
          <w:rFonts w:ascii="Times New Roman" w:eastAsia="Arial Unicode MS" w:hAnsi="Times New Roman" w:cs="Times New Roman"/>
          <w:sz w:val="20"/>
          <w:szCs w:val="20"/>
        </w:rPr>
        <w:t>, 1995, с. 19</w:t>
      </w:r>
    </w:p>
  </w:footnote>
  <w:footnote w:id="12">
    <w:p w14:paraId="3E670D8B" w14:textId="77777777" w:rsidR="000B5462" w:rsidRPr="00CA78BD" w:rsidRDefault="000B5462" w:rsidP="00C36309">
      <w:pPr>
        <w:pStyle w:val="a8"/>
        <w:jc w:val="both"/>
        <w:rPr>
          <w:lang w:val="en-US"/>
        </w:rPr>
      </w:pPr>
      <w:r w:rsidRPr="00CA78BD">
        <w:rPr>
          <w:rFonts w:ascii="Times New Roman" w:hAnsi="Times New Roman" w:cs="Times New Roman"/>
          <w:sz w:val="20"/>
          <w:szCs w:val="20"/>
          <w:vertAlign w:val="superscript"/>
        </w:rPr>
        <w:footnoteRef/>
      </w:r>
      <w:r w:rsidRPr="00CA78BD">
        <w:rPr>
          <w:rFonts w:ascii="Times New Roman" w:eastAsia="Arial Unicode MS" w:hAnsi="Times New Roman" w:cs="Times New Roman"/>
          <w:sz w:val="20"/>
          <w:szCs w:val="20"/>
          <w:lang w:val="en-US"/>
        </w:rPr>
        <w:t xml:space="preserve"> </w:t>
      </w:r>
      <w:r w:rsidRPr="00CA78BD">
        <w:rPr>
          <w:rFonts w:ascii="Times New Roman" w:hAnsi="Times New Roman" w:cs="Times New Roman"/>
          <w:sz w:val="20"/>
          <w:szCs w:val="20"/>
        </w:rPr>
        <w:t>Там</w:t>
      </w:r>
      <w:r w:rsidRPr="00CA78BD">
        <w:rPr>
          <w:rFonts w:ascii="Times New Roman" w:hAnsi="Times New Roman" w:cs="Times New Roman"/>
          <w:sz w:val="20"/>
          <w:szCs w:val="20"/>
          <w:lang w:val="en-US"/>
        </w:rPr>
        <w:t xml:space="preserve"> </w:t>
      </w:r>
      <w:r w:rsidRPr="00CA78BD">
        <w:rPr>
          <w:rFonts w:ascii="Times New Roman" w:hAnsi="Times New Roman" w:cs="Times New Roman"/>
          <w:sz w:val="20"/>
          <w:szCs w:val="20"/>
        </w:rPr>
        <w:t>же</w:t>
      </w:r>
      <w:r w:rsidRPr="00CA78BD">
        <w:rPr>
          <w:rFonts w:ascii="Times New Roman" w:eastAsia="Arial Unicode MS" w:hAnsi="Times New Roman" w:cs="Times New Roman"/>
          <w:sz w:val="20"/>
          <w:szCs w:val="20"/>
          <w:lang w:val="en-US"/>
        </w:rPr>
        <w:t xml:space="preserve"> — </w:t>
      </w:r>
      <w:r w:rsidRPr="00CA78BD">
        <w:rPr>
          <w:rFonts w:ascii="Times New Roman" w:eastAsia="Arial Unicode MS" w:hAnsi="Times New Roman" w:cs="Times New Roman"/>
          <w:sz w:val="20"/>
          <w:szCs w:val="20"/>
        </w:rPr>
        <w:t>с</w:t>
      </w:r>
      <w:r w:rsidRPr="00CA78BD">
        <w:rPr>
          <w:rFonts w:ascii="Times New Roman" w:eastAsia="Arial Unicode MS" w:hAnsi="Times New Roman" w:cs="Times New Roman"/>
          <w:sz w:val="20"/>
          <w:szCs w:val="20"/>
          <w:lang w:val="en-US"/>
        </w:rPr>
        <w:t>. 120</w:t>
      </w:r>
    </w:p>
  </w:footnote>
  <w:footnote w:id="13">
    <w:p w14:paraId="127F53A2" w14:textId="77777777" w:rsidR="000B5462" w:rsidRPr="00CA78BD" w:rsidRDefault="000B5462" w:rsidP="002846E3">
      <w:pPr>
        <w:pStyle w:val="a8"/>
        <w:jc w:val="both"/>
        <w:rPr>
          <w:rFonts w:ascii="Times New Roman" w:hAnsi="Times New Roman" w:cs="Times New Roman"/>
        </w:rPr>
      </w:pPr>
      <w:r w:rsidRPr="00CA78BD">
        <w:rPr>
          <w:rFonts w:ascii="Times New Roman" w:hAnsi="Times New Roman" w:cs="Times New Roman"/>
          <w:sz w:val="20"/>
          <w:szCs w:val="20"/>
          <w:vertAlign w:val="superscript"/>
        </w:rPr>
        <w:footnoteRef/>
      </w:r>
      <w:r w:rsidRPr="00CA78BD">
        <w:rPr>
          <w:rFonts w:ascii="Times New Roman" w:eastAsia="Arial Unicode MS" w:hAnsi="Times New Roman" w:cs="Times New Roman"/>
          <w:sz w:val="20"/>
          <w:szCs w:val="20"/>
          <w:lang w:val="en-US"/>
        </w:rPr>
        <w:t xml:space="preserve"> Beyers, J. </w:t>
      </w:r>
      <w:proofErr w:type="spellStart"/>
      <w:r w:rsidRPr="00CA78BD">
        <w:rPr>
          <w:rFonts w:ascii="Times New Roman" w:eastAsia="Arial Unicode MS" w:hAnsi="Times New Roman" w:cs="Times New Roman"/>
          <w:sz w:val="20"/>
          <w:szCs w:val="20"/>
          <w:lang w:val="en-US"/>
        </w:rPr>
        <w:t>Eising</w:t>
      </w:r>
      <w:proofErr w:type="spellEnd"/>
      <w:r w:rsidRPr="00CA78BD">
        <w:rPr>
          <w:rFonts w:ascii="Times New Roman" w:eastAsia="Arial Unicode MS" w:hAnsi="Times New Roman" w:cs="Times New Roman"/>
          <w:sz w:val="20"/>
          <w:szCs w:val="20"/>
          <w:lang w:val="en-US"/>
        </w:rPr>
        <w:t xml:space="preserve">, R. Maloney, W. Researching Interest Group Politics in Europe and Elsewhere: Much We Study, Little We Know? / </w:t>
      </w:r>
      <w:proofErr w:type="spellStart"/>
      <w:proofErr w:type="gramStart"/>
      <w:r w:rsidRPr="00CA78BD">
        <w:rPr>
          <w:rFonts w:ascii="Times New Roman" w:eastAsia="Arial Unicode MS" w:hAnsi="Times New Roman" w:cs="Times New Roman"/>
          <w:sz w:val="20"/>
          <w:szCs w:val="20"/>
          <w:lang w:val="en-US"/>
        </w:rPr>
        <w:t>J.Beyers</w:t>
      </w:r>
      <w:proofErr w:type="spellEnd"/>
      <w:proofErr w:type="gramEnd"/>
      <w:r w:rsidRPr="00CA78BD">
        <w:rPr>
          <w:rFonts w:ascii="Times New Roman" w:eastAsia="Arial Unicode MS" w:hAnsi="Times New Roman" w:cs="Times New Roman"/>
          <w:sz w:val="20"/>
          <w:szCs w:val="20"/>
          <w:lang w:val="en-US"/>
        </w:rPr>
        <w:t xml:space="preserve">, </w:t>
      </w:r>
      <w:proofErr w:type="spellStart"/>
      <w:r w:rsidRPr="00CA78BD">
        <w:rPr>
          <w:rFonts w:ascii="Times New Roman" w:eastAsia="Arial Unicode MS" w:hAnsi="Times New Roman" w:cs="Times New Roman"/>
          <w:sz w:val="20"/>
          <w:szCs w:val="20"/>
          <w:lang w:val="en-US"/>
        </w:rPr>
        <w:t>R.Eising</w:t>
      </w:r>
      <w:proofErr w:type="spellEnd"/>
      <w:r w:rsidRPr="00CA78BD">
        <w:rPr>
          <w:rFonts w:ascii="Times New Roman" w:eastAsia="Arial Unicode MS" w:hAnsi="Times New Roman" w:cs="Times New Roman"/>
          <w:sz w:val="20"/>
          <w:szCs w:val="20"/>
          <w:lang w:val="en-US"/>
        </w:rPr>
        <w:t xml:space="preserve">,  </w:t>
      </w:r>
      <w:proofErr w:type="spellStart"/>
      <w:r w:rsidRPr="00CA78BD">
        <w:rPr>
          <w:rFonts w:ascii="Times New Roman" w:eastAsia="Arial Unicode MS" w:hAnsi="Times New Roman" w:cs="Times New Roman"/>
          <w:sz w:val="20"/>
          <w:szCs w:val="20"/>
          <w:lang w:val="en-US"/>
        </w:rPr>
        <w:t>W.Maloney</w:t>
      </w:r>
      <w:proofErr w:type="spellEnd"/>
      <w:r w:rsidRPr="00CA78BD">
        <w:rPr>
          <w:rFonts w:ascii="Times New Roman" w:eastAsia="Arial Unicode MS" w:hAnsi="Times New Roman" w:cs="Times New Roman"/>
          <w:sz w:val="20"/>
          <w:szCs w:val="20"/>
          <w:lang w:val="en-US"/>
        </w:rPr>
        <w:t xml:space="preserve"> // West European Politics. – 2008. </w:t>
      </w:r>
      <w:r w:rsidRPr="00CA78BD">
        <w:rPr>
          <w:rFonts w:ascii="Times New Roman" w:eastAsia="Arial Unicode MS" w:hAnsi="Times New Roman" w:cs="Times New Roman"/>
          <w:sz w:val="20"/>
          <w:szCs w:val="20"/>
        </w:rPr>
        <w:t xml:space="preserve">№36. - </w:t>
      </w:r>
      <w:r w:rsidRPr="00CA78BD">
        <w:rPr>
          <w:rFonts w:ascii="Times New Roman" w:eastAsia="Arial Unicode MS" w:hAnsi="Times New Roman" w:cs="Times New Roman"/>
          <w:sz w:val="20"/>
          <w:szCs w:val="20"/>
          <w:lang w:val="en-US"/>
        </w:rPr>
        <w:t>P</w:t>
      </w:r>
      <w:r w:rsidRPr="00CA78BD">
        <w:rPr>
          <w:rFonts w:ascii="Times New Roman" w:eastAsia="Arial Unicode MS" w:hAnsi="Times New Roman" w:cs="Times New Roman"/>
          <w:sz w:val="20"/>
          <w:szCs w:val="20"/>
        </w:rPr>
        <w:t>. 1108</w:t>
      </w:r>
    </w:p>
  </w:footnote>
  <w:footnote w:id="14">
    <w:p w14:paraId="39B821ED" w14:textId="77777777" w:rsidR="000B5462" w:rsidRPr="00CA78BD" w:rsidRDefault="000B5462" w:rsidP="006A5EA9">
      <w:pPr>
        <w:pStyle w:val="a9"/>
        <w:jc w:val="both"/>
        <w:rPr>
          <w:rFonts w:ascii="Times New Roman" w:hAnsi="Times New Roman" w:cs="Times New Roman"/>
        </w:rPr>
      </w:pPr>
      <w:r w:rsidRPr="00CA78BD">
        <w:rPr>
          <w:rStyle w:val="ab"/>
          <w:rFonts w:ascii="Times New Roman" w:hAnsi="Times New Roman" w:cs="Times New Roman"/>
        </w:rPr>
        <w:footnoteRef/>
      </w:r>
      <w:r w:rsidRPr="00CA78BD">
        <w:rPr>
          <w:rFonts w:ascii="Times New Roman" w:hAnsi="Times New Roman" w:cs="Times New Roman"/>
        </w:rPr>
        <w:t xml:space="preserve"> </w:t>
      </w:r>
      <w:proofErr w:type="spellStart"/>
      <w:r w:rsidRPr="00CA78BD">
        <w:rPr>
          <w:rFonts w:ascii="Times New Roman" w:hAnsi="Times New Roman" w:cs="Times New Roman"/>
        </w:rPr>
        <w:t>Павроз</w:t>
      </w:r>
      <w:proofErr w:type="spellEnd"/>
      <w:r w:rsidRPr="00CA78BD">
        <w:rPr>
          <w:rFonts w:ascii="Times New Roman" w:hAnsi="Times New Roman" w:cs="Times New Roman"/>
        </w:rPr>
        <w:t xml:space="preserve">, А.В. Группы интересов в системе политического представительства: современные тенденции / А.В. </w:t>
      </w:r>
      <w:proofErr w:type="spellStart"/>
      <w:r w:rsidRPr="00CA78BD">
        <w:rPr>
          <w:rFonts w:ascii="Times New Roman" w:hAnsi="Times New Roman" w:cs="Times New Roman"/>
        </w:rPr>
        <w:t>Павроз</w:t>
      </w:r>
      <w:proofErr w:type="spellEnd"/>
      <w:r w:rsidRPr="00CA78BD">
        <w:rPr>
          <w:rFonts w:ascii="Times New Roman" w:hAnsi="Times New Roman" w:cs="Times New Roman"/>
        </w:rPr>
        <w:t xml:space="preserve"> // ПОЛИТЭКС: Политическая экспертиза. – 2013. №3. – С. 263-271</w:t>
      </w:r>
    </w:p>
  </w:footnote>
  <w:footnote w:id="15">
    <w:p w14:paraId="67FA6427" w14:textId="77777777" w:rsidR="000B5462" w:rsidRPr="00CA78BD" w:rsidRDefault="000B5462" w:rsidP="00E60ABC">
      <w:pPr>
        <w:pStyle w:val="a9"/>
        <w:jc w:val="both"/>
        <w:rPr>
          <w:rFonts w:ascii="Times New Roman" w:hAnsi="Times New Roman" w:cs="Times New Roman"/>
        </w:rPr>
      </w:pPr>
      <w:r w:rsidRPr="00CA78BD">
        <w:rPr>
          <w:rStyle w:val="ab"/>
          <w:rFonts w:ascii="Times New Roman" w:hAnsi="Times New Roman" w:cs="Times New Roman"/>
        </w:rPr>
        <w:footnoteRef/>
      </w:r>
      <w:r w:rsidRPr="00CA78BD">
        <w:rPr>
          <w:rFonts w:ascii="Times New Roman" w:hAnsi="Times New Roman" w:cs="Times New Roman"/>
        </w:rPr>
        <w:t xml:space="preserve"> </w:t>
      </w:r>
      <w:proofErr w:type="spellStart"/>
      <w:r w:rsidRPr="00CA78BD">
        <w:rPr>
          <w:rFonts w:ascii="Times New Roman" w:eastAsia="Arial Unicode MS" w:hAnsi="Times New Roman" w:cs="Times New Roman"/>
        </w:rPr>
        <w:t>Павроз</w:t>
      </w:r>
      <w:proofErr w:type="spellEnd"/>
      <w:r w:rsidRPr="00CA78BD">
        <w:rPr>
          <w:rFonts w:ascii="Times New Roman" w:eastAsia="Arial Unicode MS" w:hAnsi="Times New Roman" w:cs="Times New Roman"/>
        </w:rPr>
        <w:t>,</w:t>
      </w:r>
      <w:r w:rsidRPr="00CA78BD">
        <w:rPr>
          <w:rFonts w:ascii="Times New Roman" w:hAnsi="Times New Roman" w:cs="Times New Roman"/>
        </w:rPr>
        <w:t xml:space="preserve"> </w:t>
      </w:r>
      <w:r w:rsidRPr="00CA78BD">
        <w:rPr>
          <w:rFonts w:ascii="Times New Roman" w:eastAsia="Arial Unicode MS" w:hAnsi="Times New Roman" w:cs="Times New Roman"/>
        </w:rPr>
        <w:t>А</w:t>
      </w:r>
      <w:r w:rsidRPr="00CA78BD">
        <w:rPr>
          <w:rFonts w:ascii="Times New Roman" w:hAnsi="Times New Roman" w:cs="Times New Roman"/>
        </w:rPr>
        <w:t xml:space="preserve">. </w:t>
      </w:r>
      <w:r w:rsidRPr="00CA78BD">
        <w:rPr>
          <w:rFonts w:ascii="Times New Roman" w:eastAsia="Arial Unicode MS" w:hAnsi="Times New Roman" w:cs="Times New Roman"/>
        </w:rPr>
        <w:t>В</w:t>
      </w:r>
      <w:r w:rsidRPr="00CA78BD">
        <w:rPr>
          <w:rFonts w:ascii="Times New Roman" w:hAnsi="Times New Roman" w:cs="Times New Roman"/>
        </w:rPr>
        <w:t xml:space="preserve">. </w:t>
      </w:r>
      <w:r w:rsidRPr="00CA78BD">
        <w:rPr>
          <w:rFonts w:ascii="Times New Roman" w:eastAsia="Arial Unicode MS" w:hAnsi="Times New Roman" w:cs="Times New Roman"/>
        </w:rPr>
        <w:t>Институт</w:t>
      </w:r>
      <w:r w:rsidRPr="00CA78BD">
        <w:rPr>
          <w:rFonts w:ascii="Times New Roman" w:hAnsi="Times New Roman" w:cs="Times New Roman"/>
        </w:rPr>
        <w:t xml:space="preserve"> </w:t>
      </w:r>
      <w:r w:rsidRPr="00CA78BD">
        <w:rPr>
          <w:rFonts w:ascii="Times New Roman" w:eastAsia="Arial Unicode MS" w:hAnsi="Times New Roman" w:cs="Times New Roman"/>
        </w:rPr>
        <w:t>лоббизма</w:t>
      </w:r>
      <w:r w:rsidRPr="00CA78BD">
        <w:rPr>
          <w:rFonts w:ascii="Times New Roman" w:hAnsi="Times New Roman" w:cs="Times New Roman"/>
        </w:rPr>
        <w:t xml:space="preserve"> </w:t>
      </w:r>
      <w:r w:rsidRPr="00CA78BD">
        <w:rPr>
          <w:rFonts w:ascii="Times New Roman" w:eastAsia="Arial Unicode MS" w:hAnsi="Times New Roman" w:cs="Times New Roman"/>
        </w:rPr>
        <w:t>в</w:t>
      </w:r>
      <w:r w:rsidRPr="00CA78BD">
        <w:rPr>
          <w:rFonts w:ascii="Times New Roman" w:hAnsi="Times New Roman" w:cs="Times New Roman"/>
        </w:rPr>
        <w:t xml:space="preserve"> </w:t>
      </w:r>
      <w:r w:rsidRPr="00CA78BD">
        <w:rPr>
          <w:rFonts w:ascii="Times New Roman" w:eastAsia="Arial Unicode MS" w:hAnsi="Times New Roman" w:cs="Times New Roman"/>
        </w:rPr>
        <w:t>современных</w:t>
      </w:r>
      <w:r w:rsidRPr="00CA78BD">
        <w:rPr>
          <w:rFonts w:ascii="Times New Roman" w:hAnsi="Times New Roman" w:cs="Times New Roman"/>
        </w:rPr>
        <w:t xml:space="preserve"> </w:t>
      </w:r>
      <w:r w:rsidRPr="00CA78BD">
        <w:rPr>
          <w:rFonts w:ascii="Times New Roman" w:eastAsia="Arial Unicode MS" w:hAnsi="Times New Roman" w:cs="Times New Roman"/>
        </w:rPr>
        <w:t>демократических</w:t>
      </w:r>
      <w:r w:rsidRPr="00CA78BD">
        <w:rPr>
          <w:rFonts w:ascii="Times New Roman" w:hAnsi="Times New Roman" w:cs="Times New Roman"/>
        </w:rPr>
        <w:t xml:space="preserve"> </w:t>
      </w:r>
      <w:r w:rsidRPr="00CA78BD">
        <w:rPr>
          <w:rFonts w:ascii="Times New Roman" w:eastAsia="Arial Unicode MS" w:hAnsi="Times New Roman" w:cs="Times New Roman"/>
        </w:rPr>
        <w:t xml:space="preserve">обществах / А.В. </w:t>
      </w:r>
      <w:proofErr w:type="spellStart"/>
      <w:r w:rsidRPr="00CA78BD">
        <w:rPr>
          <w:rFonts w:ascii="Times New Roman" w:eastAsia="Arial Unicode MS" w:hAnsi="Times New Roman" w:cs="Times New Roman"/>
        </w:rPr>
        <w:t>Павроз</w:t>
      </w:r>
      <w:proofErr w:type="spellEnd"/>
      <w:r w:rsidRPr="00CA78BD">
        <w:rPr>
          <w:rFonts w:ascii="Times New Roman" w:hAnsi="Times New Roman" w:cs="Times New Roman"/>
        </w:rPr>
        <w:t xml:space="preserve"> // </w:t>
      </w:r>
      <w:r w:rsidRPr="00CA78BD">
        <w:rPr>
          <w:rFonts w:ascii="Times New Roman" w:eastAsia="Arial Unicode MS" w:hAnsi="Times New Roman" w:cs="Times New Roman"/>
        </w:rPr>
        <w:t>ПОЛИТЭКС</w:t>
      </w:r>
      <w:r w:rsidRPr="00CA78BD">
        <w:rPr>
          <w:rFonts w:ascii="Times New Roman" w:hAnsi="Times New Roman" w:cs="Times New Roman"/>
        </w:rPr>
        <w:t xml:space="preserve">: </w:t>
      </w:r>
      <w:r w:rsidRPr="00CA78BD">
        <w:rPr>
          <w:rFonts w:ascii="Times New Roman" w:eastAsia="Arial Unicode MS" w:hAnsi="Times New Roman" w:cs="Times New Roman"/>
        </w:rPr>
        <w:t>Политическая</w:t>
      </w:r>
      <w:r w:rsidRPr="00CA78BD">
        <w:rPr>
          <w:rFonts w:ascii="Times New Roman" w:hAnsi="Times New Roman" w:cs="Times New Roman"/>
        </w:rPr>
        <w:t xml:space="preserve"> </w:t>
      </w:r>
      <w:r w:rsidRPr="00CA78BD">
        <w:rPr>
          <w:rFonts w:ascii="Times New Roman" w:eastAsia="Arial Unicode MS" w:hAnsi="Times New Roman" w:cs="Times New Roman"/>
        </w:rPr>
        <w:t>экспертиза</w:t>
      </w:r>
      <w:r w:rsidRPr="00CA78BD">
        <w:rPr>
          <w:rFonts w:ascii="Times New Roman" w:hAnsi="Times New Roman" w:cs="Times New Roman"/>
          <w:lang w:val="de-DE"/>
        </w:rPr>
        <w:t xml:space="preserve">. - 2014. </w:t>
      </w:r>
      <w:r w:rsidRPr="00CA78BD">
        <w:rPr>
          <w:rFonts w:ascii="Times New Roman" w:eastAsia="Arial Unicode MS" w:hAnsi="Times New Roman" w:cs="Times New Roman"/>
        </w:rPr>
        <w:t>№</w:t>
      </w:r>
      <w:r w:rsidRPr="00CA78BD">
        <w:rPr>
          <w:rFonts w:ascii="Times New Roman" w:hAnsi="Times New Roman" w:cs="Times New Roman"/>
        </w:rPr>
        <w:t xml:space="preserve"> 3. - </w:t>
      </w:r>
      <w:r w:rsidRPr="00CA78BD">
        <w:rPr>
          <w:rFonts w:ascii="Times New Roman" w:eastAsia="Arial Unicode MS" w:hAnsi="Times New Roman" w:cs="Times New Roman"/>
        </w:rPr>
        <w:t>С</w:t>
      </w:r>
      <w:r w:rsidRPr="00CA78BD">
        <w:rPr>
          <w:rFonts w:ascii="Times New Roman" w:hAnsi="Times New Roman" w:cs="Times New Roman"/>
        </w:rPr>
        <w:t>. 158–169.</w:t>
      </w:r>
    </w:p>
  </w:footnote>
  <w:footnote w:id="16">
    <w:p w14:paraId="0BE10AF5" w14:textId="77777777" w:rsidR="000B5462" w:rsidRPr="00CA78BD" w:rsidRDefault="000B5462" w:rsidP="00E60ABC">
      <w:pPr>
        <w:pStyle w:val="a9"/>
        <w:jc w:val="both"/>
        <w:rPr>
          <w:lang w:val="en-US"/>
        </w:rPr>
      </w:pPr>
      <w:r w:rsidRPr="00CA78BD">
        <w:rPr>
          <w:rStyle w:val="ab"/>
          <w:rFonts w:ascii="Times New Roman" w:hAnsi="Times New Roman" w:cs="Times New Roman"/>
        </w:rPr>
        <w:footnoteRef/>
      </w:r>
      <w:r w:rsidRPr="00CA78BD">
        <w:rPr>
          <w:rFonts w:ascii="Times New Roman" w:hAnsi="Times New Roman" w:cs="Times New Roman"/>
        </w:rPr>
        <w:t xml:space="preserve"> </w:t>
      </w:r>
      <w:proofErr w:type="spellStart"/>
      <w:r w:rsidRPr="00CA78BD">
        <w:rPr>
          <w:rFonts w:ascii="Times New Roman" w:hAnsi="Times New Roman" w:cs="Times New Roman"/>
        </w:rPr>
        <w:t>Павроз</w:t>
      </w:r>
      <w:proofErr w:type="spellEnd"/>
      <w:r w:rsidRPr="00CA78BD">
        <w:rPr>
          <w:rFonts w:ascii="Times New Roman" w:hAnsi="Times New Roman" w:cs="Times New Roman"/>
        </w:rPr>
        <w:t xml:space="preserve">, А.В. Группы интересов в системе политического представительства: современные тенденции / А.В. </w:t>
      </w:r>
      <w:proofErr w:type="spellStart"/>
      <w:r w:rsidRPr="00CA78BD">
        <w:rPr>
          <w:rFonts w:ascii="Times New Roman" w:hAnsi="Times New Roman" w:cs="Times New Roman"/>
        </w:rPr>
        <w:t>Павроз</w:t>
      </w:r>
      <w:proofErr w:type="spellEnd"/>
      <w:r w:rsidRPr="00CA78BD">
        <w:rPr>
          <w:rFonts w:ascii="Times New Roman" w:hAnsi="Times New Roman" w:cs="Times New Roman"/>
        </w:rPr>
        <w:t xml:space="preserve"> // ПОЛИТЭКС: Политическая экспертиза. – 2013. </w:t>
      </w:r>
      <w:r w:rsidRPr="00CA78BD">
        <w:rPr>
          <w:rFonts w:ascii="Times New Roman" w:hAnsi="Times New Roman" w:cs="Times New Roman"/>
          <w:lang w:val="en-US"/>
        </w:rPr>
        <w:t xml:space="preserve">№3. – </w:t>
      </w:r>
      <w:r w:rsidRPr="00CA78BD">
        <w:rPr>
          <w:rFonts w:ascii="Times New Roman" w:hAnsi="Times New Roman" w:cs="Times New Roman"/>
        </w:rPr>
        <w:t>С</w:t>
      </w:r>
      <w:r w:rsidRPr="00CA78BD">
        <w:rPr>
          <w:rFonts w:ascii="Times New Roman" w:hAnsi="Times New Roman" w:cs="Times New Roman"/>
          <w:lang w:val="en-US"/>
        </w:rPr>
        <w:t>. 263-271</w:t>
      </w:r>
    </w:p>
  </w:footnote>
  <w:footnote w:id="17">
    <w:p w14:paraId="536E03DD" w14:textId="77777777" w:rsidR="000B5462" w:rsidRPr="00CA78BD" w:rsidRDefault="000B5462" w:rsidP="0055348A">
      <w:pPr>
        <w:pStyle w:val="a8"/>
        <w:jc w:val="both"/>
        <w:rPr>
          <w:rFonts w:ascii="Times New Roman" w:hAnsi="Times New Roman" w:cs="Times New Roman"/>
          <w:lang w:val="en-US"/>
        </w:rPr>
      </w:pPr>
      <w:r w:rsidRPr="00CA78BD">
        <w:rPr>
          <w:rFonts w:ascii="Times New Roman" w:hAnsi="Times New Roman" w:cs="Times New Roman"/>
          <w:sz w:val="20"/>
          <w:szCs w:val="20"/>
          <w:vertAlign w:val="superscript"/>
        </w:rPr>
        <w:footnoteRef/>
      </w:r>
      <w:r w:rsidRPr="00CA78BD">
        <w:rPr>
          <w:rFonts w:ascii="Times New Roman" w:eastAsia="Arial Unicode MS" w:hAnsi="Times New Roman" w:cs="Times New Roman"/>
          <w:sz w:val="20"/>
          <w:szCs w:val="20"/>
          <w:lang w:val="en-US"/>
        </w:rPr>
        <w:t xml:space="preserve"> Beyers, J. </w:t>
      </w:r>
      <w:proofErr w:type="spellStart"/>
      <w:r w:rsidRPr="00CA78BD">
        <w:rPr>
          <w:rFonts w:ascii="Times New Roman" w:eastAsia="Arial Unicode MS" w:hAnsi="Times New Roman" w:cs="Times New Roman"/>
          <w:sz w:val="20"/>
          <w:szCs w:val="20"/>
          <w:lang w:val="en-US"/>
        </w:rPr>
        <w:t>Eising</w:t>
      </w:r>
      <w:proofErr w:type="spellEnd"/>
      <w:r w:rsidRPr="00CA78BD">
        <w:rPr>
          <w:rFonts w:ascii="Times New Roman" w:eastAsia="Arial Unicode MS" w:hAnsi="Times New Roman" w:cs="Times New Roman"/>
          <w:sz w:val="20"/>
          <w:szCs w:val="20"/>
          <w:lang w:val="en-US"/>
        </w:rPr>
        <w:t xml:space="preserve">, R. Maloney, W. Researching Interest Group Politics in Europe and Elsewhere: Much We Study, Little We Know? / </w:t>
      </w:r>
      <w:proofErr w:type="spellStart"/>
      <w:proofErr w:type="gramStart"/>
      <w:r w:rsidRPr="00CA78BD">
        <w:rPr>
          <w:rFonts w:ascii="Times New Roman" w:eastAsia="Arial Unicode MS" w:hAnsi="Times New Roman" w:cs="Times New Roman"/>
          <w:sz w:val="20"/>
          <w:szCs w:val="20"/>
          <w:lang w:val="en-US"/>
        </w:rPr>
        <w:t>J.Beyers</w:t>
      </w:r>
      <w:proofErr w:type="spellEnd"/>
      <w:proofErr w:type="gramEnd"/>
      <w:r w:rsidRPr="00CA78BD">
        <w:rPr>
          <w:rFonts w:ascii="Times New Roman" w:eastAsia="Arial Unicode MS" w:hAnsi="Times New Roman" w:cs="Times New Roman"/>
          <w:sz w:val="20"/>
          <w:szCs w:val="20"/>
          <w:lang w:val="en-US"/>
        </w:rPr>
        <w:t xml:space="preserve">, </w:t>
      </w:r>
      <w:proofErr w:type="spellStart"/>
      <w:r w:rsidRPr="00CA78BD">
        <w:rPr>
          <w:rFonts w:ascii="Times New Roman" w:eastAsia="Arial Unicode MS" w:hAnsi="Times New Roman" w:cs="Times New Roman"/>
          <w:sz w:val="20"/>
          <w:szCs w:val="20"/>
          <w:lang w:val="en-US"/>
        </w:rPr>
        <w:t>R.Eising</w:t>
      </w:r>
      <w:proofErr w:type="spellEnd"/>
      <w:r w:rsidRPr="00CA78BD">
        <w:rPr>
          <w:rFonts w:ascii="Times New Roman" w:eastAsia="Arial Unicode MS" w:hAnsi="Times New Roman" w:cs="Times New Roman"/>
          <w:sz w:val="20"/>
          <w:szCs w:val="20"/>
          <w:lang w:val="en-US"/>
        </w:rPr>
        <w:t xml:space="preserve">,  </w:t>
      </w:r>
      <w:proofErr w:type="spellStart"/>
      <w:r w:rsidRPr="00CA78BD">
        <w:rPr>
          <w:rFonts w:ascii="Times New Roman" w:eastAsia="Arial Unicode MS" w:hAnsi="Times New Roman" w:cs="Times New Roman"/>
          <w:sz w:val="20"/>
          <w:szCs w:val="20"/>
          <w:lang w:val="en-US"/>
        </w:rPr>
        <w:t>W.Maloney</w:t>
      </w:r>
      <w:proofErr w:type="spellEnd"/>
      <w:r w:rsidRPr="00CA78BD">
        <w:rPr>
          <w:rFonts w:ascii="Times New Roman" w:eastAsia="Arial Unicode MS" w:hAnsi="Times New Roman" w:cs="Times New Roman"/>
          <w:sz w:val="20"/>
          <w:szCs w:val="20"/>
          <w:lang w:val="en-US"/>
        </w:rPr>
        <w:t xml:space="preserve"> // West European Politics. – 2008. №36. – p. 1111-1112</w:t>
      </w:r>
    </w:p>
  </w:footnote>
  <w:footnote w:id="18">
    <w:p w14:paraId="3E970B3A" w14:textId="3199F2D4" w:rsidR="000B5462" w:rsidRPr="00CA78BD" w:rsidRDefault="000B5462" w:rsidP="0055348A">
      <w:pPr>
        <w:pStyle w:val="a8"/>
        <w:jc w:val="both"/>
        <w:rPr>
          <w:rFonts w:ascii="Times New Roman" w:hAnsi="Times New Roman" w:cs="Times New Roman"/>
          <w:sz w:val="20"/>
          <w:szCs w:val="20"/>
        </w:rPr>
      </w:pPr>
      <w:r w:rsidRPr="00CA78BD">
        <w:rPr>
          <w:rFonts w:ascii="Times New Roman" w:hAnsi="Times New Roman" w:cs="Times New Roman"/>
          <w:sz w:val="20"/>
          <w:szCs w:val="20"/>
          <w:vertAlign w:val="superscript"/>
        </w:rPr>
        <w:footnoteRef/>
      </w:r>
      <w:r w:rsidRPr="00CA78BD">
        <w:rPr>
          <w:rFonts w:ascii="Times New Roman" w:eastAsia="Arial Unicode MS" w:hAnsi="Times New Roman" w:cs="Times New Roman"/>
          <w:sz w:val="20"/>
          <w:szCs w:val="20"/>
          <w:lang w:val="en-US"/>
        </w:rPr>
        <w:t xml:space="preserve"> </w:t>
      </w:r>
      <w:r w:rsidR="00CA78BD" w:rsidRPr="00CA78BD">
        <w:rPr>
          <w:rFonts w:ascii="Times New Roman" w:eastAsia="Arial Unicode MS" w:hAnsi="Times New Roman" w:cs="Times New Roman"/>
          <w:sz w:val="20"/>
          <w:szCs w:val="20"/>
        </w:rPr>
        <w:t>Там же</w:t>
      </w:r>
    </w:p>
  </w:footnote>
  <w:footnote w:id="19">
    <w:p w14:paraId="43969706" w14:textId="77777777" w:rsidR="000B5462" w:rsidRPr="00CA78BD" w:rsidRDefault="000B5462" w:rsidP="0055348A">
      <w:pPr>
        <w:pStyle w:val="a8"/>
        <w:jc w:val="both"/>
        <w:rPr>
          <w:rFonts w:ascii="Times New Roman" w:hAnsi="Times New Roman" w:cs="Times New Roman"/>
          <w:lang w:val="en-US"/>
        </w:rPr>
      </w:pPr>
      <w:r w:rsidRPr="00CA78BD">
        <w:rPr>
          <w:rFonts w:ascii="Times New Roman" w:hAnsi="Times New Roman" w:cs="Times New Roman"/>
          <w:sz w:val="20"/>
          <w:szCs w:val="20"/>
          <w:vertAlign w:val="superscript"/>
        </w:rPr>
        <w:footnoteRef/>
      </w:r>
      <w:r w:rsidRPr="00CA78BD">
        <w:rPr>
          <w:rFonts w:ascii="Times New Roman" w:eastAsia="Arial Unicode MS" w:hAnsi="Times New Roman" w:cs="Times New Roman"/>
          <w:sz w:val="20"/>
          <w:szCs w:val="20"/>
          <w:lang w:val="nl-NL"/>
        </w:rPr>
        <w:t xml:space="preserve"> </w:t>
      </w:r>
      <w:r w:rsidRPr="00CA78BD">
        <w:rPr>
          <w:rFonts w:ascii="Times New Roman" w:eastAsia="Arial Unicode MS" w:hAnsi="Times New Roman" w:cs="Times New Roman"/>
          <w:sz w:val="20"/>
          <w:szCs w:val="20"/>
          <w:lang w:val="nl-NL"/>
        </w:rPr>
        <w:t>Heijden</w:t>
      </w:r>
      <w:r w:rsidRPr="00CA78BD">
        <w:rPr>
          <w:rFonts w:ascii="Times New Roman" w:eastAsia="Arial Unicode MS" w:hAnsi="Times New Roman" w:cs="Times New Roman"/>
          <w:sz w:val="20"/>
          <w:szCs w:val="20"/>
          <w:lang w:val="en-US"/>
        </w:rPr>
        <w:t>,</w:t>
      </w:r>
      <w:r w:rsidRPr="00CA78BD">
        <w:rPr>
          <w:rFonts w:ascii="Times New Roman" w:eastAsia="Arial Unicode MS" w:hAnsi="Times New Roman" w:cs="Times New Roman"/>
          <w:sz w:val="20"/>
          <w:szCs w:val="20"/>
          <w:lang w:val="nl-NL"/>
        </w:rPr>
        <w:t xml:space="preserve"> H.-A. van der. Political Parties and NGOs in Global Environ-mental Politics </w:t>
      </w:r>
      <w:r w:rsidRPr="00CA78BD">
        <w:rPr>
          <w:rFonts w:ascii="Times New Roman" w:eastAsia="Arial Unicode MS" w:hAnsi="Times New Roman" w:cs="Times New Roman"/>
          <w:sz w:val="20"/>
          <w:szCs w:val="20"/>
          <w:lang w:val="en-US"/>
        </w:rPr>
        <w:t xml:space="preserve">/ H.-A. van der Heijden </w:t>
      </w:r>
      <w:r w:rsidRPr="00CA78BD">
        <w:rPr>
          <w:rFonts w:ascii="Times New Roman" w:eastAsia="Arial Unicode MS" w:hAnsi="Times New Roman" w:cs="Times New Roman"/>
          <w:sz w:val="20"/>
          <w:szCs w:val="20"/>
          <w:lang w:val="nl-NL"/>
        </w:rPr>
        <w:t xml:space="preserve">// International Political Science Review. - 2002. </w:t>
      </w:r>
      <w:r w:rsidRPr="00CA78BD">
        <w:rPr>
          <w:rFonts w:ascii="Times New Roman" w:eastAsia="Arial Unicode MS" w:hAnsi="Times New Roman" w:cs="Times New Roman"/>
          <w:sz w:val="20"/>
          <w:szCs w:val="20"/>
          <w:lang w:val="en-US"/>
        </w:rPr>
        <w:t>№</w:t>
      </w:r>
      <w:r w:rsidRPr="00CA78BD">
        <w:rPr>
          <w:rFonts w:ascii="Times New Roman" w:eastAsia="Arial Unicode MS" w:hAnsi="Times New Roman" w:cs="Times New Roman"/>
          <w:sz w:val="20"/>
          <w:szCs w:val="20"/>
          <w:lang w:val="nl-NL"/>
        </w:rPr>
        <w:t xml:space="preserve"> 23. </w:t>
      </w:r>
      <w:r w:rsidRPr="00CA78BD">
        <w:rPr>
          <w:rFonts w:ascii="Times New Roman" w:eastAsia="Arial Unicode MS" w:hAnsi="Times New Roman" w:cs="Times New Roman"/>
          <w:sz w:val="20"/>
          <w:szCs w:val="20"/>
          <w:lang w:val="en-US"/>
        </w:rPr>
        <w:t>– P</w:t>
      </w:r>
      <w:r w:rsidRPr="00CA78BD">
        <w:rPr>
          <w:rFonts w:ascii="Times New Roman" w:eastAsia="Arial Unicode MS" w:hAnsi="Times New Roman" w:cs="Times New Roman"/>
          <w:sz w:val="20"/>
          <w:szCs w:val="20"/>
          <w:lang w:val="nl-NL"/>
        </w:rPr>
        <w:t xml:space="preserve">. </w:t>
      </w:r>
      <w:r w:rsidRPr="00CA78BD">
        <w:rPr>
          <w:rFonts w:ascii="Times New Roman" w:eastAsia="Arial Unicode MS" w:hAnsi="Times New Roman" w:cs="Times New Roman"/>
          <w:sz w:val="20"/>
          <w:szCs w:val="20"/>
          <w:lang w:val="en-US"/>
        </w:rPr>
        <w:t>188-196</w:t>
      </w:r>
    </w:p>
  </w:footnote>
  <w:footnote w:id="20">
    <w:p w14:paraId="032C8AB0" w14:textId="77777777" w:rsidR="000B5462" w:rsidRPr="00CA78BD" w:rsidRDefault="000B5462" w:rsidP="0055348A">
      <w:pPr>
        <w:pStyle w:val="a8"/>
        <w:rPr>
          <w:rFonts w:ascii="Times New Roman" w:hAnsi="Times New Roman" w:cs="Times New Roman"/>
          <w:sz w:val="20"/>
          <w:szCs w:val="20"/>
          <w:lang w:val="en-US"/>
        </w:rPr>
      </w:pPr>
      <w:r w:rsidRPr="00CA78BD">
        <w:rPr>
          <w:rFonts w:ascii="Times New Roman" w:hAnsi="Times New Roman" w:cs="Times New Roman"/>
          <w:sz w:val="20"/>
          <w:szCs w:val="20"/>
          <w:vertAlign w:val="superscript"/>
        </w:rPr>
        <w:footnoteRef/>
      </w:r>
      <w:r w:rsidRPr="00CA78BD">
        <w:rPr>
          <w:rFonts w:ascii="Times New Roman" w:eastAsia="Arial Unicode MS" w:hAnsi="Times New Roman" w:cs="Times New Roman"/>
          <w:sz w:val="20"/>
          <w:szCs w:val="20"/>
          <w:lang w:val="en-US"/>
        </w:rPr>
        <w:t xml:space="preserve"> </w:t>
      </w:r>
      <w:r w:rsidRPr="00CA78BD">
        <w:rPr>
          <w:rFonts w:ascii="Times New Roman" w:eastAsia="Arial Unicode MS" w:hAnsi="Times New Roman" w:cs="Times New Roman"/>
          <w:sz w:val="20"/>
          <w:szCs w:val="20"/>
        </w:rPr>
        <w:t>Там</w:t>
      </w:r>
      <w:r w:rsidRPr="00CA78BD">
        <w:rPr>
          <w:rFonts w:ascii="Times New Roman" w:eastAsia="Arial Unicode MS" w:hAnsi="Times New Roman" w:cs="Times New Roman"/>
          <w:sz w:val="20"/>
          <w:szCs w:val="20"/>
          <w:lang w:val="en-US"/>
        </w:rPr>
        <w:t xml:space="preserve"> </w:t>
      </w:r>
      <w:r w:rsidRPr="00CA78BD">
        <w:rPr>
          <w:rFonts w:ascii="Times New Roman" w:eastAsia="Arial Unicode MS" w:hAnsi="Times New Roman" w:cs="Times New Roman"/>
          <w:sz w:val="20"/>
          <w:szCs w:val="20"/>
        </w:rPr>
        <w:t>же</w:t>
      </w:r>
      <w:r w:rsidRPr="00CA78BD">
        <w:rPr>
          <w:rFonts w:ascii="Times New Roman" w:eastAsia="Arial Unicode MS" w:hAnsi="Times New Roman" w:cs="Times New Roman"/>
          <w:sz w:val="20"/>
          <w:szCs w:val="20"/>
          <w:lang w:val="nl-NL"/>
        </w:rPr>
        <w:t xml:space="preserve"> </w:t>
      </w:r>
      <w:r w:rsidRPr="00CA78BD">
        <w:rPr>
          <w:rFonts w:ascii="Times New Roman" w:eastAsia="Arial Unicode MS" w:hAnsi="Times New Roman" w:cs="Times New Roman"/>
          <w:sz w:val="20"/>
          <w:szCs w:val="20"/>
          <w:lang w:val="en-US"/>
        </w:rPr>
        <w:t>— P. 197</w:t>
      </w:r>
    </w:p>
  </w:footnote>
  <w:footnote w:id="21">
    <w:p w14:paraId="5ED13CAE" w14:textId="77777777" w:rsidR="000B5462" w:rsidRPr="00ED7E81" w:rsidRDefault="000B5462" w:rsidP="00512C2F">
      <w:pPr>
        <w:pStyle w:val="a8"/>
        <w:jc w:val="both"/>
        <w:rPr>
          <w:rFonts w:ascii="Times New Roman" w:eastAsia="Arial Unicode MS"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de-DE"/>
        </w:rPr>
        <w:t xml:space="preserve"> </w:t>
      </w:r>
      <w:proofErr w:type="spellStart"/>
      <w:r w:rsidRPr="00ED7E81">
        <w:rPr>
          <w:rFonts w:ascii="Times New Roman" w:eastAsia="Arial Unicode MS" w:hAnsi="Times New Roman" w:cs="Times New Roman"/>
          <w:sz w:val="20"/>
          <w:szCs w:val="20"/>
          <w:lang w:val="de-DE"/>
        </w:rPr>
        <w:t>Eising</w:t>
      </w:r>
      <w:proofErr w:type="spellEnd"/>
      <w:r w:rsidRPr="00ED7E81">
        <w:rPr>
          <w:rFonts w:ascii="Times New Roman" w:eastAsia="Arial Unicode MS" w:hAnsi="Times New Roman" w:cs="Times New Roman"/>
          <w:sz w:val="20"/>
          <w:szCs w:val="20"/>
          <w:lang w:val="de-DE"/>
        </w:rPr>
        <w:t>, R.</w:t>
      </w:r>
      <w:r w:rsidRPr="00ED7E81">
        <w:rPr>
          <w:rFonts w:ascii="Times New Roman" w:eastAsia="Arial Unicode MS" w:hAnsi="Times New Roman" w:cs="Times New Roman"/>
          <w:sz w:val="20"/>
          <w:szCs w:val="20"/>
          <w:lang w:val="en-US"/>
        </w:rPr>
        <w:t xml:space="preserve"> Multilevel Governance and Business Interests in the European Union / </w:t>
      </w:r>
      <w:proofErr w:type="spellStart"/>
      <w:r w:rsidRPr="00ED7E81">
        <w:rPr>
          <w:rFonts w:ascii="Times New Roman" w:eastAsia="Arial Unicode MS" w:hAnsi="Times New Roman" w:cs="Times New Roman"/>
          <w:sz w:val="20"/>
          <w:szCs w:val="20"/>
          <w:lang w:val="en-US"/>
        </w:rPr>
        <w:t>R.Eising</w:t>
      </w:r>
      <w:proofErr w:type="spellEnd"/>
      <w:r w:rsidRPr="00ED7E81">
        <w:rPr>
          <w:rFonts w:ascii="Times New Roman" w:eastAsia="Arial Unicode MS" w:hAnsi="Times New Roman" w:cs="Times New Roman"/>
          <w:sz w:val="20"/>
          <w:szCs w:val="20"/>
          <w:lang w:val="en-US"/>
        </w:rPr>
        <w:t xml:space="preserve"> // </w:t>
      </w:r>
      <w:r w:rsidRPr="00ED7E81">
        <w:rPr>
          <w:rFonts w:ascii="Times New Roman" w:eastAsia="Arial Unicode MS" w:hAnsi="Times New Roman" w:cs="Times New Roman"/>
          <w:iCs/>
          <w:sz w:val="20"/>
          <w:szCs w:val="20"/>
          <w:lang w:val="pt-PT"/>
        </w:rPr>
        <w:t>Governance</w:t>
      </w:r>
      <w:r w:rsidRPr="00ED7E81">
        <w:rPr>
          <w:rFonts w:ascii="Times New Roman" w:eastAsia="Arial Unicode MS" w:hAnsi="Times New Roman" w:cs="Times New Roman"/>
          <w:sz w:val="20"/>
          <w:szCs w:val="20"/>
          <w:lang w:val="en-US"/>
        </w:rPr>
        <w:t>. – 2004. № 2. – P. 213– 215.</w:t>
      </w:r>
    </w:p>
  </w:footnote>
  <w:footnote w:id="22">
    <w:p w14:paraId="1C11C8A4" w14:textId="77777777" w:rsidR="000B5462" w:rsidRPr="00CA78BD" w:rsidRDefault="000B5462" w:rsidP="00700DDE">
      <w:pPr>
        <w:pStyle w:val="a8"/>
        <w:jc w:val="both"/>
        <w:rPr>
          <w:rFonts w:ascii="Cambria" w:hAnsi="Cambria"/>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de-DE"/>
        </w:rPr>
        <w:t xml:space="preserve"> </w:t>
      </w:r>
      <w:r w:rsidRPr="00ED7E81">
        <w:rPr>
          <w:rFonts w:ascii="Times New Roman" w:eastAsia="Arial Unicode MS" w:hAnsi="Times New Roman" w:cs="Times New Roman"/>
          <w:sz w:val="20"/>
          <w:szCs w:val="20"/>
        </w:rPr>
        <w:t>Там</w:t>
      </w:r>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же</w:t>
      </w:r>
    </w:p>
  </w:footnote>
  <w:footnote w:id="23">
    <w:p w14:paraId="714AF57F" w14:textId="77777777" w:rsidR="000B5462" w:rsidRPr="00ED7E81" w:rsidRDefault="000B5462" w:rsidP="00274892">
      <w:pPr>
        <w:pStyle w:val="a9"/>
        <w:jc w:val="both"/>
        <w:rPr>
          <w:rFonts w:ascii="Times New Roman" w:hAnsi="Times New Roman" w:cs="Times New Roman"/>
          <w:lang w:val="en-US"/>
        </w:rPr>
      </w:pPr>
      <w:r w:rsidRPr="00ED7E81">
        <w:rPr>
          <w:rStyle w:val="ab"/>
          <w:rFonts w:ascii="Times New Roman" w:hAnsi="Times New Roman" w:cs="Times New Roman"/>
        </w:rPr>
        <w:footnoteRef/>
      </w:r>
      <w:r w:rsidRPr="00ED7E81">
        <w:rPr>
          <w:rFonts w:ascii="Times New Roman" w:hAnsi="Times New Roman" w:cs="Times New Roman"/>
          <w:lang w:val="en-US"/>
        </w:rPr>
        <w:t xml:space="preserve"> Consolidated version of the Treaty on the Functioning of the European Union from 26.10.2012 // Official Journal of the European Union. – 2012. № 326 Part 1, Title 1. – Art. 4. P. 51-52</w:t>
      </w:r>
    </w:p>
  </w:footnote>
  <w:footnote w:id="24">
    <w:p w14:paraId="63B8F2A2" w14:textId="77777777" w:rsidR="000B5462" w:rsidRPr="00ED7E81" w:rsidRDefault="000B5462" w:rsidP="009660BD">
      <w:pPr>
        <w:pStyle w:val="a8"/>
        <w:jc w:val="both"/>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hAnsi="Times New Roman" w:cs="Times New Roman"/>
          <w:sz w:val="20"/>
          <w:szCs w:val="20"/>
          <w:lang w:val="en-US"/>
        </w:rPr>
        <w:t>European Commission, info, departments [</w:t>
      </w:r>
      <w:r w:rsidRPr="00ED7E81">
        <w:rPr>
          <w:rFonts w:ascii="Times New Roman" w:hAnsi="Times New Roman" w:cs="Times New Roman"/>
          <w:sz w:val="20"/>
          <w:szCs w:val="20"/>
        </w:rPr>
        <w:t>Электронный</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ресурс</w:t>
      </w:r>
      <w:r w:rsidRPr="00ED7E81">
        <w:rPr>
          <w:rFonts w:ascii="Times New Roman" w:hAnsi="Times New Roman" w:cs="Times New Roman"/>
          <w:sz w:val="20"/>
          <w:szCs w:val="20"/>
          <w:lang w:val="en-US"/>
        </w:rPr>
        <w:t xml:space="preserve">]. – </w:t>
      </w:r>
      <w:r w:rsidRPr="00ED7E81">
        <w:rPr>
          <w:rFonts w:ascii="Times New Roman" w:hAnsi="Times New Roman" w:cs="Times New Roman"/>
          <w:sz w:val="20"/>
          <w:szCs w:val="20"/>
        </w:rPr>
        <w:t>Режим</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доступа</w:t>
      </w:r>
      <w:r w:rsidRPr="00ED7E81">
        <w:rPr>
          <w:rFonts w:ascii="Times New Roman" w:hAnsi="Times New Roman" w:cs="Times New Roman"/>
          <w:sz w:val="20"/>
          <w:szCs w:val="20"/>
          <w:lang w:val="en-US"/>
        </w:rPr>
        <w:t>: https://ec.europa.eu/info/departments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02.04.2021)</w:t>
      </w:r>
    </w:p>
  </w:footnote>
  <w:footnote w:id="25">
    <w:p w14:paraId="49412776" w14:textId="77777777" w:rsidR="000B5462" w:rsidRPr="00C621E6" w:rsidRDefault="000B5462" w:rsidP="00C621E6">
      <w:pPr>
        <w:pStyle w:val="a9"/>
        <w:jc w:val="both"/>
      </w:pPr>
      <w:r w:rsidRPr="00ED7E81">
        <w:rPr>
          <w:rStyle w:val="ab"/>
          <w:rFonts w:ascii="Times New Roman" w:hAnsi="Times New Roman" w:cs="Times New Roman"/>
        </w:rPr>
        <w:footnoteRef/>
      </w:r>
      <w:r w:rsidRPr="00ED7E81">
        <w:rPr>
          <w:rFonts w:ascii="Times New Roman" w:hAnsi="Times New Roman" w:cs="Times New Roman"/>
        </w:rPr>
        <w:t xml:space="preserve"> European </w:t>
      </w:r>
      <w:proofErr w:type="spellStart"/>
      <w:r w:rsidRPr="00ED7E81">
        <w:rPr>
          <w:rFonts w:ascii="Times New Roman" w:hAnsi="Times New Roman" w:cs="Times New Roman"/>
        </w:rPr>
        <w:t>Parliament</w:t>
      </w:r>
      <w:proofErr w:type="spellEnd"/>
      <w:r w:rsidRPr="00ED7E81">
        <w:rPr>
          <w:rFonts w:ascii="Times New Roman" w:hAnsi="Times New Roman" w:cs="Times New Roman"/>
        </w:rPr>
        <w:t xml:space="preserve">, </w:t>
      </w:r>
      <w:proofErr w:type="spellStart"/>
      <w:r w:rsidRPr="00ED7E81">
        <w:rPr>
          <w:rFonts w:ascii="Times New Roman" w:hAnsi="Times New Roman" w:cs="Times New Roman"/>
        </w:rPr>
        <w:t>committees</w:t>
      </w:r>
      <w:proofErr w:type="spellEnd"/>
      <w:r w:rsidRPr="00ED7E81">
        <w:rPr>
          <w:rFonts w:ascii="Times New Roman" w:hAnsi="Times New Roman" w:cs="Times New Roman"/>
        </w:rPr>
        <w:t xml:space="preserve"> [Электронный ресурс] – Режим доступа: https://www.europarl.europa.eu/committees/en/about/list-of-committees (Дата обращения: 02.04.2021)</w:t>
      </w:r>
    </w:p>
  </w:footnote>
  <w:footnote w:id="26">
    <w:p w14:paraId="6393C84F" w14:textId="77777777" w:rsidR="000B5462" w:rsidRPr="00ED7E81" w:rsidRDefault="000B5462" w:rsidP="00E11F73">
      <w:pPr>
        <w:pStyle w:val="a8"/>
        <w:jc w:val="both"/>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proofErr w:type="spellStart"/>
      <w:r w:rsidRPr="00ED7E81">
        <w:rPr>
          <w:rFonts w:ascii="Times New Roman" w:hAnsi="Times New Roman" w:cs="Times New Roman"/>
          <w:sz w:val="20"/>
          <w:szCs w:val="20"/>
          <w:lang w:val="en-US"/>
        </w:rPr>
        <w:t>Eising</w:t>
      </w:r>
      <w:proofErr w:type="spellEnd"/>
      <w:r w:rsidRPr="00ED7E81">
        <w:rPr>
          <w:rFonts w:ascii="Times New Roman" w:hAnsi="Times New Roman" w:cs="Times New Roman"/>
          <w:sz w:val="20"/>
          <w:szCs w:val="20"/>
          <w:lang w:val="en-US"/>
        </w:rPr>
        <w:t xml:space="preserve">, R. Institutional context, organizational resources, and strategic choices: explaining interest group access in the European Union / </w:t>
      </w:r>
      <w:proofErr w:type="spellStart"/>
      <w:proofErr w:type="gramStart"/>
      <w:r w:rsidRPr="00ED7E81">
        <w:rPr>
          <w:rFonts w:ascii="Times New Roman" w:hAnsi="Times New Roman" w:cs="Times New Roman"/>
          <w:sz w:val="20"/>
          <w:szCs w:val="20"/>
          <w:lang w:val="en-US"/>
        </w:rPr>
        <w:t>R.Eising</w:t>
      </w:r>
      <w:proofErr w:type="spellEnd"/>
      <w:proofErr w:type="gramEnd"/>
      <w:r w:rsidRPr="00ED7E81">
        <w:rPr>
          <w:rFonts w:ascii="Times New Roman" w:hAnsi="Times New Roman" w:cs="Times New Roman"/>
          <w:sz w:val="20"/>
          <w:szCs w:val="20"/>
          <w:lang w:val="en-US"/>
        </w:rPr>
        <w:t xml:space="preserve"> // European Union Politics. – 2007. №8. – P.334-338</w:t>
      </w:r>
    </w:p>
  </w:footnote>
  <w:footnote w:id="27">
    <w:p w14:paraId="377874DD" w14:textId="77777777" w:rsidR="000B5462" w:rsidRPr="00ED7E81" w:rsidRDefault="000B5462" w:rsidP="002E76FC">
      <w:pPr>
        <w:pStyle w:val="a8"/>
        <w:jc w:val="both"/>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nl-NL"/>
        </w:rPr>
        <w:t xml:space="preserve"> </w:t>
      </w:r>
      <w:r w:rsidRPr="00ED7E81">
        <w:rPr>
          <w:rFonts w:ascii="Times New Roman" w:eastAsia="Arial Unicode MS" w:hAnsi="Times New Roman" w:cs="Times New Roman"/>
          <w:sz w:val="20"/>
          <w:szCs w:val="20"/>
          <w:lang w:val="nl-NL"/>
        </w:rPr>
        <w:t xml:space="preserve">Bouwen, P. Corporate lobbying in the European Union: the logic of access / P.Bouwen // Journal of European Public Policy. </w:t>
      </w:r>
      <w:r w:rsidRPr="00ED7E81">
        <w:rPr>
          <w:rFonts w:ascii="Times New Roman" w:eastAsia="Arial Unicode MS" w:hAnsi="Times New Roman" w:cs="Times New Roman"/>
          <w:sz w:val="20"/>
          <w:szCs w:val="20"/>
          <w:lang w:val="en-US"/>
        </w:rPr>
        <w:t>- 2002. №9. — P. 368-369</w:t>
      </w:r>
    </w:p>
  </w:footnote>
  <w:footnote w:id="28">
    <w:p w14:paraId="232806EC" w14:textId="77777777" w:rsidR="000B5462" w:rsidRPr="00ED7E81" w:rsidRDefault="000B5462">
      <w:pPr>
        <w:pStyle w:val="a9"/>
        <w:rPr>
          <w:rFonts w:ascii="Times New Roman" w:hAnsi="Times New Roman" w:cs="Times New Roman"/>
          <w:lang w:val="en-US"/>
        </w:rPr>
      </w:pPr>
      <w:r w:rsidRPr="00ED7E81">
        <w:rPr>
          <w:rStyle w:val="ab"/>
          <w:rFonts w:ascii="Times New Roman" w:hAnsi="Times New Roman" w:cs="Times New Roman"/>
        </w:rPr>
        <w:footnoteRef/>
      </w:r>
      <w:r w:rsidRPr="00ED7E81">
        <w:rPr>
          <w:rFonts w:ascii="Times New Roman" w:hAnsi="Times New Roman" w:cs="Times New Roman"/>
          <w:lang w:val="en-US"/>
        </w:rPr>
        <w:t xml:space="preserve"> </w:t>
      </w:r>
      <w:r w:rsidRPr="00ED7E81">
        <w:rPr>
          <w:rFonts w:ascii="Times New Roman" w:eastAsia="Arial Unicode MS" w:hAnsi="Times New Roman" w:cs="Times New Roman"/>
          <w:lang w:val="en-US"/>
        </w:rPr>
        <w:t xml:space="preserve">Chalmers, A. W. Trading Information for Access: Informational Lobbying Strategies and Interest Group Access to the European Union / A.W. Chalmers // Journal of European Public Policy. - 2013. № 20. — P. 46-47. </w:t>
      </w:r>
    </w:p>
  </w:footnote>
  <w:footnote w:id="29">
    <w:p w14:paraId="519E4DE5" w14:textId="77777777" w:rsidR="000B5462" w:rsidRPr="00CA78BD" w:rsidRDefault="000B5462" w:rsidP="00AC5410">
      <w:pPr>
        <w:pStyle w:val="a8"/>
        <w:jc w:val="both"/>
        <w:rPr>
          <w:rFonts w:ascii="Cambria" w:hAnsi="Cambria"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Т</w:t>
      </w:r>
      <w:r w:rsidRPr="00ED7E81">
        <w:rPr>
          <w:rFonts w:ascii="Times New Roman" w:hAnsi="Times New Roman" w:cs="Times New Roman"/>
          <w:sz w:val="20"/>
          <w:szCs w:val="20"/>
        </w:rPr>
        <w:t>ам</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же</w:t>
      </w:r>
    </w:p>
  </w:footnote>
  <w:footnote w:id="30">
    <w:p w14:paraId="411F32F1" w14:textId="7E97A7F9" w:rsidR="000B5462" w:rsidRPr="00ED7E81" w:rsidRDefault="000B5462" w:rsidP="00700DDE">
      <w:pPr>
        <w:pStyle w:val="a9"/>
        <w:jc w:val="both"/>
        <w:rPr>
          <w:rFonts w:ascii="Times New Roman" w:hAnsi="Times New Roman" w:cs="Times New Roman"/>
          <w:lang w:val="en-US"/>
        </w:rPr>
      </w:pPr>
      <w:r w:rsidRPr="00ED7E81">
        <w:rPr>
          <w:rStyle w:val="ab"/>
          <w:rFonts w:ascii="Times New Roman" w:hAnsi="Times New Roman" w:cs="Times New Roman"/>
        </w:rPr>
        <w:footnoteRef/>
      </w:r>
      <w:r w:rsidRPr="00ED7E81">
        <w:rPr>
          <w:rFonts w:ascii="Times New Roman" w:hAnsi="Times New Roman" w:cs="Times New Roman"/>
          <w:lang w:val="en-US"/>
        </w:rPr>
        <w:t xml:space="preserve"> </w:t>
      </w:r>
      <w:r w:rsidR="00ED7E81" w:rsidRPr="00ED7E81">
        <w:rPr>
          <w:rFonts w:ascii="Times New Roman" w:eastAsia="Arial Unicode MS" w:hAnsi="Times New Roman" w:cs="Times New Roman"/>
          <w:lang w:val="en-US"/>
        </w:rPr>
        <w:t>Chalmers, A. W. Trading Information for Access: Informational Lobbying Strategies and Interest Group Access to the European Union / A.W. Chalmers // Journal of European Public Policy. - 2013. № 20. — P. 46-47.</w:t>
      </w:r>
    </w:p>
  </w:footnote>
  <w:footnote w:id="31">
    <w:p w14:paraId="64F21ED7" w14:textId="77777777" w:rsidR="000B5462" w:rsidRPr="00ED7E81" w:rsidRDefault="000B5462" w:rsidP="0074297C">
      <w:pPr>
        <w:pStyle w:val="a8"/>
        <w:jc w:val="both"/>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Beyers, J. Voice and Access: Political Practices of European Interest Associations / </w:t>
      </w:r>
      <w:proofErr w:type="spellStart"/>
      <w:proofErr w:type="gramStart"/>
      <w:r w:rsidRPr="00ED7E81">
        <w:rPr>
          <w:rFonts w:ascii="Times New Roman" w:eastAsia="Arial Unicode MS" w:hAnsi="Times New Roman" w:cs="Times New Roman"/>
          <w:sz w:val="20"/>
          <w:szCs w:val="20"/>
          <w:lang w:val="en-US"/>
        </w:rPr>
        <w:t>J.Beyers</w:t>
      </w:r>
      <w:proofErr w:type="spellEnd"/>
      <w:proofErr w:type="gramEnd"/>
      <w:r w:rsidRPr="00ED7E81">
        <w:rPr>
          <w:rFonts w:ascii="Times New Roman" w:eastAsia="Arial Unicode MS" w:hAnsi="Times New Roman" w:cs="Times New Roman"/>
          <w:sz w:val="20"/>
          <w:szCs w:val="20"/>
          <w:lang w:val="en-US"/>
        </w:rPr>
        <w:t xml:space="preserve"> // </w:t>
      </w:r>
      <w:r w:rsidRPr="00ED7E81">
        <w:rPr>
          <w:rFonts w:ascii="Times New Roman" w:eastAsia="Arial Unicode MS" w:hAnsi="Times New Roman" w:cs="Times New Roman"/>
          <w:iCs/>
          <w:sz w:val="20"/>
          <w:szCs w:val="20"/>
          <w:lang w:val="en-US"/>
        </w:rPr>
        <w:t>European Union Politics</w:t>
      </w:r>
      <w:r w:rsidRPr="00ED7E81">
        <w:rPr>
          <w:rFonts w:ascii="Times New Roman" w:eastAsia="Arial Unicode MS" w:hAnsi="Times New Roman" w:cs="Times New Roman"/>
          <w:sz w:val="20"/>
          <w:szCs w:val="20"/>
          <w:lang w:val="en-US"/>
        </w:rPr>
        <w:t xml:space="preserve">. - 2004. № </w:t>
      </w:r>
      <w:r w:rsidRPr="00ED7E81">
        <w:rPr>
          <w:rFonts w:ascii="Times New Roman" w:eastAsia="Arial Unicode MS" w:hAnsi="Times New Roman" w:cs="Times New Roman"/>
          <w:bCs/>
          <w:sz w:val="20"/>
          <w:szCs w:val="20"/>
          <w:lang w:val="en-US"/>
        </w:rPr>
        <w:t>5</w:t>
      </w:r>
      <w:r w:rsidRPr="00ED7E81">
        <w:rPr>
          <w:rFonts w:ascii="Times New Roman" w:eastAsia="Arial Unicode MS" w:hAnsi="Times New Roman" w:cs="Times New Roman"/>
          <w:sz w:val="20"/>
          <w:szCs w:val="20"/>
          <w:lang w:val="en-US"/>
        </w:rPr>
        <w:t>. – P. 211– 240.</w:t>
      </w:r>
    </w:p>
  </w:footnote>
  <w:footnote w:id="32">
    <w:p w14:paraId="37960F66" w14:textId="77777777" w:rsidR="000B5462" w:rsidRPr="00ED7E81" w:rsidRDefault="000B5462" w:rsidP="00BD2C05">
      <w:pPr>
        <w:pStyle w:val="a8"/>
        <w:jc w:val="both"/>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proofErr w:type="spellStart"/>
      <w:r w:rsidRPr="00ED7E81">
        <w:rPr>
          <w:rFonts w:ascii="Times New Roman" w:eastAsia="Arial Unicode MS" w:hAnsi="Times New Roman" w:cs="Times New Roman"/>
          <w:sz w:val="20"/>
          <w:szCs w:val="20"/>
          <w:lang w:val="en-US"/>
        </w:rPr>
        <w:t>Dü</w:t>
      </w:r>
      <w:proofErr w:type="spellEnd"/>
      <w:r w:rsidRPr="00ED7E81">
        <w:rPr>
          <w:rFonts w:ascii="Times New Roman" w:eastAsia="Arial Unicode MS" w:hAnsi="Times New Roman" w:cs="Times New Roman"/>
          <w:sz w:val="20"/>
          <w:szCs w:val="20"/>
          <w:lang w:val="da-DK"/>
        </w:rPr>
        <w:t>r, A.</w:t>
      </w:r>
      <w:r w:rsidRPr="00ED7E81">
        <w:rPr>
          <w:rFonts w:ascii="Times New Roman" w:eastAsia="Arial Unicode MS" w:hAnsi="Times New Roman" w:cs="Times New Roman"/>
          <w:sz w:val="20"/>
          <w:szCs w:val="20"/>
          <w:lang w:val="en-US"/>
        </w:rPr>
        <w:t> </w:t>
      </w:r>
      <w:proofErr w:type="spellStart"/>
      <w:r w:rsidRPr="00ED7E81">
        <w:rPr>
          <w:rFonts w:ascii="Times New Roman" w:eastAsia="Arial Unicode MS" w:hAnsi="Times New Roman" w:cs="Times New Roman"/>
          <w:sz w:val="20"/>
          <w:szCs w:val="20"/>
          <w:lang w:val="de-DE"/>
        </w:rPr>
        <w:t>Bernhagen</w:t>
      </w:r>
      <w:proofErr w:type="spellEnd"/>
      <w:r w:rsidRPr="00ED7E81">
        <w:rPr>
          <w:rFonts w:ascii="Times New Roman" w:eastAsia="Arial Unicode MS" w:hAnsi="Times New Roman" w:cs="Times New Roman"/>
          <w:sz w:val="20"/>
          <w:szCs w:val="20"/>
          <w:lang w:val="de-DE"/>
        </w:rPr>
        <w:t>, P.</w:t>
      </w:r>
      <w:r w:rsidRPr="00ED7E81">
        <w:rPr>
          <w:rFonts w:ascii="Times New Roman" w:eastAsia="Arial Unicode MS" w:hAnsi="Times New Roman" w:cs="Times New Roman"/>
          <w:sz w:val="20"/>
          <w:szCs w:val="20"/>
          <w:lang w:val="en-US"/>
        </w:rPr>
        <w:t xml:space="preserve"> Marshall, D. Interest Group Success in the European Union: When (and </w:t>
      </w:r>
      <w:proofErr w:type="gramStart"/>
      <w:r w:rsidRPr="00ED7E81">
        <w:rPr>
          <w:rFonts w:ascii="Times New Roman" w:eastAsia="Arial Unicode MS" w:hAnsi="Times New Roman" w:cs="Times New Roman"/>
          <w:sz w:val="20"/>
          <w:szCs w:val="20"/>
          <w:lang w:val="en-US"/>
        </w:rPr>
        <w:t>Why</w:t>
      </w:r>
      <w:proofErr w:type="gramEnd"/>
      <w:r w:rsidRPr="00ED7E81">
        <w:rPr>
          <w:rFonts w:ascii="Times New Roman" w:eastAsia="Arial Unicode MS" w:hAnsi="Times New Roman" w:cs="Times New Roman"/>
          <w:sz w:val="20"/>
          <w:szCs w:val="20"/>
          <w:lang w:val="en-US"/>
        </w:rPr>
        <w:t xml:space="preserve">) Does Business Lose? / </w:t>
      </w:r>
      <w:proofErr w:type="spellStart"/>
      <w:proofErr w:type="gramStart"/>
      <w:r w:rsidRPr="00ED7E81">
        <w:rPr>
          <w:rFonts w:ascii="Times New Roman" w:eastAsia="Arial Unicode MS" w:hAnsi="Times New Roman" w:cs="Times New Roman"/>
          <w:sz w:val="20"/>
          <w:szCs w:val="20"/>
          <w:lang w:val="en-US"/>
        </w:rPr>
        <w:t>A.Dü</w:t>
      </w:r>
      <w:proofErr w:type="spellEnd"/>
      <w:r w:rsidRPr="00ED7E81">
        <w:rPr>
          <w:rFonts w:ascii="Times New Roman" w:eastAsia="Arial Unicode MS" w:hAnsi="Times New Roman" w:cs="Times New Roman"/>
          <w:sz w:val="20"/>
          <w:szCs w:val="20"/>
          <w:lang w:val="de-DE"/>
        </w:rPr>
        <w:t>r</w:t>
      </w:r>
      <w:proofErr w:type="gramEnd"/>
      <w:r w:rsidRPr="00ED7E81">
        <w:rPr>
          <w:rFonts w:ascii="Times New Roman" w:eastAsia="Arial Unicode MS" w:hAnsi="Times New Roman" w:cs="Times New Roman"/>
          <w:sz w:val="20"/>
          <w:szCs w:val="20"/>
          <w:lang w:val="de-DE"/>
        </w:rPr>
        <w:t xml:space="preserve">, </w:t>
      </w:r>
      <w:proofErr w:type="spellStart"/>
      <w:r w:rsidRPr="00ED7E81">
        <w:rPr>
          <w:rFonts w:ascii="Times New Roman" w:eastAsia="Arial Unicode MS" w:hAnsi="Times New Roman" w:cs="Times New Roman"/>
          <w:sz w:val="20"/>
          <w:szCs w:val="20"/>
          <w:lang w:val="de-DE"/>
        </w:rPr>
        <w:t>P.Bernhagen</w:t>
      </w:r>
      <w:proofErr w:type="spellEnd"/>
      <w:r w:rsidRPr="00ED7E81">
        <w:rPr>
          <w:rFonts w:ascii="Times New Roman" w:eastAsia="Arial Unicode MS" w:hAnsi="Times New Roman" w:cs="Times New Roman"/>
          <w:sz w:val="20"/>
          <w:szCs w:val="20"/>
          <w:lang w:val="de-DE"/>
        </w:rPr>
        <w:t>, D.</w:t>
      </w:r>
      <w:r w:rsidRPr="00ED7E81">
        <w:rPr>
          <w:rFonts w:ascii="Times New Roman" w:eastAsia="Arial Unicode MS" w:hAnsi="Times New Roman" w:cs="Times New Roman"/>
          <w:sz w:val="20"/>
          <w:szCs w:val="20"/>
          <w:lang w:val="en-US"/>
        </w:rPr>
        <w:t>Marshall</w:t>
      </w:r>
      <w:r w:rsidRPr="00ED7E81">
        <w:rPr>
          <w:rFonts w:ascii="Times New Roman" w:eastAsia="Arial Unicode MS" w:hAnsi="Times New Roman" w:cs="Times New Roman"/>
          <w:i/>
          <w:iCs/>
          <w:sz w:val="20"/>
          <w:szCs w:val="20"/>
          <w:lang w:val="en-US"/>
        </w:rPr>
        <w:t xml:space="preserve"> </w:t>
      </w:r>
      <w:r w:rsidRPr="00ED7E81">
        <w:rPr>
          <w:rFonts w:ascii="Times New Roman" w:eastAsia="Arial Unicode MS" w:hAnsi="Times New Roman" w:cs="Times New Roman"/>
          <w:sz w:val="20"/>
          <w:szCs w:val="20"/>
          <w:lang w:val="it-IT"/>
        </w:rPr>
        <w:t xml:space="preserve">// Comparative Political Studies. </w:t>
      </w:r>
      <w:r w:rsidRPr="00ED7E81">
        <w:rPr>
          <w:rFonts w:ascii="Times New Roman" w:eastAsia="Arial Unicode MS" w:hAnsi="Times New Roman" w:cs="Times New Roman"/>
          <w:sz w:val="20"/>
          <w:szCs w:val="20"/>
          <w:lang w:val="en-US"/>
        </w:rPr>
        <w:t xml:space="preserve">- 2015. № </w:t>
      </w:r>
      <w:r w:rsidRPr="00ED7E81">
        <w:rPr>
          <w:rFonts w:ascii="Times New Roman" w:eastAsia="Arial Unicode MS" w:hAnsi="Times New Roman" w:cs="Times New Roman"/>
          <w:sz w:val="20"/>
          <w:szCs w:val="20"/>
          <w:lang w:val="it-IT"/>
        </w:rPr>
        <w:t>48</w:t>
      </w:r>
      <w:r w:rsidRPr="00ED7E81">
        <w:rPr>
          <w:rFonts w:ascii="Times New Roman" w:eastAsia="Arial Unicode MS" w:hAnsi="Times New Roman" w:cs="Times New Roman"/>
          <w:sz w:val="20"/>
          <w:szCs w:val="20"/>
          <w:lang w:val="en-US"/>
        </w:rPr>
        <w:t>. – P. 951– 983.</w:t>
      </w:r>
    </w:p>
  </w:footnote>
  <w:footnote w:id="33">
    <w:p w14:paraId="12D9881C" w14:textId="77777777" w:rsidR="000B5462" w:rsidRPr="00CA78BD" w:rsidRDefault="000B5462">
      <w:pPr>
        <w:pStyle w:val="a9"/>
        <w:rPr>
          <w:rFonts w:ascii="Times" w:hAnsi="Times"/>
          <w:lang w:val="en-US"/>
        </w:rPr>
      </w:pPr>
      <w:r w:rsidRPr="00ED7E81">
        <w:rPr>
          <w:rStyle w:val="ab"/>
          <w:rFonts w:ascii="Times New Roman" w:hAnsi="Times New Roman" w:cs="Times New Roman"/>
        </w:rPr>
        <w:footnoteRef/>
      </w:r>
      <w:r w:rsidRPr="00ED7E81">
        <w:rPr>
          <w:rFonts w:ascii="Times New Roman" w:hAnsi="Times New Roman" w:cs="Times New Roman"/>
          <w:lang w:val="en-US"/>
        </w:rPr>
        <w:t xml:space="preserve"> </w:t>
      </w:r>
      <w:r w:rsidRPr="00ED7E81">
        <w:rPr>
          <w:rFonts w:ascii="Times New Roman" w:eastAsia="Arial Unicode MS" w:hAnsi="Times New Roman" w:cs="Times New Roman"/>
          <w:lang w:val="en-US"/>
        </w:rPr>
        <w:t>Chalmers, A. W. Trading Information for Access: Informational Lobbying Strategies and Interest Group Access to the European Union / A.W. Chalmers // Journal of European Public Policy. - 2013. № 20. — P. 52</w:t>
      </w:r>
    </w:p>
  </w:footnote>
  <w:footnote w:id="34">
    <w:p w14:paraId="3E475BA9" w14:textId="77777777" w:rsidR="000B5462" w:rsidRPr="00ED7E81" w:rsidRDefault="000B5462" w:rsidP="00BD01DC">
      <w:pPr>
        <w:pStyle w:val="a8"/>
        <w:jc w:val="both"/>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Beyers, J. Voice and Access: Political Practices of European Interest Associations / </w:t>
      </w:r>
      <w:proofErr w:type="spellStart"/>
      <w:proofErr w:type="gramStart"/>
      <w:r w:rsidRPr="00ED7E81">
        <w:rPr>
          <w:rFonts w:ascii="Times New Roman" w:eastAsia="Arial Unicode MS" w:hAnsi="Times New Roman" w:cs="Times New Roman"/>
          <w:sz w:val="20"/>
          <w:szCs w:val="20"/>
          <w:lang w:val="en-US"/>
        </w:rPr>
        <w:t>J.Beyers</w:t>
      </w:r>
      <w:proofErr w:type="spellEnd"/>
      <w:proofErr w:type="gramEnd"/>
      <w:r w:rsidRPr="00ED7E81">
        <w:rPr>
          <w:rFonts w:ascii="Times New Roman" w:eastAsia="Arial Unicode MS" w:hAnsi="Times New Roman" w:cs="Times New Roman"/>
          <w:sz w:val="20"/>
          <w:szCs w:val="20"/>
          <w:lang w:val="en-US"/>
        </w:rPr>
        <w:t xml:space="preserve"> // </w:t>
      </w:r>
      <w:r w:rsidRPr="00ED7E81">
        <w:rPr>
          <w:rFonts w:ascii="Times New Roman" w:eastAsia="Arial Unicode MS" w:hAnsi="Times New Roman" w:cs="Times New Roman"/>
          <w:iCs/>
          <w:sz w:val="20"/>
          <w:szCs w:val="20"/>
          <w:lang w:val="en-US"/>
        </w:rPr>
        <w:t>European Union Politics</w:t>
      </w:r>
      <w:r w:rsidRPr="00ED7E81">
        <w:rPr>
          <w:rFonts w:ascii="Times New Roman" w:eastAsia="Arial Unicode MS" w:hAnsi="Times New Roman" w:cs="Times New Roman"/>
          <w:sz w:val="20"/>
          <w:szCs w:val="20"/>
          <w:lang w:val="en-US"/>
        </w:rPr>
        <w:t xml:space="preserve">. - 2004. № </w:t>
      </w:r>
      <w:r w:rsidRPr="00ED7E81">
        <w:rPr>
          <w:rFonts w:ascii="Times New Roman" w:eastAsia="Arial Unicode MS" w:hAnsi="Times New Roman" w:cs="Times New Roman"/>
          <w:bCs/>
          <w:sz w:val="20"/>
          <w:szCs w:val="20"/>
          <w:lang w:val="en-US"/>
        </w:rPr>
        <w:t>5</w:t>
      </w:r>
      <w:r w:rsidRPr="00ED7E81">
        <w:rPr>
          <w:rFonts w:ascii="Times New Roman" w:eastAsia="Arial Unicode MS" w:hAnsi="Times New Roman" w:cs="Times New Roman"/>
          <w:sz w:val="20"/>
          <w:szCs w:val="20"/>
          <w:lang w:val="en-US"/>
        </w:rPr>
        <w:t>. – P. 211– 240.</w:t>
      </w:r>
    </w:p>
  </w:footnote>
  <w:footnote w:id="35">
    <w:p w14:paraId="529432CB" w14:textId="39C5DD5E" w:rsidR="000B5462" w:rsidRPr="00ED7E81" w:rsidRDefault="000B5462" w:rsidP="00BD01DC">
      <w:pPr>
        <w:pStyle w:val="a8"/>
        <w:jc w:val="both"/>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00ED7E81" w:rsidRPr="00ED7E81">
        <w:rPr>
          <w:rFonts w:ascii="Times New Roman" w:eastAsia="Arial Unicode MS" w:hAnsi="Times New Roman" w:cs="Times New Roman"/>
          <w:sz w:val="20"/>
          <w:szCs w:val="20"/>
        </w:rPr>
        <w:t>Там же</w:t>
      </w:r>
    </w:p>
  </w:footnote>
  <w:footnote w:id="36">
    <w:p w14:paraId="1A6D6BC4" w14:textId="77777777" w:rsidR="000B5462" w:rsidRPr="00ED7E81" w:rsidRDefault="000B5462" w:rsidP="00B170FC">
      <w:pPr>
        <w:jc w:val="both"/>
        <w:rPr>
          <w:rFonts w:ascii="Times New Roman" w:eastAsia="Times New Roman" w:hAnsi="Times New Roman" w:cs="Times New Roman"/>
          <w:sz w:val="20"/>
          <w:szCs w:val="20"/>
          <w:lang w:val="en-US" w:eastAsia="ru-RU"/>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proofErr w:type="spellStart"/>
      <w:r w:rsidRPr="00ED7E81">
        <w:rPr>
          <w:rFonts w:ascii="Times New Roman" w:eastAsia="Arial Unicode MS" w:hAnsi="Times New Roman" w:cs="Times New Roman"/>
          <w:sz w:val="20"/>
          <w:szCs w:val="20"/>
          <w:lang w:val="en-US"/>
        </w:rPr>
        <w:t>Hanegraaff</w:t>
      </w:r>
      <w:proofErr w:type="spellEnd"/>
      <w:r w:rsidRPr="00ED7E81">
        <w:rPr>
          <w:rFonts w:ascii="Times New Roman" w:eastAsia="Arial Unicode MS" w:hAnsi="Times New Roman" w:cs="Times New Roman"/>
          <w:sz w:val="20"/>
          <w:szCs w:val="20"/>
          <w:lang w:val="en-US"/>
        </w:rPr>
        <w:t xml:space="preserve">, M. Poletti, A. The Rise of Corporate Lobbying in the European Union: An Agenda for Future Research / </w:t>
      </w:r>
      <w:proofErr w:type="spellStart"/>
      <w:proofErr w:type="gramStart"/>
      <w:r w:rsidRPr="00ED7E81">
        <w:rPr>
          <w:rFonts w:ascii="Times New Roman" w:eastAsia="Arial Unicode MS" w:hAnsi="Times New Roman" w:cs="Times New Roman"/>
          <w:sz w:val="20"/>
          <w:szCs w:val="20"/>
          <w:lang w:val="en-US"/>
        </w:rPr>
        <w:t>M.Hanegraaff</w:t>
      </w:r>
      <w:proofErr w:type="spellEnd"/>
      <w:proofErr w:type="gramEnd"/>
      <w:r w:rsidRPr="00ED7E81">
        <w:rPr>
          <w:rFonts w:ascii="Times New Roman" w:eastAsia="Arial Unicode MS" w:hAnsi="Times New Roman" w:cs="Times New Roman"/>
          <w:sz w:val="20"/>
          <w:szCs w:val="20"/>
          <w:lang w:val="en-US"/>
        </w:rPr>
        <w:t xml:space="preserve">, </w:t>
      </w:r>
      <w:proofErr w:type="spellStart"/>
      <w:r w:rsidRPr="00ED7E81">
        <w:rPr>
          <w:rFonts w:ascii="Times New Roman" w:eastAsia="Arial Unicode MS" w:hAnsi="Times New Roman" w:cs="Times New Roman"/>
          <w:sz w:val="20"/>
          <w:szCs w:val="20"/>
          <w:lang w:val="en-US"/>
        </w:rPr>
        <w:t>A.Poletti</w:t>
      </w:r>
      <w:proofErr w:type="spellEnd"/>
      <w:r w:rsidRPr="00ED7E81">
        <w:rPr>
          <w:rFonts w:ascii="Times New Roman" w:eastAsia="Arial Unicode MS" w:hAnsi="Times New Roman" w:cs="Times New Roman"/>
          <w:sz w:val="20"/>
          <w:szCs w:val="20"/>
          <w:lang w:val="en-US"/>
        </w:rPr>
        <w:t xml:space="preserve"> // </w:t>
      </w:r>
      <w:r w:rsidRPr="00ED7E81">
        <w:rPr>
          <w:rFonts w:ascii="Times New Roman" w:eastAsia="Times New Roman" w:hAnsi="Times New Roman" w:cs="Times New Roman"/>
          <w:color w:val="231F20"/>
          <w:sz w:val="20"/>
          <w:szCs w:val="20"/>
          <w:shd w:val="clear" w:color="auto" w:fill="FFFFFF"/>
          <w:lang w:val="en-US" w:eastAsia="ru-RU"/>
        </w:rPr>
        <w:t>Journal</w:t>
      </w:r>
      <w:r w:rsidRPr="00ED7E81">
        <w:rPr>
          <w:rFonts w:ascii="Times New Roman" w:eastAsia="Times New Roman" w:hAnsi="Times New Roman" w:cs="Times New Roman"/>
          <w:sz w:val="20"/>
          <w:szCs w:val="20"/>
          <w:lang w:val="en-US" w:eastAsia="ru-RU"/>
        </w:rPr>
        <w:t xml:space="preserve"> </w:t>
      </w:r>
      <w:r w:rsidRPr="00ED7E81">
        <w:rPr>
          <w:rFonts w:ascii="Times New Roman" w:eastAsia="Times New Roman" w:hAnsi="Times New Roman" w:cs="Times New Roman"/>
          <w:color w:val="231F20"/>
          <w:sz w:val="20"/>
          <w:szCs w:val="20"/>
          <w:shd w:val="clear" w:color="auto" w:fill="FFFFFF"/>
          <w:lang w:val="en-US" w:eastAsia="ru-RU"/>
        </w:rPr>
        <w:t>of</w:t>
      </w:r>
      <w:r w:rsidRPr="00ED7E81">
        <w:rPr>
          <w:rFonts w:ascii="Times New Roman" w:eastAsia="Times New Roman" w:hAnsi="Times New Roman" w:cs="Times New Roman"/>
          <w:sz w:val="20"/>
          <w:szCs w:val="20"/>
          <w:lang w:val="en-US" w:eastAsia="ru-RU"/>
        </w:rPr>
        <w:t xml:space="preserve"> </w:t>
      </w:r>
      <w:r w:rsidRPr="00ED7E81">
        <w:rPr>
          <w:rFonts w:ascii="Times New Roman" w:eastAsia="Times New Roman" w:hAnsi="Times New Roman" w:cs="Times New Roman"/>
          <w:color w:val="231F20"/>
          <w:sz w:val="20"/>
          <w:szCs w:val="20"/>
          <w:shd w:val="clear" w:color="auto" w:fill="FFFFFF"/>
          <w:lang w:val="en-US" w:eastAsia="ru-RU"/>
        </w:rPr>
        <w:t>Common</w:t>
      </w:r>
      <w:r w:rsidRPr="00ED7E81">
        <w:rPr>
          <w:rFonts w:ascii="Times New Roman" w:eastAsia="Times New Roman" w:hAnsi="Times New Roman" w:cs="Times New Roman"/>
          <w:sz w:val="20"/>
          <w:szCs w:val="20"/>
          <w:lang w:val="en-US" w:eastAsia="ru-RU"/>
        </w:rPr>
        <w:t xml:space="preserve"> </w:t>
      </w:r>
      <w:r w:rsidRPr="00ED7E81">
        <w:rPr>
          <w:rFonts w:ascii="Times New Roman" w:eastAsia="Times New Roman" w:hAnsi="Times New Roman" w:cs="Times New Roman"/>
          <w:color w:val="231F20"/>
          <w:sz w:val="20"/>
          <w:szCs w:val="20"/>
          <w:shd w:val="clear" w:color="auto" w:fill="FFFFFF"/>
          <w:lang w:val="en-US" w:eastAsia="ru-RU"/>
        </w:rPr>
        <w:t>Market</w:t>
      </w:r>
      <w:r w:rsidRPr="00ED7E81">
        <w:rPr>
          <w:rFonts w:ascii="Times New Roman" w:eastAsia="Times New Roman" w:hAnsi="Times New Roman" w:cs="Times New Roman"/>
          <w:sz w:val="20"/>
          <w:szCs w:val="20"/>
          <w:lang w:val="en-US" w:eastAsia="ru-RU"/>
        </w:rPr>
        <w:t xml:space="preserve"> </w:t>
      </w:r>
      <w:r w:rsidRPr="00ED7E81">
        <w:rPr>
          <w:rFonts w:ascii="Times New Roman" w:eastAsia="Times New Roman" w:hAnsi="Times New Roman" w:cs="Times New Roman"/>
          <w:color w:val="231F20"/>
          <w:sz w:val="20"/>
          <w:szCs w:val="20"/>
          <w:shd w:val="clear" w:color="auto" w:fill="FFFFFF"/>
          <w:lang w:val="en-US" w:eastAsia="ru-RU"/>
        </w:rPr>
        <w:t>Studies</w:t>
      </w:r>
      <w:r w:rsidRPr="00ED7E81">
        <w:rPr>
          <w:rFonts w:ascii="Times New Roman" w:eastAsia="Arial Unicode MS" w:hAnsi="Times New Roman" w:cs="Times New Roman"/>
          <w:sz w:val="20"/>
          <w:szCs w:val="20"/>
          <w:lang w:val="en-US"/>
        </w:rPr>
        <w:t xml:space="preserve">. – 2021. – P. 1-17. </w:t>
      </w:r>
    </w:p>
  </w:footnote>
  <w:footnote w:id="37">
    <w:p w14:paraId="72CC05C2" w14:textId="77777777" w:rsidR="000B5462" w:rsidRPr="00ED7E81" w:rsidRDefault="000B5462" w:rsidP="006A76CC">
      <w:pPr>
        <w:pStyle w:val="a8"/>
        <w:jc w:val="both"/>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The Carbon Policy Footprint 2017: An </w:t>
      </w:r>
      <w:proofErr w:type="spellStart"/>
      <w:r w:rsidRPr="00ED7E81">
        <w:rPr>
          <w:rFonts w:ascii="Times New Roman" w:eastAsia="Arial Unicode MS" w:hAnsi="Times New Roman" w:cs="Times New Roman"/>
          <w:sz w:val="20"/>
          <w:szCs w:val="20"/>
          <w:lang w:val="en-US"/>
        </w:rPr>
        <w:t>InfluenceMap</w:t>
      </w:r>
      <w:proofErr w:type="spellEnd"/>
      <w:r w:rsidRPr="00ED7E81">
        <w:rPr>
          <w:rFonts w:ascii="Times New Roman" w:eastAsia="Arial Unicode MS" w:hAnsi="Times New Roman" w:cs="Times New Roman"/>
          <w:sz w:val="20"/>
          <w:szCs w:val="20"/>
          <w:lang w:val="en-US"/>
        </w:rPr>
        <w:t xml:space="preserve"> Report / </w:t>
      </w:r>
      <w:proofErr w:type="spellStart"/>
      <w:r w:rsidRPr="00ED7E81">
        <w:rPr>
          <w:rFonts w:ascii="Times New Roman" w:eastAsia="Arial Unicode MS" w:hAnsi="Times New Roman" w:cs="Times New Roman"/>
          <w:sz w:val="20"/>
          <w:szCs w:val="20"/>
          <w:lang w:val="en-US"/>
        </w:rPr>
        <w:t>InfluenceMap</w:t>
      </w:r>
      <w:proofErr w:type="spellEnd"/>
      <w:r w:rsidRPr="00ED7E81">
        <w:rPr>
          <w:rFonts w:ascii="Times New Roman" w:eastAsia="Arial Unicode MS" w:hAnsi="Times New Roman" w:cs="Times New Roman"/>
          <w:sz w:val="20"/>
          <w:szCs w:val="20"/>
          <w:lang w:val="en-US"/>
        </w:rPr>
        <w:t>, 2017. – p. 13.</w:t>
      </w:r>
    </w:p>
  </w:footnote>
  <w:footnote w:id="38">
    <w:p w14:paraId="1805CF3A" w14:textId="77777777" w:rsidR="000B5462" w:rsidRPr="00A2233B" w:rsidRDefault="000B5462" w:rsidP="006A76CC">
      <w:pPr>
        <w:pStyle w:val="a8"/>
        <w:rPr>
          <w:rFonts w:ascii="Times" w:hAnsi="Times"/>
          <w:sz w:val="20"/>
          <w:szCs w:val="20"/>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rPr>
        <w:t xml:space="preserve"> </w:t>
      </w:r>
      <w:proofErr w:type="spellStart"/>
      <w:r w:rsidRPr="00ED7E81">
        <w:rPr>
          <w:rFonts w:ascii="Times New Roman" w:hAnsi="Times New Roman" w:cs="Times New Roman"/>
          <w:sz w:val="20"/>
          <w:szCs w:val="20"/>
        </w:rPr>
        <w:t>InfluenceMap</w:t>
      </w:r>
      <w:proofErr w:type="spellEnd"/>
      <w:r w:rsidRPr="00ED7E81">
        <w:rPr>
          <w:rFonts w:ascii="Times New Roman" w:hAnsi="Times New Roman" w:cs="Times New Roman"/>
          <w:sz w:val="20"/>
          <w:szCs w:val="20"/>
        </w:rPr>
        <w:t xml:space="preserve">, </w:t>
      </w:r>
      <w:proofErr w:type="spellStart"/>
      <w:r w:rsidRPr="00ED7E81">
        <w:rPr>
          <w:rFonts w:ascii="Times New Roman" w:hAnsi="Times New Roman" w:cs="Times New Roman"/>
          <w:sz w:val="20"/>
          <w:szCs w:val="20"/>
        </w:rPr>
        <w:t>climate-lobbying</w:t>
      </w:r>
      <w:proofErr w:type="spellEnd"/>
      <w:r w:rsidRPr="00ED7E81">
        <w:rPr>
          <w:rFonts w:ascii="Times New Roman" w:hAnsi="Times New Roman" w:cs="Times New Roman"/>
          <w:sz w:val="20"/>
          <w:szCs w:val="20"/>
        </w:rPr>
        <w:t xml:space="preserve"> [Электронный ресурс] – Режим доступа: https://influencemap.org/climate-lobbying (Дата обращения: 02.05.2021)</w:t>
      </w:r>
    </w:p>
  </w:footnote>
  <w:footnote w:id="39">
    <w:p w14:paraId="31EB9F57" w14:textId="77777777" w:rsidR="000B5462" w:rsidRPr="00ED7E81" w:rsidRDefault="000B5462" w:rsidP="001577D4">
      <w:pPr>
        <w:pStyle w:val="a8"/>
        <w:jc w:val="both"/>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Coen, D. Richardson, J. Lobbying the European Union: Institutions, Actors and Issues / D. Coen, J. Richardson – UK: Oxford University Press, 2009. — </w:t>
      </w:r>
      <w:r w:rsidRPr="00ED7E81">
        <w:rPr>
          <w:rFonts w:ascii="Times New Roman" w:eastAsia="Arial Unicode MS" w:hAnsi="Times New Roman" w:cs="Times New Roman"/>
          <w:sz w:val="20"/>
          <w:szCs w:val="20"/>
        </w:rPr>
        <w:t>р</w:t>
      </w:r>
      <w:r w:rsidRPr="00ED7E81">
        <w:rPr>
          <w:rFonts w:ascii="Times New Roman" w:eastAsia="Arial Unicode MS" w:hAnsi="Times New Roman" w:cs="Times New Roman"/>
          <w:sz w:val="20"/>
          <w:szCs w:val="20"/>
          <w:lang w:val="en-US"/>
        </w:rPr>
        <w:t>. 171</w:t>
      </w:r>
    </w:p>
  </w:footnote>
  <w:footnote w:id="40">
    <w:p w14:paraId="374C9A15" w14:textId="1C0D4A0E" w:rsidR="000B5462" w:rsidRPr="00ED7E81" w:rsidRDefault="000B5462">
      <w:pPr>
        <w:pStyle w:val="a9"/>
      </w:pPr>
      <w:r w:rsidRPr="00ED7E81">
        <w:rPr>
          <w:rStyle w:val="ab"/>
          <w:rFonts w:ascii="Times New Roman" w:hAnsi="Times New Roman" w:cs="Times New Roman"/>
        </w:rPr>
        <w:footnoteRef/>
      </w:r>
      <w:r w:rsidRPr="00ED7E81">
        <w:rPr>
          <w:rFonts w:ascii="Times New Roman" w:hAnsi="Times New Roman" w:cs="Times New Roman"/>
          <w:lang w:val="en-US"/>
        </w:rPr>
        <w:t xml:space="preserve"> </w:t>
      </w:r>
      <w:r w:rsidR="00ED7E81" w:rsidRPr="00ED7E81">
        <w:rPr>
          <w:rFonts w:ascii="Times New Roman" w:eastAsia="Arial Unicode MS" w:hAnsi="Times New Roman" w:cs="Times New Roman"/>
        </w:rPr>
        <w:t>Там же</w:t>
      </w:r>
    </w:p>
  </w:footnote>
  <w:footnote w:id="41">
    <w:p w14:paraId="10BFEA6E" w14:textId="77777777" w:rsidR="000B5462" w:rsidRPr="00ED7E81" w:rsidRDefault="000B5462">
      <w:pPr>
        <w:pStyle w:val="a9"/>
        <w:rPr>
          <w:rFonts w:ascii="Times New Roman" w:hAnsi="Times New Roman" w:cs="Times New Roman"/>
        </w:rPr>
      </w:pPr>
      <w:r w:rsidRPr="00ED7E81">
        <w:rPr>
          <w:rStyle w:val="ab"/>
          <w:rFonts w:ascii="Times New Roman" w:hAnsi="Times New Roman" w:cs="Times New Roman"/>
        </w:rPr>
        <w:footnoteRef/>
      </w:r>
      <w:r w:rsidRPr="00ED7E81">
        <w:rPr>
          <w:rFonts w:ascii="Times New Roman" w:hAnsi="Times New Roman" w:cs="Times New Roman"/>
        </w:rPr>
        <w:t xml:space="preserve"> The Green 10 [Электронный ресурс] – Режим доступа: https://green10.org (Дата обращения: 26.04.2021)</w:t>
      </w:r>
    </w:p>
  </w:footnote>
  <w:footnote w:id="42">
    <w:p w14:paraId="2D91266C" w14:textId="77777777" w:rsidR="000B5462" w:rsidRPr="00ED7E81" w:rsidRDefault="000B5462" w:rsidP="00CA5D6A">
      <w:pPr>
        <w:pStyle w:val="a8"/>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Там</w:t>
      </w:r>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же</w:t>
      </w:r>
    </w:p>
  </w:footnote>
  <w:footnote w:id="43">
    <w:p w14:paraId="347BDA5F" w14:textId="77777777" w:rsidR="000B5462" w:rsidRPr="00CA78BD" w:rsidRDefault="000B5462" w:rsidP="004F3097">
      <w:pPr>
        <w:pStyle w:val="a8"/>
        <w:rPr>
          <w:rFonts w:ascii="Times" w:hAnsi="Times"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Greenwood, J. Interest Representation in the European Union / J. Greenwood L: Palgrave Macmillan, 2017.  – VI. – </w:t>
      </w:r>
      <w:r w:rsidRPr="00ED7E81">
        <w:rPr>
          <w:rFonts w:ascii="Times New Roman" w:eastAsia="Arial Unicode MS" w:hAnsi="Times New Roman" w:cs="Times New Roman"/>
          <w:sz w:val="20"/>
          <w:szCs w:val="20"/>
        </w:rPr>
        <w:t>р</w:t>
      </w:r>
      <w:r w:rsidRPr="00ED7E81">
        <w:rPr>
          <w:rFonts w:ascii="Times New Roman" w:eastAsia="Arial Unicode MS" w:hAnsi="Times New Roman" w:cs="Times New Roman"/>
          <w:sz w:val="20"/>
          <w:szCs w:val="20"/>
          <w:lang w:val="en-US"/>
        </w:rPr>
        <w:t>. 143</w:t>
      </w:r>
    </w:p>
  </w:footnote>
  <w:footnote w:id="44">
    <w:p w14:paraId="0E753FE3" w14:textId="77777777" w:rsidR="000B5462" w:rsidRPr="00ED7E81" w:rsidRDefault="000B5462" w:rsidP="004F3097">
      <w:pPr>
        <w:pStyle w:val="a8"/>
        <w:jc w:val="both"/>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proofErr w:type="spellStart"/>
      <w:r w:rsidRPr="00ED7E81">
        <w:rPr>
          <w:rFonts w:ascii="Times New Roman" w:eastAsia="Arial Unicode MS" w:hAnsi="Times New Roman" w:cs="Times New Roman"/>
          <w:sz w:val="20"/>
          <w:szCs w:val="20"/>
          <w:lang w:val="en-US"/>
        </w:rPr>
        <w:t>Hanegraaff</w:t>
      </w:r>
      <w:proofErr w:type="spellEnd"/>
      <w:r w:rsidRPr="00ED7E81">
        <w:rPr>
          <w:rFonts w:ascii="Times New Roman" w:eastAsia="Arial Unicode MS" w:hAnsi="Times New Roman" w:cs="Times New Roman"/>
          <w:sz w:val="20"/>
          <w:szCs w:val="20"/>
          <w:lang w:val="en-US"/>
        </w:rPr>
        <w:t xml:space="preserve">, M. Poletti, A. The Rise of Corporate Lobbying in the European Union: An Agenda for Future Research / </w:t>
      </w:r>
      <w:proofErr w:type="spellStart"/>
      <w:proofErr w:type="gramStart"/>
      <w:r w:rsidRPr="00ED7E81">
        <w:rPr>
          <w:rFonts w:ascii="Times New Roman" w:eastAsia="Arial Unicode MS" w:hAnsi="Times New Roman" w:cs="Times New Roman"/>
          <w:sz w:val="20"/>
          <w:szCs w:val="20"/>
          <w:lang w:val="en-US"/>
        </w:rPr>
        <w:t>M.Hanegraaff</w:t>
      </w:r>
      <w:proofErr w:type="spellEnd"/>
      <w:proofErr w:type="gramEnd"/>
      <w:r w:rsidRPr="00ED7E81">
        <w:rPr>
          <w:rFonts w:ascii="Times New Roman" w:eastAsia="Arial Unicode MS" w:hAnsi="Times New Roman" w:cs="Times New Roman"/>
          <w:sz w:val="20"/>
          <w:szCs w:val="20"/>
          <w:lang w:val="en-US"/>
        </w:rPr>
        <w:t xml:space="preserve">, </w:t>
      </w:r>
      <w:proofErr w:type="spellStart"/>
      <w:r w:rsidRPr="00ED7E81">
        <w:rPr>
          <w:rFonts w:ascii="Times New Roman" w:eastAsia="Arial Unicode MS" w:hAnsi="Times New Roman" w:cs="Times New Roman"/>
          <w:sz w:val="20"/>
          <w:szCs w:val="20"/>
          <w:lang w:val="en-US"/>
        </w:rPr>
        <w:t>A.Poletti</w:t>
      </w:r>
      <w:proofErr w:type="spellEnd"/>
      <w:r w:rsidRPr="00ED7E81">
        <w:rPr>
          <w:rFonts w:ascii="Times New Roman" w:eastAsia="Arial Unicode MS" w:hAnsi="Times New Roman" w:cs="Times New Roman"/>
          <w:sz w:val="20"/>
          <w:szCs w:val="20"/>
          <w:lang w:val="en-US"/>
        </w:rPr>
        <w:t xml:space="preserve"> // </w:t>
      </w:r>
      <w:r w:rsidRPr="00ED7E81">
        <w:rPr>
          <w:rFonts w:ascii="Times New Roman" w:eastAsia="Times New Roman" w:hAnsi="Times New Roman" w:cs="Times New Roman"/>
          <w:color w:val="231F20"/>
          <w:sz w:val="20"/>
          <w:szCs w:val="20"/>
          <w:shd w:val="clear" w:color="auto" w:fill="FFFFFF"/>
          <w:lang w:val="en-US"/>
        </w:rPr>
        <w:t>Journal</w:t>
      </w:r>
      <w:r w:rsidRPr="00ED7E81">
        <w:rPr>
          <w:rFonts w:ascii="Times New Roman" w:eastAsia="Times New Roman" w:hAnsi="Times New Roman" w:cs="Times New Roman"/>
          <w:sz w:val="20"/>
          <w:szCs w:val="20"/>
          <w:lang w:val="en-US"/>
        </w:rPr>
        <w:t xml:space="preserve"> </w:t>
      </w:r>
      <w:r w:rsidRPr="00ED7E81">
        <w:rPr>
          <w:rFonts w:ascii="Times New Roman" w:eastAsia="Times New Roman" w:hAnsi="Times New Roman" w:cs="Times New Roman"/>
          <w:color w:val="231F20"/>
          <w:sz w:val="20"/>
          <w:szCs w:val="20"/>
          <w:shd w:val="clear" w:color="auto" w:fill="FFFFFF"/>
          <w:lang w:val="en-US"/>
        </w:rPr>
        <w:t>of</w:t>
      </w:r>
      <w:r w:rsidRPr="00ED7E81">
        <w:rPr>
          <w:rFonts w:ascii="Times New Roman" w:eastAsia="Times New Roman" w:hAnsi="Times New Roman" w:cs="Times New Roman"/>
          <w:sz w:val="20"/>
          <w:szCs w:val="20"/>
          <w:lang w:val="en-US"/>
        </w:rPr>
        <w:t xml:space="preserve"> </w:t>
      </w:r>
      <w:r w:rsidRPr="00ED7E81">
        <w:rPr>
          <w:rFonts w:ascii="Times New Roman" w:eastAsia="Times New Roman" w:hAnsi="Times New Roman" w:cs="Times New Roman"/>
          <w:color w:val="231F20"/>
          <w:sz w:val="20"/>
          <w:szCs w:val="20"/>
          <w:shd w:val="clear" w:color="auto" w:fill="FFFFFF"/>
          <w:lang w:val="en-US"/>
        </w:rPr>
        <w:t>Common</w:t>
      </w:r>
      <w:r w:rsidRPr="00ED7E81">
        <w:rPr>
          <w:rFonts w:ascii="Times New Roman" w:eastAsia="Times New Roman" w:hAnsi="Times New Roman" w:cs="Times New Roman"/>
          <w:sz w:val="20"/>
          <w:szCs w:val="20"/>
          <w:lang w:val="en-US"/>
        </w:rPr>
        <w:t xml:space="preserve"> </w:t>
      </w:r>
      <w:r w:rsidRPr="00ED7E81">
        <w:rPr>
          <w:rFonts w:ascii="Times New Roman" w:eastAsia="Times New Roman" w:hAnsi="Times New Roman" w:cs="Times New Roman"/>
          <w:color w:val="231F20"/>
          <w:sz w:val="20"/>
          <w:szCs w:val="20"/>
          <w:shd w:val="clear" w:color="auto" w:fill="FFFFFF"/>
          <w:lang w:val="en-US"/>
        </w:rPr>
        <w:t>Market</w:t>
      </w:r>
      <w:r w:rsidRPr="00ED7E81">
        <w:rPr>
          <w:rFonts w:ascii="Times New Roman" w:eastAsia="Times New Roman" w:hAnsi="Times New Roman" w:cs="Times New Roman"/>
          <w:sz w:val="20"/>
          <w:szCs w:val="20"/>
          <w:lang w:val="en-US"/>
        </w:rPr>
        <w:t xml:space="preserve"> </w:t>
      </w:r>
      <w:r w:rsidRPr="00ED7E81">
        <w:rPr>
          <w:rFonts w:ascii="Times New Roman" w:eastAsia="Times New Roman" w:hAnsi="Times New Roman" w:cs="Times New Roman"/>
          <w:color w:val="231F20"/>
          <w:sz w:val="20"/>
          <w:szCs w:val="20"/>
          <w:shd w:val="clear" w:color="auto" w:fill="FFFFFF"/>
          <w:lang w:val="en-US"/>
        </w:rPr>
        <w:t>Studies</w:t>
      </w:r>
      <w:r w:rsidRPr="00ED7E81">
        <w:rPr>
          <w:rFonts w:ascii="Times New Roman" w:eastAsia="Arial Unicode MS" w:hAnsi="Times New Roman" w:cs="Times New Roman"/>
          <w:sz w:val="20"/>
          <w:szCs w:val="20"/>
          <w:lang w:val="en-US"/>
        </w:rPr>
        <w:t>. – 2021. – P. 8.</w:t>
      </w:r>
    </w:p>
  </w:footnote>
  <w:footnote w:id="45">
    <w:p w14:paraId="4320A4FB" w14:textId="77777777" w:rsidR="000B5462" w:rsidRPr="00CA78BD" w:rsidRDefault="000B5462" w:rsidP="000845AB">
      <w:pPr>
        <w:pStyle w:val="a8"/>
        <w:jc w:val="both"/>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hAnsi="Times New Roman" w:cs="Times New Roman"/>
          <w:sz w:val="20"/>
          <w:szCs w:val="20"/>
          <w:lang w:val="en-US"/>
        </w:rPr>
        <w:t>European Commission, EU Transparency Register [</w:t>
      </w:r>
      <w:r w:rsidRPr="00ED7E81">
        <w:rPr>
          <w:rFonts w:ascii="Times New Roman" w:hAnsi="Times New Roman" w:cs="Times New Roman"/>
          <w:sz w:val="20"/>
          <w:szCs w:val="20"/>
        </w:rPr>
        <w:t>Электронный</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ресурс</w:t>
      </w:r>
      <w:r w:rsidRPr="00ED7E81">
        <w:rPr>
          <w:rFonts w:ascii="Times New Roman" w:hAnsi="Times New Roman" w:cs="Times New Roman"/>
          <w:sz w:val="20"/>
          <w:szCs w:val="20"/>
          <w:lang w:val="en-US"/>
        </w:rPr>
        <w:t xml:space="preserve">] – </w:t>
      </w:r>
      <w:r w:rsidRPr="00ED7E81">
        <w:rPr>
          <w:rFonts w:ascii="Times New Roman" w:hAnsi="Times New Roman" w:cs="Times New Roman"/>
          <w:sz w:val="20"/>
          <w:szCs w:val="20"/>
        </w:rPr>
        <w:t>Режим</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доступа</w:t>
      </w:r>
      <w:r w:rsidRPr="00ED7E81">
        <w:rPr>
          <w:rFonts w:ascii="Times New Roman" w:hAnsi="Times New Roman" w:cs="Times New Roman"/>
          <w:sz w:val="20"/>
          <w:szCs w:val="20"/>
          <w:lang w:val="en-US"/>
        </w:rPr>
        <w:t>: https://ec.europa.eu/transparencyregister/public/consultation /searchControllerPager.do?declaration=liquid+gas+europe&amp;search=search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26.04.2021)</w:t>
      </w:r>
    </w:p>
  </w:footnote>
  <w:footnote w:id="46">
    <w:p w14:paraId="56660FE4" w14:textId="77777777" w:rsidR="000B5462" w:rsidRPr="00ED7E81" w:rsidRDefault="000B5462" w:rsidP="00103472">
      <w:pPr>
        <w:pStyle w:val="a8"/>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The A-list of Climate Policy Engagement 2018: An </w:t>
      </w:r>
      <w:proofErr w:type="spellStart"/>
      <w:r w:rsidRPr="00ED7E81">
        <w:rPr>
          <w:rFonts w:ascii="Times New Roman" w:eastAsia="Arial Unicode MS" w:hAnsi="Times New Roman" w:cs="Times New Roman"/>
          <w:sz w:val="20"/>
          <w:szCs w:val="20"/>
          <w:lang w:val="en-US"/>
        </w:rPr>
        <w:t>InfluenceMap</w:t>
      </w:r>
      <w:proofErr w:type="spellEnd"/>
      <w:r w:rsidRPr="00ED7E81">
        <w:rPr>
          <w:rFonts w:ascii="Times New Roman" w:eastAsia="Arial Unicode MS" w:hAnsi="Times New Roman" w:cs="Times New Roman"/>
          <w:sz w:val="20"/>
          <w:szCs w:val="20"/>
          <w:lang w:val="en-US"/>
        </w:rPr>
        <w:t xml:space="preserve"> Special Report / </w:t>
      </w:r>
      <w:proofErr w:type="spellStart"/>
      <w:r w:rsidRPr="00ED7E81">
        <w:rPr>
          <w:rFonts w:ascii="Times New Roman" w:eastAsia="Arial Unicode MS" w:hAnsi="Times New Roman" w:cs="Times New Roman"/>
          <w:sz w:val="20"/>
          <w:szCs w:val="20"/>
          <w:lang w:val="en-US"/>
        </w:rPr>
        <w:t>InfluenceMap</w:t>
      </w:r>
      <w:proofErr w:type="spellEnd"/>
      <w:r w:rsidRPr="00ED7E81">
        <w:rPr>
          <w:rFonts w:ascii="Times New Roman" w:eastAsia="Arial Unicode MS" w:hAnsi="Times New Roman" w:cs="Times New Roman"/>
          <w:sz w:val="20"/>
          <w:szCs w:val="20"/>
          <w:lang w:val="en-US"/>
        </w:rPr>
        <w:t xml:space="preserve">. 2018. – p. 9. </w:t>
      </w:r>
    </w:p>
  </w:footnote>
  <w:footnote w:id="47">
    <w:p w14:paraId="247C8E73" w14:textId="77777777" w:rsidR="000B5462" w:rsidRPr="00ED7E81" w:rsidRDefault="000B5462" w:rsidP="00103472">
      <w:pPr>
        <w:pStyle w:val="a8"/>
        <w:jc w:val="both"/>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We Mean Business Coalition. Responsible climate policy [</w:t>
      </w:r>
      <w:r w:rsidRPr="00ED7E81">
        <w:rPr>
          <w:rFonts w:ascii="Times New Roman" w:eastAsia="Arial Unicode MS" w:hAnsi="Times New Roman" w:cs="Times New Roman"/>
          <w:sz w:val="20"/>
          <w:szCs w:val="20"/>
        </w:rPr>
        <w:t>Электронный</w:t>
      </w:r>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ресурс</w:t>
      </w:r>
      <w:r w:rsidRPr="00ED7E81">
        <w:rPr>
          <w:rFonts w:ascii="Times New Roman" w:eastAsia="Arial Unicode MS" w:hAnsi="Times New Roman" w:cs="Times New Roman"/>
          <w:sz w:val="20"/>
          <w:szCs w:val="20"/>
          <w:lang w:val="en-US"/>
        </w:rPr>
        <w:t xml:space="preserve">] – </w:t>
      </w:r>
      <w:r w:rsidRPr="00ED7E81">
        <w:rPr>
          <w:rFonts w:ascii="Times New Roman" w:eastAsia="Arial Unicode MS" w:hAnsi="Times New Roman" w:cs="Times New Roman"/>
          <w:sz w:val="20"/>
          <w:szCs w:val="20"/>
        </w:rPr>
        <w:t>Режим</w:t>
      </w:r>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доступа</w:t>
      </w:r>
      <w:r w:rsidRPr="00ED7E81">
        <w:rPr>
          <w:rFonts w:ascii="Times New Roman" w:eastAsia="Arial Unicode MS" w:hAnsi="Times New Roman" w:cs="Times New Roman"/>
          <w:sz w:val="20"/>
          <w:szCs w:val="20"/>
          <w:lang w:val="en-US"/>
        </w:rPr>
        <w:t>: https://www.wemeanbusinesscoalition.org/commitment/responsible-engagement-in-climate-policy/ (</w:t>
      </w:r>
      <w:r w:rsidRPr="00ED7E81">
        <w:rPr>
          <w:rFonts w:ascii="Times New Roman" w:eastAsia="Arial Unicode MS" w:hAnsi="Times New Roman" w:cs="Times New Roman"/>
          <w:sz w:val="20"/>
          <w:szCs w:val="20"/>
        </w:rPr>
        <w:t>Дата</w:t>
      </w:r>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обращения</w:t>
      </w:r>
      <w:r w:rsidRPr="00ED7E81">
        <w:rPr>
          <w:rFonts w:ascii="Times New Roman" w:eastAsia="Arial Unicode MS" w:hAnsi="Times New Roman" w:cs="Times New Roman"/>
          <w:sz w:val="20"/>
          <w:szCs w:val="20"/>
          <w:lang w:val="en-US"/>
        </w:rPr>
        <w:t>: 27.04.2021)</w:t>
      </w:r>
    </w:p>
  </w:footnote>
  <w:footnote w:id="48">
    <w:p w14:paraId="5971857A" w14:textId="77777777" w:rsidR="000B5462" w:rsidRPr="00D702F9" w:rsidRDefault="000B5462" w:rsidP="00103472">
      <w:pPr>
        <w:pStyle w:val="a8"/>
        <w:jc w:val="both"/>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The A-list of Climate Policy Engagement 2018: An </w:t>
      </w:r>
      <w:proofErr w:type="spellStart"/>
      <w:r w:rsidRPr="00ED7E81">
        <w:rPr>
          <w:rFonts w:ascii="Times New Roman" w:eastAsia="Arial Unicode MS" w:hAnsi="Times New Roman" w:cs="Times New Roman"/>
          <w:sz w:val="20"/>
          <w:szCs w:val="20"/>
          <w:lang w:val="en-US"/>
        </w:rPr>
        <w:t>InfluenceMap</w:t>
      </w:r>
      <w:proofErr w:type="spellEnd"/>
      <w:r w:rsidRPr="00ED7E81">
        <w:rPr>
          <w:rFonts w:ascii="Times New Roman" w:eastAsia="Arial Unicode MS" w:hAnsi="Times New Roman" w:cs="Times New Roman"/>
          <w:sz w:val="20"/>
          <w:szCs w:val="20"/>
          <w:lang w:val="en-US"/>
        </w:rPr>
        <w:t xml:space="preserve"> Special Report / </w:t>
      </w:r>
      <w:proofErr w:type="spellStart"/>
      <w:r w:rsidRPr="00ED7E81">
        <w:rPr>
          <w:rFonts w:ascii="Times New Roman" w:eastAsia="Arial Unicode MS" w:hAnsi="Times New Roman" w:cs="Times New Roman"/>
          <w:sz w:val="20"/>
          <w:szCs w:val="20"/>
          <w:lang w:val="en-US"/>
        </w:rPr>
        <w:t>InfluenceMap</w:t>
      </w:r>
      <w:proofErr w:type="spellEnd"/>
      <w:r w:rsidRPr="00ED7E81">
        <w:rPr>
          <w:rFonts w:ascii="Times New Roman" w:eastAsia="Arial Unicode MS" w:hAnsi="Times New Roman" w:cs="Times New Roman"/>
          <w:sz w:val="20"/>
          <w:szCs w:val="20"/>
          <w:lang w:val="en-US"/>
        </w:rPr>
        <w:t>. 2018. – p. 9.</w:t>
      </w:r>
    </w:p>
  </w:footnote>
  <w:footnote w:id="49">
    <w:p w14:paraId="731A7FE5" w14:textId="77777777" w:rsidR="000B5462" w:rsidRPr="00ED7E81" w:rsidRDefault="000B5462" w:rsidP="00AD404E">
      <w:pPr>
        <w:pStyle w:val="a8"/>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Trade Associations and their Climate Policy Footprint 2017: An </w:t>
      </w:r>
      <w:proofErr w:type="spellStart"/>
      <w:r w:rsidRPr="00ED7E81">
        <w:rPr>
          <w:rFonts w:ascii="Times New Roman" w:eastAsia="Arial Unicode MS" w:hAnsi="Times New Roman" w:cs="Times New Roman"/>
          <w:sz w:val="20"/>
          <w:szCs w:val="20"/>
          <w:lang w:val="en-US"/>
        </w:rPr>
        <w:t>InfluenceMap</w:t>
      </w:r>
      <w:proofErr w:type="spellEnd"/>
      <w:r w:rsidRPr="00ED7E81">
        <w:rPr>
          <w:rFonts w:ascii="Times New Roman" w:eastAsia="Arial Unicode MS" w:hAnsi="Times New Roman" w:cs="Times New Roman"/>
          <w:sz w:val="20"/>
          <w:szCs w:val="20"/>
          <w:lang w:val="en-US"/>
        </w:rPr>
        <w:t xml:space="preserve"> Report / </w:t>
      </w:r>
      <w:proofErr w:type="spellStart"/>
      <w:r w:rsidRPr="00ED7E81">
        <w:rPr>
          <w:rFonts w:ascii="Times New Roman" w:eastAsia="Arial Unicode MS" w:hAnsi="Times New Roman" w:cs="Times New Roman"/>
          <w:sz w:val="20"/>
          <w:szCs w:val="20"/>
          <w:lang w:val="en-US"/>
        </w:rPr>
        <w:t>InfluenceMap</w:t>
      </w:r>
      <w:proofErr w:type="spellEnd"/>
      <w:r w:rsidRPr="00ED7E81">
        <w:rPr>
          <w:rFonts w:ascii="Times New Roman" w:eastAsia="Arial Unicode MS" w:hAnsi="Times New Roman" w:cs="Times New Roman"/>
          <w:sz w:val="20"/>
          <w:szCs w:val="20"/>
          <w:lang w:val="en-US"/>
        </w:rPr>
        <w:t xml:space="preserve">. 2017. – p. 12. </w:t>
      </w:r>
    </w:p>
  </w:footnote>
  <w:footnote w:id="50">
    <w:p w14:paraId="5AA96794" w14:textId="77777777" w:rsidR="000B5462" w:rsidRPr="00ED7E81" w:rsidRDefault="000B5462" w:rsidP="00D843A4">
      <w:pPr>
        <w:pStyle w:val="a8"/>
        <w:jc w:val="both"/>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The Carbon Policy Footprint 2017: An </w:t>
      </w:r>
      <w:proofErr w:type="spellStart"/>
      <w:r w:rsidRPr="00ED7E81">
        <w:rPr>
          <w:rFonts w:ascii="Times New Roman" w:eastAsia="Arial Unicode MS" w:hAnsi="Times New Roman" w:cs="Times New Roman"/>
          <w:sz w:val="20"/>
          <w:szCs w:val="20"/>
          <w:lang w:val="en-US"/>
        </w:rPr>
        <w:t>InfluenceMap</w:t>
      </w:r>
      <w:proofErr w:type="spellEnd"/>
      <w:r w:rsidRPr="00ED7E81">
        <w:rPr>
          <w:rFonts w:ascii="Times New Roman" w:eastAsia="Arial Unicode MS" w:hAnsi="Times New Roman" w:cs="Times New Roman"/>
          <w:sz w:val="20"/>
          <w:szCs w:val="20"/>
          <w:lang w:val="en-US"/>
        </w:rPr>
        <w:t xml:space="preserve"> Report / </w:t>
      </w:r>
      <w:proofErr w:type="spellStart"/>
      <w:r w:rsidRPr="00ED7E81">
        <w:rPr>
          <w:rFonts w:ascii="Times New Roman" w:eastAsia="Arial Unicode MS" w:hAnsi="Times New Roman" w:cs="Times New Roman"/>
          <w:sz w:val="20"/>
          <w:szCs w:val="20"/>
          <w:lang w:val="en-US"/>
        </w:rPr>
        <w:t>InfluenceMap</w:t>
      </w:r>
      <w:proofErr w:type="spellEnd"/>
      <w:r w:rsidRPr="00ED7E81">
        <w:rPr>
          <w:rFonts w:ascii="Times New Roman" w:eastAsia="Arial Unicode MS" w:hAnsi="Times New Roman" w:cs="Times New Roman"/>
          <w:sz w:val="20"/>
          <w:szCs w:val="20"/>
          <w:lang w:val="en-US"/>
        </w:rPr>
        <w:t xml:space="preserve">, 2017. – </w:t>
      </w:r>
      <w:r w:rsidRPr="00ED7E81">
        <w:rPr>
          <w:rFonts w:ascii="Times New Roman" w:eastAsia="Arial Unicode MS" w:hAnsi="Times New Roman" w:cs="Times New Roman"/>
          <w:sz w:val="20"/>
          <w:szCs w:val="20"/>
        </w:rPr>
        <w:t>р</w:t>
      </w:r>
      <w:r w:rsidRPr="00ED7E81">
        <w:rPr>
          <w:rFonts w:ascii="Times New Roman" w:eastAsia="Arial Unicode MS" w:hAnsi="Times New Roman" w:cs="Times New Roman"/>
          <w:sz w:val="20"/>
          <w:szCs w:val="20"/>
          <w:lang w:val="en-US"/>
        </w:rPr>
        <w:t xml:space="preserve">. 13. </w:t>
      </w:r>
    </w:p>
  </w:footnote>
  <w:footnote w:id="51">
    <w:p w14:paraId="2FF78E7B" w14:textId="77777777" w:rsidR="000B5462" w:rsidRPr="00ED7E81" w:rsidRDefault="000B5462" w:rsidP="00D843A4">
      <w:pPr>
        <w:pStyle w:val="a8"/>
        <w:jc w:val="both"/>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We Mean Business Coalition. A Guide to Responsible Corporate Engagement [</w:t>
      </w:r>
      <w:r w:rsidRPr="00ED7E81">
        <w:rPr>
          <w:rFonts w:ascii="Times New Roman" w:eastAsia="Arial Unicode MS" w:hAnsi="Times New Roman" w:cs="Times New Roman"/>
          <w:sz w:val="20"/>
          <w:szCs w:val="20"/>
        </w:rPr>
        <w:t>Электронный</w:t>
      </w:r>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ресурс</w:t>
      </w:r>
      <w:r w:rsidRPr="00ED7E81">
        <w:rPr>
          <w:rFonts w:ascii="Times New Roman" w:eastAsia="Arial Unicode MS" w:hAnsi="Times New Roman" w:cs="Times New Roman"/>
          <w:sz w:val="20"/>
          <w:szCs w:val="20"/>
          <w:lang w:val="en-US"/>
        </w:rPr>
        <w:t xml:space="preserve">] – </w:t>
      </w:r>
      <w:r w:rsidRPr="00ED7E81">
        <w:rPr>
          <w:rFonts w:ascii="Times New Roman" w:eastAsia="Arial Unicode MS" w:hAnsi="Times New Roman" w:cs="Times New Roman"/>
          <w:sz w:val="20"/>
          <w:szCs w:val="20"/>
        </w:rPr>
        <w:t>Режим</w:t>
      </w:r>
      <w:r w:rsidRPr="00ED7E81">
        <w:rPr>
          <w:rFonts w:ascii="Times New Roman" w:eastAsia="Arial Unicode MS" w:hAnsi="Times New Roman" w:cs="Times New Roman"/>
          <w:sz w:val="20"/>
          <w:szCs w:val="20"/>
          <w:lang w:val="en-US"/>
        </w:rPr>
        <w:t xml:space="preserve"> </w:t>
      </w:r>
      <w:proofErr w:type="gramStart"/>
      <w:r w:rsidRPr="00ED7E81">
        <w:rPr>
          <w:rFonts w:ascii="Times New Roman" w:eastAsia="Arial Unicode MS" w:hAnsi="Times New Roman" w:cs="Times New Roman"/>
          <w:sz w:val="20"/>
          <w:szCs w:val="20"/>
        </w:rPr>
        <w:t>доступа</w:t>
      </w:r>
      <w:r w:rsidRPr="00ED7E81">
        <w:rPr>
          <w:rFonts w:ascii="Times New Roman" w:eastAsia="Arial Unicode MS" w:hAnsi="Times New Roman" w:cs="Times New Roman"/>
          <w:sz w:val="20"/>
          <w:szCs w:val="20"/>
          <w:lang w:val="en-US"/>
        </w:rPr>
        <w:t>:https://d306pr3pise04h.cloudfront.net/docs/issues_doc%2FEnvironment%2Fclimate%2FGuide_Responsible_Corporate_Engagement_Climate_Policy.pdf</w:t>
      </w:r>
      <w:proofErr w:type="gramEnd"/>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Дата</w:t>
      </w:r>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обращения</w:t>
      </w:r>
      <w:r w:rsidRPr="00ED7E81">
        <w:rPr>
          <w:rFonts w:ascii="Times New Roman" w:eastAsia="Arial Unicode MS" w:hAnsi="Times New Roman" w:cs="Times New Roman"/>
          <w:sz w:val="20"/>
          <w:szCs w:val="20"/>
          <w:lang w:val="en-US"/>
        </w:rPr>
        <w:t>: 27.04.2021)</w:t>
      </w:r>
    </w:p>
  </w:footnote>
  <w:footnote w:id="52">
    <w:p w14:paraId="4721C5DF" w14:textId="77777777" w:rsidR="000B5462" w:rsidRPr="00CA78BD" w:rsidRDefault="000B5462" w:rsidP="00D843A4">
      <w:pPr>
        <w:pStyle w:val="a8"/>
        <w:jc w:val="both"/>
        <w:rPr>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The Carbon Policy Footprint 2017: An </w:t>
      </w:r>
      <w:proofErr w:type="spellStart"/>
      <w:r w:rsidRPr="00ED7E81">
        <w:rPr>
          <w:rFonts w:ascii="Times New Roman" w:eastAsia="Arial Unicode MS" w:hAnsi="Times New Roman" w:cs="Times New Roman"/>
          <w:sz w:val="20"/>
          <w:szCs w:val="20"/>
          <w:lang w:val="en-US"/>
        </w:rPr>
        <w:t>InfluenceMap</w:t>
      </w:r>
      <w:proofErr w:type="spellEnd"/>
      <w:r w:rsidRPr="00ED7E81">
        <w:rPr>
          <w:rFonts w:ascii="Times New Roman" w:eastAsia="Arial Unicode MS" w:hAnsi="Times New Roman" w:cs="Times New Roman"/>
          <w:sz w:val="20"/>
          <w:szCs w:val="20"/>
          <w:lang w:val="en-US"/>
        </w:rPr>
        <w:t xml:space="preserve"> Report / </w:t>
      </w:r>
      <w:proofErr w:type="spellStart"/>
      <w:r w:rsidRPr="00ED7E81">
        <w:rPr>
          <w:rFonts w:ascii="Times New Roman" w:eastAsia="Arial Unicode MS" w:hAnsi="Times New Roman" w:cs="Times New Roman"/>
          <w:sz w:val="20"/>
          <w:szCs w:val="20"/>
          <w:lang w:val="en-US"/>
        </w:rPr>
        <w:t>InfluenceMap</w:t>
      </w:r>
      <w:proofErr w:type="spellEnd"/>
      <w:r w:rsidRPr="00ED7E81">
        <w:rPr>
          <w:rFonts w:ascii="Times New Roman" w:eastAsia="Arial Unicode MS" w:hAnsi="Times New Roman" w:cs="Times New Roman"/>
          <w:sz w:val="20"/>
          <w:szCs w:val="20"/>
          <w:lang w:val="en-US"/>
        </w:rPr>
        <w:t xml:space="preserve">, 2017. – </w:t>
      </w:r>
      <w:r w:rsidRPr="00ED7E81">
        <w:rPr>
          <w:rFonts w:ascii="Times New Roman" w:eastAsia="Arial Unicode MS" w:hAnsi="Times New Roman" w:cs="Times New Roman"/>
          <w:sz w:val="20"/>
          <w:szCs w:val="20"/>
        </w:rPr>
        <w:t>р</w:t>
      </w:r>
      <w:r w:rsidRPr="00ED7E81">
        <w:rPr>
          <w:rFonts w:ascii="Times New Roman" w:eastAsia="Arial Unicode MS" w:hAnsi="Times New Roman" w:cs="Times New Roman"/>
          <w:sz w:val="20"/>
          <w:szCs w:val="20"/>
          <w:lang w:val="en-US"/>
        </w:rPr>
        <w:t>. 13.</w:t>
      </w:r>
    </w:p>
  </w:footnote>
  <w:footnote w:id="53">
    <w:p w14:paraId="75B0D6E6" w14:textId="77777777" w:rsidR="000B5462" w:rsidRPr="00ED7E81" w:rsidRDefault="000B5462">
      <w:pPr>
        <w:pStyle w:val="a9"/>
        <w:rPr>
          <w:rFonts w:ascii="Times New Roman" w:hAnsi="Times New Roman" w:cs="Times New Roman"/>
        </w:rPr>
      </w:pPr>
      <w:r w:rsidRPr="00ED7E81">
        <w:rPr>
          <w:rStyle w:val="ab"/>
          <w:rFonts w:ascii="Times New Roman" w:hAnsi="Times New Roman" w:cs="Times New Roman"/>
        </w:rPr>
        <w:footnoteRef/>
      </w:r>
      <w:r w:rsidRPr="00ED7E81">
        <w:rPr>
          <w:rFonts w:ascii="Times New Roman" w:hAnsi="Times New Roman" w:cs="Times New Roman"/>
        </w:rPr>
        <w:t xml:space="preserve"> </w:t>
      </w:r>
      <w:proofErr w:type="spellStart"/>
      <w:r w:rsidRPr="00ED7E81">
        <w:rPr>
          <w:rFonts w:ascii="Times New Roman" w:hAnsi="Times New Roman" w:cs="Times New Roman"/>
        </w:rPr>
        <w:t>InfluenceMap</w:t>
      </w:r>
      <w:proofErr w:type="spellEnd"/>
      <w:r w:rsidRPr="00ED7E81">
        <w:rPr>
          <w:rFonts w:ascii="Times New Roman" w:hAnsi="Times New Roman" w:cs="Times New Roman"/>
        </w:rPr>
        <w:t xml:space="preserve">, </w:t>
      </w:r>
      <w:proofErr w:type="spellStart"/>
      <w:r w:rsidRPr="00ED7E81">
        <w:rPr>
          <w:rFonts w:ascii="Times New Roman" w:hAnsi="Times New Roman" w:cs="Times New Roman"/>
        </w:rPr>
        <w:t>climate-lobbying</w:t>
      </w:r>
      <w:proofErr w:type="spellEnd"/>
      <w:r w:rsidRPr="00ED7E81">
        <w:rPr>
          <w:rFonts w:ascii="Times New Roman" w:hAnsi="Times New Roman" w:cs="Times New Roman"/>
        </w:rPr>
        <w:t xml:space="preserve"> [Электронный ресурс] – Режим доступа: https://influencemap.org/climate-lobbying (Дата обращения: 02.05.2021)</w:t>
      </w:r>
    </w:p>
  </w:footnote>
  <w:footnote w:id="54">
    <w:p w14:paraId="1C311C0F" w14:textId="77777777" w:rsidR="000B5462" w:rsidRPr="00BF0787" w:rsidRDefault="000B5462" w:rsidP="00D843A4">
      <w:pPr>
        <w:pStyle w:val="a8"/>
        <w:jc w:val="both"/>
        <w:rPr>
          <w:rFonts w:ascii="Cambria" w:hAnsi="Cambria" w:cs="Times New Roman"/>
          <w:sz w:val="20"/>
          <w:szCs w:val="20"/>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rPr>
        <w:t xml:space="preserve"> Там же</w:t>
      </w:r>
    </w:p>
  </w:footnote>
  <w:footnote w:id="55">
    <w:p w14:paraId="230E3182" w14:textId="77777777" w:rsidR="000B5462" w:rsidRPr="00ED7E81" w:rsidRDefault="000B5462" w:rsidP="009F756D">
      <w:pPr>
        <w:pStyle w:val="a8"/>
        <w:jc w:val="both"/>
        <w:rPr>
          <w:rFonts w:ascii="Times New Roman" w:hAnsi="Times New Roman" w:cs="Times New Roman"/>
          <w:sz w:val="20"/>
          <w:szCs w:val="20"/>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rPr>
        <w:t xml:space="preserve"> </w:t>
      </w:r>
      <w:proofErr w:type="spellStart"/>
      <w:r w:rsidRPr="00ED7E81">
        <w:rPr>
          <w:rFonts w:ascii="Times New Roman" w:eastAsia="Arial Unicode MS" w:hAnsi="Times New Roman" w:cs="Times New Roman"/>
          <w:sz w:val="20"/>
          <w:szCs w:val="20"/>
        </w:rPr>
        <w:t>Стрежнева</w:t>
      </w:r>
      <w:proofErr w:type="spellEnd"/>
      <w:r w:rsidRPr="00ED7E81">
        <w:rPr>
          <w:rFonts w:ascii="Times New Roman" w:eastAsia="Arial Unicode MS" w:hAnsi="Times New Roman" w:cs="Times New Roman"/>
          <w:sz w:val="20"/>
          <w:szCs w:val="20"/>
        </w:rPr>
        <w:t xml:space="preserve">, М.В. </w:t>
      </w:r>
      <w:proofErr w:type="spellStart"/>
      <w:r w:rsidRPr="00ED7E81">
        <w:rPr>
          <w:rFonts w:ascii="Times New Roman" w:eastAsia="Arial Unicode MS" w:hAnsi="Times New Roman" w:cs="Times New Roman"/>
          <w:sz w:val="20"/>
          <w:szCs w:val="20"/>
        </w:rPr>
        <w:t>Европейскии</w:t>
      </w:r>
      <w:proofErr w:type="spellEnd"/>
      <w:r w:rsidRPr="00ED7E81">
        <w:rPr>
          <w:rFonts w:ascii="Times New Roman" w:eastAsia="Arial Unicode MS" w:hAnsi="Times New Roman" w:cs="Times New Roman"/>
          <w:sz w:val="20"/>
          <w:szCs w:val="20"/>
        </w:rPr>
        <w:t xml:space="preserve">̆ союз в глобальном экономическом управлении / </w:t>
      </w:r>
      <w:proofErr w:type="spellStart"/>
      <w:r w:rsidRPr="00ED7E81">
        <w:rPr>
          <w:rFonts w:ascii="Times New Roman" w:eastAsia="Arial Unicode MS" w:hAnsi="Times New Roman" w:cs="Times New Roman"/>
          <w:sz w:val="20"/>
          <w:szCs w:val="20"/>
        </w:rPr>
        <w:t>Стрежнева</w:t>
      </w:r>
      <w:proofErr w:type="spellEnd"/>
      <w:r w:rsidRPr="00ED7E81">
        <w:rPr>
          <w:rFonts w:ascii="Times New Roman" w:eastAsia="Arial Unicode MS" w:hAnsi="Times New Roman" w:cs="Times New Roman"/>
          <w:sz w:val="20"/>
          <w:szCs w:val="20"/>
        </w:rPr>
        <w:t xml:space="preserve">, М.В. – М.: ИМЭМО РАН, 2017, с. 135  </w:t>
      </w:r>
    </w:p>
  </w:footnote>
  <w:footnote w:id="56">
    <w:p w14:paraId="728E1BB2" w14:textId="77777777" w:rsidR="000B5462" w:rsidRDefault="000B5462" w:rsidP="009F756D">
      <w:pPr>
        <w:pStyle w:val="a8"/>
        <w:jc w:val="both"/>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rPr>
        <w:t xml:space="preserve"> Там же</w:t>
      </w:r>
      <w:r>
        <w:rPr>
          <w:rFonts w:eastAsia="Arial Unicode MS" w:cs="Arial Unicode MS"/>
        </w:rPr>
        <w:t xml:space="preserve">  </w:t>
      </w:r>
    </w:p>
  </w:footnote>
  <w:footnote w:id="57">
    <w:p w14:paraId="50C962D7" w14:textId="77777777" w:rsidR="000B5462" w:rsidRPr="00ED7E81" w:rsidRDefault="000B5462" w:rsidP="00ED7E81">
      <w:pPr>
        <w:pStyle w:val="a8"/>
        <w:jc w:val="both"/>
        <w:rPr>
          <w:rFonts w:ascii="Times New Roman" w:hAnsi="Times New Roman" w:cs="Times New Roman"/>
          <w:sz w:val="20"/>
          <w:szCs w:val="20"/>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rPr>
        <w:t xml:space="preserve"> </w:t>
      </w:r>
      <w:r w:rsidRPr="00ED7E81">
        <w:rPr>
          <w:rFonts w:ascii="Times New Roman" w:eastAsia="Arial Unicode MS" w:hAnsi="Times New Roman" w:cs="Times New Roman"/>
          <w:sz w:val="20"/>
          <w:szCs w:val="20"/>
          <w:lang w:val="en-US"/>
        </w:rPr>
        <w:t>WECOOP</w:t>
      </w:r>
      <w:r w:rsidRPr="00ED7E81">
        <w:rPr>
          <w:rFonts w:ascii="Times New Roman" w:eastAsia="Arial Unicode MS" w:hAnsi="Times New Roman" w:cs="Times New Roman"/>
          <w:sz w:val="20"/>
          <w:szCs w:val="20"/>
        </w:rPr>
        <w:t xml:space="preserve">. Экологическая политика ЕС [Электронный ресурс] – Режим доступа: </w:t>
      </w:r>
      <w:r w:rsidRPr="00ED7E81">
        <w:rPr>
          <w:rFonts w:ascii="Times New Roman" w:eastAsia="Arial Unicode MS" w:hAnsi="Times New Roman" w:cs="Times New Roman"/>
          <w:sz w:val="20"/>
          <w:szCs w:val="20"/>
          <w:lang w:val="en-US"/>
        </w:rPr>
        <w:t>https</w:t>
      </w:r>
      <w:r w:rsidRPr="00ED7E81">
        <w:rPr>
          <w:rFonts w:ascii="Times New Roman" w:eastAsia="Arial Unicode MS" w:hAnsi="Times New Roman" w:cs="Times New Roman"/>
          <w:sz w:val="20"/>
          <w:szCs w:val="20"/>
        </w:rPr>
        <w:t>://</w:t>
      </w:r>
      <w:proofErr w:type="spellStart"/>
      <w:r w:rsidRPr="00ED7E81">
        <w:rPr>
          <w:rFonts w:ascii="Times New Roman" w:eastAsia="Arial Unicode MS" w:hAnsi="Times New Roman" w:cs="Times New Roman"/>
          <w:sz w:val="20"/>
          <w:szCs w:val="20"/>
          <w:lang w:val="en-US"/>
        </w:rPr>
        <w:t>wecoop</w:t>
      </w:r>
      <w:proofErr w:type="spellEnd"/>
      <w:r w:rsidRPr="00ED7E81">
        <w:rPr>
          <w:rFonts w:ascii="Times New Roman" w:eastAsia="Arial Unicode MS" w:hAnsi="Times New Roman" w:cs="Times New Roman"/>
          <w:sz w:val="20"/>
          <w:szCs w:val="20"/>
        </w:rPr>
        <w:t>.</w:t>
      </w:r>
      <w:proofErr w:type="spellStart"/>
      <w:r w:rsidRPr="00ED7E81">
        <w:rPr>
          <w:rFonts w:ascii="Times New Roman" w:eastAsia="Arial Unicode MS" w:hAnsi="Times New Roman" w:cs="Times New Roman"/>
          <w:sz w:val="20"/>
          <w:szCs w:val="20"/>
          <w:lang w:val="en-US"/>
        </w:rPr>
        <w:t>eu</w:t>
      </w:r>
      <w:proofErr w:type="spellEnd"/>
      <w:r w:rsidRPr="00ED7E81">
        <w:rPr>
          <w:rFonts w:ascii="Times New Roman" w:eastAsia="Arial Unicode MS" w:hAnsi="Times New Roman" w:cs="Times New Roman"/>
          <w:sz w:val="20"/>
          <w:szCs w:val="20"/>
        </w:rPr>
        <w:t>/</w:t>
      </w:r>
      <w:proofErr w:type="spellStart"/>
      <w:r w:rsidRPr="00ED7E81">
        <w:rPr>
          <w:rFonts w:ascii="Times New Roman" w:eastAsia="Arial Unicode MS" w:hAnsi="Times New Roman" w:cs="Times New Roman"/>
          <w:sz w:val="20"/>
          <w:szCs w:val="20"/>
          <w:lang w:val="en-US"/>
        </w:rPr>
        <w:t>ru</w:t>
      </w:r>
      <w:proofErr w:type="spellEnd"/>
      <w:r w:rsidRPr="00ED7E81">
        <w:rPr>
          <w:rFonts w:ascii="Times New Roman" w:eastAsia="Arial Unicode MS" w:hAnsi="Times New Roman" w:cs="Times New Roman"/>
          <w:sz w:val="20"/>
          <w:szCs w:val="20"/>
        </w:rPr>
        <w:t>/</w:t>
      </w:r>
      <w:r w:rsidRPr="00ED7E81">
        <w:rPr>
          <w:rFonts w:ascii="Times New Roman" w:eastAsia="Arial Unicode MS" w:hAnsi="Times New Roman" w:cs="Times New Roman"/>
          <w:sz w:val="20"/>
          <w:szCs w:val="20"/>
          <w:lang w:val="en-US"/>
        </w:rPr>
        <w:t>regional</w:t>
      </w:r>
      <w:r w:rsidRPr="00ED7E81">
        <w:rPr>
          <w:rFonts w:ascii="Times New Roman" w:eastAsia="Arial Unicode MS" w:hAnsi="Times New Roman" w:cs="Times New Roman"/>
          <w:sz w:val="20"/>
          <w:szCs w:val="20"/>
        </w:rPr>
        <w:t>-</w:t>
      </w:r>
      <w:r w:rsidRPr="00ED7E81">
        <w:rPr>
          <w:rFonts w:ascii="Times New Roman" w:eastAsia="Arial Unicode MS" w:hAnsi="Times New Roman" w:cs="Times New Roman"/>
          <w:sz w:val="20"/>
          <w:szCs w:val="20"/>
          <w:lang w:val="en-US"/>
        </w:rPr>
        <w:t>knowledge</w:t>
      </w:r>
      <w:r w:rsidRPr="00ED7E81">
        <w:rPr>
          <w:rFonts w:ascii="Times New Roman" w:eastAsia="Arial Unicode MS" w:hAnsi="Times New Roman" w:cs="Times New Roman"/>
          <w:sz w:val="20"/>
          <w:szCs w:val="20"/>
        </w:rPr>
        <w:t>-</w:t>
      </w:r>
      <w:proofErr w:type="spellStart"/>
      <w:r w:rsidRPr="00ED7E81">
        <w:rPr>
          <w:rFonts w:ascii="Times New Roman" w:eastAsia="Arial Unicode MS" w:hAnsi="Times New Roman" w:cs="Times New Roman"/>
          <w:sz w:val="20"/>
          <w:szCs w:val="20"/>
          <w:lang w:val="en-US"/>
        </w:rPr>
        <w:t>centre</w:t>
      </w:r>
      <w:proofErr w:type="spellEnd"/>
      <w:r w:rsidRPr="00ED7E81">
        <w:rPr>
          <w:rFonts w:ascii="Times New Roman" w:eastAsia="Arial Unicode MS" w:hAnsi="Times New Roman" w:cs="Times New Roman"/>
          <w:sz w:val="20"/>
          <w:szCs w:val="20"/>
        </w:rPr>
        <w:t>/</w:t>
      </w:r>
      <w:proofErr w:type="spellStart"/>
      <w:r w:rsidRPr="00ED7E81">
        <w:rPr>
          <w:rFonts w:ascii="Times New Roman" w:eastAsia="Arial Unicode MS" w:hAnsi="Times New Roman" w:cs="Times New Roman"/>
          <w:sz w:val="20"/>
          <w:szCs w:val="20"/>
          <w:lang w:val="en-US"/>
        </w:rPr>
        <w:t>eu</w:t>
      </w:r>
      <w:proofErr w:type="spellEnd"/>
      <w:r w:rsidRPr="00ED7E81">
        <w:rPr>
          <w:rFonts w:ascii="Times New Roman" w:eastAsia="Arial Unicode MS" w:hAnsi="Times New Roman" w:cs="Times New Roman"/>
          <w:sz w:val="20"/>
          <w:szCs w:val="20"/>
        </w:rPr>
        <w:t>-</w:t>
      </w:r>
      <w:r w:rsidRPr="00ED7E81">
        <w:rPr>
          <w:rFonts w:ascii="Times New Roman" w:eastAsia="Arial Unicode MS" w:hAnsi="Times New Roman" w:cs="Times New Roman"/>
          <w:sz w:val="20"/>
          <w:szCs w:val="20"/>
          <w:lang w:val="en-US"/>
        </w:rPr>
        <w:t>policies</w:t>
      </w:r>
      <w:r w:rsidRPr="00ED7E81">
        <w:rPr>
          <w:rFonts w:ascii="Times New Roman" w:eastAsia="Arial Unicode MS" w:hAnsi="Times New Roman" w:cs="Times New Roman"/>
          <w:sz w:val="20"/>
          <w:szCs w:val="20"/>
        </w:rPr>
        <w:t>-</w:t>
      </w:r>
      <w:r w:rsidRPr="00ED7E81">
        <w:rPr>
          <w:rFonts w:ascii="Times New Roman" w:eastAsia="Arial Unicode MS" w:hAnsi="Times New Roman" w:cs="Times New Roman"/>
          <w:sz w:val="20"/>
          <w:szCs w:val="20"/>
          <w:lang w:val="en-US"/>
        </w:rPr>
        <w:t>regulations</w:t>
      </w:r>
      <w:r w:rsidRPr="00ED7E81">
        <w:rPr>
          <w:rFonts w:ascii="Times New Roman" w:eastAsia="Arial Unicode MS" w:hAnsi="Times New Roman" w:cs="Times New Roman"/>
          <w:sz w:val="20"/>
          <w:szCs w:val="20"/>
        </w:rPr>
        <w:t>/ (Дата обращения: 06.05.2021)</w:t>
      </w:r>
    </w:p>
  </w:footnote>
  <w:footnote w:id="58">
    <w:p w14:paraId="58E1B097" w14:textId="77777777" w:rsidR="000B5462" w:rsidRPr="00ED7E81" w:rsidRDefault="000B5462" w:rsidP="00ED7E81">
      <w:pPr>
        <w:pStyle w:val="a8"/>
        <w:jc w:val="both"/>
        <w:rPr>
          <w:rFonts w:ascii="Times New Roman" w:hAnsi="Times New Roman" w:cs="Times New Roman"/>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rPr>
        <w:t xml:space="preserve"> </w:t>
      </w:r>
      <w:r w:rsidRPr="00ED7E81">
        <w:rPr>
          <w:rFonts w:ascii="Times New Roman" w:eastAsia="Arial Unicode MS" w:hAnsi="Times New Roman" w:cs="Times New Roman"/>
          <w:sz w:val="20"/>
          <w:szCs w:val="20"/>
          <w:lang w:val="en-US"/>
        </w:rPr>
        <w:t>WECOOP</w:t>
      </w:r>
      <w:r w:rsidRPr="00ED7E81">
        <w:rPr>
          <w:rFonts w:ascii="Times New Roman" w:eastAsia="Arial Unicode MS" w:hAnsi="Times New Roman" w:cs="Times New Roman"/>
          <w:sz w:val="20"/>
          <w:szCs w:val="20"/>
        </w:rPr>
        <w:t xml:space="preserve">. Экологическая политика ЕС [Электронный ресурс] – Режим доступа: </w:t>
      </w:r>
      <w:r w:rsidRPr="00ED7E81">
        <w:rPr>
          <w:rFonts w:ascii="Times New Roman" w:eastAsia="Arial Unicode MS" w:hAnsi="Times New Roman" w:cs="Times New Roman"/>
          <w:sz w:val="20"/>
          <w:szCs w:val="20"/>
          <w:lang w:val="en-US"/>
        </w:rPr>
        <w:t>https</w:t>
      </w:r>
      <w:r w:rsidRPr="00ED7E81">
        <w:rPr>
          <w:rFonts w:ascii="Times New Roman" w:eastAsia="Arial Unicode MS" w:hAnsi="Times New Roman" w:cs="Times New Roman"/>
          <w:sz w:val="20"/>
          <w:szCs w:val="20"/>
        </w:rPr>
        <w:t>://</w:t>
      </w:r>
      <w:proofErr w:type="spellStart"/>
      <w:r w:rsidRPr="00ED7E81">
        <w:rPr>
          <w:rFonts w:ascii="Times New Roman" w:eastAsia="Arial Unicode MS" w:hAnsi="Times New Roman" w:cs="Times New Roman"/>
          <w:sz w:val="20"/>
          <w:szCs w:val="20"/>
          <w:lang w:val="en-US"/>
        </w:rPr>
        <w:t>wecoop</w:t>
      </w:r>
      <w:proofErr w:type="spellEnd"/>
      <w:r w:rsidRPr="00ED7E81">
        <w:rPr>
          <w:rFonts w:ascii="Times New Roman" w:eastAsia="Arial Unicode MS" w:hAnsi="Times New Roman" w:cs="Times New Roman"/>
          <w:sz w:val="20"/>
          <w:szCs w:val="20"/>
        </w:rPr>
        <w:t>.</w:t>
      </w:r>
      <w:proofErr w:type="spellStart"/>
      <w:r w:rsidRPr="00ED7E81">
        <w:rPr>
          <w:rFonts w:ascii="Times New Roman" w:eastAsia="Arial Unicode MS" w:hAnsi="Times New Roman" w:cs="Times New Roman"/>
          <w:sz w:val="20"/>
          <w:szCs w:val="20"/>
          <w:lang w:val="en-US"/>
        </w:rPr>
        <w:t>eu</w:t>
      </w:r>
      <w:proofErr w:type="spellEnd"/>
      <w:r w:rsidRPr="00ED7E81">
        <w:rPr>
          <w:rFonts w:ascii="Times New Roman" w:eastAsia="Arial Unicode MS" w:hAnsi="Times New Roman" w:cs="Times New Roman"/>
          <w:sz w:val="20"/>
          <w:szCs w:val="20"/>
        </w:rPr>
        <w:t>/</w:t>
      </w:r>
      <w:proofErr w:type="spellStart"/>
      <w:r w:rsidRPr="00ED7E81">
        <w:rPr>
          <w:rFonts w:ascii="Times New Roman" w:eastAsia="Arial Unicode MS" w:hAnsi="Times New Roman" w:cs="Times New Roman"/>
          <w:sz w:val="20"/>
          <w:szCs w:val="20"/>
          <w:lang w:val="en-US"/>
        </w:rPr>
        <w:t>ru</w:t>
      </w:r>
      <w:proofErr w:type="spellEnd"/>
      <w:r w:rsidRPr="00ED7E81">
        <w:rPr>
          <w:rFonts w:ascii="Times New Roman" w:eastAsia="Arial Unicode MS" w:hAnsi="Times New Roman" w:cs="Times New Roman"/>
          <w:sz w:val="20"/>
          <w:szCs w:val="20"/>
        </w:rPr>
        <w:t>/</w:t>
      </w:r>
      <w:r w:rsidRPr="00ED7E81">
        <w:rPr>
          <w:rFonts w:ascii="Times New Roman" w:eastAsia="Arial Unicode MS" w:hAnsi="Times New Roman" w:cs="Times New Roman"/>
          <w:sz w:val="20"/>
          <w:szCs w:val="20"/>
          <w:lang w:val="en-US"/>
        </w:rPr>
        <w:t>regional</w:t>
      </w:r>
      <w:r w:rsidRPr="00ED7E81">
        <w:rPr>
          <w:rFonts w:ascii="Times New Roman" w:eastAsia="Arial Unicode MS" w:hAnsi="Times New Roman" w:cs="Times New Roman"/>
          <w:sz w:val="20"/>
          <w:szCs w:val="20"/>
        </w:rPr>
        <w:t>-</w:t>
      </w:r>
      <w:r w:rsidRPr="00ED7E81">
        <w:rPr>
          <w:rFonts w:ascii="Times New Roman" w:eastAsia="Arial Unicode MS" w:hAnsi="Times New Roman" w:cs="Times New Roman"/>
          <w:sz w:val="20"/>
          <w:szCs w:val="20"/>
          <w:lang w:val="en-US"/>
        </w:rPr>
        <w:t>knowledge</w:t>
      </w:r>
      <w:r w:rsidRPr="00ED7E81">
        <w:rPr>
          <w:rFonts w:ascii="Times New Roman" w:eastAsia="Arial Unicode MS" w:hAnsi="Times New Roman" w:cs="Times New Roman"/>
          <w:sz w:val="20"/>
          <w:szCs w:val="20"/>
        </w:rPr>
        <w:t>-</w:t>
      </w:r>
      <w:proofErr w:type="spellStart"/>
      <w:r w:rsidRPr="00ED7E81">
        <w:rPr>
          <w:rFonts w:ascii="Times New Roman" w:eastAsia="Arial Unicode MS" w:hAnsi="Times New Roman" w:cs="Times New Roman"/>
          <w:sz w:val="20"/>
          <w:szCs w:val="20"/>
          <w:lang w:val="en-US"/>
        </w:rPr>
        <w:t>centre</w:t>
      </w:r>
      <w:proofErr w:type="spellEnd"/>
      <w:r w:rsidRPr="00ED7E81">
        <w:rPr>
          <w:rFonts w:ascii="Times New Roman" w:eastAsia="Arial Unicode MS" w:hAnsi="Times New Roman" w:cs="Times New Roman"/>
          <w:sz w:val="20"/>
          <w:szCs w:val="20"/>
        </w:rPr>
        <w:t>/</w:t>
      </w:r>
      <w:proofErr w:type="spellStart"/>
      <w:r w:rsidRPr="00ED7E81">
        <w:rPr>
          <w:rFonts w:ascii="Times New Roman" w:eastAsia="Arial Unicode MS" w:hAnsi="Times New Roman" w:cs="Times New Roman"/>
          <w:sz w:val="20"/>
          <w:szCs w:val="20"/>
          <w:lang w:val="en-US"/>
        </w:rPr>
        <w:t>eu</w:t>
      </w:r>
      <w:proofErr w:type="spellEnd"/>
      <w:r w:rsidRPr="00ED7E81">
        <w:rPr>
          <w:rFonts w:ascii="Times New Roman" w:eastAsia="Arial Unicode MS" w:hAnsi="Times New Roman" w:cs="Times New Roman"/>
          <w:sz w:val="20"/>
          <w:szCs w:val="20"/>
        </w:rPr>
        <w:t>-</w:t>
      </w:r>
      <w:r w:rsidRPr="00ED7E81">
        <w:rPr>
          <w:rFonts w:ascii="Times New Roman" w:eastAsia="Arial Unicode MS" w:hAnsi="Times New Roman" w:cs="Times New Roman"/>
          <w:sz w:val="20"/>
          <w:szCs w:val="20"/>
          <w:lang w:val="en-US"/>
        </w:rPr>
        <w:t>policies</w:t>
      </w:r>
      <w:r w:rsidRPr="00ED7E81">
        <w:rPr>
          <w:rFonts w:ascii="Times New Roman" w:eastAsia="Arial Unicode MS" w:hAnsi="Times New Roman" w:cs="Times New Roman"/>
          <w:sz w:val="20"/>
          <w:szCs w:val="20"/>
        </w:rPr>
        <w:t>-</w:t>
      </w:r>
      <w:r w:rsidRPr="00ED7E81">
        <w:rPr>
          <w:rFonts w:ascii="Times New Roman" w:eastAsia="Arial Unicode MS" w:hAnsi="Times New Roman" w:cs="Times New Roman"/>
          <w:sz w:val="20"/>
          <w:szCs w:val="20"/>
          <w:lang w:val="en-US"/>
        </w:rPr>
        <w:t>regulations</w:t>
      </w:r>
      <w:r w:rsidRPr="00ED7E81">
        <w:rPr>
          <w:rFonts w:ascii="Times New Roman" w:eastAsia="Arial Unicode MS" w:hAnsi="Times New Roman" w:cs="Times New Roman"/>
          <w:sz w:val="20"/>
          <w:szCs w:val="20"/>
        </w:rPr>
        <w:t>/ (Дата обращения: 06.05.2021)</w:t>
      </w:r>
    </w:p>
  </w:footnote>
  <w:footnote w:id="59">
    <w:p w14:paraId="65406C91" w14:textId="77777777" w:rsidR="000B5462" w:rsidRPr="00CA78BD" w:rsidRDefault="000B5462" w:rsidP="00ED7E81">
      <w:pPr>
        <w:pStyle w:val="a9"/>
        <w:jc w:val="both"/>
        <w:rPr>
          <w:rFonts w:ascii="Times" w:hAnsi="Times"/>
          <w:lang w:val="en-US"/>
        </w:rPr>
      </w:pPr>
      <w:r w:rsidRPr="00ED7E81">
        <w:rPr>
          <w:rStyle w:val="ab"/>
          <w:rFonts w:ascii="Times New Roman" w:hAnsi="Times New Roman" w:cs="Times New Roman"/>
        </w:rPr>
        <w:footnoteRef/>
      </w:r>
      <w:r w:rsidRPr="00ED7E81">
        <w:rPr>
          <w:rFonts w:ascii="Times New Roman" w:hAnsi="Times New Roman" w:cs="Times New Roman"/>
          <w:lang w:val="en-US"/>
        </w:rPr>
        <w:t xml:space="preserve"> </w:t>
      </w:r>
      <w:proofErr w:type="spellStart"/>
      <w:r w:rsidRPr="00ED7E81">
        <w:rPr>
          <w:rFonts w:ascii="Times New Roman" w:hAnsi="Times New Roman" w:cs="Times New Roman"/>
          <w:lang w:val="en-US"/>
        </w:rPr>
        <w:t>Abnett</w:t>
      </w:r>
      <w:proofErr w:type="spellEnd"/>
      <w:r w:rsidRPr="00ED7E81">
        <w:rPr>
          <w:rFonts w:ascii="Times New Roman" w:hAnsi="Times New Roman" w:cs="Times New Roman"/>
          <w:lang w:val="en-US"/>
        </w:rPr>
        <w:t>, K., Jessop, S. Gas and nuclear industries fight to the end for 'green' EU investment label // Reuters, 2020 // URL: https://www.reuters.com/article/us-europe-finance-lobbying-analysis-idUSKBN25L0GA (</w:t>
      </w:r>
      <w:r w:rsidRPr="00ED7E81">
        <w:rPr>
          <w:rFonts w:ascii="Times New Roman" w:hAnsi="Times New Roman" w:cs="Times New Roman"/>
        </w:rPr>
        <w:t>Дата</w:t>
      </w:r>
      <w:r w:rsidRPr="00ED7E81">
        <w:rPr>
          <w:rFonts w:ascii="Times New Roman" w:hAnsi="Times New Roman" w:cs="Times New Roman"/>
          <w:lang w:val="en-US"/>
        </w:rPr>
        <w:t xml:space="preserve"> </w:t>
      </w:r>
      <w:r w:rsidRPr="00ED7E81">
        <w:rPr>
          <w:rFonts w:ascii="Times New Roman" w:hAnsi="Times New Roman" w:cs="Times New Roman"/>
        </w:rPr>
        <w:t>обращения</w:t>
      </w:r>
      <w:r w:rsidRPr="00ED7E81">
        <w:rPr>
          <w:rFonts w:ascii="Times New Roman" w:hAnsi="Times New Roman" w:cs="Times New Roman"/>
          <w:lang w:val="en-US"/>
        </w:rPr>
        <w:t>: 05.05.2021)</w:t>
      </w:r>
    </w:p>
  </w:footnote>
  <w:footnote w:id="60">
    <w:p w14:paraId="7391DD1A" w14:textId="77777777" w:rsidR="000B5462" w:rsidRPr="00ED7E81" w:rsidRDefault="000B5462" w:rsidP="000D45FA">
      <w:pPr>
        <w:pStyle w:val="a8"/>
        <w:jc w:val="both"/>
        <w:rPr>
          <w:rFonts w:ascii="Times New Roman" w:hAnsi="Times New Roman" w:cs="Times New Roman"/>
          <w:sz w:val="20"/>
          <w:szCs w:val="20"/>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proofErr w:type="spellStart"/>
      <w:r w:rsidRPr="00ED7E81">
        <w:rPr>
          <w:rFonts w:ascii="Times New Roman" w:hAnsi="Times New Roman" w:cs="Times New Roman"/>
          <w:sz w:val="20"/>
          <w:szCs w:val="20"/>
          <w:lang w:val="en-US"/>
        </w:rPr>
        <w:t>Abnett</w:t>
      </w:r>
      <w:proofErr w:type="spellEnd"/>
      <w:r w:rsidRPr="00ED7E81">
        <w:rPr>
          <w:rFonts w:ascii="Times New Roman" w:hAnsi="Times New Roman" w:cs="Times New Roman"/>
          <w:sz w:val="20"/>
          <w:szCs w:val="20"/>
          <w:lang w:val="en-US"/>
        </w:rPr>
        <w:t>, K., Jessop, S. Gas and nuclear industries fight to the end for 'green' EU investment label // Reuters, 2020 // URL: https://www.reuters.com/article/us-europe-finance-lobbying-analysis-idUSKBN25L0GA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05.05.2021)</w:t>
      </w:r>
    </w:p>
  </w:footnote>
  <w:footnote w:id="61">
    <w:p w14:paraId="3DDC13E6" w14:textId="77777777" w:rsidR="000B5462" w:rsidRPr="00ED7E81" w:rsidRDefault="000B5462" w:rsidP="000D45FA">
      <w:pPr>
        <w:pStyle w:val="a8"/>
        <w:jc w:val="both"/>
        <w:rPr>
          <w:rFonts w:ascii="Times New Roman" w:hAnsi="Times New Roman" w:cs="Times New Roman"/>
          <w:sz w:val="20"/>
          <w:szCs w:val="20"/>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proofErr w:type="spellStart"/>
      <w:r w:rsidRPr="00ED7E81">
        <w:rPr>
          <w:rFonts w:ascii="Times New Roman" w:hAnsi="Times New Roman" w:cs="Times New Roman"/>
          <w:sz w:val="20"/>
          <w:szCs w:val="20"/>
          <w:lang w:val="en-US"/>
        </w:rPr>
        <w:t>Wetzels</w:t>
      </w:r>
      <w:proofErr w:type="spellEnd"/>
      <w:r w:rsidRPr="00ED7E81">
        <w:rPr>
          <w:rFonts w:ascii="Times New Roman" w:hAnsi="Times New Roman" w:cs="Times New Roman"/>
          <w:sz w:val="20"/>
          <w:szCs w:val="20"/>
          <w:lang w:val="en-US"/>
        </w:rPr>
        <w:t xml:space="preserve">, H. How the agricultural lobby is sabotaging Europe’s Green Deal // Open Democracy, 2020 // </w:t>
      </w:r>
      <w:proofErr w:type="gramStart"/>
      <w:r w:rsidRPr="00ED7E81">
        <w:rPr>
          <w:rFonts w:ascii="Times New Roman" w:hAnsi="Times New Roman" w:cs="Times New Roman"/>
          <w:sz w:val="20"/>
          <w:szCs w:val="20"/>
          <w:lang w:val="en-US"/>
        </w:rPr>
        <w:t>URL:https://www.opendemocracy.net/en/oureconomy/how-the-agricultural-lobby-is-sabotaging-europes-green-deal/</w:t>
      </w:r>
      <w:proofErr w:type="gramEnd"/>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05.05.2021)</w:t>
      </w:r>
    </w:p>
  </w:footnote>
  <w:footnote w:id="62">
    <w:p w14:paraId="3EF4364C" w14:textId="77777777" w:rsidR="000B5462" w:rsidRPr="00CA78BD" w:rsidRDefault="000B5462" w:rsidP="000D45FA">
      <w:pPr>
        <w:pStyle w:val="a8"/>
        <w:jc w:val="both"/>
        <w:rPr>
          <w:rFonts w:ascii="Times" w:hAnsi="Times"/>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Там</w:t>
      </w:r>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же</w:t>
      </w:r>
    </w:p>
  </w:footnote>
  <w:footnote w:id="63">
    <w:p w14:paraId="39D3CFFC" w14:textId="77777777" w:rsidR="000B5462" w:rsidRPr="00ED7E81" w:rsidRDefault="000B5462" w:rsidP="000D45FA">
      <w:pPr>
        <w:pStyle w:val="a8"/>
        <w:jc w:val="both"/>
        <w:rPr>
          <w:rFonts w:ascii="Times New Roman" w:hAnsi="Times New Roman" w:cs="Times New Roman"/>
          <w:sz w:val="20"/>
          <w:szCs w:val="20"/>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proofErr w:type="spellStart"/>
      <w:r w:rsidRPr="00ED7E81">
        <w:rPr>
          <w:rFonts w:ascii="Times New Roman" w:hAnsi="Times New Roman" w:cs="Times New Roman"/>
          <w:sz w:val="20"/>
          <w:szCs w:val="20"/>
          <w:lang w:val="en-US"/>
        </w:rPr>
        <w:t>Wetzels</w:t>
      </w:r>
      <w:proofErr w:type="spellEnd"/>
      <w:r w:rsidRPr="00ED7E81">
        <w:rPr>
          <w:rFonts w:ascii="Times New Roman" w:hAnsi="Times New Roman" w:cs="Times New Roman"/>
          <w:sz w:val="20"/>
          <w:szCs w:val="20"/>
          <w:lang w:val="en-US"/>
        </w:rPr>
        <w:t xml:space="preserve">, H. How the agricultural lobby is sabotaging Europe’s Green Deal // Open Democracy, 2020 // </w:t>
      </w:r>
      <w:proofErr w:type="gramStart"/>
      <w:r w:rsidRPr="00ED7E81">
        <w:rPr>
          <w:rFonts w:ascii="Times New Roman" w:hAnsi="Times New Roman" w:cs="Times New Roman"/>
          <w:sz w:val="20"/>
          <w:szCs w:val="20"/>
          <w:lang w:val="en-US"/>
        </w:rPr>
        <w:t>URL:https://www.opendemocracy.net/en/oureconomy/how-the-agricultural-lobby-is-sabotaging-europes-green-deal/</w:t>
      </w:r>
      <w:proofErr w:type="gramEnd"/>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05.05.2021)</w:t>
      </w:r>
    </w:p>
  </w:footnote>
  <w:footnote w:id="64">
    <w:p w14:paraId="0DDED03D" w14:textId="77777777" w:rsidR="000B5462" w:rsidRPr="00ED7E81" w:rsidRDefault="000B5462" w:rsidP="00D60629">
      <w:pPr>
        <w:pStyle w:val="a8"/>
        <w:jc w:val="both"/>
        <w:rPr>
          <w:rFonts w:ascii="Times New Roman" w:hAnsi="Times New Roman" w:cs="Times New Roman"/>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Там</w:t>
      </w:r>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же</w:t>
      </w:r>
    </w:p>
  </w:footnote>
  <w:footnote w:id="65">
    <w:p w14:paraId="37E777E5" w14:textId="6047545A" w:rsidR="000B5462" w:rsidRPr="00ED7E81" w:rsidRDefault="000B5462" w:rsidP="00D60629">
      <w:pPr>
        <w:pStyle w:val="a8"/>
        <w:jc w:val="both"/>
        <w:rPr>
          <w:rFonts w:ascii="Times New Roman" w:hAnsi="Times New Roman" w:cs="Times New Roman"/>
          <w:sz w:val="20"/>
          <w:szCs w:val="20"/>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00ED7E81" w:rsidRPr="00ED7E81">
        <w:rPr>
          <w:rFonts w:ascii="Times New Roman" w:hAnsi="Times New Roman" w:cs="Times New Roman"/>
          <w:sz w:val="20"/>
          <w:szCs w:val="20"/>
        </w:rPr>
        <w:t>Там же</w:t>
      </w:r>
    </w:p>
  </w:footnote>
  <w:footnote w:id="66">
    <w:p w14:paraId="45EF6DD3" w14:textId="77777777" w:rsidR="000B5462" w:rsidRPr="00ED7E81" w:rsidRDefault="000B5462" w:rsidP="00D60629">
      <w:pPr>
        <w:pStyle w:val="a8"/>
        <w:jc w:val="both"/>
        <w:rPr>
          <w:rFonts w:ascii="Times New Roman" w:hAnsi="Times New Roman" w:cs="Times New Roman"/>
          <w:sz w:val="20"/>
          <w:szCs w:val="20"/>
          <w:lang w:val="en-US"/>
        </w:rPr>
      </w:pPr>
      <w:r w:rsidRPr="00ED7E81">
        <w:rPr>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proofErr w:type="spellStart"/>
      <w:r w:rsidRPr="00ED7E81">
        <w:rPr>
          <w:rFonts w:ascii="Times New Roman" w:hAnsi="Times New Roman" w:cs="Times New Roman"/>
          <w:sz w:val="20"/>
          <w:szCs w:val="20"/>
          <w:lang w:val="en-US"/>
        </w:rPr>
        <w:t>Giegold</w:t>
      </w:r>
      <w:proofErr w:type="spellEnd"/>
      <w:r w:rsidRPr="00ED7E81">
        <w:rPr>
          <w:rFonts w:ascii="Times New Roman" w:hAnsi="Times New Roman" w:cs="Times New Roman"/>
          <w:sz w:val="20"/>
          <w:szCs w:val="20"/>
          <w:lang w:val="en-US"/>
        </w:rPr>
        <w:t>, S. European Green Deal: Lobbyists try to water down a sustainable way out of the Corona crisis // The Greens/EFA, 2020 // URL: https://sven-giegold.de/en/green-deal-lobbyists-water-down/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05.05.2021)</w:t>
      </w:r>
    </w:p>
  </w:footnote>
  <w:footnote w:id="67">
    <w:p w14:paraId="0D550522" w14:textId="77777777" w:rsidR="000B5462" w:rsidRPr="00ED7E81" w:rsidRDefault="000B5462" w:rsidP="00D60629">
      <w:pPr>
        <w:pStyle w:val="a8"/>
        <w:jc w:val="both"/>
        <w:rPr>
          <w:rFonts w:ascii="Times New Roman" w:hAnsi="Times New Roman" w:cs="Times New Roman"/>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proofErr w:type="spellStart"/>
      <w:r w:rsidRPr="00ED7E81">
        <w:rPr>
          <w:rFonts w:ascii="Times New Roman" w:hAnsi="Times New Roman" w:cs="Times New Roman"/>
          <w:sz w:val="20"/>
          <w:szCs w:val="20"/>
          <w:lang w:val="en-US"/>
        </w:rPr>
        <w:t>BusinessEurope</w:t>
      </w:r>
      <w:proofErr w:type="spellEnd"/>
      <w:r w:rsidRPr="00ED7E81">
        <w:rPr>
          <w:rFonts w:ascii="Times New Roman" w:hAnsi="Times New Roman" w:cs="Times New Roman"/>
          <w:sz w:val="20"/>
          <w:szCs w:val="20"/>
          <w:lang w:val="en-US"/>
        </w:rPr>
        <w:t>, open letter. // URL: https://www.businesseurope.eu/publications/over coming-covid-19-crisis-and-focussing-essential-message-members-european-council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02.05.2021)</w:t>
      </w:r>
    </w:p>
  </w:footnote>
  <w:footnote w:id="68">
    <w:p w14:paraId="11B295CA" w14:textId="77777777" w:rsidR="000B5462" w:rsidRPr="00ED7E81" w:rsidRDefault="000B5462" w:rsidP="00D60629">
      <w:pPr>
        <w:pStyle w:val="a8"/>
        <w:jc w:val="both"/>
        <w:rPr>
          <w:rFonts w:ascii="Times New Roman" w:hAnsi="Times New Roman" w:cs="Times New Roman"/>
          <w:sz w:val="20"/>
          <w:szCs w:val="20"/>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hAnsi="Times New Roman" w:cs="Times New Roman"/>
          <w:sz w:val="20"/>
          <w:szCs w:val="20"/>
          <w:lang w:val="en-US"/>
        </w:rPr>
        <w:t>ACEA, open letter. // URL: https://www.acea.be/news/article/covid-19-auto-sector-letter-to-von-der-leyen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02.05.2021)</w:t>
      </w:r>
    </w:p>
  </w:footnote>
  <w:footnote w:id="69">
    <w:p w14:paraId="0B290ED9" w14:textId="77777777" w:rsidR="000B5462" w:rsidRPr="00CA78BD" w:rsidRDefault="000B5462" w:rsidP="00D60629">
      <w:pPr>
        <w:pStyle w:val="a8"/>
        <w:jc w:val="both"/>
        <w:rPr>
          <w:rFonts w:ascii="Times" w:hAnsi="Times"/>
          <w:sz w:val="20"/>
          <w:szCs w:val="20"/>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hAnsi="Times New Roman" w:cs="Times New Roman"/>
          <w:sz w:val="20"/>
          <w:szCs w:val="20"/>
          <w:lang w:val="en-US"/>
        </w:rPr>
        <w:t>A4E, open letter. // URL: https://a4e.eu/publications/european-governments-must-act-now-to-reduce-covid-19-impact-on-aviation/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02.05.2021)</w:t>
      </w:r>
    </w:p>
  </w:footnote>
  <w:footnote w:id="70">
    <w:p w14:paraId="412B519B" w14:textId="77777777" w:rsidR="000B5462" w:rsidRPr="00ED7E81" w:rsidRDefault="000B5462" w:rsidP="00D60629">
      <w:pPr>
        <w:pStyle w:val="a8"/>
        <w:jc w:val="both"/>
        <w:rPr>
          <w:rFonts w:ascii="Times New Roman" w:hAnsi="Times New Roman" w:cs="Times New Roman"/>
          <w:sz w:val="20"/>
          <w:szCs w:val="20"/>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hAnsi="Times New Roman" w:cs="Times New Roman"/>
          <w:sz w:val="20"/>
          <w:szCs w:val="20"/>
          <w:lang w:val="en-US"/>
        </w:rPr>
        <w:t>ECSA, open letter. // URL: https://www.ecsa.eu/news/ecsa-european-green-deal-must-take-account-devastating-impact-covid-19-pandemic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02.05.2021)</w:t>
      </w:r>
    </w:p>
  </w:footnote>
  <w:footnote w:id="71">
    <w:p w14:paraId="35E678AF" w14:textId="77777777" w:rsidR="000B5462" w:rsidRPr="00ED7E81" w:rsidRDefault="000B5462" w:rsidP="00D60629">
      <w:pPr>
        <w:pStyle w:val="a8"/>
        <w:jc w:val="both"/>
        <w:rPr>
          <w:rFonts w:ascii="Times New Roman" w:hAnsi="Times New Roman" w:cs="Times New Roman"/>
          <w:sz w:val="20"/>
          <w:szCs w:val="20"/>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hAnsi="Times New Roman" w:cs="Times New Roman"/>
          <w:sz w:val="20"/>
          <w:szCs w:val="20"/>
          <w:lang w:val="en-US"/>
        </w:rPr>
        <w:t xml:space="preserve">EU sticks to carbon reporting deadlines, rejects industry calls for coronavirus delay // </w:t>
      </w:r>
      <w:proofErr w:type="spellStart"/>
      <w:r w:rsidRPr="00ED7E81">
        <w:rPr>
          <w:rFonts w:ascii="Times New Roman" w:hAnsi="Times New Roman" w:cs="Times New Roman"/>
          <w:sz w:val="20"/>
          <w:szCs w:val="20"/>
          <w:lang w:val="en-US"/>
        </w:rPr>
        <w:t>Euractiv</w:t>
      </w:r>
      <w:proofErr w:type="spellEnd"/>
      <w:r w:rsidRPr="00ED7E81">
        <w:rPr>
          <w:rFonts w:ascii="Times New Roman" w:hAnsi="Times New Roman" w:cs="Times New Roman"/>
          <w:sz w:val="20"/>
          <w:szCs w:val="20"/>
          <w:lang w:val="en-US"/>
        </w:rPr>
        <w:t xml:space="preserve"> // URL: https://www.euractiv.com/section/emissions-trading-scheme/news/eu-sticks-to-carbon-reporting-deadlines-rejects-industry-calls-for-coronavirus-delay/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05.05.2021)</w:t>
      </w:r>
    </w:p>
  </w:footnote>
  <w:footnote w:id="72">
    <w:p w14:paraId="65B08F17" w14:textId="77777777" w:rsidR="000B5462" w:rsidRPr="00CA78BD" w:rsidRDefault="000B5462" w:rsidP="00EA064B">
      <w:pPr>
        <w:pStyle w:val="a8"/>
        <w:jc w:val="both"/>
        <w:rPr>
          <w:rFonts w:ascii="Times" w:hAnsi="Times" w:cs="Times New Roman"/>
          <w:sz w:val="20"/>
          <w:szCs w:val="20"/>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proofErr w:type="spellStart"/>
      <w:r w:rsidRPr="00ED7E81">
        <w:rPr>
          <w:rFonts w:ascii="Times New Roman" w:hAnsi="Times New Roman" w:cs="Times New Roman"/>
          <w:sz w:val="20"/>
          <w:szCs w:val="20"/>
          <w:lang w:val="en-US"/>
        </w:rPr>
        <w:t>EuPC</w:t>
      </w:r>
      <w:proofErr w:type="spellEnd"/>
      <w:r w:rsidRPr="00ED7E81">
        <w:rPr>
          <w:rFonts w:ascii="Times New Roman" w:hAnsi="Times New Roman" w:cs="Times New Roman"/>
          <w:sz w:val="20"/>
          <w:szCs w:val="20"/>
          <w:lang w:val="en-US"/>
        </w:rPr>
        <w:t>, open letter. // URL: https://sven-giegold.de/wp-content/uploads/2020/04/ EuPC_Corona_Single-Use-Plastics.pdf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02.05.2021)</w:t>
      </w:r>
    </w:p>
  </w:footnote>
  <w:footnote w:id="73">
    <w:p w14:paraId="416E4411" w14:textId="77777777" w:rsidR="000B5462" w:rsidRPr="00ED7E81" w:rsidRDefault="000B5462" w:rsidP="00ED7E81">
      <w:pPr>
        <w:pStyle w:val="a8"/>
        <w:jc w:val="both"/>
        <w:rPr>
          <w:rFonts w:ascii="Times New Roman" w:hAnsi="Times New Roman" w:cs="Times New Roman"/>
          <w:sz w:val="20"/>
          <w:szCs w:val="20"/>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proofErr w:type="spellStart"/>
      <w:r w:rsidRPr="00ED7E81">
        <w:rPr>
          <w:rFonts w:ascii="Times New Roman" w:hAnsi="Times New Roman" w:cs="Times New Roman"/>
          <w:sz w:val="20"/>
          <w:szCs w:val="20"/>
          <w:lang w:val="en-US"/>
        </w:rPr>
        <w:t>Eurocommerce</w:t>
      </w:r>
      <w:proofErr w:type="spellEnd"/>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и</w:t>
      </w:r>
      <w:r w:rsidRPr="00ED7E81">
        <w:rPr>
          <w:rFonts w:ascii="Times New Roman" w:hAnsi="Times New Roman" w:cs="Times New Roman"/>
          <w:sz w:val="20"/>
          <w:szCs w:val="20"/>
          <w:lang w:val="en-US"/>
        </w:rPr>
        <w:t xml:space="preserve"> IRE, open letter. // URL: https://www.eurocommerce.eu/media/ 175017/Joint%20letter%20EC%20IRE%20to%20Commissioner%20Sefcovic.pdf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02.05.2021)</w:t>
      </w:r>
    </w:p>
  </w:footnote>
  <w:footnote w:id="74">
    <w:p w14:paraId="3E360A6E" w14:textId="77777777" w:rsidR="000B5462" w:rsidRPr="00ED7E81" w:rsidRDefault="000B5462" w:rsidP="00ED7E81">
      <w:pPr>
        <w:pStyle w:val="a8"/>
        <w:jc w:val="both"/>
        <w:rPr>
          <w:rFonts w:ascii="Times New Roman" w:hAnsi="Times New Roman" w:cs="Times New Roman"/>
          <w:sz w:val="20"/>
          <w:szCs w:val="20"/>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hAnsi="Times New Roman" w:cs="Times New Roman"/>
          <w:sz w:val="20"/>
          <w:szCs w:val="20"/>
          <w:lang w:val="en-US"/>
        </w:rPr>
        <w:t>BDI, open letter. // URL: https://echa.europa.eu/documents/10162/28801697/bdi_letter_ to_echa_during_covid_en.pdf/5d04a4b9-724f-68d9-c7ba-11111d69ee3d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02.05.2021)</w:t>
      </w:r>
    </w:p>
  </w:footnote>
  <w:footnote w:id="75">
    <w:p w14:paraId="3A3AF807" w14:textId="77777777" w:rsidR="000B5462" w:rsidRPr="00ED7E81" w:rsidRDefault="000B5462" w:rsidP="00ED7E81">
      <w:pPr>
        <w:pStyle w:val="a8"/>
        <w:jc w:val="both"/>
        <w:rPr>
          <w:rFonts w:ascii="Times New Roman" w:eastAsia="Arial Unicode MS" w:hAnsi="Times New Roman" w:cs="Times New Roman"/>
          <w:sz w:val="20"/>
          <w:szCs w:val="20"/>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hAnsi="Times New Roman" w:cs="Times New Roman"/>
          <w:sz w:val="20"/>
          <w:szCs w:val="20"/>
          <w:lang w:val="en-US"/>
        </w:rPr>
        <w:t>European Parliament, open letter. // URL: https://sven-giegold.de/wp-content/uploads/2020/04/ECR-letter-Green-Deal-Corona.pdf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02.05.2021)</w:t>
      </w:r>
    </w:p>
  </w:footnote>
  <w:footnote w:id="76">
    <w:p w14:paraId="0349E4C3" w14:textId="77777777" w:rsidR="000B5462" w:rsidRPr="00CA78BD" w:rsidRDefault="000B5462" w:rsidP="00ED7E81">
      <w:pPr>
        <w:pStyle w:val="a8"/>
        <w:jc w:val="both"/>
        <w:rPr>
          <w:rFonts w:ascii="Times" w:hAnsi="Times"/>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hAnsi="Times New Roman" w:cs="Times New Roman"/>
          <w:sz w:val="20"/>
          <w:szCs w:val="20"/>
          <w:lang w:val="en-US"/>
        </w:rPr>
        <w:t xml:space="preserve">EU should scrap emissions trading scheme, polish official says // </w:t>
      </w:r>
      <w:proofErr w:type="spellStart"/>
      <w:r w:rsidRPr="00ED7E81">
        <w:rPr>
          <w:rFonts w:ascii="Times New Roman" w:hAnsi="Times New Roman" w:cs="Times New Roman"/>
          <w:sz w:val="20"/>
          <w:szCs w:val="20"/>
          <w:lang w:val="en-US"/>
        </w:rPr>
        <w:t>Euractiv</w:t>
      </w:r>
      <w:proofErr w:type="spellEnd"/>
      <w:r w:rsidRPr="00ED7E81">
        <w:rPr>
          <w:rFonts w:ascii="Times New Roman" w:hAnsi="Times New Roman" w:cs="Times New Roman"/>
          <w:sz w:val="20"/>
          <w:szCs w:val="20"/>
          <w:lang w:val="en-US"/>
        </w:rPr>
        <w:t xml:space="preserve"> // URL: https://www.euractiv.com/section/emissions-trading-scheme/news/eu-should-scrap-emissions-trading-scheme-polish-official-says/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05.05.2021)</w:t>
      </w:r>
    </w:p>
  </w:footnote>
  <w:footnote w:id="77">
    <w:p w14:paraId="44D9B381" w14:textId="77777777" w:rsidR="000B5462" w:rsidRPr="00ED7E81" w:rsidRDefault="000B5462" w:rsidP="00EA064B">
      <w:pPr>
        <w:pStyle w:val="a8"/>
        <w:jc w:val="both"/>
        <w:rPr>
          <w:rFonts w:ascii="Times New Roman" w:hAnsi="Times New Roman" w:cs="Times New Roman"/>
          <w:sz w:val="20"/>
          <w:szCs w:val="20"/>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hAnsi="Times New Roman" w:cs="Times New Roman"/>
          <w:sz w:val="20"/>
          <w:szCs w:val="20"/>
          <w:lang w:val="en-US"/>
        </w:rPr>
        <w:t xml:space="preserve">Czech pm urges EU to ditch green deal aimed virus // </w:t>
      </w:r>
      <w:proofErr w:type="spellStart"/>
      <w:r w:rsidRPr="00ED7E81">
        <w:rPr>
          <w:rFonts w:ascii="Times New Roman" w:hAnsi="Times New Roman" w:cs="Times New Roman"/>
          <w:sz w:val="20"/>
          <w:szCs w:val="20"/>
          <w:lang w:val="en-US"/>
        </w:rPr>
        <w:t>Euractiv</w:t>
      </w:r>
      <w:proofErr w:type="spellEnd"/>
      <w:r w:rsidRPr="00ED7E81">
        <w:rPr>
          <w:rFonts w:ascii="Times New Roman" w:hAnsi="Times New Roman" w:cs="Times New Roman"/>
          <w:sz w:val="20"/>
          <w:szCs w:val="20"/>
          <w:lang w:val="en-US"/>
        </w:rPr>
        <w:t xml:space="preserve"> // URL: https://www.euractiv.com/section/energy-environment/news/czech-pm-urges-eu-to-ditch-green-deal-amid-virus/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05.05.2021)</w:t>
      </w:r>
    </w:p>
  </w:footnote>
  <w:footnote w:id="78">
    <w:p w14:paraId="6EC82B36" w14:textId="77777777" w:rsidR="000B5462" w:rsidRPr="00ED7E81" w:rsidRDefault="000B5462" w:rsidP="00EA064B">
      <w:pPr>
        <w:pStyle w:val="a8"/>
        <w:jc w:val="both"/>
        <w:rPr>
          <w:rFonts w:ascii="Times New Roman" w:hAnsi="Times New Roman" w:cs="Times New Roman"/>
          <w:sz w:val="20"/>
          <w:szCs w:val="20"/>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hAnsi="Times New Roman" w:cs="Times New Roman"/>
          <w:sz w:val="20"/>
          <w:szCs w:val="20"/>
          <w:lang w:val="en-US"/>
        </w:rPr>
        <w:t>Lyon, T., Delmas, M. When corporations take credit for green deeds their lobbying may tell another story // The conversation, 2018 // URL: https://theconversation.com/when-corporations-take-credit-for-green-deeds-their-lobbying-may-tell-another-story-98988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05.05.2021)</w:t>
      </w:r>
    </w:p>
  </w:footnote>
  <w:footnote w:id="79">
    <w:p w14:paraId="102EB52D" w14:textId="77777777" w:rsidR="000B5462" w:rsidRPr="00CA78BD" w:rsidRDefault="000B5462" w:rsidP="00EA064B">
      <w:pPr>
        <w:pStyle w:val="a8"/>
        <w:jc w:val="both"/>
        <w:rPr>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Там</w:t>
      </w:r>
      <w:r w:rsidRPr="00ED7E81">
        <w:rPr>
          <w:rFonts w:ascii="Times New Roman" w:eastAsia="Arial Unicode MS" w:hAnsi="Times New Roman" w:cs="Times New Roman"/>
          <w:sz w:val="20"/>
          <w:szCs w:val="20"/>
          <w:lang w:val="en-US"/>
        </w:rPr>
        <w:t xml:space="preserve"> </w:t>
      </w:r>
      <w:r w:rsidRPr="00ED7E81">
        <w:rPr>
          <w:rFonts w:ascii="Times New Roman" w:eastAsia="Arial Unicode MS" w:hAnsi="Times New Roman" w:cs="Times New Roman"/>
          <w:sz w:val="20"/>
          <w:szCs w:val="20"/>
        </w:rPr>
        <w:t>же</w:t>
      </w:r>
    </w:p>
  </w:footnote>
  <w:footnote w:id="80">
    <w:p w14:paraId="6AE92AE1" w14:textId="77777777" w:rsidR="000B5462" w:rsidRPr="00ED7E81" w:rsidRDefault="000B5462" w:rsidP="00EA064B">
      <w:pPr>
        <w:pStyle w:val="a8"/>
        <w:jc w:val="both"/>
        <w:rPr>
          <w:rFonts w:ascii="Times New Roman" w:hAnsi="Times New Roman" w:cs="Times New Roman"/>
          <w:sz w:val="20"/>
          <w:szCs w:val="20"/>
          <w:lang w:val="en-US"/>
        </w:rPr>
      </w:pPr>
      <w:r w:rsidRPr="00ED7E81">
        <w:rPr>
          <w:rStyle w:val="af2"/>
          <w:rFonts w:ascii="Times New Roman" w:hAnsi="Times New Roman" w:cs="Times New Roman"/>
          <w:sz w:val="20"/>
          <w:szCs w:val="20"/>
          <w:vertAlign w:val="superscript"/>
        </w:rPr>
        <w:footnoteRef/>
      </w:r>
      <w:r w:rsidRPr="00ED7E81">
        <w:rPr>
          <w:rFonts w:ascii="Times New Roman" w:eastAsia="Arial Unicode MS" w:hAnsi="Times New Roman" w:cs="Times New Roman"/>
          <w:sz w:val="20"/>
          <w:szCs w:val="20"/>
          <w:lang w:val="en-US"/>
        </w:rPr>
        <w:t xml:space="preserve"> </w:t>
      </w:r>
      <w:proofErr w:type="spellStart"/>
      <w:r w:rsidRPr="00ED7E81">
        <w:rPr>
          <w:rFonts w:ascii="Times New Roman" w:hAnsi="Times New Roman" w:cs="Times New Roman"/>
          <w:sz w:val="20"/>
          <w:szCs w:val="20"/>
          <w:lang w:val="en-US"/>
        </w:rPr>
        <w:t>Balanyá</w:t>
      </w:r>
      <w:proofErr w:type="spellEnd"/>
      <w:r w:rsidRPr="00ED7E81">
        <w:rPr>
          <w:rFonts w:ascii="Times New Roman" w:hAnsi="Times New Roman" w:cs="Times New Roman"/>
          <w:sz w:val="20"/>
          <w:szCs w:val="20"/>
          <w:lang w:val="en-US"/>
        </w:rPr>
        <w:t>, B. How the fossil fuel lobby is hijacking the European Green Deal // Open Democracy, 2020 // URL: https://www.opendemocracy.net/en/oureconomy/how-fossil-fuel-lobby-hijacking-european-green-deal/ (</w:t>
      </w:r>
      <w:r w:rsidRPr="00ED7E81">
        <w:rPr>
          <w:rFonts w:ascii="Times New Roman" w:hAnsi="Times New Roman" w:cs="Times New Roman"/>
          <w:sz w:val="20"/>
          <w:szCs w:val="20"/>
        </w:rPr>
        <w:t>Дата</w:t>
      </w:r>
      <w:r w:rsidRPr="00ED7E81">
        <w:rPr>
          <w:rFonts w:ascii="Times New Roman" w:hAnsi="Times New Roman" w:cs="Times New Roman"/>
          <w:sz w:val="20"/>
          <w:szCs w:val="20"/>
          <w:lang w:val="en-US"/>
        </w:rPr>
        <w:t xml:space="preserve"> </w:t>
      </w:r>
      <w:r w:rsidRPr="00ED7E81">
        <w:rPr>
          <w:rFonts w:ascii="Times New Roman" w:hAnsi="Times New Roman" w:cs="Times New Roman"/>
          <w:sz w:val="20"/>
          <w:szCs w:val="20"/>
        </w:rPr>
        <w:t>обращения</w:t>
      </w:r>
      <w:r w:rsidRPr="00ED7E81">
        <w:rPr>
          <w:rFonts w:ascii="Times New Roman" w:hAnsi="Times New Roman" w:cs="Times New Roman"/>
          <w:sz w:val="20"/>
          <w:szCs w:val="20"/>
          <w:lang w:val="en-US"/>
        </w:rPr>
        <w:t>: 05.05.2021)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3288"/>
    <w:multiLevelType w:val="multilevel"/>
    <w:tmpl w:val="C6D68D58"/>
    <w:lvl w:ilvl="0">
      <w:start w:val="1"/>
      <w:numFmt w:val="decimal"/>
      <w:lvlText w:val="%1."/>
      <w:lvlJc w:val="left"/>
      <w:pPr>
        <w:ind w:left="1068" w:hanging="360"/>
      </w:pPr>
      <w:rPr>
        <w:rFonts w:hint="default"/>
      </w:rPr>
    </w:lvl>
    <w:lvl w:ilvl="1">
      <w:start w:val="2"/>
      <w:numFmt w:val="decimal"/>
      <w:isLgl/>
      <w:lvlText w:val="%1.%2"/>
      <w:lvlJc w:val="left"/>
      <w:pPr>
        <w:ind w:left="1088" w:hanging="3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14720747"/>
    <w:multiLevelType w:val="hybridMultilevel"/>
    <w:tmpl w:val="2508F856"/>
    <w:lvl w:ilvl="0" w:tplc="22403C9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F860FF9"/>
    <w:multiLevelType w:val="hybridMultilevel"/>
    <w:tmpl w:val="D8805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9548BF"/>
    <w:multiLevelType w:val="multilevel"/>
    <w:tmpl w:val="E4729E38"/>
    <w:lvl w:ilvl="0">
      <w:start w:val="1"/>
      <w:numFmt w:val="decimal"/>
      <w:lvlText w:val="%1."/>
      <w:lvlJc w:val="left"/>
      <w:pPr>
        <w:ind w:left="1068" w:hanging="360"/>
      </w:pPr>
      <w:rPr>
        <w:rFonts w:hint="default"/>
      </w:rPr>
    </w:lvl>
    <w:lvl w:ilvl="1">
      <w:start w:val="1"/>
      <w:numFmt w:val="decimal"/>
      <w:isLgl/>
      <w:lvlText w:val="%1.%2"/>
      <w:lvlJc w:val="left"/>
      <w:pPr>
        <w:ind w:left="1088" w:hanging="3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2FAA50AF"/>
    <w:multiLevelType w:val="hybridMultilevel"/>
    <w:tmpl w:val="1AFA72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054F2D"/>
    <w:multiLevelType w:val="hybridMultilevel"/>
    <w:tmpl w:val="942ABA8C"/>
    <w:lvl w:ilvl="0" w:tplc="EC9E1380">
      <w:start w:val="2"/>
      <w:numFmt w:val="decimal"/>
      <w:lvlText w:val="%1"/>
      <w:lvlJc w:val="left"/>
      <w:pPr>
        <w:ind w:left="1448" w:hanging="360"/>
      </w:pPr>
      <w:rPr>
        <w:rFonts w:hint="default"/>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2888" w:hanging="180"/>
      </w:pPr>
    </w:lvl>
    <w:lvl w:ilvl="3" w:tplc="0419000F" w:tentative="1">
      <w:start w:val="1"/>
      <w:numFmt w:val="decimal"/>
      <w:lvlText w:val="%4."/>
      <w:lvlJc w:val="left"/>
      <w:pPr>
        <w:ind w:left="3608" w:hanging="360"/>
      </w:pPr>
    </w:lvl>
    <w:lvl w:ilvl="4" w:tplc="04190019" w:tentative="1">
      <w:start w:val="1"/>
      <w:numFmt w:val="lowerLetter"/>
      <w:lvlText w:val="%5."/>
      <w:lvlJc w:val="left"/>
      <w:pPr>
        <w:ind w:left="4328" w:hanging="360"/>
      </w:pPr>
    </w:lvl>
    <w:lvl w:ilvl="5" w:tplc="0419001B" w:tentative="1">
      <w:start w:val="1"/>
      <w:numFmt w:val="lowerRoman"/>
      <w:lvlText w:val="%6."/>
      <w:lvlJc w:val="right"/>
      <w:pPr>
        <w:ind w:left="5048" w:hanging="180"/>
      </w:pPr>
    </w:lvl>
    <w:lvl w:ilvl="6" w:tplc="0419000F" w:tentative="1">
      <w:start w:val="1"/>
      <w:numFmt w:val="decimal"/>
      <w:lvlText w:val="%7."/>
      <w:lvlJc w:val="left"/>
      <w:pPr>
        <w:ind w:left="5768" w:hanging="360"/>
      </w:pPr>
    </w:lvl>
    <w:lvl w:ilvl="7" w:tplc="04190019" w:tentative="1">
      <w:start w:val="1"/>
      <w:numFmt w:val="lowerLetter"/>
      <w:lvlText w:val="%8."/>
      <w:lvlJc w:val="left"/>
      <w:pPr>
        <w:ind w:left="6488" w:hanging="360"/>
      </w:pPr>
    </w:lvl>
    <w:lvl w:ilvl="8" w:tplc="0419001B" w:tentative="1">
      <w:start w:val="1"/>
      <w:numFmt w:val="lowerRoman"/>
      <w:lvlText w:val="%9."/>
      <w:lvlJc w:val="right"/>
      <w:pPr>
        <w:ind w:left="7208" w:hanging="180"/>
      </w:pPr>
    </w:lvl>
  </w:abstractNum>
  <w:abstractNum w:abstractNumId="6" w15:restartNumberingAfterBreak="0">
    <w:nsid w:val="49FD3D7A"/>
    <w:multiLevelType w:val="hybridMultilevel"/>
    <w:tmpl w:val="49FC9632"/>
    <w:lvl w:ilvl="0" w:tplc="B31243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DB60805"/>
    <w:multiLevelType w:val="hybridMultilevel"/>
    <w:tmpl w:val="F4BC714C"/>
    <w:lvl w:ilvl="0" w:tplc="F10C206A">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598D35E0"/>
    <w:multiLevelType w:val="hybridMultilevel"/>
    <w:tmpl w:val="1744EC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1611372"/>
    <w:multiLevelType w:val="hybridMultilevel"/>
    <w:tmpl w:val="63A2C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B54327D"/>
    <w:multiLevelType w:val="hybridMultilevel"/>
    <w:tmpl w:val="36C6B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9C4126"/>
    <w:multiLevelType w:val="hybridMultilevel"/>
    <w:tmpl w:val="2E9C82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E1577EA"/>
    <w:multiLevelType w:val="hybridMultilevel"/>
    <w:tmpl w:val="85C67F4A"/>
    <w:lvl w:ilvl="0" w:tplc="602AC4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E224F58"/>
    <w:multiLevelType w:val="multilevel"/>
    <w:tmpl w:val="3258D6F8"/>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76BB37AE"/>
    <w:multiLevelType w:val="hybridMultilevel"/>
    <w:tmpl w:val="806C3A7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15:restartNumberingAfterBreak="0">
    <w:nsid w:val="7BBC2323"/>
    <w:multiLevelType w:val="hybridMultilevel"/>
    <w:tmpl w:val="555C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14"/>
  </w:num>
  <w:num w:numId="7">
    <w:abstractNumId w:val="11"/>
  </w:num>
  <w:num w:numId="8">
    <w:abstractNumId w:val="9"/>
  </w:num>
  <w:num w:numId="9">
    <w:abstractNumId w:val="8"/>
  </w:num>
  <w:num w:numId="10">
    <w:abstractNumId w:val="2"/>
  </w:num>
  <w:num w:numId="11">
    <w:abstractNumId w:val="10"/>
  </w:num>
  <w:num w:numId="12">
    <w:abstractNumId w:val="15"/>
  </w:num>
  <w:num w:numId="13">
    <w:abstractNumId w:val="6"/>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1C"/>
    <w:rsid w:val="000029C3"/>
    <w:rsid w:val="00002E21"/>
    <w:rsid w:val="0000689A"/>
    <w:rsid w:val="00062E0A"/>
    <w:rsid w:val="000742E8"/>
    <w:rsid w:val="000845AB"/>
    <w:rsid w:val="000A3EB5"/>
    <w:rsid w:val="000B5462"/>
    <w:rsid w:val="000B5AAD"/>
    <w:rsid w:val="000C74FE"/>
    <w:rsid w:val="000D0CCE"/>
    <w:rsid w:val="000D45FA"/>
    <w:rsid w:val="000E022E"/>
    <w:rsid w:val="000F11A6"/>
    <w:rsid w:val="000F3EED"/>
    <w:rsid w:val="000F6F21"/>
    <w:rsid w:val="00103472"/>
    <w:rsid w:val="001038FD"/>
    <w:rsid w:val="0011454C"/>
    <w:rsid w:val="00114AE4"/>
    <w:rsid w:val="00117C04"/>
    <w:rsid w:val="00122B41"/>
    <w:rsid w:val="0012625B"/>
    <w:rsid w:val="001560B8"/>
    <w:rsid w:val="001577D4"/>
    <w:rsid w:val="001A4D76"/>
    <w:rsid w:val="001C0298"/>
    <w:rsid w:val="001C1BA4"/>
    <w:rsid w:val="001E1311"/>
    <w:rsid w:val="001E6E88"/>
    <w:rsid w:val="001F44A8"/>
    <w:rsid w:val="001F76C8"/>
    <w:rsid w:val="00221519"/>
    <w:rsid w:val="00234352"/>
    <w:rsid w:val="00240E09"/>
    <w:rsid w:val="00250628"/>
    <w:rsid w:val="00256890"/>
    <w:rsid w:val="00274892"/>
    <w:rsid w:val="002846E3"/>
    <w:rsid w:val="00286955"/>
    <w:rsid w:val="00293D16"/>
    <w:rsid w:val="00295EFD"/>
    <w:rsid w:val="002B4F61"/>
    <w:rsid w:val="002C1199"/>
    <w:rsid w:val="002C2FC5"/>
    <w:rsid w:val="002C4C91"/>
    <w:rsid w:val="002E4601"/>
    <w:rsid w:val="002E76FC"/>
    <w:rsid w:val="00311864"/>
    <w:rsid w:val="003177E4"/>
    <w:rsid w:val="00335DE5"/>
    <w:rsid w:val="00337BC3"/>
    <w:rsid w:val="00381AF8"/>
    <w:rsid w:val="00383810"/>
    <w:rsid w:val="00392198"/>
    <w:rsid w:val="003C1576"/>
    <w:rsid w:val="003C180D"/>
    <w:rsid w:val="003D5BE4"/>
    <w:rsid w:val="003D618B"/>
    <w:rsid w:val="003E5F4F"/>
    <w:rsid w:val="004142E2"/>
    <w:rsid w:val="0043349E"/>
    <w:rsid w:val="00437CE1"/>
    <w:rsid w:val="00455972"/>
    <w:rsid w:val="0046292C"/>
    <w:rsid w:val="00462FC9"/>
    <w:rsid w:val="004747F4"/>
    <w:rsid w:val="00475FF1"/>
    <w:rsid w:val="00484491"/>
    <w:rsid w:val="00493302"/>
    <w:rsid w:val="004D075E"/>
    <w:rsid w:val="004D1002"/>
    <w:rsid w:val="004F3097"/>
    <w:rsid w:val="0050027F"/>
    <w:rsid w:val="00512C2F"/>
    <w:rsid w:val="00514A19"/>
    <w:rsid w:val="00535B3D"/>
    <w:rsid w:val="005363D2"/>
    <w:rsid w:val="00547BE6"/>
    <w:rsid w:val="00552BCD"/>
    <w:rsid w:val="0055348A"/>
    <w:rsid w:val="00562EEC"/>
    <w:rsid w:val="00583167"/>
    <w:rsid w:val="00587FEB"/>
    <w:rsid w:val="00595EE3"/>
    <w:rsid w:val="005A64FA"/>
    <w:rsid w:val="005B2D2C"/>
    <w:rsid w:val="005C35BF"/>
    <w:rsid w:val="005D7D54"/>
    <w:rsid w:val="005F529A"/>
    <w:rsid w:val="005F611C"/>
    <w:rsid w:val="006017B5"/>
    <w:rsid w:val="00610900"/>
    <w:rsid w:val="00615876"/>
    <w:rsid w:val="00615F19"/>
    <w:rsid w:val="00617253"/>
    <w:rsid w:val="00620B4C"/>
    <w:rsid w:val="006222E3"/>
    <w:rsid w:val="006230C2"/>
    <w:rsid w:val="00625A64"/>
    <w:rsid w:val="00647515"/>
    <w:rsid w:val="00663C74"/>
    <w:rsid w:val="00670A78"/>
    <w:rsid w:val="006764A5"/>
    <w:rsid w:val="00683427"/>
    <w:rsid w:val="0069080D"/>
    <w:rsid w:val="006A1B82"/>
    <w:rsid w:val="006A5EA9"/>
    <w:rsid w:val="006A76CC"/>
    <w:rsid w:val="006A793E"/>
    <w:rsid w:val="006B2CA4"/>
    <w:rsid w:val="006D1758"/>
    <w:rsid w:val="006E6AC5"/>
    <w:rsid w:val="00700DDE"/>
    <w:rsid w:val="00715C3A"/>
    <w:rsid w:val="007178B2"/>
    <w:rsid w:val="0074297C"/>
    <w:rsid w:val="007673D0"/>
    <w:rsid w:val="00772B22"/>
    <w:rsid w:val="0078084D"/>
    <w:rsid w:val="00787963"/>
    <w:rsid w:val="00794573"/>
    <w:rsid w:val="00794ACD"/>
    <w:rsid w:val="007C336C"/>
    <w:rsid w:val="007C5231"/>
    <w:rsid w:val="007E3831"/>
    <w:rsid w:val="007F3CBD"/>
    <w:rsid w:val="008009C8"/>
    <w:rsid w:val="0080758E"/>
    <w:rsid w:val="00812EF7"/>
    <w:rsid w:val="0081631F"/>
    <w:rsid w:val="00825AAD"/>
    <w:rsid w:val="008304E0"/>
    <w:rsid w:val="008311BB"/>
    <w:rsid w:val="00846ACE"/>
    <w:rsid w:val="00864EAD"/>
    <w:rsid w:val="008738C0"/>
    <w:rsid w:val="0088031C"/>
    <w:rsid w:val="00892C2B"/>
    <w:rsid w:val="008B551F"/>
    <w:rsid w:val="008E021F"/>
    <w:rsid w:val="008F7B97"/>
    <w:rsid w:val="00904D0D"/>
    <w:rsid w:val="00906906"/>
    <w:rsid w:val="00910E18"/>
    <w:rsid w:val="00920D5B"/>
    <w:rsid w:val="00921006"/>
    <w:rsid w:val="009221A8"/>
    <w:rsid w:val="00945153"/>
    <w:rsid w:val="00963657"/>
    <w:rsid w:val="009660BD"/>
    <w:rsid w:val="009757EF"/>
    <w:rsid w:val="009B283B"/>
    <w:rsid w:val="009B7335"/>
    <w:rsid w:val="009B7520"/>
    <w:rsid w:val="009D21D6"/>
    <w:rsid w:val="009D31D0"/>
    <w:rsid w:val="009E324B"/>
    <w:rsid w:val="009F0A8A"/>
    <w:rsid w:val="009F756D"/>
    <w:rsid w:val="00A073C9"/>
    <w:rsid w:val="00A132A8"/>
    <w:rsid w:val="00A2233B"/>
    <w:rsid w:val="00A30ED0"/>
    <w:rsid w:val="00A6049C"/>
    <w:rsid w:val="00A61D12"/>
    <w:rsid w:val="00A817D4"/>
    <w:rsid w:val="00AC5410"/>
    <w:rsid w:val="00AD25CD"/>
    <w:rsid w:val="00AD404E"/>
    <w:rsid w:val="00AD4783"/>
    <w:rsid w:val="00AD55B5"/>
    <w:rsid w:val="00AE03BA"/>
    <w:rsid w:val="00AF0B11"/>
    <w:rsid w:val="00AF3654"/>
    <w:rsid w:val="00AF75C4"/>
    <w:rsid w:val="00B03E1D"/>
    <w:rsid w:val="00B170FC"/>
    <w:rsid w:val="00B27A77"/>
    <w:rsid w:val="00B42D57"/>
    <w:rsid w:val="00B70D87"/>
    <w:rsid w:val="00B878A1"/>
    <w:rsid w:val="00B91048"/>
    <w:rsid w:val="00BA197B"/>
    <w:rsid w:val="00BA525D"/>
    <w:rsid w:val="00BB3296"/>
    <w:rsid w:val="00BB5115"/>
    <w:rsid w:val="00BD01DC"/>
    <w:rsid w:val="00BD2C05"/>
    <w:rsid w:val="00BE2F5F"/>
    <w:rsid w:val="00BF0787"/>
    <w:rsid w:val="00C13926"/>
    <w:rsid w:val="00C36309"/>
    <w:rsid w:val="00C621E6"/>
    <w:rsid w:val="00C87316"/>
    <w:rsid w:val="00C95A49"/>
    <w:rsid w:val="00C96BDB"/>
    <w:rsid w:val="00CA5D6A"/>
    <w:rsid w:val="00CA78BD"/>
    <w:rsid w:val="00CB127F"/>
    <w:rsid w:val="00CC11F5"/>
    <w:rsid w:val="00CD78EA"/>
    <w:rsid w:val="00CE22E7"/>
    <w:rsid w:val="00D013A1"/>
    <w:rsid w:val="00D04167"/>
    <w:rsid w:val="00D20D45"/>
    <w:rsid w:val="00D35171"/>
    <w:rsid w:val="00D416F1"/>
    <w:rsid w:val="00D45479"/>
    <w:rsid w:val="00D53099"/>
    <w:rsid w:val="00D60154"/>
    <w:rsid w:val="00D60629"/>
    <w:rsid w:val="00D74A2B"/>
    <w:rsid w:val="00D77999"/>
    <w:rsid w:val="00D82113"/>
    <w:rsid w:val="00D843A4"/>
    <w:rsid w:val="00D91883"/>
    <w:rsid w:val="00DA6846"/>
    <w:rsid w:val="00DB4DFD"/>
    <w:rsid w:val="00DD1DD1"/>
    <w:rsid w:val="00DE6B91"/>
    <w:rsid w:val="00DF084D"/>
    <w:rsid w:val="00DF65CA"/>
    <w:rsid w:val="00E02C57"/>
    <w:rsid w:val="00E11F73"/>
    <w:rsid w:val="00E215EB"/>
    <w:rsid w:val="00E33DF5"/>
    <w:rsid w:val="00E50441"/>
    <w:rsid w:val="00E54BD9"/>
    <w:rsid w:val="00E600D4"/>
    <w:rsid w:val="00E60ABC"/>
    <w:rsid w:val="00E6107A"/>
    <w:rsid w:val="00E629C6"/>
    <w:rsid w:val="00E83833"/>
    <w:rsid w:val="00E83B9A"/>
    <w:rsid w:val="00E93B10"/>
    <w:rsid w:val="00EA064B"/>
    <w:rsid w:val="00EA5553"/>
    <w:rsid w:val="00EC1C71"/>
    <w:rsid w:val="00ED7E81"/>
    <w:rsid w:val="00F05F21"/>
    <w:rsid w:val="00F150CE"/>
    <w:rsid w:val="00F20C27"/>
    <w:rsid w:val="00F229FD"/>
    <w:rsid w:val="00F27B10"/>
    <w:rsid w:val="00F40E8F"/>
    <w:rsid w:val="00F6264D"/>
    <w:rsid w:val="00F67E71"/>
    <w:rsid w:val="00F8799C"/>
    <w:rsid w:val="00FA3D7D"/>
    <w:rsid w:val="00FB1024"/>
    <w:rsid w:val="00FB725A"/>
    <w:rsid w:val="00FC1EE3"/>
    <w:rsid w:val="00FF0A72"/>
    <w:rsid w:val="00FF3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DC3B"/>
  <w14:defaultImageDpi w14:val="32767"/>
  <w15:chartTrackingRefBased/>
  <w15:docId w15:val="{2EFB133E-80F8-3648-8879-D79BBD0C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504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504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5BF"/>
    <w:pPr>
      <w:ind w:left="720"/>
      <w:contextualSpacing/>
    </w:pPr>
  </w:style>
  <w:style w:type="character" w:styleId="a4">
    <w:name w:val="Hyperlink"/>
    <w:uiPriority w:val="99"/>
    <w:rsid w:val="005C35BF"/>
    <w:rPr>
      <w:u w:val="single"/>
    </w:rPr>
  </w:style>
  <w:style w:type="paragraph" w:styleId="a5">
    <w:name w:val="footer"/>
    <w:basedOn w:val="a"/>
    <w:link w:val="a6"/>
    <w:uiPriority w:val="99"/>
    <w:unhideWhenUsed/>
    <w:rsid w:val="006A793E"/>
    <w:pPr>
      <w:tabs>
        <w:tab w:val="center" w:pos="4677"/>
        <w:tab w:val="right" w:pos="9355"/>
      </w:tabs>
    </w:pPr>
  </w:style>
  <w:style w:type="character" w:customStyle="1" w:styleId="a6">
    <w:name w:val="Нижний колонтитул Знак"/>
    <w:basedOn w:val="a0"/>
    <w:link w:val="a5"/>
    <w:uiPriority w:val="99"/>
    <w:rsid w:val="006A793E"/>
  </w:style>
  <w:style w:type="character" w:styleId="a7">
    <w:name w:val="page number"/>
    <w:basedOn w:val="a0"/>
    <w:uiPriority w:val="99"/>
    <w:semiHidden/>
    <w:unhideWhenUsed/>
    <w:rsid w:val="006A793E"/>
  </w:style>
  <w:style w:type="paragraph" w:customStyle="1" w:styleId="a8">
    <w:name w:val="Сноска"/>
    <w:rsid w:val="001C1BA4"/>
    <w:pPr>
      <w:pBdr>
        <w:top w:val="nil"/>
        <w:left w:val="nil"/>
        <w:bottom w:val="nil"/>
        <w:right w:val="nil"/>
        <w:between w:val="nil"/>
        <w:bar w:val="nil"/>
      </w:pBdr>
    </w:pPr>
    <w:rPr>
      <w:rFonts w:ascii="Helvetica Neue" w:eastAsia="Helvetica Neue" w:hAnsi="Helvetica Neue" w:cs="Helvetica Neue"/>
      <w:color w:val="000000"/>
      <w:sz w:val="22"/>
      <w:szCs w:val="22"/>
      <w:bdr w:val="nil"/>
      <w:lang w:eastAsia="ru-RU"/>
      <w14:textOutline w14:w="0" w14:cap="flat" w14:cmpd="sng" w14:algn="ctr">
        <w14:noFill/>
        <w14:prstDash w14:val="solid"/>
        <w14:bevel/>
      </w14:textOutline>
    </w:rPr>
  </w:style>
  <w:style w:type="paragraph" w:styleId="a9">
    <w:name w:val="footnote text"/>
    <w:basedOn w:val="a"/>
    <w:link w:val="aa"/>
    <w:uiPriority w:val="99"/>
    <w:semiHidden/>
    <w:unhideWhenUsed/>
    <w:rsid w:val="00FF3A75"/>
    <w:rPr>
      <w:sz w:val="20"/>
      <w:szCs w:val="20"/>
    </w:rPr>
  </w:style>
  <w:style w:type="character" w:customStyle="1" w:styleId="aa">
    <w:name w:val="Текст сноски Знак"/>
    <w:basedOn w:val="a0"/>
    <w:link w:val="a9"/>
    <w:uiPriority w:val="99"/>
    <w:semiHidden/>
    <w:rsid w:val="00FF3A75"/>
    <w:rPr>
      <w:sz w:val="20"/>
      <w:szCs w:val="20"/>
    </w:rPr>
  </w:style>
  <w:style w:type="character" w:styleId="ab">
    <w:name w:val="footnote reference"/>
    <w:basedOn w:val="a0"/>
    <w:uiPriority w:val="99"/>
    <w:semiHidden/>
    <w:unhideWhenUsed/>
    <w:rsid w:val="00FF3A75"/>
    <w:rPr>
      <w:vertAlign w:val="superscript"/>
    </w:rPr>
  </w:style>
  <w:style w:type="paragraph" w:styleId="ac">
    <w:name w:val="Body Text"/>
    <w:link w:val="ad"/>
    <w:rsid w:val="008F7B9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14:textOutline w14:w="0" w14:cap="flat" w14:cmpd="sng" w14:algn="ctr">
        <w14:noFill/>
        <w14:prstDash w14:val="solid"/>
        <w14:bevel/>
      </w14:textOutline>
    </w:rPr>
  </w:style>
  <w:style w:type="character" w:customStyle="1" w:styleId="ad">
    <w:name w:val="Основной текст Знак"/>
    <w:basedOn w:val="a0"/>
    <w:link w:val="ac"/>
    <w:rsid w:val="008F7B97"/>
    <w:rPr>
      <w:rFonts w:ascii="Helvetica Neue" w:eastAsia="Arial Unicode MS" w:hAnsi="Helvetica Neue" w:cs="Arial Unicode MS"/>
      <w:color w:val="000000"/>
      <w:sz w:val="22"/>
      <w:szCs w:val="22"/>
      <w:bdr w:val="nil"/>
      <w:lang w:eastAsia="ru-RU"/>
      <w14:textOutline w14:w="0" w14:cap="flat" w14:cmpd="sng" w14:algn="ctr">
        <w14:noFill/>
        <w14:prstDash w14:val="solid"/>
        <w14:bevel/>
      </w14:textOutline>
    </w:rPr>
  </w:style>
  <w:style w:type="paragraph" w:customStyle="1" w:styleId="ae">
    <w:name w:val="По умолчанию"/>
    <w:rsid w:val="0081631F"/>
    <w:pPr>
      <w:pBdr>
        <w:top w:val="nil"/>
        <w:left w:val="nil"/>
        <w:bottom w:val="nil"/>
        <w:right w:val="nil"/>
        <w:between w:val="nil"/>
        <w:bar w:val="nil"/>
      </w:pBdr>
      <w:spacing w:before="160"/>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styleId="af">
    <w:name w:val="Unresolved Mention"/>
    <w:basedOn w:val="a0"/>
    <w:uiPriority w:val="99"/>
    <w:rsid w:val="009660BD"/>
    <w:rPr>
      <w:color w:val="605E5C"/>
      <w:shd w:val="clear" w:color="auto" w:fill="E1DFDD"/>
    </w:rPr>
  </w:style>
  <w:style w:type="character" w:customStyle="1" w:styleId="af0">
    <w:name w:val="_"/>
    <w:basedOn w:val="a0"/>
    <w:rsid w:val="00B170FC"/>
  </w:style>
  <w:style w:type="character" w:styleId="af1">
    <w:name w:val="FollowedHyperlink"/>
    <w:basedOn w:val="a0"/>
    <w:uiPriority w:val="99"/>
    <w:semiHidden/>
    <w:unhideWhenUsed/>
    <w:rsid w:val="00D843A4"/>
    <w:rPr>
      <w:color w:val="954F72" w:themeColor="followedHyperlink"/>
      <w:u w:val="single"/>
    </w:rPr>
  </w:style>
  <w:style w:type="character" w:customStyle="1" w:styleId="af2">
    <w:name w:val="Нет"/>
    <w:rsid w:val="000D45FA"/>
  </w:style>
  <w:style w:type="character" w:customStyle="1" w:styleId="Hyperlink0">
    <w:name w:val="Hyperlink.0"/>
    <w:basedOn w:val="af2"/>
    <w:rsid w:val="000D45FA"/>
    <w:rPr>
      <w:outline w:val="0"/>
      <w:color w:val="0433FF"/>
      <w:u w:val="single"/>
    </w:rPr>
  </w:style>
  <w:style w:type="character" w:customStyle="1" w:styleId="Hyperlink1">
    <w:name w:val="Hyperlink.1"/>
    <w:basedOn w:val="a4"/>
    <w:rsid w:val="000D45FA"/>
    <w:rPr>
      <w:u w:val="single"/>
    </w:rPr>
  </w:style>
  <w:style w:type="paragraph" w:customStyle="1" w:styleId="af3">
    <w:name w:val="Колонтитулы"/>
    <w:rsid w:val="00D60629"/>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Hyperlink2">
    <w:name w:val="Hyperlink.2"/>
    <w:basedOn w:val="af2"/>
    <w:rsid w:val="00D60629"/>
    <w:rPr>
      <w:u w:val="single"/>
    </w:rPr>
  </w:style>
  <w:style w:type="paragraph" w:styleId="af4">
    <w:name w:val="header"/>
    <w:basedOn w:val="a"/>
    <w:link w:val="af5"/>
    <w:uiPriority w:val="99"/>
    <w:unhideWhenUsed/>
    <w:rsid w:val="00D60629"/>
    <w:pPr>
      <w:pBdr>
        <w:top w:val="nil"/>
        <w:left w:val="nil"/>
        <w:bottom w:val="nil"/>
        <w:right w:val="nil"/>
        <w:between w:val="nil"/>
        <w:bar w:val="nil"/>
      </w:pBdr>
      <w:tabs>
        <w:tab w:val="center" w:pos="4677"/>
        <w:tab w:val="right" w:pos="9355"/>
      </w:tabs>
    </w:pPr>
    <w:rPr>
      <w:rFonts w:ascii="Times New Roman" w:eastAsia="Arial Unicode MS" w:hAnsi="Times New Roman" w:cs="Times New Roman"/>
      <w:bdr w:val="nil"/>
      <w:lang w:val="en-US"/>
    </w:rPr>
  </w:style>
  <w:style w:type="character" w:customStyle="1" w:styleId="af5">
    <w:name w:val="Верхний колонтитул Знак"/>
    <w:basedOn w:val="a0"/>
    <w:link w:val="af4"/>
    <w:uiPriority w:val="99"/>
    <w:rsid w:val="00D60629"/>
    <w:rPr>
      <w:rFonts w:ascii="Times New Roman" w:eastAsia="Arial Unicode MS" w:hAnsi="Times New Roman" w:cs="Times New Roman"/>
      <w:bdr w:val="nil"/>
      <w:lang w:val="en-US"/>
    </w:rPr>
  </w:style>
  <w:style w:type="table" w:customStyle="1" w:styleId="TableNormal">
    <w:name w:val="Table Normal"/>
    <w:rsid w:val="006222E3"/>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1">
    <w:name w:val="Стиль таблицы 2"/>
    <w:rsid w:val="006222E3"/>
    <w:pPr>
      <w:pBdr>
        <w:top w:val="nil"/>
        <w:left w:val="nil"/>
        <w:bottom w:val="nil"/>
        <w:right w:val="nil"/>
        <w:between w:val="nil"/>
        <w:bar w:val="nil"/>
      </w:pBdr>
    </w:pPr>
    <w:rPr>
      <w:rFonts w:ascii="Helvetica Neue" w:eastAsia="Helvetica Neue" w:hAnsi="Helvetica Neue" w:cs="Helvetica Neue"/>
      <w:color w:val="000000"/>
      <w:sz w:val="20"/>
      <w:szCs w:val="20"/>
      <w:bdr w:val="nil"/>
      <w:lang w:eastAsia="ru-RU"/>
      <w14:textOutline w14:w="0" w14:cap="flat" w14:cmpd="sng" w14:algn="ctr">
        <w14:noFill/>
        <w14:prstDash w14:val="solid"/>
        <w14:bevel/>
      </w14:textOutline>
    </w:rPr>
  </w:style>
  <w:style w:type="character" w:customStyle="1" w:styleId="10">
    <w:name w:val="Заголовок 1 Знак"/>
    <w:basedOn w:val="a0"/>
    <w:link w:val="1"/>
    <w:uiPriority w:val="9"/>
    <w:rsid w:val="00E50441"/>
    <w:rPr>
      <w:rFonts w:asciiTheme="majorHAnsi" w:eastAsiaTheme="majorEastAsia" w:hAnsiTheme="majorHAnsi" w:cstheme="majorBidi"/>
      <w:color w:val="2F5496" w:themeColor="accent1" w:themeShade="BF"/>
      <w:sz w:val="32"/>
      <w:szCs w:val="32"/>
    </w:rPr>
  </w:style>
  <w:style w:type="paragraph" w:styleId="af6">
    <w:name w:val="TOC Heading"/>
    <w:basedOn w:val="1"/>
    <w:next w:val="a"/>
    <w:uiPriority w:val="39"/>
    <w:unhideWhenUsed/>
    <w:qFormat/>
    <w:rsid w:val="00E50441"/>
    <w:pPr>
      <w:spacing w:before="480" w:line="276" w:lineRule="auto"/>
      <w:outlineLvl w:val="9"/>
    </w:pPr>
    <w:rPr>
      <w:b/>
      <w:bCs/>
      <w:sz w:val="28"/>
      <w:szCs w:val="28"/>
      <w:lang w:eastAsia="ru-RU"/>
    </w:rPr>
  </w:style>
  <w:style w:type="paragraph" w:styleId="11">
    <w:name w:val="toc 1"/>
    <w:basedOn w:val="a"/>
    <w:next w:val="a"/>
    <w:autoRedefine/>
    <w:uiPriority w:val="39"/>
    <w:unhideWhenUsed/>
    <w:rsid w:val="00E50441"/>
    <w:pPr>
      <w:tabs>
        <w:tab w:val="right" w:leader="dot" w:pos="9338"/>
      </w:tabs>
      <w:spacing w:before="120"/>
    </w:pPr>
    <w:rPr>
      <w:rFonts w:ascii="Cambria" w:eastAsia="Times New Roman" w:hAnsi="Cambria" w:cs="Cambria"/>
      <w:b/>
      <w:bCs/>
      <w:iCs/>
      <w:noProof/>
    </w:rPr>
  </w:style>
  <w:style w:type="paragraph" w:styleId="22">
    <w:name w:val="toc 2"/>
    <w:basedOn w:val="a"/>
    <w:next w:val="a"/>
    <w:autoRedefine/>
    <w:uiPriority w:val="39"/>
    <w:unhideWhenUsed/>
    <w:rsid w:val="00E50441"/>
    <w:pPr>
      <w:tabs>
        <w:tab w:val="right" w:leader="dot" w:pos="9338"/>
      </w:tabs>
      <w:spacing w:before="120"/>
      <w:ind w:left="240"/>
    </w:pPr>
    <w:rPr>
      <w:rFonts w:cstheme="minorHAnsi"/>
      <w:b/>
      <w:bCs/>
      <w:sz w:val="22"/>
      <w:szCs w:val="22"/>
    </w:rPr>
  </w:style>
  <w:style w:type="paragraph" w:styleId="3">
    <w:name w:val="toc 3"/>
    <w:basedOn w:val="a"/>
    <w:next w:val="a"/>
    <w:autoRedefine/>
    <w:uiPriority w:val="39"/>
    <w:semiHidden/>
    <w:unhideWhenUsed/>
    <w:rsid w:val="00E50441"/>
    <w:pPr>
      <w:ind w:left="480"/>
    </w:pPr>
    <w:rPr>
      <w:rFonts w:cstheme="minorHAnsi"/>
      <w:sz w:val="20"/>
      <w:szCs w:val="20"/>
    </w:rPr>
  </w:style>
  <w:style w:type="paragraph" w:styleId="4">
    <w:name w:val="toc 4"/>
    <w:basedOn w:val="a"/>
    <w:next w:val="a"/>
    <w:autoRedefine/>
    <w:uiPriority w:val="39"/>
    <w:semiHidden/>
    <w:unhideWhenUsed/>
    <w:rsid w:val="00E50441"/>
    <w:pPr>
      <w:ind w:left="720"/>
    </w:pPr>
    <w:rPr>
      <w:rFonts w:cstheme="minorHAnsi"/>
      <w:sz w:val="20"/>
      <w:szCs w:val="20"/>
    </w:rPr>
  </w:style>
  <w:style w:type="paragraph" w:styleId="5">
    <w:name w:val="toc 5"/>
    <w:basedOn w:val="a"/>
    <w:next w:val="a"/>
    <w:autoRedefine/>
    <w:uiPriority w:val="39"/>
    <w:semiHidden/>
    <w:unhideWhenUsed/>
    <w:rsid w:val="00E50441"/>
    <w:pPr>
      <w:ind w:left="960"/>
    </w:pPr>
    <w:rPr>
      <w:rFonts w:cstheme="minorHAnsi"/>
      <w:sz w:val="20"/>
      <w:szCs w:val="20"/>
    </w:rPr>
  </w:style>
  <w:style w:type="paragraph" w:styleId="6">
    <w:name w:val="toc 6"/>
    <w:basedOn w:val="a"/>
    <w:next w:val="a"/>
    <w:autoRedefine/>
    <w:uiPriority w:val="39"/>
    <w:semiHidden/>
    <w:unhideWhenUsed/>
    <w:rsid w:val="00E50441"/>
    <w:pPr>
      <w:ind w:left="1200"/>
    </w:pPr>
    <w:rPr>
      <w:rFonts w:cstheme="minorHAnsi"/>
      <w:sz w:val="20"/>
      <w:szCs w:val="20"/>
    </w:rPr>
  </w:style>
  <w:style w:type="paragraph" w:styleId="7">
    <w:name w:val="toc 7"/>
    <w:basedOn w:val="a"/>
    <w:next w:val="a"/>
    <w:autoRedefine/>
    <w:uiPriority w:val="39"/>
    <w:semiHidden/>
    <w:unhideWhenUsed/>
    <w:rsid w:val="00E50441"/>
    <w:pPr>
      <w:ind w:left="1440"/>
    </w:pPr>
    <w:rPr>
      <w:rFonts w:cstheme="minorHAnsi"/>
      <w:sz w:val="20"/>
      <w:szCs w:val="20"/>
    </w:rPr>
  </w:style>
  <w:style w:type="paragraph" w:styleId="8">
    <w:name w:val="toc 8"/>
    <w:basedOn w:val="a"/>
    <w:next w:val="a"/>
    <w:autoRedefine/>
    <w:uiPriority w:val="39"/>
    <w:semiHidden/>
    <w:unhideWhenUsed/>
    <w:rsid w:val="00E50441"/>
    <w:pPr>
      <w:ind w:left="1680"/>
    </w:pPr>
    <w:rPr>
      <w:rFonts w:cstheme="minorHAnsi"/>
      <w:sz w:val="20"/>
      <w:szCs w:val="20"/>
    </w:rPr>
  </w:style>
  <w:style w:type="paragraph" w:styleId="9">
    <w:name w:val="toc 9"/>
    <w:basedOn w:val="a"/>
    <w:next w:val="a"/>
    <w:autoRedefine/>
    <w:uiPriority w:val="39"/>
    <w:semiHidden/>
    <w:unhideWhenUsed/>
    <w:rsid w:val="00E50441"/>
    <w:pPr>
      <w:ind w:left="1920"/>
    </w:pPr>
    <w:rPr>
      <w:rFonts w:cstheme="minorHAnsi"/>
      <w:sz w:val="20"/>
      <w:szCs w:val="20"/>
    </w:rPr>
  </w:style>
  <w:style w:type="character" w:customStyle="1" w:styleId="20">
    <w:name w:val="Заголовок 2 Знак"/>
    <w:basedOn w:val="a0"/>
    <w:link w:val="2"/>
    <w:uiPriority w:val="9"/>
    <w:rsid w:val="00E504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8580">
      <w:bodyDiv w:val="1"/>
      <w:marLeft w:val="0"/>
      <w:marRight w:val="0"/>
      <w:marTop w:val="0"/>
      <w:marBottom w:val="0"/>
      <w:divBdr>
        <w:top w:val="none" w:sz="0" w:space="0" w:color="auto"/>
        <w:left w:val="none" w:sz="0" w:space="0" w:color="auto"/>
        <w:bottom w:val="none" w:sz="0" w:space="0" w:color="auto"/>
        <w:right w:val="none" w:sz="0" w:space="0" w:color="auto"/>
      </w:divBdr>
    </w:div>
    <w:div w:id="375008613">
      <w:bodyDiv w:val="1"/>
      <w:marLeft w:val="0"/>
      <w:marRight w:val="0"/>
      <w:marTop w:val="0"/>
      <w:marBottom w:val="0"/>
      <w:divBdr>
        <w:top w:val="none" w:sz="0" w:space="0" w:color="auto"/>
        <w:left w:val="none" w:sz="0" w:space="0" w:color="auto"/>
        <w:bottom w:val="none" w:sz="0" w:space="0" w:color="auto"/>
        <w:right w:val="none" w:sz="0" w:space="0" w:color="auto"/>
      </w:divBdr>
    </w:div>
    <w:div w:id="525288333">
      <w:bodyDiv w:val="1"/>
      <w:marLeft w:val="0"/>
      <w:marRight w:val="0"/>
      <w:marTop w:val="0"/>
      <w:marBottom w:val="0"/>
      <w:divBdr>
        <w:top w:val="none" w:sz="0" w:space="0" w:color="auto"/>
        <w:left w:val="none" w:sz="0" w:space="0" w:color="auto"/>
        <w:bottom w:val="none" w:sz="0" w:space="0" w:color="auto"/>
        <w:right w:val="none" w:sz="0" w:space="0" w:color="auto"/>
      </w:divBdr>
    </w:div>
    <w:div w:id="799422181">
      <w:bodyDiv w:val="1"/>
      <w:marLeft w:val="0"/>
      <w:marRight w:val="0"/>
      <w:marTop w:val="0"/>
      <w:marBottom w:val="0"/>
      <w:divBdr>
        <w:top w:val="none" w:sz="0" w:space="0" w:color="auto"/>
        <w:left w:val="none" w:sz="0" w:space="0" w:color="auto"/>
        <w:bottom w:val="none" w:sz="0" w:space="0" w:color="auto"/>
        <w:right w:val="none" w:sz="0" w:space="0" w:color="auto"/>
      </w:divBdr>
    </w:div>
    <w:div w:id="1534415344">
      <w:bodyDiv w:val="1"/>
      <w:marLeft w:val="0"/>
      <w:marRight w:val="0"/>
      <w:marTop w:val="0"/>
      <w:marBottom w:val="0"/>
      <w:divBdr>
        <w:top w:val="none" w:sz="0" w:space="0" w:color="auto"/>
        <w:left w:val="none" w:sz="0" w:space="0" w:color="auto"/>
        <w:bottom w:val="none" w:sz="0" w:space="0" w:color="auto"/>
        <w:right w:val="none" w:sz="0" w:space="0" w:color="auto"/>
      </w:divBdr>
    </w:div>
    <w:div w:id="1588610614">
      <w:bodyDiv w:val="1"/>
      <w:marLeft w:val="0"/>
      <w:marRight w:val="0"/>
      <w:marTop w:val="0"/>
      <w:marBottom w:val="0"/>
      <w:divBdr>
        <w:top w:val="none" w:sz="0" w:space="0" w:color="auto"/>
        <w:left w:val="none" w:sz="0" w:space="0" w:color="auto"/>
        <w:bottom w:val="none" w:sz="0" w:space="0" w:color="auto"/>
        <w:right w:val="none" w:sz="0" w:space="0" w:color="auto"/>
      </w:divBdr>
    </w:div>
    <w:div w:id="1812092242">
      <w:bodyDiv w:val="1"/>
      <w:marLeft w:val="0"/>
      <w:marRight w:val="0"/>
      <w:marTop w:val="0"/>
      <w:marBottom w:val="0"/>
      <w:divBdr>
        <w:top w:val="none" w:sz="0" w:space="0" w:color="auto"/>
        <w:left w:val="none" w:sz="0" w:space="0" w:color="auto"/>
        <w:bottom w:val="none" w:sz="0" w:space="0" w:color="auto"/>
        <w:right w:val="none" w:sz="0" w:space="0" w:color="auto"/>
      </w:divBdr>
    </w:div>
    <w:div w:id="20874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D682-B480-FB4C-A34F-F445E582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18865</Words>
  <Characters>107533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Юлиана Скирдова</dc:creator>
  <cp:keywords/>
  <dc:description/>
  <cp:lastModifiedBy>Вячеслав Голололбов</cp:lastModifiedBy>
  <cp:revision>2</cp:revision>
  <dcterms:created xsi:type="dcterms:W3CDTF">2021-05-30T16:33:00Z</dcterms:created>
  <dcterms:modified xsi:type="dcterms:W3CDTF">2021-05-30T16:33:00Z</dcterms:modified>
</cp:coreProperties>
</file>