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98FB" w14:textId="77777777" w:rsidR="008A5BA7" w:rsidRPr="00A312C5" w:rsidRDefault="008A5BA7" w:rsidP="00237685">
      <w:pPr>
        <w:pStyle w:val="ad"/>
        <w:ind w:firstLine="709"/>
      </w:pPr>
      <w:r w:rsidRPr="00A312C5">
        <w:t>Федеральное государственное образовательное учреждение</w:t>
      </w:r>
    </w:p>
    <w:p w14:paraId="7FE6B038" w14:textId="77777777" w:rsidR="008A5BA7" w:rsidRPr="00A312C5" w:rsidRDefault="008A5BA7" w:rsidP="00237685">
      <w:pPr>
        <w:pStyle w:val="ad"/>
        <w:ind w:firstLine="709"/>
      </w:pPr>
      <w:r w:rsidRPr="00A312C5">
        <w:t>высшего профессионального образования</w:t>
      </w:r>
    </w:p>
    <w:p w14:paraId="500348C8" w14:textId="77777777" w:rsidR="008A5BA7" w:rsidRPr="00A312C5" w:rsidRDefault="008A5BA7" w:rsidP="00237685">
      <w:pPr>
        <w:pStyle w:val="ad"/>
        <w:ind w:firstLine="709"/>
      </w:pPr>
      <w:r w:rsidRPr="00A312C5">
        <w:t>Санкт-Петербургский государственный университет</w:t>
      </w:r>
    </w:p>
    <w:p w14:paraId="290C04FD" w14:textId="77777777" w:rsidR="008A5BA7" w:rsidRPr="00A312C5" w:rsidRDefault="008A5BA7" w:rsidP="00237685">
      <w:pPr>
        <w:pStyle w:val="ad"/>
        <w:ind w:firstLine="709"/>
      </w:pPr>
      <w:r w:rsidRPr="00A312C5">
        <w:t>Институт «Высшая школа менеджмента»</w:t>
      </w:r>
    </w:p>
    <w:p w14:paraId="4D2819B4" w14:textId="77777777" w:rsidR="008A5BA7" w:rsidRPr="00A312C5" w:rsidRDefault="008A5BA7" w:rsidP="00237685">
      <w:pPr>
        <w:ind w:firstLine="709"/>
        <w:rPr>
          <w:rStyle w:val="af1"/>
          <w:rFonts w:ascii="Times New Roman" w:hAnsi="Times New Roman" w:cs="Times New Roman"/>
        </w:rPr>
      </w:pPr>
    </w:p>
    <w:p w14:paraId="166EE649" w14:textId="77777777" w:rsidR="008A5BA7" w:rsidRPr="00A312C5" w:rsidRDefault="008A5BA7" w:rsidP="00237685">
      <w:pPr>
        <w:ind w:firstLine="709"/>
        <w:rPr>
          <w:rFonts w:ascii="Times New Roman" w:hAnsi="Times New Roman" w:cs="Times New Roman"/>
        </w:rPr>
      </w:pPr>
    </w:p>
    <w:p w14:paraId="37853478" w14:textId="77777777" w:rsidR="008A5BA7" w:rsidRPr="00A312C5" w:rsidRDefault="008A5BA7" w:rsidP="00237685">
      <w:pPr>
        <w:ind w:firstLine="709"/>
        <w:rPr>
          <w:rFonts w:ascii="Times New Roman" w:hAnsi="Times New Roman" w:cs="Times New Roman"/>
        </w:rPr>
      </w:pPr>
    </w:p>
    <w:p w14:paraId="0C3AB10B" w14:textId="77777777" w:rsidR="008A5BA7" w:rsidRPr="00A312C5" w:rsidRDefault="008A5BA7" w:rsidP="00237685">
      <w:pPr>
        <w:ind w:firstLine="709"/>
        <w:rPr>
          <w:rFonts w:ascii="Times New Roman" w:hAnsi="Times New Roman" w:cs="Times New Roman"/>
        </w:rPr>
      </w:pPr>
    </w:p>
    <w:p w14:paraId="10D9C446" w14:textId="77777777" w:rsidR="008A5BA7" w:rsidRPr="00A312C5" w:rsidRDefault="008A5BA7" w:rsidP="004A0F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4B7C10" w14:textId="77777777" w:rsidR="008A5BA7" w:rsidRPr="00A312C5" w:rsidRDefault="008A5BA7" w:rsidP="0023768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5EBFE" w14:textId="77777777" w:rsidR="0074673F" w:rsidRDefault="008A5BA7" w:rsidP="0009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2C5">
        <w:rPr>
          <w:rFonts w:ascii="Times New Roman" w:hAnsi="Times New Roman" w:cs="Times New Roman"/>
          <w:b/>
          <w:bCs/>
          <w:sz w:val="28"/>
          <w:szCs w:val="28"/>
        </w:rPr>
        <w:t xml:space="preserve">АНАЛИЗ ОТРАСЛЕВЫХ РАЗЛИЧИЙ </w:t>
      </w:r>
    </w:p>
    <w:p w14:paraId="5B9BDF3E" w14:textId="1E4507B8" w:rsidR="008A5BA7" w:rsidRPr="00A312C5" w:rsidRDefault="008A5BA7" w:rsidP="00093B99">
      <w:pPr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12C5">
        <w:rPr>
          <w:rFonts w:ascii="Times New Roman" w:hAnsi="Times New Roman" w:cs="Times New Roman"/>
          <w:b/>
          <w:bCs/>
          <w:sz w:val="28"/>
          <w:szCs w:val="28"/>
        </w:rPr>
        <w:t>В ЗАТРАТАХ КОМПАНИЙ НА НИОКР</w:t>
      </w:r>
    </w:p>
    <w:p w14:paraId="05D042CA" w14:textId="77777777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</w:p>
    <w:p w14:paraId="219EFD20" w14:textId="77E47227" w:rsidR="008A5BA7" w:rsidRPr="00A312C5" w:rsidRDefault="008A5BA7" w:rsidP="00237685">
      <w:pPr>
        <w:pStyle w:val="af0"/>
        <w:ind w:left="0" w:firstLine="709"/>
        <w:jc w:val="right"/>
      </w:pPr>
      <w:r w:rsidRPr="00A312C5">
        <w:t>Выпускная квалификационная работа</w:t>
      </w:r>
    </w:p>
    <w:p w14:paraId="6B6181E0" w14:textId="12E4A6C8" w:rsidR="008A5BA7" w:rsidRPr="00A312C5" w:rsidRDefault="008A5BA7" w:rsidP="00237685">
      <w:pPr>
        <w:pStyle w:val="af0"/>
        <w:ind w:left="0" w:firstLine="709"/>
        <w:jc w:val="right"/>
      </w:pPr>
      <w:r w:rsidRPr="00A312C5">
        <w:t>студентки 4 курса бакалаврской программы,</w:t>
      </w:r>
    </w:p>
    <w:p w14:paraId="16C052A2" w14:textId="77777777" w:rsidR="008A5BA7" w:rsidRPr="00A312C5" w:rsidRDefault="008A5BA7" w:rsidP="00237685">
      <w:pPr>
        <w:pStyle w:val="af0"/>
        <w:ind w:left="0" w:firstLine="709"/>
        <w:jc w:val="right"/>
      </w:pPr>
      <w:r w:rsidRPr="00A312C5">
        <w:t>профиль – Финансовый менеджмент,</w:t>
      </w:r>
    </w:p>
    <w:p w14:paraId="6B2EC5D3" w14:textId="77777777" w:rsidR="008A5BA7" w:rsidRPr="00A312C5" w:rsidRDefault="008A5BA7" w:rsidP="00237685">
      <w:pPr>
        <w:pStyle w:val="af0"/>
        <w:ind w:left="0" w:firstLine="709"/>
        <w:jc w:val="right"/>
        <w:rPr>
          <w:b/>
        </w:rPr>
      </w:pPr>
      <w:r w:rsidRPr="00A312C5">
        <w:rPr>
          <w:rStyle w:val="af2"/>
        </w:rPr>
        <w:t>ВОСКОБОЙНИК Марии Валерьевны</w:t>
      </w:r>
    </w:p>
    <w:p w14:paraId="7C681999" w14:textId="77777777" w:rsidR="008A5BA7" w:rsidRPr="00A312C5" w:rsidRDefault="008A5BA7" w:rsidP="00237685">
      <w:pPr>
        <w:pStyle w:val="af0"/>
        <w:ind w:left="0" w:firstLine="709"/>
        <w:jc w:val="right"/>
        <w:rPr>
          <w:rStyle w:val="af1"/>
        </w:rPr>
      </w:pP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</w:p>
    <w:p w14:paraId="40AAFCCA" w14:textId="77777777" w:rsidR="008A5BA7" w:rsidRPr="00A312C5" w:rsidRDefault="008A5BA7" w:rsidP="00237685">
      <w:pPr>
        <w:pStyle w:val="af0"/>
        <w:ind w:left="0" w:firstLine="709"/>
        <w:jc w:val="right"/>
      </w:pPr>
    </w:p>
    <w:p w14:paraId="7AB0B51C" w14:textId="77777777" w:rsidR="008A5BA7" w:rsidRPr="00A312C5" w:rsidRDefault="008A5BA7" w:rsidP="00237685">
      <w:pPr>
        <w:pStyle w:val="af0"/>
        <w:ind w:left="0" w:firstLine="709"/>
        <w:jc w:val="right"/>
      </w:pPr>
      <w:r w:rsidRPr="00A312C5">
        <w:t>Научный руководитель</w:t>
      </w:r>
    </w:p>
    <w:p w14:paraId="6820EA4E" w14:textId="77777777" w:rsidR="008A5BA7" w:rsidRPr="00A312C5" w:rsidRDefault="008A5BA7" w:rsidP="00237685">
      <w:pPr>
        <w:pStyle w:val="af0"/>
        <w:ind w:left="0" w:firstLine="709"/>
        <w:jc w:val="right"/>
        <w:rPr>
          <w:rStyle w:val="af2"/>
          <w:b w:val="0"/>
        </w:rPr>
      </w:pPr>
      <w:proofErr w:type="spellStart"/>
      <w:r w:rsidRPr="00A312C5">
        <w:rPr>
          <w:rStyle w:val="af2"/>
        </w:rPr>
        <w:t>к.ф-м.н</w:t>
      </w:r>
      <w:proofErr w:type="spellEnd"/>
      <w:r w:rsidRPr="00A312C5">
        <w:rPr>
          <w:rStyle w:val="af2"/>
        </w:rPr>
        <w:t>., доцент кафедры финансов и учета</w:t>
      </w:r>
    </w:p>
    <w:p w14:paraId="51C9AB58" w14:textId="77777777" w:rsidR="008A5BA7" w:rsidRPr="00A312C5" w:rsidRDefault="008A5BA7" w:rsidP="00237685">
      <w:pPr>
        <w:pStyle w:val="af0"/>
        <w:ind w:left="0" w:firstLine="709"/>
        <w:jc w:val="right"/>
        <w:rPr>
          <w:rStyle w:val="af2"/>
        </w:rPr>
      </w:pPr>
      <w:r w:rsidRPr="00A312C5">
        <w:rPr>
          <w:rStyle w:val="af2"/>
        </w:rPr>
        <w:t>ОКУЛОВ Виталий Леонидович</w:t>
      </w:r>
    </w:p>
    <w:p w14:paraId="40BF3638" w14:textId="77777777" w:rsidR="008A5BA7" w:rsidRPr="00A312C5" w:rsidRDefault="008A5BA7" w:rsidP="00237685">
      <w:pPr>
        <w:pStyle w:val="af0"/>
        <w:ind w:left="0" w:firstLine="709"/>
        <w:jc w:val="right"/>
        <w:rPr>
          <w:rStyle w:val="af1"/>
        </w:rPr>
      </w:pP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  <w:r w:rsidRPr="00A312C5">
        <w:rPr>
          <w:rStyle w:val="af1"/>
        </w:rPr>
        <w:tab/>
      </w:r>
    </w:p>
    <w:p w14:paraId="028FE7BA" w14:textId="77777777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</w:p>
    <w:p w14:paraId="65B974D4" w14:textId="77777777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  <w:r w:rsidRPr="00A312C5">
        <w:rPr>
          <w:rFonts w:ascii="Times New Roman" w:hAnsi="Times New Roman" w:cs="Times New Roman"/>
        </w:rPr>
        <w:t>«СООТВЕТСТВУЕТ ТРЕБОВАНИЯМ»</w:t>
      </w:r>
    </w:p>
    <w:p w14:paraId="16C3D3F2" w14:textId="77777777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  <w:r w:rsidRPr="00A312C5">
        <w:rPr>
          <w:rFonts w:ascii="Times New Roman" w:hAnsi="Times New Roman" w:cs="Times New Roman"/>
        </w:rPr>
        <w:t>_______________________________________</w:t>
      </w:r>
    </w:p>
    <w:p w14:paraId="71A696BF" w14:textId="77777777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</w:p>
    <w:p w14:paraId="1EF20132" w14:textId="33ABD271" w:rsidR="008A5BA7" w:rsidRPr="00A312C5" w:rsidRDefault="008A5BA7" w:rsidP="00237685">
      <w:pPr>
        <w:ind w:firstLine="709"/>
        <w:jc w:val="right"/>
        <w:rPr>
          <w:rFonts w:ascii="Times New Roman" w:hAnsi="Times New Roman" w:cs="Times New Roman"/>
        </w:rPr>
      </w:pPr>
      <w:r w:rsidRPr="00A312C5">
        <w:rPr>
          <w:rFonts w:ascii="Times New Roman" w:hAnsi="Times New Roman" w:cs="Times New Roman"/>
        </w:rPr>
        <w:t>«_____» _____________________ 2021 г.</w:t>
      </w:r>
    </w:p>
    <w:p w14:paraId="26307EDF" w14:textId="797E4952" w:rsidR="008A5BA7" w:rsidRDefault="008A5BA7" w:rsidP="00F31B76">
      <w:pPr>
        <w:rPr>
          <w:rFonts w:ascii="Times New Roman" w:hAnsi="Times New Roman" w:cs="Times New Roman"/>
        </w:rPr>
      </w:pPr>
    </w:p>
    <w:p w14:paraId="7CCFCF70" w14:textId="4B55F73E" w:rsidR="004A0F15" w:rsidRDefault="004A0F15" w:rsidP="00F31B76">
      <w:pPr>
        <w:rPr>
          <w:rFonts w:ascii="Times New Roman" w:hAnsi="Times New Roman" w:cs="Times New Roman"/>
        </w:rPr>
      </w:pPr>
    </w:p>
    <w:p w14:paraId="3BFAF398" w14:textId="77777777" w:rsidR="004A0F15" w:rsidRPr="00A312C5" w:rsidRDefault="004A0F15" w:rsidP="00F31B76">
      <w:pPr>
        <w:rPr>
          <w:rFonts w:ascii="Times New Roman" w:hAnsi="Times New Roman" w:cs="Times New Roman"/>
        </w:rPr>
      </w:pPr>
    </w:p>
    <w:p w14:paraId="2D800AB4" w14:textId="77777777" w:rsidR="008A5BA7" w:rsidRPr="00A312C5" w:rsidRDefault="008A5BA7" w:rsidP="00237685">
      <w:pPr>
        <w:pStyle w:val="ad"/>
        <w:ind w:firstLine="709"/>
      </w:pPr>
      <w:r w:rsidRPr="00A312C5">
        <w:t>Санкт-Петербург</w:t>
      </w:r>
    </w:p>
    <w:p w14:paraId="2B220D16" w14:textId="1FF30BEF" w:rsidR="00F31B76" w:rsidRDefault="00F31B76" w:rsidP="00F31B76">
      <w:pPr>
        <w:pStyle w:val="ad"/>
        <w:tabs>
          <w:tab w:val="center" w:pos="5031"/>
          <w:tab w:val="right" w:pos="9354"/>
        </w:tabs>
        <w:ind w:firstLine="709"/>
        <w:jc w:val="left"/>
      </w:pPr>
      <w:r>
        <w:tab/>
      </w:r>
      <w:r w:rsidR="008A5BA7" w:rsidRPr="00A312C5">
        <w:t>2021</w:t>
      </w:r>
    </w:p>
    <w:p w14:paraId="4A1DA22C" w14:textId="58D9A3D4" w:rsidR="00F31B76" w:rsidRDefault="00F31B76" w:rsidP="004A0F15">
      <w:pPr>
        <w:tabs>
          <w:tab w:val="right" w:pos="9354"/>
        </w:tabs>
        <w:rPr>
          <w:rFonts w:ascii="Times New Roman" w:eastAsia="Calibri" w:hAnsi="Times New Roman" w:cs="Times New Roman"/>
          <w:sz w:val="24"/>
        </w:rPr>
      </w:pPr>
      <w:r>
        <w:br w:type="page"/>
      </w:r>
    </w:p>
    <w:p w14:paraId="793324A2" w14:textId="77777777" w:rsidR="004A0F15" w:rsidRDefault="004A0F15" w:rsidP="00181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A0F15" w:rsidSect="004A0F15">
          <w:footerReference w:type="default" r:id="rId8"/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88EB109" w14:textId="54FFECFA" w:rsidR="00542E26" w:rsidRPr="00A312C5" w:rsidRDefault="00542E26" w:rsidP="00181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2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 о самостоятельном выполнении курсовой работы</w:t>
      </w:r>
    </w:p>
    <w:p w14:paraId="352A74CC" w14:textId="3683F0CE" w:rsidR="00542E26" w:rsidRPr="00A312C5" w:rsidRDefault="00542E26" w:rsidP="00237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312C5">
        <w:rPr>
          <w:rFonts w:ascii="Times New Roman" w:eastAsia="Calibri" w:hAnsi="Times New Roman" w:cs="Times New Roman"/>
          <w:sz w:val="24"/>
        </w:rPr>
        <w:t>Я, Воскобойник Мария Валерьевна, студентка 4 курса направления 38.03.02 «Менеджмент» (профиль подготовки – Финансовый менеджмент), заявляю, что в моей выпускной квалификационной работе на тему «Анализ отраслевых различий в затратах компаний на НИОКР», предоставленной в службу обеспечения программ бакалавриата для публичной защиты, не содержится элементов плагиата. Все прямые заимствования из печатных и электронных источников, а также из защищенных ранее курсовых и выпускных квалификационных работ, кандидатских и докторских диссертаций имеют соответствующие ссылки.</w:t>
      </w:r>
    </w:p>
    <w:p w14:paraId="38CF775F" w14:textId="7EB9EC91" w:rsidR="00542E26" w:rsidRPr="00A312C5" w:rsidRDefault="00542E26" w:rsidP="00237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312C5">
        <w:rPr>
          <w:rFonts w:ascii="Times New Roman" w:eastAsia="Calibri" w:hAnsi="Times New Roman" w:cs="Times New Roman"/>
          <w:sz w:val="24"/>
        </w:rPr>
        <w:t>Мне известно содержание п. 6.3 Правил обучения по основным образовательным программам высшего и среднего профессионального образования в СПбГУ о том, что «Требования к выполнению курсовой работы устанавливаются рабочей программой учебных занятий», п. 3.1.4 Рабочей программы учебной дисциплины «Курсовая работа по менеджменту» о том, что «Обнаружение в ВКР студента плагиата (прямое или контекстуальное заимствование текста из печатных и электронных источников, а также из защищенных ранее выпускных квалификационных работ, кандидатских и докторских диссертаций без соответствующих ссылок) является основанием для выставления комиссией по защите курсовых работ оценки «</w:t>
      </w:r>
      <w:proofErr w:type="spellStart"/>
      <w:r w:rsidRPr="00A312C5">
        <w:rPr>
          <w:rFonts w:ascii="Times New Roman" w:eastAsia="Calibri" w:hAnsi="Times New Roman" w:cs="Times New Roman"/>
          <w:sz w:val="24"/>
        </w:rPr>
        <w:t>незачтено</w:t>
      </w:r>
      <w:proofErr w:type="spellEnd"/>
      <w:r w:rsidRPr="00A312C5">
        <w:rPr>
          <w:rFonts w:ascii="Times New Roman" w:eastAsia="Calibri" w:hAnsi="Times New Roman" w:cs="Times New Roman"/>
          <w:sz w:val="24"/>
        </w:rPr>
        <w:t xml:space="preserve"> (F)», и п.51 Устава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о том, что «студент подлежит отчислению из Санкт-Петербургского университета за представление курсовой или выпускной квалификационной работы, выполненной другим лицом (лицами)».</w:t>
      </w:r>
    </w:p>
    <w:p w14:paraId="0A23595F" w14:textId="77777777" w:rsidR="00542E26" w:rsidRPr="00A312C5" w:rsidRDefault="00542E26" w:rsidP="00237685">
      <w:pPr>
        <w:ind w:firstLine="709"/>
        <w:jc w:val="both"/>
        <w:rPr>
          <w:rFonts w:ascii="Times New Roman" w:hAnsi="Times New Roman" w:cs="Times New Roman"/>
        </w:rPr>
      </w:pPr>
    </w:p>
    <w:p w14:paraId="09284D88" w14:textId="77777777" w:rsidR="00542E26" w:rsidRPr="00A312C5" w:rsidRDefault="00542E26" w:rsidP="00237685">
      <w:pPr>
        <w:ind w:firstLine="709"/>
        <w:jc w:val="both"/>
        <w:rPr>
          <w:rFonts w:ascii="Times New Roman" w:hAnsi="Times New Roman" w:cs="Times New Roman"/>
        </w:rPr>
      </w:pPr>
    </w:p>
    <w:p w14:paraId="6A3320D6" w14:textId="77777777" w:rsidR="00542E26" w:rsidRPr="00A312C5" w:rsidRDefault="00542E26" w:rsidP="00237685">
      <w:pPr>
        <w:ind w:firstLine="709"/>
        <w:rPr>
          <w:rFonts w:ascii="Times New Roman" w:hAnsi="Times New Roman" w:cs="Times New Roman"/>
        </w:rPr>
      </w:pPr>
    </w:p>
    <w:p w14:paraId="467FA80E" w14:textId="77777777" w:rsidR="00542E26" w:rsidRPr="00A312C5" w:rsidRDefault="00542E26" w:rsidP="00237685">
      <w:pPr>
        <w:ind w:firstLine="709"/>
        <w:rPr>
          <w:rFonts w:ascii="Times New Roman" w:hAnsi="Times New Roman" w:cs="Times New Roman"/>
        </w:rPr>
      </w:pPr>
      <w:r w:rsidRPr="00A312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F6E2FA" wp14:editId="6F6E687C">
            <wp:simplePos x="0" y="0"/>
            <wp:positionH relativeFrom="column">
              <wp:posOffset>776854</wp:posOffset>
            </wp:positionH>
            <wp:positionV relativeFrom="paragraph">
              <wp:posOffset>91164</wp:posOffset>
            </wp:positionV>
            <wp:extent cx="1009815" cy="608173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ирование мая 29, 2020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15" cy="60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F3A9" w14:textId="77777777" w:rsidR="00542E26" w:rsidRPr="00A312C5" w:rsidRDefault="00542E26" w:rsidP="00237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312C5">
        <w:rPr>
          <w:rFonts w:ascii="Times New Roman" w:eastAsia="Calibri" w:hAnsi="Times New Roman" w:cs="Times New Roman"/>
          <w:sz w:val="24"/>
        </w:rPr>
        <w:t>______________________________ (Подпись студента)</w:t>
      </w:r>
    </w:p>
    <w:p w14:paraId="17B65451" w14:textId="70B7D729" w:rsidR="004A0F15" w:rsidRDefault="00542E26" w:rsidP="00237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312C5">
        <w:rPr>
          <w:rFonts w:ascii="Times New Roman" w:eastAsia="Calibri" w:hAnsi="Times New Roman" w:cs="Times New Roman"/>
          <w:sz w:val="24"/>
        </w:rPr>
        <w:t>_______</w:t>
      </w:r>
      <w:r w:rsidR="00237685" w:rsidRPr="00A312C5">
        <w:rPr>
          <w:rFonts w:ascii="Times New Roman" w:eastAsia="Calibri" w:hAnsi="Times New Roman" w:cs="Times New Roman"/>
          <w:sz w:val="24"/>
          <w:u w:val="single"/>
        </w:rPr>
        <w:t>14</w:t>
      </w:r>
      <w:r w:rsidRPr="00A312C5">
        <w:rPr>
          <w:rFonts w:ascii="Times New Roman" w:eastAsia="Calibri" w:hAnsi="Times New Roman" w:cs="Times New Roman"/>
          <w:sz w:val="24"/>
          <w:u w:val="single"/>
        </w:rPr>
        <w:t>.0</w:t>
      </w:r>
      <w:r w:rsidR="00237685" w:rsidRPr="00A312C5">
        <w:rPr>
          <w:rFonts w:ascii="Times New Roman" w:eastAsia="Calibri" w:hAnsi="Times New Roman" w:cs="Times New Roman"/>
          <w:sz w:val="24"/>
          <w:u w:val="single"/>
        </w:rPr>
        <w:t>4</w:t>
      </w:r>
      <w:r w:rsidRPr="00A312C5">
        <w:rPr>
          <w:rFonts w:ascii="Times New Roman" w:eastAsia="Calibri" w:hAnsi="Times New Roman" w:cs="Times New Roman"/>
          <w:sz w:val="24"/>
          <w:u w:val="single"/>
        </w:rPr>
        <w:t>.202</w:t>
      </w:r>
      <w:r w:rsidR="00237685" w:rsidRPr="00A312C5">
        <w:rPr>
          <w:rFonts w:ascii="Times New Roman" w:eastAsia="Calibri" w:hAnsi="Times New Roman" w:cs="Times New Roman"/>
          <w:sz w:val="24"/>
          <w:u w:val="single"/>
        </w:rPr>
        <w:t>1</w:t>
      </w:r>
      <w:r w:rsidRPr="00A312C5">
        <w:rPr>
          <w:rFonts w:ascii="Times New Roman" w:eastAsia="Calibri" w:hAnsi="Times New Roman" w:cs="Times New Roman"/>
          <w:sz w:val="24"/>
          <w:u w:val="single"/>
        </w:rPr>
        <w:t xml:space="preserve"> г</w:t>
      </w:r>
      <w:r w:rsidRPr="00A312C5">
        <w:rPr>
          <w:rFonts w:ascii="Times New Roman" w:eastAsia="Calibri" w:hAnsi="Times New Roman" w:cs="Times New Roman"/>
          <w:sz w:val="24"/>
        </w:rPr>
        <w:t>.____________ (Дата)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6377211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C74481" w14:textId="77777777" w:rsidR="004A0F15" w:rsidRPr="00B42857" w:rsidRDefault="004A0F15" w:rsidP="006754D7">
          <w:pPr>
            <w:pStyle w:val="af3"/>
            <w:spacing w:before="0" w:line="360" w:lineRule="auto"/>
            <w:jc w:val="both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  <w:sectPr w:rsidR="004A0F15" w:rsidRPr="00B42857" w:rsidSect="004A0F15">
              <w:pgSz w:w="11906" w:h="16838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</w:p>
        <w:p w14:paraId="12A74231" w14:textId="29F18D52" w:rsidR="005C1505" w:rsidRPr="00F36196" w:rsidRDefault="008D742E" w:rsidP="006754D7">
          <w:pPr>
            <w:pStyle w:val="af3"/>
            <w:spacing w:before="0"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F3619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lastRenderedPageBreak/>
            <w:t>СОДЕРЖАНИЕ</w:t>
          </w:r>
        </w:p>
        <w:p w14:paraId="44C60387" w14:textId="249DCD1C" w:rsidR="00F36196" w:rsidRPr="00F36196" w:rsidRDefault="005C1505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F3619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619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3619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3538416" w:history="1">
            <w:r w:rsidR="00F36196" w:rsidRPr="00F36196">
              <w:rPr>
                <w:rStyle w:val="a7"/>
                <w:rFonts w:ascii="Times New Roman" w:hAnsi="Times New Roman" w:cs="Times New Roman"/>
                <w:noProof/>
              </w:rPr>
              <w:t>ВЕДЕНИЕ</w:t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_Toc73538416 \h </w:instrText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36196"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22A01" w14:textId="033266B3" w:rsidR="00F36196" w:rsidRPr="00F36196" w:rsidRDefault="00F36196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17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ГЛАВА 1. ТЕОРЕТИЧЕСКИЕ И ЭМПИРИЧЕСКИЕ ИССЛЕДОВАНИЯ ИНВЕСТИЦИЙ В НИОКР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_Toc73538417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927202" w14:textId="098CA849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18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1.1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НИОКР и инновации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_Toc73538418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2C8421" w14:textId="6A64742E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19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1.1.1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Научно-исследовательские и опытно-конструкторские работы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_Toc73538419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D5B1D0" w14:textId="3D35F811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0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1.1.2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Инновации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_Toc73538420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1371DF" w14:textId="6E199F57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1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1.1.3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Интенсивность НИОКР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_Toc73538421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0454C5" w14:textId="3BB0D68B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2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1.2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Теоретические модели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_Toc73538422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3504D2" w14:textId="6474B426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3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1.2.1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Классическая теория инноваций Йозефа Шумпетера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_Toc73538423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06E4D9" w14:textId="0BDDC18C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4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1.2.2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Таксономия Павитта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_Toc73538424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863CA3" w14:textId="6172066E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5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1.2.3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Анализ НИОКР на основе концепции реальных опционов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_Toc73538425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D110F5" w14:textId="04C44CEE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6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1.3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Эмпирические исследования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_Toc73538426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845560" w14:textId="054920AF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7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1.3.1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Исследования на уровне компании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_Toc73538427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CC43EE" w14:textId="1A3E8D69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8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1.3.2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Исследования на уровне отрасли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_Toc73538428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56C545" w14:textId="735E8177" w:rsidR="00F36196" w:rsidRPr="00F36196" w:rsidRDefault="00F36196">
          <w:pPr>
            <w:pStyle w:val="31"/>
            <w:tabs>
              <w:tab w:val="left" w:pos="132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29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1.3.3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Исследования на уровне страны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_Toc73538429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DAD0AB" w14:textId="0C2B08CB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0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1.4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Практика реализации проектов НИОКР в компаниях разных отраслей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_Toc73538430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83F97B" w14:textId="3B0BCDBC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1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1.5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Постановка проблемы и исследовательских гипотез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_Toc73538431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06907E" w14:textId="3418278B" w:rsidR="00F36196" w:rsidRPr="00F36196" w:rsidRDefault="00F36196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2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Выводы по главе 1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_Toc73538432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E1FD13" w14:textId="3EB1DCC8" w:rsidR="00F36196" w:rsidRPr="00F36196" w:rsidRDefault="00F36196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3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ГЛАВА 2. ЭМПИРИЧЕСКОЕ ИССЛЕДОВАНИЕ ДЕТЕРМИНАНТ ИНТЕНСИВНОСТИ НИОКР НА ОТРАСЛЕВОМ УРОВНЕ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_Toc73538433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B6B0CD" w14:textId="08ED555F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4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2.1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Формирование выборки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_Toc73538434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A9555B" w14:textId="29F3FCF4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5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2.2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Методология исследования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_Toc73538435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3C5654" w14:textId="40291652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6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2.3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Описательная статистика переменных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_Toc73538436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C8BF4B" w14:textId="3D90CCDA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7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2.4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Проверка на мультиколлинеарность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_Toc73538437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5F4D82" w14:textId="1AD1A743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8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2.5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Выбор многофакторной регрессионной модели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_Toc73538438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2D1C9D" w14:textId="3A148F94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39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2.6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Результаты эмпирического исследования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_Toc73538439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AF8935" w14:textId="175443FF" w:rsidR="00F36196" w:rsidRPr="00F36196" w:rsidRDefault="00F36196">
          <w:pPr>
            <w:pStyle w:val="21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0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2.7</w:t>
            </w:r>
            <w:r w:rsidRPr="00F3619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Анализ отраслевых различий и драйверов инвестиций компаний в НИОКР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_Toc73538440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F70D8" w14:textId="30BA6869" w:rsidR="00F36196" w:rsidRPr="00F36196" w:rsidRDefault="00F36196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1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Выводы по главе 2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_Toc73538441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091052" w14:textId="30CFE6FD" w:rsidR="00F36196" w:rsidRPr="00F36196" w:rsidRDefault="00F36196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2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ЗАКЛЮЧЕНИЕ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_Toc73538442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C3EB62" w14:textId="00419D87" w:rsidR="00F36196" w:rsidRPr="00F36196" w:rsidRDefault="00F36196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3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СПИСОК</w:t>
            </w:r>
            <w:r w:rsidRPr="00F36196">
              <w:rPr>
                <w:rStyle w:val="a7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ИСПОЛЬЗОВАННОЙ</w:t>
            </w:r>
            <w:r w:rsidRPr="00F36196">
              <w:rPr>
                <w:rStyle w:val="a7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F36196">
              <w:rPr>
                <w:rStyle w:val="a7"/>
                <w:rFonts w:ascii="Times New Roman" w:hAnsi="Times New Roman" w:cs="Times New Roman"/>
                <w:noProof/>
              </w:rPr>
              <w:t>ЛИТЕРАТУРЫ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_Toc73538443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2A0763" w14:textId="2E90C1F5" w:rsidR="00F36196" w:rsidRPr="00F36196" w:rsidRDefault="00F36196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4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ПРИЛОЖЕНИЯ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_Toc73538444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6A334F" w14:textId="3962F4FD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5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1. Отраслевая структура выборки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_Toc73538445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3F4F71" w14:textId="063D8383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6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2. Географическая структура выборки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_Toc73538446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D771B2" w14:textId="76BD92DE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7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3. Отраслевые инвестиции в НИОКР, 2019 год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_Toc73538447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31BD16" w14:textId="4F32BCDB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8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4. Корреляционная матрица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_Toc73538448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2FE5EA" w14:textId="2A88D101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49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5. Проверка на мультиколлинеарность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_Toc73538449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93EB38" w14:textId="713DA4D5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50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6. Результаты теста Бреуша-Пагана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_Toc73538450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B39970" w14:textId="3DC60F0E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51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7. Результаты теста Хаусмана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_Toc73538451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122C36" w14:textId="1E184265" w:rsidR="00F36196" w:rsidRPr="00F36196" w:rsidRDefault="00F36196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3538452" w:history="1">
            <w:r w:rsidRPr="00F36196">
              <w:rPr>
                <w:rStyle w:val="a7"/>
                <w:rFonts w:ascii="Times New Roman" w:hAnsi="Times New Roman" w:cs="Times New Roman"/>
                <w:noProof/>
              </w:rPr>
              <w:t>Приложение 8. Описательная статистика переменных по отраслевым моделям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instrText xml:space="preserve"> PAGEREF _Toc73538452 \h </w:instrTex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F361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D86693" w14:textId="4236FB3E" w:rsidR="005C1505" w:rsidRPr="00B42857" w:rsidRDefault="005C1505" w:rsidP="00F31B76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</w:rPr>
          </w:pPr>
          <w:r w:rsidRPr="00F3619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14D48D3" w14:textId="77777777" w:rsidR="00F31B76" w:rsidRPr="00B42857" w:rsidRDefault="00F31B76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857">
        <w:rPr>
          <w:rFonts w:ascii="Times New Roman" w:hAnsi="Times New Roman" w:cs="Times New Roman"/>
          <w:szCs w:val="24"/>
        </w:rPr>
        <w:br w:type="page"/>
      </w:r>
    </w:p>
    <w:p w14:paraId="42FBD431" w14:textId="3DF0FE01" w:rsidR="009B0721" w:rsidRPr="00A312C5" w:rsidRDefault="009879B1" w:rsidP="00881859">
      <w:pPr>
        <w:pStyle w:val="1"/>
        <w:spacing w:before="0" w:beforeAutospacing="0" w:after="0" w:afterAutospacing="0"/>
        <w:rPr>
          <w:szCs w:val="24"/>
        </w:rPr>
      </w:pPr>
      <w:bookmarkStart w:id="0" w:name="_Toc73538416"/>
      <w:r w:rsidRPr="00A312C5">
        <w:rPr>
          <w:szCs w:val="24"/>
        </w:rPr>
        <w:lastRenderedPageBreak/>
        <w:t>ВЕДЕНИЕ</w:t>
      </w:r>
      <w:bookmarkEnd w:id="0"/>
    </w:p>
    <w:p w14:paraId="2550CB77" w14:textId="7CA11839" w:rsidR="00607BD6" w:rsidRPr="00A312C5" w:rsidRDefault="008C7A6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Реализация проектов в сфере </w:t>
      </w:r>
      <w:r w:rsidR="00753A41">
        <w:rPr>
          <w:rFonts w:ascii="Times New Roman" w:hAnsi="Times New Roman" w:cs="Times New Roman"/>
          <w:sz w:val="24"/>
          <w:szCs w:val="24"/>
        </w:rPr>
        <w:t>научно-исследовательских и опытно-конструкторских работ (НИОКР)</w:t>
      </w:r>
      <w:r w:rsidRPr="00A312C5">
        <w:rPr>
          <w:rFonts w:ascii="Times New Roman" w:hAnsi="Times New Roman" w:cs="Times New Roman"/>
          <w:sz w:val="24"/>
          <w:szCs w:val="24"/>
        </w:rPr>
        <w:t xml:space="preserve"> является одним из важных драйверов экономического развития. </w:t>
      </w:r>
      <w:r w:rsidR="00AD6FFC" w:rsidRPr="00A312C5">
        <w:rPr>
          <w:rFonts w:ascii="Times New Roman" w:hAnsi="Times New Roman" w:cs="Times New Roman"/>
          <w:sz w:val="24"/>
          <w:szCs w:val="24"/>
        </w:rPr>
        <w:t>Научные разработки и исследования давно перест</w:t>
      </w:r>
      <w:r w:rsidR="00EB0E3E">
        <w:rPr>
          <w:rFonts w:ascii="Times New Roman" w:hAnsi="Times New Roman" w:cs="Times New Roman"/>
          <w:sz w:val="24"/>
          <w:szCs w:val="24"/>
        </w:rPr>
        <w:t>а</w:t>
      </w:r>
      <w:r w:rsidR="00AD6FFC" w:rsidRPr="00A312C5">
        <w:rPr>
          <w:rFonts w:ascii="Times New Roman" w:hAnsi="Times New Roman" w:cs="Times New Roman"/>
          <w:sz w:val="24"/>
          <w:szCs w:val="24"/>
        </w:rPr>
        <w:t xml:space="preserve">ли быть прерогативой промышленных гигантов и инновационных компаний в сфере информационных технологий. Все больше организаций из </w:t>
      </w:r>
      <w:r w:rsidR="00BC6752" w:rsidRPr="00A312C5">
        <w:rPr>
          <w:rFonts w:ascii="Times New Roman" w:hAnsi="Times New Roman" w:cs="Times New Roman"/>
          <w:sz w:val="24"/>
          <w:szCs w:val="24"/>
        </w:rPr>
        <w:t>самых разных</w:t>
      </w:r>
      <w:r w:rsidR="00AD6FFC" w:rsidRPr="00A312C5">
        <w:rPr>
          <w:rFonts w:ascii="Times New Roman" w:hAnsi="Times New Roman" w:cs="Times New Roman"/>
          <w:sz w:val="24"/>
          <w:szCs w:val="24"/>
        </w:rPr>
        <w:t xml:space="preserve"> отраслей экономики определяют НИОКР как одн</w:t>
      </w:r>
      <w:r w:rsidR="00BC6752" w:rsidRPr="00A312C5">
        <w:rPr>
          <w:rFonts w:ascii="Times New Roman" w:hAnsi="Times New Roman" w:cs="Times New Roman"/>
          <w:sz w:val="24"/>
          <w:szCs w:val="24"/>
        </w:rPr>
        <w:t>о</w:t>
      </w:r>
      <w:r w:rsidR="00AD6FFC" w:rsidRPr="00A312C5">
        <w:rPr>
          <w:rFonts w:ascii="Times New Roman" w:hAnsi="Times New Roman" w:cs="Times New Roman"/>
          <w:sz w:val="24"/>
          <w:szCs w:val="24"/>
        </w:rPr>
        <w:t xml:space="preserve"> из ключевых</w:t>
      </w:r>
      <w:r w:rsidR="00BC6752" w:rsidRPr="00A312C5">
        <w:rPr>
          <w:rFonts w:ascii="Times New Roman" w:hAnsi="Times New Roman" w:cs="Times New Roman"/>
          <w:sz w:val="24"/>
          <w:szCs w:val="24"/>
        </w:rPr>
        <w:t xml:space="preserve"> направлений деятельности.</w:t>
      </w:r>
      <w:r w:rsidR="00AD6FFC" w:rsidRPr="00A312C5">
        <w:rPr>
          <w:rFonts w:ascii="Times New Roman" w:hAnsi="Times New Roman" w:cs="Times New Roman"/>
          <w:sz w:val="24"/>
          <w:szCs w:val="24"/>
        </w:rPr>
        <w:t xml:space="preserve"> Процессные </w:t>
      </w:r>
      <w:r w:rsidRPr="00A312C5">
        <w:rPr>
          <w:rFonts w:ascii="Times New Roman" w:hAnsi="Times New Roman" w:cs="Times New Roman"/>
          <w:sz w:val="24"/>
          <w:szCs w:val="24"/>
        </w:rPr>
        <w:t xml:space="preserve">и продуктовые инновации помогают компаниям оптимизировать </w:t>
      </w:r>
      <w:r w:rsidR="0077280D" w:rsidRPr="00A312C5">
        <w:rPr>
          <w:rFonts w:ascii="Times New Roman" w:hAnsi="Times New Roman" w:cs="Times New Roman"/>
          <w:sz w:val="24"/>
          <w:szCs w:val="24"/>
        </w:rPr>
        <w:t>издержки</w:t>
      </w:r>
      <w:r w:rsidRPr="00A312C5">
        <w:rPr>
          <w:rFonts w:ascii="Times New Roman" w:hAnsi="Times New Roman" w:cs="Times New Roman"/>
          <w:sz w:val="24"/>
          <w:szCs w:val="24"/>
        </w:rPr>
        <w:t>, расширять границы товарных рынков, а иногда создавать совершенно новые продуктовые сегменты.  При этом расходы на НИОКР до сих пор зачастую классифицируются как дискреционные затраты, побуждая менеджеров экономить на исследованиях и использовать проверенные временем практики.</w:t>
      </w:r>
      <w:r w:rsidR="00AB3754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D51C7" w:rsidRPr="00A312C5">
        <w:rPr>
          <w:rFonts w:ascii="Times New Roman" w:hAnsi="Times New Roman" w:cs="Times New Roman"/>
          <w:sz w:val="24"/>
          <w:szCs w:val="24"/>
        </w:rPr>
        <w:t>Кажется, что са</w:t>
      </w:r>
      <w:r w:rsidR="00AB3754" w:rsidRPr="00A312C5">
        <w:rPr>
          <w:rFonts w:ascii="Times New Roman" w:hAnsi="Times New Roman" w:cs="Times New Roman"/>
          <w:sz w:val="24"/>
          <w:szCs w:val="24"/>
        </w:rPr>
        <w:t>ми по себе инвестиции в НИОКР не создают</w:t>
      </w:r>
      <w:r w:rsidR="00BD51C7" w:rsidRPr="00A312C5">
        <w:rPr>
          <w:rFonts w:ascii="Times New Roman" w:hAnsi="Times New Roman" w:cs="Times New Roman"/>
          <w:sz w:val="24"/>
          <w:szCs w:val="24"/>
        </w:rPr>
        <w:t xml:space="preserve"> ценности, поскольку не гарантируют успешного результата и зачастую сопряжены с большими рисками и финансовыми потерями. Однако, деятельность в сфере научных разработок помогает компаниям обучаться и накапливать опыт, что в долгосрочной перспективе также приносит </w:t>
      </w:r>
      <w:r w:rsidR="00EB0E3E">
        <w:rPr>
          <w:rFonts w:ascii="Times New Roman" w:hAnsi="Times New Roman" w:cs="Times New Roman"/>
          <w:sz w:val="24"/>
          <w:szCs w:val="24"/>
        </w:rPr>
        <w:t xml:space="preserve">им </w:t>
      </w:r>
      <w:r w:rsidR="00086A96">
        <w:rPr>
          <w:rFonts w:ascii="Times New Roman" w:hAnsi="Times New Roman" w:cs="Times New Roman"/>
          <w:sz w:val="24"/>
          <w:szCs w:val="24"/>
        </w:rPr>
        <w:t>выгоду</w:t>
      </w:r>
      <w:r w:rsidR="00BD51C7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3DFDD069" w14:textId="00039AA8" w:rsidR="00BD51C7" w:rsidRPr="00A312C5" w:rsidRDefault="008C7A6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2F2DBF" w:rsidRPr="00A312C5">
        <w:rPr>
          <w:rFonts w:ascii="Times New Roman" w:hAnsi="Times New Roman" w:cs="Times New Roman"/>
          <w:sz w:val="24"/>
          <w:szCs w:val="24"/>
        </w:rPr>
        <w:t>Важно отметить, что эффективная стратегия в сфере НИОКР является необходимым, но не достаточным условием успеха, так как компании могут уменьшать потенциальные выгоды от инвестиций в НИОКР, допуская ошибки в других функциональных областях бизнеса.</w:t>
      </w:r>
      <w:r w:rsidR="00BC675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AB69BA" w:rsidRPr="00A312C5">
        <w:rPr>
          <w:rFonts w:ascii="Times New Roman" w:hAnsi="Times New Roman" w:cs="Times New Roman"/>
          <w:sz w:val="24"/>
          <w:szCs w:val="24"/>
        </w:rPr>
        <w:t>Инвестиции в НИОКР</w:t>
      </w:r>
      <w:r w:rsidR="00AD6FFC" w:rsidRPr="00A312C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AB69BA" w:rsidRPr="00A312C5">
        <w:rPr>
          <w:rFonts w:ascii="Times New Roman" w:hAnsi="Times New Roman" w:cs="Times New Roman"/>
          <w:sz w:val="24"/>
          <w:szCs w:val="24"/>
        </w:rPr>
        <w:t xml:space="preserve"> имеют важное значение на страновом уровне.  </w:t>
      </w:r>
      <w:r w:rsidRPr="00A312C5">
        <w:rPr>
          <w:rFonts w:ascii="Times New Roman" w:hAnsi="Times New Roman" w:cs="Times New Roman"/>
          <w:sz w:val="24"/>
          <w:szCs w:val="24"/>
        </w:rPr>
        <w:t xml:space="preserve">Динамическое </w:t>
      </w:r>
      <w:r w:rsidR="004C3DED" w:rsidRPr="00A312C5">
        <w:rPr>
          <w:rFonts w:ascii="Times New Roman" w:hAnsi="Times New Roman" w:cs="Times New Roman"/>
          <w:sz w:val="24"/>
          <w:szCs w:val="24"/>
        </w:rPr>
        <w:t xml:space="preserve">развитие любого государства в современных экономических условиях невозможно реализовать без усиления национальной конкурентоспособности, которая во многом зависит от уровня интенсивности НИОКР. </w:t>
      </w:r>
    </w:p>
    <w:p w14:paraId="4A7FE589" w14:textId="5FF89860" w:rsidR="00E823AD" w:rsidRPr="00A312C5" w:rsidRDefault="00AD6FF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Несмотря на растущую актуальность данной темы, существующие исследования в основном сосредоточены на поиске внутрифирменных и глобальных институциональных драйверов инвестиций в НИОКР. Проблематика поиска отраслевых детерминант интенсивности НИОКР освещена в меньшей степени.</w:t>
      </w:r>
    </w:p>
    <w:p w14:paraId="4D3E693A" w14:textId="50A504E4" w:rsidR="00AB1DE6" w:rsidRPr="00A312C5" w:rsidRDefault="008174DD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AB1DE6" w:rsidRPr="00A312C5">
        <w:rPr>
          <w:rFonts w:ascii="Times New Roman" w:hAnsi="Times New Roman" w:cs="Times New Roman"/>
          <w:sz w:val="24"/>
          <w:szCs w:val="24"/>
        </w:rPr>
        <w:t xml:space="preserve">елью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="00AB1DE6"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446970"/>
      <w:r w:rsidR="00AB1DE6" w:rsidRPr="00A312C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1116C">
        <w:rPr>
          <w:rFonts w:ascii="Times New Roman" w:hAnsi="Times New Roman" w:cs="Times New Roman"/>
          <w:sz w:val="24"/>
          <w:szCs w:val="24"/>
        </w:rPr>
        <w:t>выявление</w:t>
      </w:r>
      <w:r w:rsidR="00AB1DE6" w:rsidRPr="00A312C5">
        <w:rPr>
          <w:rFonts w:ascii="Times New Roman" w:hAnsi="Times New Roman" w:cs="Times New Roman"/>
          <w:sz w:val="24"/>
          <w:szCs w:val="24"/>
        </w:rPr>
        <w:t xml:space="preserve"> факторов, влияющих на уровень затрат на НИОКР в компаниях разных отраслей. </w:t>
      </w:r>
      <w:bookmarkEnd w:id="1"/>
      <w:r w:rsidR="00AB1DE6" w:rsidRPr="00A312C5">
        <w:rPr>
          <w:rFonts w:ascii="Times New Roman" w:hAnsi="Times New Roman" w:cs="Times New Roman"/>
          <w:sz w:val="24"/>
          <w:szCs w:val="24"/>
        </w:rPr>
        <w:t>Для достижения заявленной цели был</w:t>
      </w:r>
      <w:r w:rsidR="00436097" w:rsidRPr="00A312C5">
        <w:rPr>
          <w:rFonts w:ascii="Times New Roman" w:hAnsi="Times New Roman" w:cs="Times New Roman"/>
          <w:sz w:val="24"/>
          <w:szCs w:val="24"/>
        </w:rPr>
        <w:t>и сформулированы и решены следующие задачи:</w:t>
      </w:r>
    </w:p>
    <w:p w14:paraId="4089A6D6" w14:textId="43FF3201" w:rsidR="00436097" w:rsidRPr="00A312C5" w:rsidRDefault="00436097" w:rsidP="006754D7">
      <w:pPr>
        <w:pStyle w:val="a3"/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анализ теоретических и эмпирических исследований, посвященных инвестициям компаний в НИОКР;</w:t>
      </w:r>
    </w:p>
    <w:p w14:paraId="302E203D" w14:textId="231E8FC6" w:rsidR="00436097" w:rsidRPr="00A312C5" w:rsidRDefault="00436097" w:rsidP="006754D7">
      <w:pPr>
        <w:pStyle w:val="a3"/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выбор модели для эмпирического исследования и ее адаптация с учетом имеющихся данных и специфических ограничений;</w:t>
      </w:r>
    </w:p>
    <w:p w14:paraId="52F4CA37" w14:textId="5FC30071" w:rsidR="00436097" w:rsidRPr="00A312C5" w:rsidRDefault="00092DAB" w:rsidP="006754D7">
      <w:pPr>
        <w:pStyle w:val="a3"/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сбор данных и проведение эмпирического исследования, посвященного определению отраслевых драйверов инвестиций в НИОКР;</w:t>
      </w:r>
    </w:p>
    <w:p w14:paraId="56F4CD89" w14:textId="28F51AD3" w:rsidR="00092DAB" w:rsidRPr="00A312C5" w:rsidRDefault="00092DAB" w:rsidP="006754D7">
      <w:pPr>
        <w:pStyle w:val="a3"/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анализ полученных результатов, </w:t>
      </w:r>
      <w:r w:rsidR="000E5F85">
        <w:rPr>
          <w:rFonts w:ascii="Times New Roman" w:hAnsi="Times New Roman" w:cs="Times New Roman"/>
          <w:sz w:val="24"/>
          <w:szCs w:val="24"/>
        </w:rPr>
        <w:t>выводы по исследованию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3B5DA" w14:textId="10DAB4F4" w:rsidR="00E823AD" w:rsidRPr="00A312C5" w:rsidRDefault="008174DD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в формате эмпирического исследования. </w:t>
      </w:r>
      <w:r w:rsidR="00BC6752" w:rsidRPr="00A312C5">
        <w:rPr>
          <w:rFonts w:ascii="Times New Roman" w:hAnsi="Times New Roman" w:cs="Times New Roman"/>
          <w:sz w:val="24"/>
          <w:szCs w:val="24"/>
        </w:rPr>
        <w:t xml:space="preserve">Объектом исследования являются </w:t>
      </w:r>
      <w:r w:rsidR="00322E7F" w:rsidRPr="00A312C5">
        <w:rPr>
          <w:rFonts w:ascii="Times New Roman" w:hAnsi="Times New Roman" w:cs="Times New Roman"/>
          <w:sz w:val="24"/>
          <w:szCs w:val="24"/>
        </w:rPr>
        <w:t xml:space="preserve">крупные мировые </w:t>
      </w:r>
      <w:r w:rsidR="00BC6752" w:rsidRPr="00A312C5">
        <w:rPr>
          <w:rFonts w:ascii="Times New Roman" w:hAnsi="Times New Roman" w:cs="Times New Roman"/>
          <w:sz w:val="24"/>
          <w:szCs w:val="24"/>
        </w:rPr>
        <w:t xml:space="preserve">компании, </w:t>
      </w:r>
      <w:r w:rsidR="00322E7F" w:rsidRPr="00A312C5">
        <w:rPr>
          <w:rFonts w:ascii="Times New Roman" w:hAnsi="Times New Roman" w:cs="Times New Roman"/>
          <w:sz w:val="24"/>
          <w:szCs w:val="24"/>
        </w:rPr>
        <w:t xml:space="preserve">инвестировавшие самые большие суммы </w:t>
      </w:r>
      <w:r w:rsidR="00753A41">
        <w:rPr>
          <w:rFonts w:ascii="Times New Roman" w:hAnsi="Times New Roman" w:cs="Times New Roman"/>
          <w:sz w:val="24"/>
          <w:szCs w:val="24"/>
        </w:rPr>
        <w:t xml:space="preserve">денег </w:t>
      </w:r>
      <w:r w:rsidR="00322E7F" w:rsidRPr="00A312C5">
        <w:rPr>
          <w:rFonts w:ascii="Times New Roman" w:hAnsi="Times New Roman" w:cs="Times New Roman"/>
          <w:sz w:val="24"/>
          <w:szCs w:val="24"/>
        </w:rPr>
        <w:t>в</w:t>
      </w:r>
      <w:r w:rsidR="00BC6752" w:rsidRPr="00A312C5">
        <w:rPr>
          <w:rFonts w:ascii="Times New Roman" w:hAnsi="Times New Roman" w:cs="Times New Roman"/>
          <w:sz w:val="24"/>
          <w:szCs w:val="24"/>
        </w:rPr>
        <w:t xml:space="preserve"> НИОКР</w:t>
      </w:r>
      <w:r w:rsidR="00322E7F" w:rsidRPr="00A312C5">
        <w:rPr>
          <w:rFonts w:ascii="Times New Roman" w:hAnsi="Times New Roman" w:cs="Times New Roman"/>
          <w:sz w:val="24"/>
          <w:szCs w:val="24"/>
        </w:rPr>
        <w:t xml:space="preserve"> в период с 2004 по 2020 годы. Предмет исследования –</w:t>
      </w:r>
      <w:r w:rsidR="00AE467B">
        <w:rPr>
          <w:rFonts w:ascii="Times New Roman" w:hAnsi="Times New Roman" w:cs="Times New Roman"/>
          <w:sz w:val="24"/>
          <w:szCs w:val="24"/>
        </w:rPr>
        <w:t xml:space="preserve"> </w:t>
      </w:r>
      <w:r w:rsidR="00322E7F" w:rsidRPr="00A312C5">
        <w:rPr>
          <w:rFonts w:ascii="Times New Roman" w:hAnsi="Times New Roman" w:cs="Times New Roman"/>
          <w:sz w:val="24"/>
          <w:szCs w:val="24"/>
        </w:rPr>
        <w:t>отраслевые детерминанты затрат на НИОКР.</w:t>
      </w:r>
    </w:p>
    <w:p w14:paraId="6ECF843D" w14:textId="3EB1F8D5" w:rsidR="004A6342" w:rsidRPr="00A312C5" w:rsidRDefault="007369D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Работа</w:t>
      </w:r>
      <w:r w:rsidR="000F4CE5" w:rsidRPr="00A312C5">
        <w:rPr>
          <w:rFonts w:ascii="Times New Roman" w:hAnsi="Times New Roman" w:cs="Times New Roman"/>
          <w:sz w:val="24"/>
          <w:szCs w:val="24"/>
        </w:rPr>
        <w:t xml:space="preserve"> имеет следующую структуру: в первой части представлен обзор теоретической литературы, приведены основные термины и концепции, важные для введения в проблематику НИОКР, а также описаны результаты реализованных ранее эмпирических исследований на уровне компании, отрасли и страны. Первая глава завершается постановкой проблемы и формулированием основных исследовательских гипотез. Вторая глава посвящена реализации практическо</w:t>
      </w:r>
      <w:r w:rsidRPr="00A312C5">
        <w:rPr>
          <w:rFonts w:ascii="Times New Roman" w:hAnsi="Times New Roman" w:cs="Times New Roman"/>
          <w:sz w:val="24"/>
          <w:szCs w:val="24"/>
        </w:rPr>
        <w:t>й части</w:t>
      </w:r>
      <w:r w:rsidR="000F4CE5" w:rsidRPr="00A312C5">
        <w:rPr>
          <w:rFonts w:ascii="Times New Roman" w:hAnsi="Times New Roman" w:cs="Times New Roman"/>
          <w:sz w:val="24"/>
          <w:szCs w:val="24"/>
        </w:rPr>
        <w:t xml:space="preserve"> исследования, детальному описанию выборки и методологии, </w:t>
      </w:r>
      <w:r w:rsidR="00EB0E3E">
        <w:rPr>
          <w:rFonts w:ascii="Times New Roman" w:hAnsi="Times New Roman" w:cs="Times New Roman"/>
          <w:sz w:val="24"/>
          <w:szCs w:val="24"/>
        </w:rPr>
        <w:t>построению регрессионных моделей</w:t>
      </w:r>
      <w:r w:rsidR="000F4CE5" w:rsidRPr="00A312C5">
        <w:rPr>
          <w:rFonts w:ascii="Times New Roman" w:hAnsi="Times New Roman" w:cs="Times New Roman"/>
          <w:sz w:val="24"/>
          <w:szCs w:val="24"/>
        </w:rPr>
        <w:t xml:space="preserve"> и интерпретации полученных результатов. Завершающим блоком является анализ ограничений и будущих потенциальных направлений исследования.</w:t>
      </w:r>
    </w:p>
    <w:p w14:paraId="77B54421" w14:textId="6B46577C" w:rsidR="00607BD6" w:rsidRPr="00A312C5" w:rsidRDefault="004A634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Ключевые практические выводы, основанные на данн</w:t>
      </w:r>
      <w:r w:rsidR="00EB0E3E">
        <w:rPr>
          <w:rFonts w:ascii="Times New Roman" w:hAnsi="Times New Roman" w:cs="Times New Roman"/>
          <w:sz w:val="24"/>
          <w:szCs w:val="24"/>
        </w:rPr>
        <w:t>ой работе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включают два важных направления. Во-первых, результаты </w:t>
      </w:r>
      <w:r w:rsidR="000C27EF">
        <w:rPr>
          <w:rFonts w:ascii="Times New Roman" w:hAnsi="Times New Roman" w:cs="Times New Roman"/>
          <w:sz w:val="24"/>
          <w:szCs w:val="24"/>
        </w:rPr>
        <w:t>проведенного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анализа могут лечь в основу определения политики в сфере НИОКР и помочь менеджеру корректно выбрать компании для бенчмаркинга. Поскольку исследование основано на отчете Европейско</w:t>
      </w:r>
      <w:r w:rsidR="001D63E5">
        <w:rPr>
          <w:rFonts w:ascii="Times New Roman" w:hAnsi="Times New Roman" w:cs="Times New Roman"/>
          <w:sz w:val="24"/>
          <w:szCs w:val="24"/>
        </w:rPr>
        <w:t>го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1D63E5">
        <w:rPr>
          <w:rFonts w:ascii="Times New Roman" w:hAnsi="Times New Roman" w:cs="Times New Roman"/>
          <w:sz w:val="24"/>
          <w:szCs w:val="24"/>
        </w:rPr>
        <w:t>Союза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включающем данные о компаниях, наиболее активно инвестирующих в НИОКР, его результаты могут помочь лицу, принимающему решения, найти успешных конкурентов в </w:t>
      </w:r>
      <w:r w:rsidR="001D63E5">
        <w:rPr>
          <w:rFonts w:ascii="Times New Roman" w:hAnsi="Times New Roman" w:cs="Times New Roman"/>
          <w:sz w:val="24"/>
          <w:szCs w:val="24"/>
        </w:rPr>
        <w:t>нужной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отрасли и провести необходимые аналогии. Важно обращать внимание не только на отраслевую принадлежность компании, но и на характер НИОКР, капитальные затраты, уровень конкуренции и операционную прибыль. Сектор для сравнения не следует определять слишком широко, иначе средняя по отрасли интенсивность НИОКР не станет значимым ориентиром для рассматриваемой компании. </w:t>
      </w:r>
    </w:p>
    <w:p w14:paraId="420B85D0" w14:textId="622F4124" w:rsidR="001D63E5" w:rsidRDefault="004A634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9416390"/>
      <w:r w:rsidRPr="00A312C5">
        <w:rPr>
          <w:rFonts w:ascii="Times New Roman" w:hAnsi="Times New Roman" w:cs="Times New Roman"/>
          <w:sz w:val="24"/>
          <w:szCs w:val="24"/>
        </w:rPr>
        <w:t xml:space="preserve">Вторым важным направлением для потенциального практического применения результатов исследования является развитие бизнеса в диверсифицированных компаниях с обширным продуктовым портфелем в различных отраслях. Таким компаниям приходится реализовывать более комплексную задачу, чем их узкопрофильным конкурентам. Накопленный опыт и глубинное понимание внутренней динамики в отрасли безусловно являются основой построения эффективной политики в НИОКР, но на начальных этапах именно выделение отраслевых драйверов НИОКР и понимание их специфики может стать ориентиром для принятия инвестиционных решений. </w:t>
      </w:r>
      <w:bookmarkEnd w:id="2"/>
    </w:p>
    <w:p w14:paraId="49E2DE9D" w14:textId="77777777" w:rsidR="001D63E5" w:rsidRDefault="001D6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5320E5" w14:textId="4BF879CE" w:rsidR="00F04CB6" w:rsidRPr="00A312C5" w:rsidRDefault="005D1441" w:rsidP="00237685">
      <w:pPr>
        <w:pStyle w:val="1"/>
        <w:spacing w:before="0" w:beforeAutospacing="0" w:after="0" w:afterAutospacing="0"/>
        <w:ind w:firstLine="709"/>
      </w:pPr>
      <w:bookmarkStart w:id="3" w:name="_Toc73538417"/>
      <w:r w:rsidRPr="00A312C5">
        <w:lastRenderedPageBreak/>
        <w:t>Г</w:t>
      </w:r>
      <w:r w:rsidR="004807B3" w:rsidRPr="00A312C5">
        <w:t>ЛАВА</w:t>
      </w:r>
      <w:r w:rsidRPr="00A312C5">
        <w:t xml:space="preserve"> 1</w:t>
      </w:r>
      <w:r w:rsidR="004807B3" w:rsidRPr="00EB0E3E">
        <w:t xml:space="preserve">. </w:t>
      </w:r>
      <w:r w:rsidR="0079528C" w:rsidRPr="00EB0E3E">
        <w:t>ТЕОРЕТИЧ</w:t>
      </w:r>
      <w:r w:rsidR="009F3345" w:rsidRPr="00EB0E3E">
        <w:t>Е</w:t>
      </w:r>
      <w:r w:rsidR="0079528C" w:rsidRPr="00EB0E3E">
        <w:t xml:space="preserve">СКИЕ И ЭМПИРИЧЕСКИЕ ИССЛЕДОВАНИЯ </w:t>
      </w:r>
      <w:r w:rsidR="000E5F85" w:rsidRPr="00EB0E3E">
        <w:t>ИНВЕСТИЦИЙ</w:t>
      </w:r>
      <w:r w:rsidR="0079528C" w:rsidRPr="00EB0E3E">
        <w:t xml:space="preserve"> В НИОКР</w:t>
      </w:r>
      <w:bookmarkEnd w:id="3"/>
      <w:r w:rsidR="0079528C" w:rsidRPr="00A312C5">
        <w:t xml:space="preserve">  </w:t>
      </w:r>
      <w:r w:rsidR="00930712" w:rsidRPr="00A312C5">
        <w:t xml:space="preserve"> </w:t>
      </w:r>
    </w:p>
    <w:p w14:paraId="23715210" w14:textId="6BFA0CE2" w:rsidR="00584603" w:rsidRPr="00A312C5" w:rsidRDefault="00930712" w:rsidP="00A548F1">
      <w:pPr>
        <w:pStyle w:val="2"/>
        <w:numPr>
          <w:ilvl w:val="1"/>
          <w:numId w:val="1"/>
        </w:numPr>
        <w:spacing w:before="0"/>
        <w:ind w:hanging="451"/>
        <w:rPr>
          <w:rFonts w:cs="Times New Roman"/>
          <w:szCs w:val="24"/>
        </w:rPr>
      </w:pPr>
      <w:bookmarkStart w:id="4" w:name="_Toc73538418"/>
      <w:r w:rsidRPr="00A312C5">
        <w:rPr>
          <w:rFonts w:cs="Times New Roman"/>
          <w:szCs w:val="24"/>
        </w:rPr>
        <w:t>НИОКР и инновации</w:t>
      </w:r>
      <w:bookmarkEnd w:id="4"/>
    </w:p>
    <w:p w14:paraId="4713B641" w14:textId="5499363B" w:rsidR="000B037C" w:rsidRPr="003D4B4B" w:rsidRDefault="000B037C" w:rsidP="003D4B4B">
      <w:pPr>
        <w:pStyle w:val="3"/>
      </w:pPr>
      <w:bookmarkStart w:id="5" w:name="_Toc73538419"/>
      <w:r w:rsidRPr="003D4B4B">
        <w:t>Научно-исследовательские и опытно-конструкторские работы</w:t>
      </w:r>
      <w:bookmarkEnd w:id="5"/>
    </w:p>
    <w:p w14:paraId="011F98BD" w14:textId="4208609E" w:rsidR="00584603" w:rsidRPr="00A312C5" w:rsidRDefault="0058460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Перед тем, как начать дальнейшую работу, необходимо определить </w:t>
      </w:r>
      <w:r w:rsidR="006E06BA" w:rsidRPr="00A312C5">
        <w:rPr>
          <w:rFonts w:ascii="Times New Roman" w:hAnsi="Times New Roman" w:cs="Times New Roman"/>
          <w:sz w:val="24"/>
          <w:szCs w:val="24"/>
        </w:rPr>
        <w:t>ключевые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6E06BA" w:rsidRPr="00A312C5">
        <w:rPr>
          <w:rFonts w:ascii="Times New Roman" w:hAnsi="Times New Roman" w:cs="Times New Roman"/>
          <w:sz w:val="24"/>
          <w:szCs w:val="24"/>
        </w:rPr>
        <w:t>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исследования. </w:t>
      </w:r>
      <w:r w:rsidR="006E06BA" w:rsidRPr="00A312C5">
        <w:rPr>
          <w:rFonts w:ascii="Times New Roman" w:hAnsi="Times New Roman" w:cs="Times New Roman"/>
          <w:sz w:val="24"/>
          <w:szCs w:val="24"/>
        </w:rPr>
        <w:t>Основным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документом Организации экономического сотрудничества и развития</w:t>
      </w:r>
      <w:r w:rsidR="00B361A3" w:rsidRPr="00A312C5">
        <w:rPr>
          <w:rFonts w:ascii="Times New Roman" w:hAnsi="Times New Roman" w:cs="Times New Roman"/>
          <w:sz w:val="24"/>
          <w:szCs w:val="24"/>
        </w:rPr>
        <w:t xml:space="preserve"> (ОЭСР)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описывающим методологию сбора статистических данных о НИОКР, является руководство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Фраскати</w:t>
      </w:r>
      <w:proofErr w:type="spellEnd"/>
      <w:r w:rsidR="00125BC0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DD7077" w:rsidRPr="00A312C5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2015</w:t>
      </w:r>
      <w:r w:rsidR="00125BC0" w:rsidRPr="00A312C5">
        <w:rPr>
          <w:rFonts w:ascii="Times New Roman" w:hAnsi="Times New Roman" w:cs="Times New Roman"/>
          <w:sz w:val="24"/>
          <w:szCs w:val="24"/>
        </w:rPr>
        <w:t>].</w:t>
      </w:r>
      <w:r w:rsidRPr="00A312C5">
        <w:rPr>
          <w:rFonts w:ascii="Times New Roman" w:hAnsi="Times New Roman" w:cs="Times New Roman"/>
          <w:sz w:val="24"/>
          <w:szCs w:val="24"/>
        </w:rPr>
        <w:t xml:space="preserve"> Его первое издание было </w:t>
      </w:r>
      <w:r w:rsidR="00675DE6" w:rsidRPr="00A312C5">
        <w:rPr>
          <w:rFonts w:ascii="Times New Roman" w:hAnsi="Times New Roman" w:cs="Times New Roman"/>
          <w:sz w:val="24"/>
          <w:szCs w:val="24"/>
        </w:rPr>
        <w:t>утверждено на встрече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национальных специалисто</w:t>
      </w:r>
      <w:r w:rsidR="00675DE6" w:rsidRPr="00A312C5">
        <w:rPr>
          <w:rFonts w:ascii="Times New Roman" w:hAnsi="Times New Roman" w:cs="Times New Roman"/>
          <w:sz w:val="24"/>
          <w:szCs w:val="24"/>
        </w:rPr>
        <w:t xml:space="preserve">в по НИОКР </w:t>
      </w:r>
      <w:r w:rsidR="005325A8" w:rsidRPr="00A312C5">
        <w:rPr>
          <w:rFonts w:ascii="Times New Roman" w:hAnsi="Times New Roman" w:cs="Times New Roman"/>
          <w:sz w:val="24"/>
          <w:szCs w:val="24"/>
        </w:rPr>
        <w:t>ОЭСР</w:t>
      </w:r>
      <w:r w:rsidR="00675DE6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0B037C" w:rsidRPr="00A312C5">
        <w:rPr>
          <w:rFonts w:ascii="Times New Roman" w:hAnsi="Times New Roman" w:cs="Times New Roman"/>
          <w:sz w:val="24"/>
          <w:szCs w:val="24"/>
        </w:rPr>
        <w:t>в Италии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1963 году. Согласно наиболее современно</w:t>
      </w:r>
      <w:r w:rsidR="000C27EF">
        <w:rPr>
          <w:rFonts w:ascii="Times New Roman" w:hAnsi="Times New Roman" w:cs="Times New Roman"/>
          <w:sz w:val="24"/>
          <w:szCs w:val="24"/>
        </w:rPr>
        <w:t>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0C27EF">
        <w:rPr>
          <w:rFonts w:ascii="Times New Roman" w:hAnsi="Times New Roman" w:cs="Times New Roman"/>
          <w:sz w:val="24"/>
          <w:szCs w:val="24"/>
        </w:rPr>
        <w:t>версии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руководства от 2015 года</w:t>
      </w:r>
      <w:r w:rsidR="00B361A3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75DE6" w:rsidRPr="00A312C5">
        <w:rPr>
          <w:rFonts w:ascii="Times New Roman" w:hAnsi="Times New Roman" w:cs="Times New Roman"/>
          <w:sz w:val="24"/>
          <w:szCs w:val="24"/>
        </w:rPr>
        <w:t>под научно-исследовательскими и опытно-конструкторскими работами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75DE6" w:rsidRPr="00A312C5">
        <w:rPr>
          <w:rFonts w:ascii="Times New Roman" w:hAnsi="Times New Roman" w:cs="Times New Roman"/>
          <w:sz w:val="24"/>
          <w:szCs w:val="24"/>
        </w:rPr>
        <w:t>понимают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творческую и систематическую работу, проводимую с целью увеличения запаса знаний – включая знания о человечестве, культуре и обществе – а также разработки новых способов применения имеющихся знаний.</w:t>
      </w:r>
      <w:r w:rsidR="00125BC0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Зачастую</w:t>
      </w:r>
      <w:r w:rsidR="00675DE6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очень трудно провести линию, четко отделяющую НИОКР от остальных видов деятельности. Элемент новизны – основной критерий, отличающий НИОКР от </w:t>
      </w:r>
      <w:r w:rsidR="00675DE6" w:rsidRPr="00A312C5">
        <w:rPr>
          <w:rFonts w:ascii="Times New Roman" w:hAnsi="Times New Roman" w:cs="Times New Roman"/>
          <w:sz w:val="24"/>
          <w:szCs w:val="24"/>
        </w:rPr>
        <w:t>схожих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75DE6" w:rsidRPr="00A312C5">
        <w:rPr>
          <w:rFonts w:ascii="Times New Roman" w:hAnsi="Times New Roman" w:cs="Times New Roman"/>
          <w:sz w:val="24"/>
          <w:szCs w:val="24"/>
        </w:rPr>
        <w:t>мероприятий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675DE6" w:rsidRPr="00A312C5">
        <w:rPr>
          <w:rFonts w:ascii="Times New Roman" w:hAnsi="Times New Roman" w:cs="Times New Roman"/>
          <w:sz w:val="24"/>
          <w:szCs w:val="24"/>
        </w:rPr>
        <w:t xml:space="preserve">Обучение, исследование рынка, </w:t>
      </w:r>
      <w:r w:rsidRPr="00A312C5">
        <w:rPr>
          <w:rFonts w:ascii="Times New Roman" w:hAnsi="Times New Roman" w:cs="Times New Roman"/>
          <w:sz w:val="24"/>
          <w:szCs w:val="24"/>
        </w:rPr>
        <w:t>приобретение продуктов, оборудования и лицензий, разработка новых товаров</w:t>
      </w:r>
      <w:r w:rsidR="00675DE6" w:rsidRPr="00A312C5">
        <w:rPr>
          <w:rFonts w:ascii="Times New Roman" w:hAnsi="Times New Roman" w:cs="Times New Roman"/>
          <w:sz w:val="24"/>
          <w:szCs w:val="24"/>
        </w:rPr>
        <w:t xml:space="preserve"> 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пробное производство</w:t>
      </w:r>
      <w:r w:rsidR="00675DE6" w:rsidRPr="00A312C5">
        <w:rPr>
          <w:rFonts w:ascii="Times New Roman" w:hAnsi="Times New Roman" w:cs="Times New Roman"/>
          <w:sz w:val="24"/>
          <w:szCs w:val="24"/>
        </w:rPr>
        <w:t xml:space="preserve"> не относятся к НИОКР.</w:t>
      </w:r>
    </w:p>
    <w:p w14:paraId="124FB1F9" w14:textId="7FC4B5BB" w:rsidR="009A4165" w:rsidRPr="00A312C5" w:rsidRDefault="0058460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Помимо различий между фундаментальными исследованиями, прикладными исследованиями и опытными разработками </w:t>
      </w:r>
      <w:r w:rsidR="009A4165" w:rsidRPr="00A312C5">
        <w:rPr>
          <w:rFonts w:ascii="Times New Roman" w:hAnsi="Times New Roman" w:cs="Times New Roman"/>
          <w:sz w:val="24"/>
          <w:szCs w:val="24"/>
        </w:rPr>
        <w:t>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325A8" w:rsidRPr="00A312C5">
        <w:rPr>
          <w:rFonts w:ascii="Times New Roman" w:hAnsi="Times New Roman" w:cs="Times New Roman"/>
          <w:sz w:val="24"/>
          <w:szCs w:val="24"/>
        </w:rPr>
        <w:t>классифицируются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 секторам: бизнес, государственные разработки, высшие учебные заведения, частные некоммерческие организации</w:t>
      </w:r>
      <w:r w:rsidR="00275ECF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275ECF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Fagerberg</w:t>
      </w:r>
      <w:r w:rsidR="00275ECF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2005</w:t>
      </w:r>
      <w:r w:rsidR="00275ECF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125BC0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9A4165" w:rsidRPr="00A312C5">
        <w:rPr>
          <w:rFonts w:ascii="Times New Roman" w:hAnsi="Times New Roman" w:cs="Times New Roman"/>
          <w:sz w:val="24"/>
          <w:szCs w:val="24"/>
        </w:rPr>
        <w:t>С</w:t>
      </w:r>
      <w:r w:rsidRPr="00A312C5">
        <w:rPr>
          <w:rFonts w:ascii="Times New Roman" w:hAnsi="Times New Roman" w:cs="Times New Roman"/>
          <w:sz w:val="24"/>
          <w:szCs w:val="24"/>
        </w:rPr>
        <w:t xml:space="preserve">уществует деление </w:t>
      </w:r>
      <w:r w:rsidR="009A4165" w:rsidRPr="00A312C5">
        <w:rPr>
          <w:rFonts w:ascii="Times New Roman" w:hAnsi="Times New Roman" w:cs="Times New Roman"/>
          <w:sz w:val="24"/>
          <w:szCs w:val="24"/>
        </w:rPr>
        <w:t xml:space="preserve">НИОКР </w:t>
      </w:r>
      <w:r w:rsidRPr="00A312C5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– внутренним и </w:t>
      </w:r>
      <w:r w:rsidR="009A4165" w:rsidRPr="00A312C5">
        <w:rPr>
          <w:rFonts w:ascii="Times New Roman" w:hAnsi="Times New Roman" w:cs="Times New Roman"/>
          <w:sz w:val="24"/>
          <w:szCs w:val="24"/>
        </w:rPr>
        <w:t>иностранным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9A4165" w:rsidRPr="00A312C5">
        <w:rPr>
          <w:rFonts w:ascii="Times New Roman" w:hAnsi="Times New Roman" w:cs="Times New Roman"/>
          <w:sz w:val="24"/>
          <w:szCs w:val="24"/>
        </w:rPr>
        <w:t>выделяют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классификацию НИОКР по социально-экономическим целям исследования и по дальнейшим областям разработок. </w:t>
      </w:r>
    </w:p>
    <w:p w14:paraId="7D98EB36" w14:textId="09ECAB71" w:rsidR="00584603" w:rsidRPr="00A312C5" w:rsidRDefault="009A416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И</w:t>
      </w:r>
      <w:r w:rsidR="00584603" w:rsidRPr="00A312C5">
        <w:rPr>
          <w:rFonts w:ascii="Times New Roman" w:hAnsi="Times New Roman" w:cs="Times New Roman"/>
          <w:sz w:val="24"/>
          <w:szCs w:val="24"/>
        </w:rPr>
        <w:t>сследователи высказывают некоторые опасения относительно того, насколько само определение НИОКР корректно воспринимается представителями малого и среднего предпринимательства</w:t>
      </w:r>
      <w:r w:rsidR="000C27EF">
        <w:rPr>
          <w:rFonts w:ascii="Times New Roman" w:hAnsi="Times New Roman" w:cs="Times New Roman"/>
          <w:sz w:val="24"/>
          <w:szCs w:val="24"/>
        </w:rPr>
        <w:t>,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и не наблюдается ли систематическое занижение учета НИОКР в малых компаниях</w:t>
      </w:r>
      <w:r w:rsidR="00125BC0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Kleinknecht</w:t>
      </w:r>
      <w:proofErr w:type="spellEnd"/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Van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Montfort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Brouwer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2002].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AE76D4" w:rsidRPr="00A312C5">
        <w:rPr>
          <w:rFonts w:ascii="Times New Roman" w:hAnsi="Times New Roman" w:cs="Times New Roman"/>
          <w:sz w:val="24"/>
          <w:szCs w:val="24"/>
        </w:rPr>
        <w:t>Статистика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НИОКР всегда несколько ограничен</w:t>
      </w:r>
      <w:r w:rsidR="00AE76D4" w:rsidRPr="00A312C5">
        <w:rPr>
          <w:rFonts w:ascii="Times New Roman" w:hAnsi="Times New Roman" w:cs="Times New Roman"/>
          <w:sz w:val="24"/>
          <w:szCs w:val="24"/>
        </w:rPr>
        <w:t xml:space="preserve">а, 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поскольку обычно </w:t>
      </w:r>
      <w:r w:rsidR="00AE76D4" w:rsidRPr="00A312C5">
        <w:rPr>
          <w:rFonts w:ascii="Times New Roman" w:hAnsi="Times New Roman" w:cs="Times New Roman"/>
          <w:sz w:val="24"/>
          <w:szCs w:val="24"/>
        </w:rPr>
        <w:t xml:space="preserve">основана </w:t>
      </w:r>
      <w:r w:rsidR="00CE4A28" w:rsidRPr="00A312C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E76D4" w:rsidRPr="00A312C5">
        <w:rPr>
          <w:rFonts w:ascii="Times New Roman" w:hAnsi="Times New Roman" w:cs="Times New Roman"/>
          <w:sz w:val="24"/>
          <w:szCs w:val="24"/>
        </w:rPr>
        <w:t>на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AE76D4" w:rsidRPr="00A312C5">
        <w:rPr>
          <w:rFonts w:ascii="Times New Roman" w:hAnsi="Times New Roman" w:cs="Times New Roman"/>
          <w:sz w:val="24"/>
          <w:szCs w:val="24"/>
        </w:rPr>
        <w:t>х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о совершенных вложениях</w:t>
      </w:r>
      <w:r w:rsidR="00AE76D4" w:rsidRPr="00A312C5">
        <w:rPr>
          <w:rFonts w:ascii="Times New Roman" w:hAnsi="Times New Roman" w:cs="Times New Roman"/>
          <w:sz w:val="24"/>
          <w:szCs w:val="24"/>
        </w:rPr>
        <w:t>, а не</w:t>
      </w:r>
      <w:r w:rsidR="00D847FD" w:rsidRPr="00A312C5">
        <w:rPr>
          <w:rFonts w:ascii="Times New Roman" w:hAnsi="Times New Roman" w:cs="Times New Roman"/>
          <w:sz w:val="24"/>
          <w:szCs w:val="24"/>
        </w:rPr>
        <w:t xml:space="preserve"> о</w:t>
      </w:r>
      <w:r w:rsidR="00AE76D4" w:rsidRPr="00A312C5">
        <w:rPr>
          <w:rFonts w:ascii="Times New Roman" w:hAnsi="Times New Roman" w:cs="Times New Roman"/>
          <w:sz w:val="24"/>
          <w:szCs w:val="24"/>
        </w:rPr>
        <w:t xml:space="preserve"> результатах исследований </w:t>
      </w:r>
      <w:r w:rsidR="00C77BC6" w:rsidRPr="00A312C5">
        <w:rPr>
          <w:rFonts w:ascii="Times New Roman" w:hAnsi="Times New Roman" w:cs="Times New Roman"/>
          <w:sz w:val="24"/>
          <w:szCs w:val="24"/>
        </w:rPr>
        <w:t>как таковых</w:t>
      </w:r>
      <w:r w:rsidR="00125BC0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Brouwer</w:t>
      </w:r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5BC0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Kleinknecht</w:t>
      </w:r>
      <w:proofErr w:type="spellEnd"/>
      <w:r w:rsidR="00125BC0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1996</w:t>
      </w:r>
      <w:r w:rsidR="00125BC0" w:rsidRPr="00A312C5">
        <w:rPr>
          <w:rFonts w:ascii="Times New Roman" w:hAnsi="Times New Roman" w:cs="Times New Roman"/>
          <w:sz w:val="24"/>
          <w:szCs w:val="24"/>
        </w:rPr>
        <w:t>]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. Однако, </w:t>
      </w:r>
      <w:r w:rsidR="003F729F">
        <w:rPr>
          <w:rFonts w:ascii="Times New Roman" w:hAnsi="Times New Roman" w:cs="Times New Roman"/>
          <w:sz w:val="24"/>
          <w:szCs w:val="24"/>
        </w:rPr>
        <w:t xml:space="preserve">данные о результатах </w:t>
      </w:r>
      <w:r w:rsidR="00584603" w:rsidRPr="00A312C5">
        <w:rPr>
          <w:rFonts w:ascii="Times New Roman" w:hAnsi="Times New Roman" w:cs="Times New Roman"/>
          <w:sz w:val="24"/>
          <w:szCs w:val="24"/>
        </w:rPr>
        <w:t>НИОКР безусловно обладают некими фундаментальными преимуществами</w:t>
      </w:r>
      <w:r w:rsidRPr="00A312C5">
        <w:rPr>
          <w:rFonts w:ascii="Times New Roman" w:hAnsi="Times New Roman" w:cs="Times New Roman"/>
          <w:sz w:val="24"/>
          <w:szCs w:val="24"/>
        </w:rPr>
        <w:t xml:space="preserve">: обширная </w:t>
      </w:r>
      <w:r w:rsidR="00584603" w:rsidRPr="00A312C5">
        <w:rPr>
          <w:rFonts w:ascii="Times New Roman" w:hAnsi="Times New Roman" w:cs="Times New Roman"/>
          <w:sz w:val="24"/>
          <w:szCs w:val="24"/>
        </w:rPr>
        <w:t>накопленн</w:t>
      </w:r>
      <w:r w:rsidRPr="00A312C5">
        <w:rPr>
          <w:rFonts w:ascii="Times New Roman" w:hAnsi="Times New Roman" w:cs="Times New Roman"/>
          <w:sz w:val="24"/>
          <w:szCs w:val="24"/>
        </w:rPr>
        <w:t>ая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баз</w:t>
      </w:r>
      <w:r w:rsidRPr="00A312C5">
        <w:rPr>
          <w:rFonts w:ascii="Times New Roman" w:hAnsi="Times New Roman" w:cs="Times New Roman"/>
          <w:sz w:val="24"/>
          <w:szCs w:val="24"/>
        </w:rPr>
        <w:t>а</w:t>
      </w:r>
      <w:r w:rsidR="00584603" w:rsidRPr="00A312C5">
        <w:rPr>
          <w:rFonts w:ascii="Times New Roman" w:hAnsi="Times New Roman" w:cs="Times New Roman"/>
          <w:sz w:val="24"/>
          <w:szCs w:val="24"/>
        </w:rPr>
        <w:t xml:space="preserve"> за продолжительный период времени, детальн</w:t>
      </w:r>
      <w:r w:rsidRPr="00A312C5">
        <w:rPr>
          <w:rFonts w:ascii="Times New Roman" w:hAnsi="Times New Roman" w:cs="Times New Roman"/>
          <w:sz w:val="24"/>
          <w:szCs w:val="24"/>
        </w:rPr>
        <w:t xml:space="preserve">ая </w:t>
      </w:r>
      <w:r w:rsidR="00584603" w:rsidRPr="00A312C5">
        <w:rPr>
          <w:rFonts w:ascii="Times New Roman" w:hAnsi="Times New Roman" w:cs="Times New Roman"/>
          <w:sz w:val="24"/>
          <w:szCs w:val="24"/>
        </w:rPr>
        <w:t>классификаци</w:t>
      </w:r>
      <w:r w:rsidRPr="00A312C5">
        <w:rPr>
          <w:rFonts w:ascii="Times New Roman" w:hAnsi="Times New Roman" w:cs="Times New Roman"/>
          <w:sz w:val="24"/>
          <w:szCs w:val="24"/>
        </w:rPr>
        <w:t>я</w:t>
      </w:r>
      <w:r w:rsidR="005325A8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84603" w:rsidRPr="00A312C5">
        <w:rPr>
          <w:rFonts w:ascii="Times New Roman" w:hAnsi="Times New Roman" w:cs="Times New Roman"/>
          <w:sz w:val="24"/>
          <w:szCs w:val="24"/>
        </w:rPr>
        <w:t>и сопоставимость данных из разных стран.</w:t>
      </w:r>
    </w:p>
    <w:p w14:paraId="3ED048BE" w14:textId="1A1E5C7A" w:rsidR="00E02745" w:rsidRPr="00A312C5" w:rsidRDefault="00B16C6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50">
        <w:rPr>
          <w:rFonts w:ascii="Times New Roman" w:hAnsi="Times New Roman" w:cs="Times New Roman"/>
          <w:sz w:val="24"/>
          <w:szCs w:val="24"/>
        </w:rPr>
        <w:lastRenderedPageBreak/>
        <w:t>Рассмотрим термин</w:t>
      </w:r>
      <w:r w:rsidR="000701D7" w:rsidRPr="00D04E50">
        <w:rPr>
          <w:rFonts w:ascii="Times New Roman" w:hAnsi="Times New Roman" w:cs="Times New Roman"/>
          <w:sz w:val="24"/>
          <w:szCs w:val="24"/>
        </w:rPr>
        <w:t xml:space="preserve"> НИОКР</w:t>
      </w:r>
      <w:r w:rsidRPr="00D04E50">
        <w:rPr>
          <w:rFonts w:ascii="Times New Roman" w:hAnsi="Times New Roman" w:cs="Times New Roman"/>
          <w:sz w:val="24"/>
          <w:szCs w:val="24"/>
        </w:rPr>
        <w:t xml:space="preserve"> с позиции стандартов бухгалтерского учета. Согласно российск</w:t>
      </w:r>
      <w:r w:rsidR="007A52C7" w:rsidRPr="00D04E50">
        <w:rPr>
          <w:rFonts w:ascii="Times New Roman" w:hAnsi="Times New Roman" w:cs="Times New Roman"/>
          <w:sz w:val="24"/>
          <w:szCs w:val="24"/>
        </w:rPr>
        <w:t>им</w:t>
      </w:r>
      <w:r w:rsidRPr="00D04E50">
        <w:rPr>
          <w:rFonts w:ascii="Times New Roman" w:hAnsi="Times New Roman" w:cs="Times New Roman"/>
          <w:sz w:val="24"/>
          <w:szCs w:val="24"/>
        </w:rPr>
        <w:t xml:space="preserve"> </w:t>
      </w:r>
      <w:r w:rsidR="007A52C7" w:rsidRPr="00D04E50">
        <w:rPr>
          <w:rFonts w:ascii="Times New Roman" w:hAnsi="Times New Roman" w:cs="Times New Roman"/>
          <w:sz w:val="24"/>
          <w:szCs w:val="24"/>
        </w:rPr>
        <w:t>законам</w:t>
      </w:r>
      <w:r w:rsidR="00B42857">
        <w:rPr>
          <w:rFonts w:ascii="Times New Roman" w:hAnsi="Times New Roman" w:cs="Times New Roman"/>
          <w:sz w:val="24"/>
          <w:szCs w:val="24"/>
        </w:rPr>
        <w:t>,</w:t>
      </w:r>
      <w:r w:rsidRPr="00D04E50">
        <w:rPr>
          <w:rFonts w:ascii="Times New Roman" w:hAnsi="Times New Roman" w:cs="Times New Roman"/>
          <w:sz w:val="24"/>
          <w:szCs w:val="24"/>
        </w:rPr>
        <w:t xml:space="preserve"> учет расходов на НИОКР определяется </w:t>
      </w:r>
      <w:r w:rsidR="00D04E50">
        <w:rPr>
          <w:rFonts w:ascii="Times New Roman" w:hAnsi="Times New Roman" w:cs="Times New Roman"/>
          <w:sz w:val="24"/>
          <w:szCs w:val="24"/>
        </w:rPr>
        <w:t>п</w:t>
      </w:r>
      <w:r w:rsidRPr="00D04E50">
        <w:rPr>
          <w:rFonts w:ascii="Times New Roman" w:hAnsi="Times New Roman" w:cs="Times New Roman"/>
          <w:sz w:val="24"/>
          <w:szCs w:val="24"/>
        </w:rPr>
        <w:t>оложением по бухгалтерскому учету ПБУ 17/02. В международных стандартах финансовой отчетности такое понятие, как НИОКР не фигурирует вовсе. Оно заменено термином «внутренне созданный нематериальный актив».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C9C32" w14:textId="769E6BF5" w:rsidR="00F804A4" w:rsidRDefault="009F43C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бухгалтерском учете расходы принято подразделять на три класса: операционные, финансовые расходы и капитальные затраты. Операционные расходы производят экономический эффект только в текущем периоде</w:t>
      </w:r>
      <w:r w:rsidR="000F2D34" w:rsidRPr="00A312C5">
        <w:rPr>
          <w:rFonts w:ascii="Times New Roman" w:hAnsi="Times New Roman" w:cs="Times New Roman"/>
          <w:sz w:val="24"/>
          <w:szCs w:val="24"/>
        </w:rPr>
        <w:t xml:space="preserve">. Финансовые расходы обеспечивают фирме привлечение капитала для ведения деятельности (за исключением собственного). К капитальным затратам относят расходы, которые должны оказывать экономический эффект не только в текущем отчетном периоде, но и на протяжении многих периодов в будущем. </w:t>
      </w:r>
      <w:r w:rsidR="001C4310" w:rsidRPr="00A312C5">
        <w:rPr>
          <w:rFonts w:ascii="Times New Roman" w:hAnsi="Times New Roman" w:cs="Times New Roman"/>
          <w:sz w:val="24"/>
          <w:szCs w:val="24"/>
        </w:rPr>
        <w:t xml:space="preserve">Такие затраты списываются не единовременно, а постепенно на протяжении срока полезного </w:t>
      </w:r>
      <w:r w:rsidR="00D04E50">
        <w:rPr>
          <w:rFonts w:ascii="Times New Roman" w:hAnsi="Times New Roman" w:cs="Times New Roman"/>
          <w:sz w:val="24"/>
          <w:szCs w:val="24"/>
        </w:rPr>
        <w:t>использования</w:t>
      </w:r>
      <w:r w:rsidR="001C4310"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6BE2E" w14:textId="254D8465" w:rsidR="00F804A4" w:rsidRDefault="001C431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На практике расходы, которые определяются фирмой как операционные</w:t>
      </w:r>
      <w:r w:rsidR="00817552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не всегда гарантируют выручку исключительно в текущем периоде. </w:t>
      </w:r>
      <w:r w:rsidR="00FD2623" w:rsidRPr="00A312C5">
        <w:rPr>
          <w:rFonts w:ascii="Times New Roman" w:hAnsi="Times New Roman" w:cs="Times New Roman"/>
          <w:sz w:val="24"/>
          <w:szCs w:val="24"/>
        </w:rPr>
        <w:t>Одним из таких исключений являются расходы на НИОКР</w:t>
      </w:r>
      <w:r w:rsidR="00BF1B90" w:rsidRPr="00A312C5">
        <w:rPr>
          <w:rFonts w:ascii="Times New Roman" w:hAnsi="Times New Roman" w:cs="Times New Roman"/>
          <w:sz w:val="24"/>
          <w:szCs w:val="24"/>
        </w:rPr>
        <w:t xml:space="preserve"> – эффект от них может наблюдаться в течение многих будущих периодов.</w:t>
      </w:r>
      <w:r w:rsidR="00FD2623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994B21">
        <w:rPr>
          <w:rFonts w:ascii="Times New Roman" w:hAnsi="Times New Roman" w:cs="Times New Roman"/>
          <w:sz w:val="24"/>
          <w:szCs w:val="24"/>
        </w:rPr>
        <w:t xml:space="preserve">Фактически для </w:t>
      </w:r>
      <w:r w:rsidR="002A4627">
        <w:rPr>
          <w:rFonts w:ascii="Times New Roman" w:hAnsi="Times New Roman" w:cs="Times New Roman"/>
          <w:sz w:val="24"/>
          <w:szCs w:val="24"/>
        </w:rPr>
        <w:t>большого числа</w:t>
      </w:r>
      <w:r w:rsidR="00994B21">
        <w:rPr>
          <w:rFonts w:ascii="Times New Roman" w:hAnsi="Times New Roman" w:cs="Times New Roman"/>
          <w:sz w:val="24"/>
          <w:szCs w:val="24"/>
        </w:rPr>
        <w:t xml:space="preserve"> компаний затраты на НИОКР являются более долгосрочными, чем</w:t>
      </w:r>
      <w:r w:rsidR="002A4627">
        <w:rPr>
          <w:rFonts w:ascii="Times New Roman" w:hAnsi="Times New Roman" w:cs="Times New Roman"/>
          <w:sz w:val="24"/>
          <w:szCs w:val="24"/>
        </w:rPr>
        <w:t>, например,</w:t>
      </w:r>
      <w:r w:rsidR="00994B21">
        <w:rPr>
          <w:rFonts w:ascii="Times New Roman" w:hAnsi="Times New Roman" w:cs="Times New Roman"/>
          <w:sz w:val="24"/>
          <w:szCs w:val="24"/>
        </w:rPr>
        <w:t xml:space="preserve"> инвестиции в оборудование, особенно в фармацевтической отрасли. </w:t>
      </w:r>
      <w:r w:rsidR="00D31CC7" w:rsidRPr="00A312C5">
        <w:rPr>
          <w:rFonts w:ascii="Times New Roman" w:hAnsi="Times New Roman" w:cs="Times New Roman"/>
          <w:sz w:val="24"/>
          <w:szCs w:val="24"/>
        </w:rPr>
        <w:t>Выгоды</w:t>
      </w:r>
      <w:r w:rsidR="0011079D" w:rsidRPr="00A312C5">
        <w:rPr>
          <w:rFonts w:ascii="Times New Roman" w:hAnsi="Times New Roman" w:cs="Times New Roman"/>
          <w:sz w:val="24"/>
          <w:szCs w:val="24"/>
        </w:rPr>
        <w:t>, полученные от такого рода инвестиций, тяжело оценить количественно</w:t>
      </w:r>
      <w:r w:rsidR="00D31CC7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11079D" w:rsidRPr="00A312C5">
        <w:rPr>
          <w:rFonts w:ascii="Times New Roman" w:hAnsi="Times New Roman" w:cs="Times New Roman"/>
          <w:sz w:val="24"/>
          <w:szCs w:val="24"/>
        </w:rPr>
        <w:t>Согласно американским стандартам отчетности, затраты на НИОКР относят к текущим расходам,</w:t>
      </w:r>
      <w:r w:rsidR="00D31CC7" w:rsidRPr="00A312C5">
        <w:rPr>
          <w:rFonts w:ascii="Times New Roman" w:hAnsi="Times New Roman" w:cs="Times New Roman"/>
          <w:sz w:val="24"/>
          <w:szCs w:val="24"/>
        </w:rPr>
        <w:t xml:space="preserve"> тогда как международные стандарты бухгалтерского учета N38 </w:t>
      </w:r>
      <w:r w:rsidR="00810A7B" w:rsidRPr="00810A7B">
        <w:rPr>
          <w:rFonts w:ascii="Times New Roman" w:hAnsi="Times New Roman" w:cs="Times New Roman"/>
          <w:sz w:val="24"/>
          <w:szCs w:val="24"/>
        </w:rPr>
        <w:t>[</w:t>
      </w:r>
      <w:r w:rsidR="00810A7B" w:rsidRPr="005D19E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International</w:t>
      </w:r>
      <w:r w:rsidR="00810A7B" w:rsidRPr="00810A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0A7B" w:rsidRPr="005D19E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Accounting</w:t>
      </w:r>
      <w:r w:rsidR="00810A7B" w:rsidRPr="00810A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0A7B" w:rsidRPr="005D19E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Standards</w:t>
      </w:r>
      <w:r w:rsidR="00810A7B" w:rsidRPr="00810A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0A7B" w:rsidRPr="005D19E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Board</w:t>
      </w:r>
      <w:r w:rsidR="00810A7B" w:rsidRPr="00810A7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2004</w:t>
      </w:r>
      <w:r w:rsidR="00810A7B" w:rsidRPr="00810A7B">
        <w:rPr>
          <w:rFonts w:ascii="Times New Roman" w:hAnsi="Times New Roman" w:cs="Times New Roman"/>
          <w:sz w:val="24"/>
          <w:szCs w:val="24"/>
        </w:rPr>
        <w:t>]</w:t>
      </w:r>
      <w:r w:rsidR="00810A7B">
        <w:rPr>
          <w:rFonts w:ascii="Times New Roman" w:hAnsi="Times New Roman" w:cs="Times New Roman"/>
          <w:sz w:val="24"/>
          <w:szCs w:val="24"/>
        </w:rPr>
        <w:t xml:space="preserve"> </w:t>
      </w:r>
      <w:r w:rsidR="00D31CC7" w:rsidRPr="00A312C5">
        <w:rPr>
          <w:rFonts w:ascii="Times New Roman" w:hAnsi="Times New Roman" w:cs="Times New Roman"/>
          <w:sz w:val="24"/>
          <w:szCs w:val="24"/>
        </w:rPr>
        <w:t>предписывают капитализацию затрат на НИОКР, если они соответствуют определенным критериям.</w:t>
      </w:r>
      <w:r w:rsidR="00BF1B90"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9813B" w14:textId="6826D6C8" w:rsidR="00586281" w:rsidRPr="00A312C5" w:rsidRDefault="00BF1B9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Решение о классификации расходов на НИОКР влияет на прибыльность компании. Фирмы, которые относят НИОКР к капитальным расходам, показывают более плавную динамику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ROE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долгосрочно</w:t>
      </w:r>
      <w:r w:rsidR="00F804A4">
        <w:rPr>
          <w:rFonts w:ascii="Times New Roman" w:hAnsi="Times New Roman" w:cs="Times New Roman"/>
          <w:sz w:val="24"/>
          <w:szCs w:val="24"/>
        </w:rPr>
        <w:t>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804A4">
        <w:rPr>
          <w:rFonts w:ascii="Times New Roman" w:hAnsi="Times New Roman" w:cs="Times New Roman"/>
          <w:sz w:val="24"/>
          <w:szCs w:val="24"/>
        </w:rPr>
        <w:t>перспективе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Компании, классифицирующие НИОКР как операционные расходы, напротив, будут иметь тенденцию к большому разбросу рентабельности собственного капитала. </w:t>
      </w:r>
      <w:r w:rsidR="006D0C2A">
        <w:rPr>
          <w:rFonts w:ascii="Times New Roman" w:hAnsi="Times New Roman" w:cs="Times New Roman"/>
          <w:sz w:val="24"/>
          <w:szCs w:val="24"/>
        </w:rPr>
        <w:t xml:space="preserve">Учет НИОКР в качестве операционных расходов снижает как операционную, так и чистую прибыль компании. </w:t>
      </w:r>
      <w:r w:rsidR="00F804A4">
        <w:rPr>
          <w:rFonts w:ascii="Times New Roman" w:hAnsi="Times New Roman" w:cs="Times New Roman"/>
          <w:sz w:val="24"/>
          <w:szCs w:val="24"/>
        </w:rPr>
        <w:t xml:space="preserve">Такой метод учета также подразумевает, что расходы на НИОКР не создают активы. Патенты, полученные в результате проведенных внутренних исследований, не будут отображаться на балансе компании в качестве активов. Патенты, приобретенные компанией у третьих лиц, напротив, могут классифицироваться как активы на балансе. Такое противоречие в учете патентов предоставляет поле для манипуляций фирмам с большими затратами на НИОКР. </w:t>
      </w:r>
      <w:proofErr w:type="spellStart"/>
      <w:r w:rsidR="00586281" w:rsidRPr="00994B21">
        <w:rPr>
          <w:rFonts w:ascii="Times New Roman" w:hAnsi="Times New Roman" w:cs="Times New Roman"/>
          <w:sz w:val="24"/>
          <w:szCs w:val="24"/>
        </w:rPr>
        <w:t>Асват</w:t>
      </w:r>
      <w:proofErr w:type="spellEnd"/>
      <w:r w:rsidR="00586281" w:rsidRPr="0099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281" w:rsidRPr="00994B21">
        <w:rPr>
          <w:rFonts w:ascii="Times New Roman" w:hAnsi="Times New Roman" w:cs="Times New Roman"/>
          <w:sz w:val="24"/>
          <w:szCs w:val="24"/>
        </w:rPr>
        <w:t>Дамодаран</w:t>
      </w:r>
      <w:proofErr w:type="spellEnd"/>
      <w:r w:rsidR="00586281" w:rsidRPr="00994B21">
        <w:rPr>
          <w:rFonts w:ascii="Times New Roman" w:hAnsi="Times New Roman" w:cs="Times New Roman"/>
          <w:sz w:val="24"/>
          <w:szCs w:val="24"/>
        </w:rPr>
        <w:t xml:space="preserve"> в своем исследовании, посвященном оценке прибыльности затрат на </w:t>
      </w:r>
      <w:r w:rsidR="006D0C2A">
        <w:rPr>
          <w:rFonts w:ascii="Times New Roman" w:hAnsi="Times New Roman" w:cs="Times New Roman"/>
          <w:sz w:val="24"/>
          <w:szCs w:val="24"/>
        </w:rPr>
        <w:t>научные</w:t>
      </w:r>
      <w:r w:rsidR="00586281" w:rsidRPr="00994B21">
        <w:rPr>
          <w:rFonts w:ascii="Times New Roman" w:hAnsi="Times New Roman" w:cs="Times New Roman"/>
          <w:sz w:val="24"/>
          <w:szCs w:val="24"/>
        </w:rPr>
        <w:t xml:space="preserve"> </w:t>
      </w:r>
      <w:r w:rsidR="00586281" w:rsidRPr="00994B2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разработки, </w:t>
      </w:r>
      <w:r w:rsidR="00221202">
        <w:rPr>
          <w:rFonts w:ascii="Times New Roman" w:hAnsi="Times New Roman" w:cs="Times New Roman"/>
          <w:sz w:val="24"/>
          <w:szCs w:val="24"/>
        </w:rPr>
        <w:t>говорит о том, что</w:t>
      </w:r>
      <w:r w:rsidR="00586281" w:rsidRPr="00994B21">
        <w:rPr>
          <w:rFonts w:ascii="Times New Roman" w:hAnsi="Times New Roman" w:cs="Times New Roman"/>
          <w:sz w:val="24"/>
          <w:szCs w:val="24"/>
        </w:rPr>
        <w:t>, что расходы на НИОКР следует капитализировать, вычитая их из налогооблагаемой базы [</w:t>
      </w:r>
      <w:r w:rsidR="00586281" w:rsidRPr="00994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Damodaran</w:t>
      </w:r>
      <w:r w:rsidR="00586281" w:rsidRPr="00994B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94B21" w:rsidRPr="00994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1999</w:t>
      </w:r>
      <w:r w:rsidR="00586281" w:rsidRPr="00994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].</w:t>
      </w:r>
      <w:r w:rsidR="0022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также утверждает, что затраты на исследования и разработки создают активы, которые подлежат амортизации. Эффект такой </w:t>
      </w:r>
      <w:proofErr w:type="spellStart"/>
      <w:r w:rsidR="0022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реклассификации</w:t>
      </w:r>
      <w:proofErr w:type="spellEnd"/>
      <w:r w:rsidR="0022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финансовые коэффициенты будет варьироваться для разных компаний. В фирмах, где затраты на исследования показывали быстрый рост, </w:t>
      </w:r>
      <w:r w:rsidR="00F001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капитализация расходов на НИОКР приведет к значительному </w:t>
      </w:r>
      <w:r w:rsidR="002A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увеличению</w:t>
      </w:r>
      <w:r w:rsidR="00F001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операционной прибыли и рентабельности капитала. В компаниях с более стабильным уровнем затрат на исследования капитализация расходов на НИОКР может снизить рентабельность капитала. </w:t>
      </w:r>
    </w:p>
    <w:p w14:paraId="7F432EF3" w14:textId="2371DCA5" w:rsidR="009F43CA" w:rsidRPr="00A312C5" w:rsidRDefault="00D31CC7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00A65" w:rsidRPr="00A312C5">
        <w:rPr>
          <w:rFonts w:ascii="Times New Roman" w:hAnsi="Times New Roman" w:cs="Times New Roman"/>
          <w:sz w:val="24"/>
          <w:szCs w:val="24"/>
        </w:rPr>
        <w:t xml:space="preserve">Во многих странах мира применяются инструменты налогового стимулирования НИОКР. Такая система характеризуется </w:t>
      </w:r>
      <w:r w:rsidR="00CB5298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00A65" w:rsidRPr="00A312C5">
        <w:rPr>
          <w:rFonts w:ascii="Times New Roman" w:hAnsi="Times New Roman" w:cs="Times New Roman"/>
          <w:sz w:val="24"/>
          <w:szCs w:val="24"/>
        </w:rPr>
        <w:t xml:space="preserve">высокой стабильностью, в отличие от прямых субсидий, и поэтому достаточно эффективна. Например, в России реализация НИОКР не подлежит обложению налогом на добавленную стоимость. </w:t>
      </w:r>
    </w:p>
    <w:p w14:paraId="30D29A92" w14:textId="70CD6A5C" w:rsidR="005325A8" w:rsidRPr="00A312C5" w:rsidRDefault="005325A8" w:rsidP="003D4B4B">
      <w:pPr>
        <w:pStyle w:val="3"/>
      </w:pPr>
      <w:bookmarkStart w:id="6" w:name="_Toc73538420"/>
      <w:r w:rsidRPr="00A312C5">
        <w:t>Инновации</w:t>
      </w:r>
      <w:bookmarkEnd w:id="6"/>
    </w:p>
    <w:p w14:paraId="6FD8F9BC" w14:textId="06D36F01" w:rsidR="00694C5C" w:rsidRPr="00A312C5" w:rsidRDefault="007B68D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Инновации и НИОКР – это два термина, которые часто используются как взаимозаменяемые, но имеют разные значения.</w:t>
      </w:r>
      <w:r w:rsidR="00694C5C" w:rsidRPr="00A312C5">
        <w:rPr>
          <w:rFonts w:ascii="Times New Roman" w:hAnsi="Times New Roman" w:cs="Times New Roman"/>
          <w:sz w:val="24"/>
          <w:szCs w:val="24"/>
        </w:rPr>
        <w:t xml:space="preserve"> НИОКР так же, как и инновации, характеризует новизна. </w:t>
      </w:r>
      <w:r w:rsidRPr="00A312C5">
        <w:rPr>
          <w:rFonts w:ascii="Times New Roman" w:hAnsi="Times New Roman" w:cs="Times New Roman"/>
          <w:sz w:val="24"/>
          <w:szCs w:val="24"/>
        </w:rPr>
        <w:t xml:space="preserve">Принципиальная разница этих двух понятий заключается в масштабе. </w:t>
      </w:r>
      <w:r w:rsidR="00492125" w:rsidRPr="00A312C5">
        <w:rPr>
          <w:rFonts w:ascii="Times New Roman" w:hAnsi="Times New Roman" w:cs="Times New Roman"/>
          <w:sz w:val="24"/>
          <w:szCs w:val="24"/>
        </w:rPr>
        <w:t xml:space="preserve">Инновация </w:t>
      </w:r>
      <w:r w:rsidR="004D0073">
        <w:rPr>
          <w:rFonts w:ascii="Times New Roman" w:hAnsi="Times New Roman" w:cs="Times New Roman"/>
          <w:sz w:val="24"/>
          <w:szCs w:val="24"/>
        </w:rPr>
        <w:t>подразумевает</w:t>
      </w:r>
      <w:r w:rsidR="00492125" w:rsidRPr="00A312C5">
        <w:rPr>
          <w:rFonts w:ascii="Times New Roman" w:hAnsi="Times New Roman" w:cs="Times New Roman"/>
          <w:sz w:val="24"/>
          <w:szCs w:val="24"/>
        </w:rPr>
        <w:t xml:space="preserve"> некий грандиозный прорыв, качественный скачек в технологиях и продукте. НИОКР – периодические доработки и улучшения, которые зачастую значительно менее глобальны, но не менее значимы, чем инновации. </w:t>
      </w:r>
    </w:p>
    <w:p w14:paraId="064697C7" w14:textId="1DE98B3C" w:rsidR="005325A8" w:rsidRPr="00A312C5" w:rsidRDefault="005325A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Потенциальное позитивное влияние инвестиций в НИОКР на будущую прибыль является </w:t>
      </w:r>
      <w:r w:rsidR="004D0073">
        <w:rPr>
          <w:rFonts w:ascii="Times New Roman" w:hAnsi="Times New Roman" w:cs="Times New Roman"/>
          <w:sz w:val="24"/>
          <w:szCs w:val="24"/>
        </w:rPr>
        <w:t>результатом развития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компетенций, позволяющих производить те же продукты с использованием новых усовершенствованных технологий, и компетенций, позволяющих компании создать совершенно новый продукт. Таким образом, инновации</w:t>
      </w:r>
      <w:r w:rsidR="0000231D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подразделять на продуктовые и процессные. Классическая модель Майкла Портера [</w:t>
      </w:r>
      <w:r w:rsidR="008D14E5" w:rsidRPr="00A312C5">
        <w:rPr>
          <w:rFonts w:ascii="Times New Roman" w:hAnsi="Times New Roman" w:cs="Times New Roman"/>
          <w:sz w:val="24"/>
          <w:szCs w:val="24"/>
          <w:lang w:val="en-US"/>
        </w:rPr>
        <w:t>Porter</w:t>
      </w:r>
      <w:r w:rsidR="008D14E5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Pr="00A312C5">
        <w:rPr>
          <w:rFonts w:ascii="Times New Roman" w:hAnsi="Times New Roman" w:cs="Times New Roman"/>
          <w:sz w:val="24"/>
          <w:szCs w:val="24"/>
        </w:rPr>
        <w:t xml:space="preserve">1980] выделяет три базовые конкурентные стратегии: минимизация издержек, дифференциация и фокусирование. В рамках данной концепции мы можем рассматривать процессные инновации как инструмент стратегии минимизации издержек, а продуктовые инновации как инструмент стратегии диверсификации. </w:t>
      </w:r>
    </w:p>
    <w:p w14:paraId="61ADBB67" w14:textId="2721174A" w:rsidR="0001027A" w:rsidRPr="00A312C5" w:rsidRDefault="0001027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 начале 1990-х годов ОЭСР обобщила результаты предыдущих исследований и разработала руководство, которое могло бы стать основой практики в области инноваций. Этот документ известен как руководство Осло 1992 года. Позднее Европейская комиссия поддержала инициативу ОЭСР, введя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survey</w:t>
      </w:r>
      <w:r w:rsidR="005325A8" w:rsidRPr="00A312C5">
        <w:rPr>
          <w:rFonts w:ascii="Times New Roman" w:hAnsi="Times New Roman" w:cs="Times New Roman"/>
          <w:sz w:val="24"/>
          <w:szCs w:val="24"/>
        </w:rPr>
        <w:t xml:space="preserve"> (</w:t>
      </w:r>
      <w:r w:rsidR="005325A8" w:rsidRPr="00A312C5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="005325A8" w:rsidRPr="00A312C5">
        <w:rPr>
          <w:rFonts w:ascii="Times New Roman" w:hAnsi="Times New Roman" w:cs="Times New Roman"/>
          <w:sz w:val="24"/>
          <w:szCs w:val="24"/>
        </w:rPr>
        <w:t>)</w:t>
      </w:r>
      <w:r w:rsidRPr="00A312C5">
        <w:rPr>
          <w:rFonts w:ascii="Times New Roman" w:hAnsi="Times New Roman" w:cs="Times New Roman"/>
          <w:sz w:val="24"/>
          <w:szCs w:val="24"/>
        </w:rPr>
        <w:t>. Это стало прорывом во многих отношениях. Во-первых, была предпринята</w:t>
      </w:r>
      <w:r w:rsidR="005325A8" w:rsidRPr="00A312C5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масштабная попытка собрать сопоставимые на международном уровне показатели инновационных результатов деятельности. Во-вторых, данные были дезагрегированы. Исследование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претерпело несколько редакций и охватило более 140 тысяч европейских компаний.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4D0073">
        <w:rPr>
          <w:rFonts w:ascii="Times New Roman" w:hAnsi="Times New Roman" w:cs="Times New Roman"/>
          <w:sz w:val="24"/>
          <w:szCs w:val="24"/>
        </w:rPr>
        <w:t>объединил в себе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данные о затратах на разработк</w:t>
      </w:r>
      <w:r w:rsidR="005325A8" w:rsidRPr="00A312C5">
        <w:rPr>
          <w:rFonts w:ascii="Times New Roman" w:hAnsi="Times New Roman" w:cs="Times New Roman"/>
          <w:sz w:val="24"/>
          <w:szCs w:val="24"/>
        </w:rPr>
        <w:t>у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новых продуктов; фактор</w:t>
      </w:r>
      <w:r w:rsidR="005325A8" w:rsidRPr="00A312C5">
        <w:rPr>
          <w:rFonts w:ascii="Times New Roman" w:hAnsi="Times New Roman" w:cs="Times New Roman"/>
          <w:sz w:val="24"/>
          <w:szCs w:val="24"/>
        </w:rPr>
        <w:t>ах</w:t>
      </w:r>
      <w:r w:rsidRPr="00A312C5">
        <w:rPr>
          <w:rFonts w:ascii="Times New Roman" w:hAnsi="Times New Roman" w:cs="Times New Roman"/>
          <w:sz w:val="24"/>
          <w:szCs w:val="24"/>
        </w:rPr>
        <w:t>, препятствующи</w:t>
      </w:r>
      <w:r w:rsidR="005325A8" w:rsidRPr="00A312C5">
        <w:rPr>
          <w:rFonts w:ascii="Times New Roman" w:hAnsi="Times New Roman" w:cs="Times New Roman"/>
          <w:sz w:val="24"/>
          <w:szCs w:val="24"/>
        </w:rPr>
        <w:t>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способствующи</w:t>
      </w:r>
      <w:r w:rsidR="005325A8" w:rsidRPr="00A312C5">
        <w:rPr>
          <w:rFonts w:ascii="Times New Roman" w:hAnsi="Times New Roman" w:cs="Times New Roman"/>
          <w:sz w:val="24"/>
          <w:szCs w:val="24"/>
        </w:rPr>
        <w:t>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инновациям; технологически</w:t>
      </w:r>
      <w:r w:rsidR="005325A8" w:rsidRPr="00A312C5">
        <w:rPr>
          <w:rFonts w:ascii="Times New Roman" w:hAnsi="Times New Roman" w:cs="Times New Roman"/>
          <w:sz w:val="24"/>
          <w:szCs w:val="24"/>
        </w:rPr>
        <w:t>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5325A8" w:rsidRPr="00A312C5">
        <w:rPr>
          <w:rFonts w:ascii="Times New Roman" w:hAnsi="Times New Roman" w:cs="Times New Roman"/>
          <w:sz w:val="24"/>
          <w:szCs w:val="24"/>
        </w:rPr>
        <w:t>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союз</w:t>
      </w:r>
      <w:r w:rsidR="005325A8" w:rsidRPr="00A312C5">
        <w:rPr>
          <w:rFonts w:ascii="Times New Roman" w:hAnsi="Times New Roman" w:cs="Times New Roman"/>
          <w:sz w:val="24"/>
          <w:szCs w:val="24"/>
        </w:rPr>
        <w:t>ах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55307" w14:textId="649F2BA6" w:rsidR="0001027A" w:rsidRPr="00A312C5" w:rsidRDefault="0001027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survey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руководство Осло предоставляют нам несколько важных выводов. Во-первых, инновации присутствуют во всех отраслях экономики, не ограничиваясь исключительно высокотехнологичными секторами. Так называемые низко-технологичные отрасли часто содержат высокую долю инновационных компаний и генерируют </w:t>
      </w:r>
      <w:r w:rsidR="008844A0">
        <w:rPr>
          <w:rFonts w:ascii="Times New Roman" w:hAnsi="Times New Roman" w:cs="Times New Roman"/>
          <w:sz w:val="24"/>
          <w:szCs w:val="24"/>
        </w:rPr>
        <w:t>большие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объемы продаж новых прорывных продуктов. Во-вторых, в</w:t>
      </w:r>
      <w:r w:rsidR="00BE5BA4">
        <w:rPr>
          <w:rFonts w:ascii="Times New Roman" w:hAnsi="Times New Roman" w:cs="Times New Roman"/>
          <w:sz w:val="24"/>
          <w:szCs w:val="24"/>
        </w:rPr>
        <w:t xml:space="preserve"> разных </w:t>
      </w:r>
      <w:r w:rsidRPr="00A312C5">
        <w:rPr>
          <w:rFonts w:ascii="Times New Roman" w:hAnsi="Times New Roman" w:cs="Times New Roman"/>
          <w:sz w:val="24"/>
          <w:szCs w:val="24"/>
        </w:rPr>
        <w:t xml:space="preserve">отраслях и странах инвестиции в капитальное оборудование, связанное с внедрением новой продукции, являются наиболее значительной составляющей расходов на инновации. Также важно отметить, что во всех </w:t>
      </w:r>
      <w:r w:rsidR="006A107F">
        <w:rPr>
          <w:rFonts w:ascii="Times New Roman" w:hAnsi="Times New Roman" w:cs="Times New Roman"/>
          <w:sz w:val="24"/>
          <w:szCs w:val="24"/>
        </w:rPr>
        <w:t>изученных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странах и отраслях </w:t>
      </w:r>
      <w:r w:rsidR="006A107F">
        <w:rPr>
          <w:rFonts w:ascii="Times New Roman" w:hAnsi="Times New Roman" w:cs="Times New Roman"/>
          <w:sz w:val="24"/>
          <w:szCs w:val="24"/>
        </w:rPr>
        <w:t>затраты на исследования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</w:t>
      </w:r>
      <w:r w:rsidR="006A107F">
        <w:rPr>
          <w:rFonts w:ascii="Times New Roman" w:hAnsi="Times New Roman" w:cs="Times New Roman"/>
          <w:sz w:val="24"/>
          <w:szCs w:val="24"/>
        </w:rPr>
        <w:t xml:space="preserve">их </w:t>
      </w:r>
      <w:r w:rsidRPr="00A312C5">
        <w:rPr>
          <w:rFonts w:ascii="Times New Roman" w:hAnsi="Times New Roman" w:cs="Times New Roman"/>
          <w:sz w:val="24"/>
          <w:szCs w:val="24"/>
        </w:rPr>
        <w:t xml:space="preserve">результаты распределены ассиметрично – небольшая доля компаний генерирует большую долю инновационных результатов. Сотрудничество и кооперация широко распространены среди инновационных компаний. </w:t>
      </w:r>
    </w:p>
    <w:p w14:paraId="256B34DC" w14:textId="516CB4CC" w:rsidR="00842F61" w:rsidRPr="00A312C5" w:rsidRDefault="00842F61" w:rsidP="003D4B4B">
      <w:pPr>
        <w:pStyle w:val="3"/>
      </w:pPr>
      <w:bookmarkStart w:id="7" w:name="_Toc73538421"/>
      <w:r w:rsidRPr="00A312C5">
        <w:t>Интенсивность НИОКР</w:t>
      </w:r>
      <w:bookmarkEnd w:id="7"/>
    </w:p>
    <w:p w14:paraId="022F01D3" w14:textId="445B85D7" w:rsidR="00BE5BA4" w:rsidRDefault="00842F6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Пожалуй, наиболее важными </w:t>
      </w:r>
      <w:r w:rsidR="009F278B">
        <w:rPr>
          <w:rFonts w:ascii="Times New Roman" w:hAnsi="Times New Roman" w:cs="Times New Roman"/>
          <w:sz w:val="24"/>
          <w:szCs w:val="24"/>
        </w:rPr>
        <w:t>задачами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любого исследования являются сравнительный анализ и поиск неких закономерностей, причинно-следственных связей. Эффективное сравнение</w:t>
      </w:r>
      <w:r w:rsidR="00310005">
        <w:rPr>
          <w:rFonts w:ascii="Times New Roman" w:hAnsi="Times New Roman" w:cs="Times New Roman"/>
          <w:sz w:val="24"/>
          <w:szCs w:val="24"/>
        </w:rPr>
        <w:t xml:space="preserve"> компаний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69417159"/>
      <w:r w:rsidRPr="00A312C5">
        <w:rPr>
          <w:rFonts w:ascii="Times New Roman" w:hAnsi="Times New Roman" w:cs="Times New Roman"/>
          <w:sz w:val="24"/>
          <w:szCs w:val="24"/>
        </w:rPr>
        <w:t>с учетом различий в масштабах и валюте достига</w:t>
      </w:r>
      <w:r w:rsidR="009F278B">
        <w:rPr>
          <w:rFonts w:ascii="Times New Roman" w:hAnsi="Times New Roman" w:cs="Times New Roman"/>
          <w:sz w:val="24"/>
          <w:szCs w:val="24"/>
        </w:rPr>
        <w:t>е</w:t>
      </w:r>
      <w:r w:rsidRPr="00A312C5">
        <w:rPr>
          <w:rFonts w:ascii="Times New Roman" w:hAnsi="Times New Roman" w:cs="Times New Roman"/>
          <w:sz w:val="24"/>
          <w:szCs w:val="24"/>
        </w:rPr>
        <w:t xml:space="preserve">тся за счет использования относительных показателей вместо абсолютных. </w:t>
      </w:r>
      <w:r w:rsidR="00F621DC">
        <w:rPr>
          <w:rFonts w:ascii="Times New Roman" w:hAnsi="Times New Roman" w:cs="Times New Roman"/>
          <w:sz w:val="24"/>
          <w:szCs w:val="24"/>
        </w:rPr>
        <w:t>И</w:t>
      </w:r>
      <w:r w:rsidRPr="00A312C5">
        <w:rPr>
          <w:rFonts w:ascii="Times New Roman" w:hAnsi="Times New Roman" w:cs="Times New Roman"/>
          <w:sz w:val="24"/>
          <w:szCs w:val="24"/>
        </w:rPr>
        <w:t>нтенсивност</w:t>
      </w:r>
      <w:r w:rsidR="00F621DC">
        <w:rPr>
          <w:rFonts w:ascii="Times New Roman" w:hAnsi="Times New Roman" w:cs="Times New Roman"/>
          <w:sz w:val="24"/>
          <w:szCs w:val="24"/>
        </w:rPr>
        <w:t>ь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НИОКР (R&amp;D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) широко используется аналитиками как некий индикатор вовлеченности компаний в исследования и разработки, в частности, для проведения сравнений между странами.</w:t>
      </w:r>
      <w:bookmarkEnd w:id="8"/>
      <w:r w:rsidRPr="00A312C5">
        <w:rPr>
          <w:rFonts w:ascii="Times New Roman" w:hAnsi="Times New Roman" w:cs="Times New Roman"/>
          <w:sz w:val="24"/>
          <w:szCs w:val="24"/>
        </w:rPr>
        <w:t xml:space="preserve"> Он рассчитывается как отношение затрат на НИОКР к </w:t>
      </w:r>
      <w:r w:rsidR="00F621DC">
        <w:rPr>
          <w:rFonts w:ascii="Times New Roman" w:hAnsi="Times New Roman" w:cs="Times New Roman"/>
          <w:sz w:val="24"/>
          <w:szCs w:val="24"/>
        </w:rPr>
        <w:t>выручке</w:t>
      </w:r>
      <w:r w:rsidR="0073629E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3629E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Kayal</w:t>
      </w:r>
      <w:proofErr w:type="spellEnd"/>
      <w:r w:rsidR="0073629E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E5B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29E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2016</w:t>
      </w:r>
      <w:r w:rsidR="0073629E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73629E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Интенсивность НИОКР является одним из наиболее популярных показателей, поскольку он один из немногих объединяет в себе входные параметры (расходы на НИОКР) с непосредственным результатом (</w:t>
      </w:r>
      <w:r w:rsidR="00862E98">
        <w:rPr>
          <w:rFonts w:ascii="Times New Roman" w:hAnsi="Times New Roman" w:cs="Times New Roman"/>
          <w:sz w:val="24"/>
          <w:szCs w:val="24"/>
        </w:rPr>
        <w:t>выручкой</w:t>
      </w:r>
      <w:r w:rsidRPr="00A312C5">
        <w:rPr>
          <w:rFonts w:ascii="Times New Roman" w:hAnsi="Times New Roman" w:cs="Times New Roman"/>
          <w:sz w:val="24"/>
          <w:szCs w:val="24"/>
        </w:rPr>
        <w:t>). Этот показатель</w:t>
      </w:r>
      <w:r w:rsidR="00862E98">
        <w:rPr>
          <w:rFonts w:ascii="Times New Roman" w:hAnsi="Times New Roman" w:cs="Times New Roman"/>
          <w:sz w:val="24"/>
          <w:szCs w:val="24"/>
        </w:rPr>
        <w:t xml:space="preserve"> в несколько иной модификации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применяется членами ОЭСР для анализа технологических и научных достижений. </w:t>
      </w:r>
      <w:r w:rsidR="00862E98">
        <w:rPr>
          <w:rFonts w:ascii="Times New Roman" w:hAnsi="Times New Roman" w:cs="Times New Roman"/>
          <w:sz w:val="24"/>
          <w:szCs w:val="24"/>
        </w:rPr>
        <w:t>Для расчета интенсивности НИОКР на уровне государства выручку заменяют на ВВП определенной страны. Интенсивность 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используется в двух основных случаях. Во-первых, </w:t>
      </w:r>
      <w:r w:rsidR="00862E98">
        <w:rPr>
          <w:rFonts w:ascii="Times New Roman" w:hAnsi="Times New Roman" w:cs="Times New Roman"/>
          <w:sz w:val="24"/>
          <w:szCs w:val="24"/>
        </w:rPr>
        <w:t>этот показатель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применяется для характеристики и классификации отраслей: высоко и низкотехнологичных. Во-вторых, высокое соотношение инвестиций в НИОКР к ВВП в рамках государства принято считать индикатором технологического прогресса и стремления к новым открытиям. </w:t>
      </w:r>
    </w:p>
    <w:p w14:paraId="1CD7ACC6" w14:textId="08DF8647" w:rsidR="00842F61" w:rsidRDefault="00842F6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экономического сотрудничества и развития использует четырехступенчатую систему для классификации отраслей, в которой главным критерием является соотношения НИОКР к </w:t>
      </w:r>
      <w:r w:rsidR="00862E98">
        <w:rPr>
          <w:rFonts w:ascii="Times New Roman" w:hAnsi="Times New Roman" w:cs="Times New Roman"/>
          <w:sz w:val="24"/>
          <w:szCs w:val="24"/>
        </w:rPr>
        <w:t>выручке</w:t>
      </w:r>
      <w:r w:rsidR="00BE5BA4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A312C5">
        <w:rPr>
          <w:rFonts w:ascii="Times New Roman" w:hAnsi="Times New Roman" w:cs="Times New Roman"/>
          <w:sz w:val="24"/>
          <w:szCs w:val="24"/>
        </w:rPr>
        <w:t>:</w:t>
      </w:r>
    </w:p>
    <w:p w14:paraId="53ECB31B" w14:textId="2843AB26" w:rsidR="005B0E30" w:rsidRPr="005B0E30" w:rsidRDefault="005B0E30" w:rsidP="005B0E30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5B0E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Классификация интенсивности НИОКР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42F61" w:rsidRPr="00A312C5" w14:paraId="3D0C339E" w14:textId="77777777" w:rsidTr="00641103">
        <w:tc>
          <w:tcPr>
            <w:tcW w:w="4672" w:type="dxa"/>
          </w:tcPr>
          <w:p w14:paraId="76DE9719" w14:textId="77777777" w:rsidR="00842F61" w:rsidRPr="00A312C5" w:rsidRDefault="00842F61" w:rsidP="00862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Тип отрасли</w:t>
            </w:r>
          </w:p>
        </w:tc>
        <w:tc>
          <w:tcPr>
            <w:tcW w:w="4672" w:type="dxa"/>
          </w:tcPr>
          <w:p w14:paraId="54578813" w14:textId="6957BEAB" w:rsidR="00842F61" w:rsidRPr="00A312C5" w:rsidRDefault="00842F61" w:rsidP="00862E98">
            <w:pPr>
              <w:spacing w:line="36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НИОКР/</w:t>
            </w:r>
            <w:r w:rsidR="00862E98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</w:tr>
      <w:tr w:rsidR="00842F61" w:rsidRPr="00A312C5" w14:paraId="35E034A1" w14:textId="77777777" w:rsidTr="00641103">
        <w:tc>
          <w:tcPr>
            <w:tcW w:w="4672" w:type="dxa"/>
          </w:tcPr>
          <w:p w14:paraId="182511C3" w14:textId="77777777" w:rsidR="00842F61" w:rsidRPr="00A312C5" w:rsidRDefault="00842F61" w:rsidP="00862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отрасли</w:t>
            </w:r>
          </w:p>
        </w:tc>
        <w:tc>
          <w:tcPr>
            <w:tcW w:w="4672" w:type="dxa"/>
          </w:tcPr>
          <w:p w14:paraId="612725C1" w14:textId="77777777" w:rsidR="00842F61" w:rsidRPr="00A312C5" w:rsidRDefault="00842F61" w:rsidP="00862E98">
            <w:pPr>
              <w:spacing w:line="36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5%</w:t>
            </w:r>
          </w:p>
        </w:tc>
      </w:tr>
      <w:tr w:rsidR="00842F61" w:rsidRPr="00A312C5" w14:paraId="635B383A" w14:textId="77777777" w:rsidTr="00641103">
        <w:tc>
          <w:tcPr>
            <w:tcW w:w="4672" w:type="dxa"/>
          </w:tcPr>
          <w:p w14:paraId="754FE452" w14:textId="77777777" w:rsidR="00842F61" w:rsidRPr="00A312C5" w:rsidRDefault="00842F61" w:rsidP="00862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Средне-высокотехнологичные отрасли</w:t>
            </w:r>
          </w:p>
        </w:tc>
        <w:tc>
          <w:tcPr>
            <w:tcW w:w="4672" w:type="dxa"/>
          </w:tcPr>
          <w:p w14:paraId="14F703D8" w14:textId="77777777" w:rsidR="00842F61" w:rsidRPr="00A312C5" w:rsidRDefault="00842F61" w:rsidP="00862E98">
            <w:pPr>
              <w:spacing w:line="36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</w:tr>
      <w:tr w:rsidR="00842F61" w:rsidRPr="00A312C5" w14:paraId="373801B1" w14:textId="77777777" w:rsidTr="00641103">
        <w:tc>
          <w:tcPr>
            <w:tcW w:w="4672" w:type="dxa"/>
          </w:tcPr>
          <w:p w14:paraId="3D890334" w14:textId="77777777" w:rsidR="00842F61" w:rsidRPr="00A312C5" w:rsidRDefault="00842F61" w:rsidP="00862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Средне-низкотехнологичные отрасли</w:t>
            </w:r>
          </w:p>
        </w:tc>
        <w:tc>
          <w:tcPr>
            <w:tcW w:w="4672" w:type="dxa"/>
          </w:tcPr>
          <w:p w14:paraId="4C4CBE94" w14:textId="77777777" w:rsidR="00842F61" w:rsidRPr="00A312C5" w:rsidRDefault="00842F61" w:rsidP="00862E98">
            <w:pPr>
              <w:spacing w:line="36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От 0,9% до 3%</w:t>
            </w:r>
          </w:p>
        </w:tc>
      </w:tr>
      <w:tr w:rsidR="00842F61" w:rsidRPr="00A312C5" w14:paraId="2341C78A" w14:textId="77777777" w:rsidTr="00641103">
        <w:tc>
          <w:tcPr>
            <w:tcW w:w="4672" w:type="dxa"/>
          </w:tcPr>
          <w:p w14:paraId="7AA5B98A" w14:textId="77777777" w:rsidR="00842F61" w:rsidRPr="00A312C5" w:rsidRDefault="00842F61" w:rsidP="00862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Низкотехнологичные отрасли</w:t>
            </w:r>
          </w:p>
        </w:tc>
        <w:tc>
          <w:tcPr>
            <w:tcW w:w="4672" w:type="dxa"/>
          </w:tcPr>
          <w:p w14:paraId="42CBE5F5" w14:textId="77777777" w:rsidR="00842F61" w:rsidRPr="00A312C5" w:rsidRDefault="00842F61" w:rsidP="00862E98">
            <w:pPr>
              <w:keepNext/>
              <w:spacing w:line="36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0,9%</w:t>
            </w:r>
          </w:p>
        </w:tc>
      </w:tr>
    </w:tbl>
    <w:p w14:paraId="528D4235" w14:textId="2D4B45BB" w:rsidR="0073629E" w:rsidRPr="00031117" w:rsidRDefault="00842F61" w:rsidP="0003111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val="en-US" w:eastAsia="ru-RU"/>
        </w:rPr>
      </w:pPr>
      <w:r w:rsidRPr="00031117">
        <w:rPr>
          <w:rFonts w:ascii="Times New Roman" w:hAnsi="Times New Roman" w:cs="Times New Roman"/>
        </w:rPr>
        <w:t>Источник</w:t>
      </w:r>
      <w:r w:rsidRPr="00031117">
        <w:rPr>
          <w:rFonts w:ascii="Times New Roman" w:hAnsi="Times New Roman" w:cs="Times New Roman"/>
          <w:lang w:val="en-US"/>
        </w:rPr>
        <w:t>:</w:t>
      </w:r>
      <w:r w:rsidR="00031117" w:rsidRPr="00031117">
        <w:rPr>
          <w:rFonts w:ascii="Times New Roman" w:hAnsi="Times New Roman" w:cs="Times New Roman"/>
          <w:lang w:val="en-US"/>
        </w:rPr>
        <w:t xml:space="preserve"> [</w:t>
      </w:r>
      <w:r w:rsidR="0073629E" w:rsidRPr="00031117">
        <w:rPr>
          <w:rFonts w:ascii="Times New Roman" w:eastAsiaTheme="minorEastAsia" w:hAnsi="Times New Roman" w:cs="Times New Roman"/>
          <w:lang w:val="en-US" w:eastAsia="ru-RU"/>
        </w:rPr>
        <w:t>Hirsch‐</w:t>
      </w:r>
      <w:proofErr w:type="spellStart"/>
      <w:r w:rsidR="0073629E" w:rsidRPr="00031117">
        <w:rPr>
          <w:rFonts w:ascii="Times New Roman" w:eastAsiaTheme="minorEastAsia" w:hAnsi="Times New Roman" w:cs="Times New Roman"/>
          <w:lang w:val="en-US" w:eastAsia="ru-RU"/>
        </w:rPr>
        <w:t>Kreinse</w:t>
      </w:r>
      <w:r w:rsidR="00031117" w:rsidRPr="00031117">
        <w:rPr>
          <w:rFonts w:ascii="Times New Roman" w:eastAsiaTheme="minorEastAsia" w:hAnsi="Times New Roman" w:cs="Times New Roman"/>
          <w:lang w:val="en-US" w:eastAsia="ru-RU"/>
        </w:rPr>
        <w:t>n</w:t>
      </w:r>
      <w:proofErr w:type="spellEnd"/>
      <w:r w:rsidR="0073629E" w:rsidRPr="00031117">
        <w:rPr>
          <w:rFonts w:ascii="Times New Roman" w:eastAsiaTheme="minorEastAsia" w:hAnsi="Times New Roman" w:cs="Times New Roman"/>
          <w:lang w:val="en-US" w:eastAsia="ru-RU"/>
        </w:rPr>
        <w:t>,</w:t>
      </w:r>
      <w:r w:rsidR="00031117" w:rsidRPr="00031117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="0073629E" w:rsidRPr="00031117">
        <w:rPr>
          <w:rFonts w:ascii="Times New Roman" w:eastAsiaTheme="minorEastAsia" w:hAnsi="Times New Roman" w:cs="Times New Roman"/>
          <w:lang w:val="en-US" w:eastAsia="ru-RU"/>
        </w:rPr>
        <w:t>Jacobson, Robertson</w:t>
      </w:r>
      <w:r w:rsidR="00031117" w:rsidRPr="00031117">
        <w:rPr>
          <w:rFonts w:ascii="Times New Roman" w:eastAsiaTheme="minorEastAsia" w:hAnsi="Times New Roman" w:cs="Times New Roman"/>
          <w:lang w:val="en-US" w:eastAsia="ru-RU"/>
        </w:rPr>
        <w:t>, 2006]</w:t>
      </w:r>
    </w:p>
    <w:p w14:paraId="7C781283" w14:textId="4E88DDC6" w:rsidR="00842F61" w:rsidRPr="00A312C5" w:rsidRDefault="00842F6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Однако, многие исследователи считают, что этот показатель отражает не только вовлеченность в НИОКР, но и отраслевую структуру</w:t>
      </w:r>
      <w:r w:rsidR="003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05">
        <w:rPr>
          <w:rFonts w:ascii="Times New Roman" w:hAnsi="Times New Roman" w:cs="Times New Roman"/>
          <w:sz w:val="24"/>
          <w:szCs w:val="24"/>
        </w:rPr>
        <w:t>старны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в которой проводятся исследования. Страна или регион с развитыми высокотехнологичными отраслями будет так или иначе обладать более высоким показателем интенсивности НИОКР, чем государство, сконцентрированное в основном на низкотехнологичных отраслях экономики. Такие структурные различия объясняют разницу между интенсивностью НИОКР в странах с большой и малой экономикой. Важно отметить, что внутри различных отраслей также наблюдается значительный разброс интенсивности НИОКР: </w:t>
      </w:r>
      <w:r w:rsidR="00862E98">
        <w:rPr>
          <w:rFonts w:ascii="Times New Roman" w:hAnsi="Times New Roman" w:cs="Times New Roman"/>
          <w:sz w:val="24"/>
          <w:szCs w:val="24"/>
        </w:rPr>
        <w:t>часто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можно встретить компании с высоким отношением инвестиций в НИОКР к </w:t>
      </w:r>
      <w:r w:rsidR="00BE5BA4">
        <w:rPr>
          <w:rFonts w:ascii="Times New Roman" w:hAnsi="Times New Roman" w:cs="Times New Roman"/>
          <w:sz w:val="24"/>
          <w:szCs w:val="24"/>
        </w:rPr>
        <w:t>выручке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низкотехнологичной отрасли и наоборот.  Распределение интенсивности НИОКР обычно не является нормальным, а имеет тенденцию к правосторонней асимметрии </w:t>
      </w:r>
      <w:r w:rsidR="0073629E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 2009</w:t>
      </w:r>
      <w:r w:rsidR="0073629E" w:rsidRPr="00A312C5">
        <w:rPr>
          <w:rFonts w:ascii="Times New Roman" w:hAnsi="Times New Roman" w:cs="Times New Roman"/>
          <w:sz w:val="24"/>
          <w:szCs w:val="24"/>
        </w:rPr>
        <w:t>].</w:t>
      </w:r>
    </w:p>
    <w:p w14:paraId="37336C5F" w14:textId="17E058C7" w:rsidR="00E65506" w:rsidRPr="00A312C5" w:rsidRDefault="006D29AC" w:rsidP="00031117">
      <w:pPr>
        <w:pStyle w:val="2"/>
        <w:numPr>
          <w:ilvl w:val="1"/>
          <w:numId w:val="1"/>
        </w:numPr>
        <w:spacing w:before="0"/>
        <w:ind w:left="1276" w:hanging="567"/>
        <w:rPr>
          <w:rFonts w:cs="Times New Roman"/>
          <w:szCs w:val="24"/>
        </w:rPr>
      </w:pPr>
      <w:bookmarkStart w:id="9" w:name="_Toc73538422"/>
      <w:r w:rsidRPr="00A312C5">
        <w:rPr>
          <w:rFonts w:cs="Times New Roman"/>
          <w:szCs w:val="24"/>
        </w:rPr>
        <w:t>Теор</w:t>
      </w:r>
      <w:r w:rsidR="009A3350" w:rsidRPr="00A312C5">
        <w:rPr>
          <w:rFonts w:cs="Times New Roman"/>
          <w:szCs w:val="24"/>
        </w:rPr>
        <w:t>етические модели</w:t>
      </w:r>
      <w:bookmarkEnd w:id="9"/>
      <w:r w:rsidR="009A3350" w:rsidRPr="00A312C5">
        <w:rPr>
          <w:rFonts w:cs="Times New Roman"/>
          <w:szCs w:val="24"/>
        </w:rPr>
        <w:t xml:space="preserve"> </w:t>
      </w:r>
    </w:p>
    <w:p w14:paraId="30C45EDC" w14:textId="6E5F34BA" w:rsidR="000529CC" w:rsidRPr="00A312C5" w:rsidRDefault="00D13D35" w:rsidP="003D4B4B">
      <w:pPr>
        <w:pStyle w:val="3"/>
      </w:pPr>
      <w:bookmarkStart w:id="10" w:name="_Toc73538423"/>
      <w:r w:rsidRPr="00A312C5">
        <w:t xml:space="preserve">Классическая теория инноваций Йозефа </w:t>
      </w:r>
      <w:proofErr w:type="spellStart"/>
      <w:r w:rsidRPr="00A312C5">
        <w:t>Шумпетера</w:t>
      </w:r>
      <w:bookmarkEnd w:id="10"/>
      <w:proofErr w:type="spellEnd"/>
    </w:p>
    <w:p w14:paraId="183A8144" w14:textId="7B8436C5" w:rsidR="00AC17AA" w:rsidRPr="00A312C5" w:rsidRDefault="00D13D3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Большинство современных моделей, описывающих затраты на реализацию НИОКР, так или иначе базируются на классической инновационной теории, истоки которой </w:t>
      </w:r>
      <w:r w:rsidR="00AC17AA" w:rsidRPr="00A312C5">
        <w:rPr>
          <w:rFonts w:ascii="Times New Roman" w:hAnsi="Times New Roman" w:cs="Times New Roman"/>
          <w:sz w:val="24"/>
          <w:szCs w:val="24"/>
        </w:rPr>
        <w:t xml:space="preserve">относятся к 1911 году. Йозеф </w:t>
      </w:r>
      <w:proofErr w:type="spellStart"/>
      <w:r w:rsidR="00AC17AA" w:rsidRPr="00A312C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="00AC17AA" w:rsidRPr="00A312C5">
        <w:rPr>
          <w:rFonts w:ascii="Times New Roman" w:hAnsi="Times New Roman" w:cs="Times New Roman"/>
          <w:sz w:val="24"/>
          <w:szCs w:val="24"/>
        </w:rPr>
        <w:t xml:space="preserve"> в своей работе «Теория экономического развития» первым обратился к тематике инноваций</w:t>
      </w:r>
      <w:r w:rsidR="0073629E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3629E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Шумпетер</w:t>
      </w:r>
      <w:proofErr w:type="spellEnd"/>
      <w:r w:rsidR="000145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3629E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1982]</w:t>
      </w:r>
      <w:r w:rsidR="00AC17AA" w:rsidRPr="00A312C5">
        <w:rPr>
          <w:rFonts w:ascii="Times New Roman" w:hAnsi="Times New Roman" w:cs="Times New Roman"/>
          <w:sz w:val="24"/>
          <w:szCs w:val="24"/>
        </w:rPr>
        <w:t>.</w:t>
      </w:r>
      <w:r w:rsidR="0073629E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CE4A28" w:rsidRPr="00A312C5">
        <w:rPr>
          <w:rFonts w:ascii="Times New Roman" w:hAnsi="Times New Roman" w:cs="Times New Roman"/>
          <w:sz w:val="24"/>
          <w:szCs w:val="24"/>
        </w:rPr>
        <w:t>Автор</w:t>
      </w:r>
      <w:r w:rsidR="009D698C" w:rsidRPr="00A312C5">
        <w:rPr>
          <w:rFonts w:ascii="Times New Roman" w:hAnsi="Times New Roman" w:cs="Times New Roman"/>
          <w:sz w:val="24"/>
          <w:szCs w:val="24"/>
        </w:rPr>
        <w:t xml:space="preserve"> ввел термин инновационной экономики, определив </w:t>
      </w:r>
      <w:r w:rsidR="00323C8E">
        <w:rPr>
          <w:rFonts w:ascii="Times New Roman" w:hAnsi="Times New Roman" w:cs="Times New Roman"/>
          <w:sz w:val="24"/>
          <w:szCs w:val="24"/>
        </w:rPr>
        <w:t>одну из важнейших</w:t>
      </w:r>
      <w:r w:rsidR="009D698C" w:rsidRPr="00A312C5">
        <w:rPr>
          <w:rFonts w:ascii="Times New Roman" w:hAnsi="Times New Roman" w:cs="Times New Roman"/>
          <w:sz w:val="24"/>
          <w:szCs w:val="24"/>
        </w:rPr>
        <w:t xml:space="preserve"> задач государства – увеличение производительности с помощью инноваций. </w:t>
      </w:r>
      <w:proofErr w:type="spellStart"/>
      <w:r w:rsidR="009D698C" w:rsidRPr="00A312C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="009D698C" w:rsidRPr="00A312C5">
        <w:rPr>
          <w:rFonts w:ascii="Times New Roman" w:hAnsi="Times New Roman" w:cs="Times New Roman"/>
          <w:sz w:val="24"/>
          <w:szCs w:val="24"/>
        </w:rPr>
        <w:t xml:space="preserve"> полагал, что сами по себе механизмы рынка не могут решить эту задачу. </w:t>
      </w:r>
    </w:p>
    <w:p w14:paraId="0E6E9C11" w14:textId="33D65B06" w:rsidR="000C1BCD" w:rsidRPr="00A312C5" w:rsidRDefault="00CE4A2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Автор</w:t>
      </w:r>
      <w:r w:rsidR="00E74839" w:rsidRPr="00A312C5">
        <w:rPr>
          <w:rFonts w:ascii="Times New Roman" w:hAnsi="Times New Roman" w:cs="Times New Roman"/>
          <w:sz w:val="24"/>
          <w:szCs w:val="24"/>
        </w:rPr>
        <w:t xml:space="preserve"> трактует инновации как изменения, нацеленные на внедрение новых продуктов, форм организации производства и рынков, делая особый акцент на экономическом аспекте перемен.  </w:t>
      </w:r>
      <w:proofErr w:type="spellStart"/>
      <w:r w:rsidR="00AC17AA" w:rsidRPr="00A312C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="00AC17AA" w:rsidRPr="00A312C5">
        <w:rPr>
          <w:rFonts w:ascii="Times New Roman" w:hAnsi="Times New Roman" w:cs="Times New Roman"/>
          <w:sz w:val="24"/>
          <w:szCs w:val="24"/>
        </w:rPr>
        <w:t xml:space="preserve"> объясняет инновацию через производственную функцию, утверждая, что изменение ее формы в сумме факторов </w:t>
      </w:r>
      <w:r w:rsidR="00AC17AA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порождает </w:t>
      </w:r>
      <w:r w:rsidR="00323C8E">
        <w:rPr>
          <w:rFonts w:ascii="Times New Roman" w:hAnsi="Times New Roman" w:cs="Times New Roman"/>
          <w:sz w:val="24"/>
          <w:szCs w:val="24"/>
        </w:rPr>
        <w:t>инновационный процесс</w:t>
      </w:r>
      <w:r w:rsidR="00AC17AA" w:rsidRPr="00A312C5">
        <w:rPr>
          <w:rFonts w:ascii="Times New Roman" w:hAnsi="Times New Roman" w:cs="Times New Roman"/>
          <w:sz w:val="24"/>
          <w:szCs w:val="24"/>
        </w:rPr>
        <w:t xml:space="preserve">. Инновация понимается автором как некое новое сочетание факторов производства, связанное с особым типом мышления предпринимателя-новатора. </w:t>
      </w:r>
      <w:r w:rsidR="000C1BCD" w:rsidRPr="00A312C5">
        <w:rPr>
          <w:rFonts w:ascii="Times New Roman" w:hAnsi="Times New Roman" w:cs="Times New Roman"/>
          <w:sz w:val="24"/>
          <w:szCs w:val="24"/>
        </w:rPr>
        <w:t>Инновации рассматриваются в разрезе следующих комбинаций: применение новых производственных процессов, новых типов материалов и сырья, внедрение новой техники, нововведения в организации работы, выход на новые рынки, разработка нового товара или существующего товара с новыми признаками.</w:t>
      </w:r>
    </w:p>
    <w:p w14:paraId="78C5382E" w14:textId="171BB0C3" w:rsidR="009D698C" w:rsidRPr="00A312C5" w:rsidRDefault="0088483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Основным признаком инновации, как упоминалось ранее, является новизна. </w:t>
      </w:r>
      <w:r w:rsidR="005F2157" w:rsidRPr="00A312C5">
        <w:rPr>
          <w:rFonts w:ascii="Times New Roman" w:hAnsi="Times New Roman" w:cs="Times New Roman"/>
          <w:sz w:val="24"/>
          <w:szCs w:val="24"/>
        </w:rPr>
        <w:t xml:space="preserve">Но в данной концепции инновация понимается как отдельный фактор производства. </w:t>
      </w:r>
      <w:r w:rsidRPr="00A312C5">
        <w:rPr>
          <w:rFonts w:ascii="Times New Roman" w:hAnsi="Times New Roman" w:cs="Times New Roman"/>
          <w:sz w:val="24"/>
          <w:szCs w:val="24"/>
        </w:rPr>
        <w:t xml:space="preserve">Важнейшими инновациями являются внедрение новых производственных процессов и продуктов (процессные и продуктовые). Экономический подъём напрямую связан с появлением новых комбинаций </w:t>
      </w:r>
      <w:r w:rsidR="00323C8E"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Pr="00A312C5">
        <w:rPr>
          <w:rFonts w:ascii="Times New Roman" w:hAnsi="Times New Roman" w:cs="Times New Roman"/>
          <w:sz w:val="24"/>
          <w:szCs w:val="24"/>
        </w:rPr>
        <w:t>факторов.</w:t>
      </w:r>
      <w:r w:rsidR="00D85D57" w:rsidRPr="00A312C5">
        <w:rPr>
          <w:rFonts w:ascii="Times New Roman" w:hAnsi="Times New Roman" w:cs="Times New Roman"/>
          <w:sz w:val="24"/>
          <w:szCs w:val="24"/>
        </w:rPr>
        <w:t xml:space="preserve"> Базовые инновации, такие как паровой двигатель и электричество, становятся основой для создания более сложных технологий, вызывая вторичные инновации. </w:t>
      </w:r>
      <w:r w:rsidR="005F2157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D57" w:rsidRPr="00A312C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="00D85D57" w:rsidRPr="00A312C5">
        <w:rPr>
          <w:rFonts w:ascii="Times New Roman" w:hAnsi="Times New Roman" w:cs="Times New Roman"/>
          <w:sz w:val="24"/>
          <w:szCs w:val="24"/>
        </w:rPr>
        <w:t xml:space="preserve"> рассматривает инновации через призму цикличности и непрерывной конкуренции старых технологий и продуктов с более современными. </w:t>
      </w:r>
    </w:p>
    <w:p w14:paraId="007423B9" w14:textId="1701F1E4" w:rsidR="00D13D35" w:rsidRPr="005C2F18" w:rsidRDefault="00D13D35" w:rsidP="003D4B4B">
      <w:pPr>
        <w:pStyle w:val="3"/>
      </w:pPr>
      <w:bookmarkStart w:id="11" w:name="_Toc73538424"/>
      <w:r w:rsidRPr="005C2F18">
        <w:t xml:space="preserve">Таксономия </w:t>
      </w:r>
      <w:proofErr w:type="spellStart"/>
      <w:r w:rsidRPr="005C2F18">
        <w:t>Павитта</w:t>
      </w:r>
      <w:bookmarkEnd w:id="11"/>
      <w:proofErr w:type="spellEnd"/>
    </w:p>
    <w:p w14:paraId="3E784050" w14:textId="1C58F438" w:rsidR="00301246" w:rsidRPr="00A312C5" w:rsidRDefault="007F481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Одной из фундаментальных теоретических классификаций, </w:t>
      </w:r>
      <w:r w:rsidR="00301246" w:rsidRPr="00A312C5">
        <w:rPr>
          <w:rFonts w:ascii="Times New Roman" w:hAnsi="Times New Roman" w:cs="Times New Roman"/>
          <w:sz w:val="24"/>
          <w:szCs w:val="24"/>
        </w:rPr>
        <w:t xml:space="preserve">описывающих отраслевые закономерности инвестирования в НИОКР, является таксономия </w:t>
      </w:r>
      <w:proofErr w:type="spellStart"/>
      <w:r w:rsidR="00301246" w:rsidRPr="00A312C5">
        <w:rPr>
          <w:rFonts w:ascii="Times New Roman" w:hAnsi="Times New Roman" w:cs="Times New Roman"/>
          <w:sz w:val="24"/>
          <w:szCs w:val="24"/>
        </w:rPr>
        <w:t>Павитта</w:t>
      </w:r>
      <w:proofErr w:type="spellEnd"/>
      <w:r w:rsidR="000A5574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4D3646" w:rsidRPr="00A312C5">
        <w:rPr>
          <w:rFonts w:ascii="Times New Roman" w:hAnsi="Times New Roman" w:cs="Times New Roman"/>
          <w:sz w:val="24"/>
          <w:szCs w:val="24"/>
        </w:rPr>
        <w:t>[</w:t>
      </w:r>
      <w:r w:rsidR="000A5574" w:rsidRPr="00A312C5">
        <w:rPr>
          <w:rFonts w:ascii="Times New Roman" w:hAnsi="Times New Roman" w:cs="Times New Roman"/>
          <w:sz w:val="24"/>
          <w:szCs w:val="24"/>
          <w:lang w:val="en-US"/>
        </w:rPr>
        <w:t>Pavitt</w:t>
      </w:r>
      <w:r w:rsidR="000A5574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4D3646" w:rsidRPr="00A312C5">
        <w:rPr>
          <w:rFonts w:ascii="Times New Roman" w:hAnsi="Times New Roman" w:cs="Times New Roman"/>
          <w:sz w:val="24"/>
          <w:szCs w:val="24"/>
        </w:rPr>
        <w:t>1984]</w:t>
      </w:r>
      <w:r w:rsidR="000A5574" w:rsidRPr="00A312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5574" w:rsidRPr="00A312C5">
        <w:rPr>
          <w:rFonts w:ascii="Times New Roman" w:hAnsi="Times New Roman" w:cs="Times New Roman"/>
          <w:sz w:val="24"/>
          <w:szCs w:val="24"/>
        </w:rPr>
        <w:t>Павитт</w:t>
      </w:r>
      <w:proofErr w:type="spellEnd"/>
      <w:r w:rsidR="004D3646" w:rsidRPr="00A312C5">
        <w:rPr>
          <w:rFonts w:ascii="Times New Roman" w:hAnsi="Times New Roman" w:cs="Times New Roman"/>
          <w:sz w:val="24"/>
          <w:szCs w:val="24"/>
        </w:rPr>
        <w:t xml:space="preserve"> предложил таксономию, которая подразделяет отрасли на две категории: ориентированные на продукты и на процессы. В качестве факторов были рассмотрены такие характеристики, как источник технологии, тип пользователей, цель и траектория инновации. В своей классификации автор выделил 4 категории фирм</w:t>
      </w:r>
      <w:r w:rsidR="00301246" w:rsidRPr="00A312C5">
        <w:rPr>
          <w:rFonts w:ascii="Times New Roman" w:hAnsi="Times New Roman" w:cs="Times New Roman"/>
          <w:sz w:val="24"/>
          <w:szCs w:val="24"/>
        </w:rPr>
        <w:t xml:space="preserve"> и поставил им в соответствие определенные виды НИОКР</w:t>
      </w:r>
      <w:r w:rsidR="004D3646" w:rsidRPr="00A312C5">
        <w:rPr>
          <w:rFonts w:ascii="Times New Roman" w:hAnsi="Times New Roman" w:cs="Times New Roman"/>
          <w:sz w:val="24"/>
          <w:szCs w:val="24"/>
        </w:rPr>
        <w:t>. Масштабно-интенсивные компании, производящие товары массового потребления, обычно используют процессные инновации. Специализированные поставщики – небольшие фирмы, создающие технологии для последующей продажи другим компаниям, фокусируются на продуктовых инновациях. Фирмы с преобладанием поставщиков, получающие доступ к инновациям путем покупки оборудования, фокусируются на использовании процессных инноваций. Среди научно-ориентированных фирм (в основном это фармацевтическая и компьютерная отрасли) существует баланс между двумя типами применяемых инноваций</w:t>
      </w:r>
      <w:r w:rsidR="00301246" w:rsidRPr="00A312C5">
        <w:rPr>
          <w:rFonts w:ascii="Times New Roman" w:hAnsi="Times New Roman" w:cs="Times New Roman"/>
          <w:sz w:val="24"/>
          <w:szCs w:val="24"/>
        </w:rPr>
        <w:t xml:space="preserve"> – продуктовыми и процессными</w:t>
      </w:r>
      <w:r w:rsidR="004D3646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7BFC14BF" w14:textId="18515C22" w:rsidR="004D3646" w:rsidRPr="00A312C5" w:rsidRDefault="004D3646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Такие закономерности могут быть обусловлены фундаментальными различиями</w:t>
      </w:r>
      <w:r w:rsidR="00301246" w:rsidRPr="00A312C5">
        <w:rPr>
          <w:rFonts w:ascii="Times New Roman" w:hAnsi="Times New Roman" w:cs="Times New Roman"/>
          <w:sz w:val="24"/>
          <w:szCs w:val="24"/>
        </w:rPr>
        <w:t xml:space="preserve"> во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внешних услови</w:t>
      </w:r>
      <w:r w:rsidR="00301246" w:rsidRPr="00A312C5">
        <w:rPr>
          <w:rFonts w:ascii="Times New Roman" w:hAnsi="Times New Roman" w:cs="Times New Roman"/>
          <w:sz w:val="24"/>
          <w:szCs w:val="24"/>
        </w:rPr>
        <w:t>ях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 отраслевом уровне, что, в свою очередь, приводит к </w:t>
      </w:r>
      <w:r w:rsidR="00301246" w:rsidRPr="00A312C5">
        <w:rPr>
          <w:rFonts w:ascii="Times New Roman" w:hAnsi="Times New Roman" w:cs="Times New Roman"/>
          <w:sz w:val="24"/>
          <w:szCs w:val="24"/>
        </w:rPr>
        <w:t>неодинаковой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отдаче от одного вида инноваций по сравнению с другим в разных отраслях. </w:t>
      </w:r>
      <w:r w:rsidR="00640173" w:rsidRPr="00A312C5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="00640173" w:rsidRPr="00A312C5">
        <w:rPr>
          <w:rFonts w:ascii="Times New Roman" w:hAnsi="Times New Roman" w:cs="Times New Roman"/>
          <w:sz w:val="24"/>
          <w:szCs w:val="24"/>
        </w:rPr>
        <w:t>Павитта</w:t>
      </w:r>
      <w:proofErr w:type="spellEnd"/>
      <w:r w:rsidR="00640173" w:rsidRPr="00A312C5">
        <w:rPr>
          <w:rFonts w:ascii="Times New Roman" w:hAnsi="Times New Roman" w:cs="Times New Roman"/>
          <w:sz w:val="24"/>
          <w:szCs w:val="24"/>
        </w:rPr>
        <w:t xml:space="preserve"> была одной из первых, эмпирически доказавших важность наличия технологического </w:t>
      </w:r>
      <w:r w:rsidR="00640173" w:rsidRPr="00A312C5">
        <w:rPr>
          <w:rFonts w:ascii="Times New Roman" w:hAnsi="Times New Roman" w:cs="Times New Roman"/>
          <w:sz w:val="24"/>
          <w:szCs w:val="24"/>
        </w:rPr>
        <w:lastRenderedPageBreak/>
        <w:t>разнообразия в экономике. Она также предоставила данные для разработки политик</w:t>
      </w:r>
      <w:r w:rsidR="003F7EBC">
        <w:rPr>
          <w:rFonts w:ascii="Times New Roman" w:hAnsi="Times New Roman" w:cs="Times New Roman"/>
          <w:sz w:val="24"/>
          <w:szCs w:val="24"/>
        </w:rPr>
        <w:t>и</w:t>
      </w:r>
      <w:r w:rsidR="00640173" w:rsidRPr="00A312C5">
        <w:rPr>
          <w:rFonts w:ascii="Times New Roman" w:hAnsi="Times New Roman" w:cs="Times New Roman"/>
          <w:sz w:val="24"/>
          <w:szCs w:val="24"/>
        </w:rPr>
        <w:t xml:space="preserve"> в сфере НИОКР для компаний, использующих </w:t>
      </w:r>
      <w:r w:rsidR="00F43961" w:rsidRPr="00A312C5">
        <w:rPr>
          <w:rFonts w:ascii="Times New Roman" w:hAnsi="Times New Roman" w:cs="Times New Roman"/>
          <w:sz w:val="24"/>
          <w:szCs w:val="24"/>
        </w:rPr>
        <w:t xml:space="preserve">различные технологические паттерны. </w:t>
      </w:r>
    </w:p>
    <w:p w14:paraId="57572551" w14:textId="40A66219" w:rsidR="00F5475A" w:rsidRPr="005C2F18" w:rsidRDefault="005C2F18" w:rsidP="003D4B4B">
      <w:pPr>
        <w:pStyle w:val="3"/>
      </w:pPr>
      <w:bookmarkStart w:id="12" w:name="_Toc73538425"/>
      <w:r w:rsidRPr="005C2F18">
        <w:t>Анализ НИОКР на основе концепции реальных опционов</w:t>
      </w:r>
      <w:bookmarkEnd w:id="12"/>
      <w:r w:rsidR="000E5F85" w:rsidRPr="005C2F18">
        <w:t xml:space="preserve"> </w:t>
      </w:r>
    </w:p>
    <w:p w14:paraId="453F79A7" w14:textId="1DD85788" w:rsidR="00F5475A" w:rsidRPr="00A312C5" w:rsidRDefault="000F678D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Разработка новых продуктов является критически важным видом деятельности для большинства компаний</w:t>
      </w:r>
      <w:r w:rsidR="00F5475A" w:rsidRPr="00A312C5">
        <w:rPr>
          <w:rFonts w:ascii="Times New Roman" w:hAnsi="Times New Roman" w:cs="Times New Roman"/>
          <w:sz w:val="24"/>
          <w:szCs w:val="24"/>
        </w:rPr>
        <w:t>. И все же для многих фирм расходы на 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CE4A28" w:rsidRPr="00A312C5">
        <w:rPr>
          <w:rFonts w:ascii="Times New Roman" w:hAnsi="Times New Roman" w:cs="Times New Roman"/>
          <w:sz w:val="24"/>
          <w:szCs w:val="24"/>
        </w:rPr>
        <w:t>остаются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«черным ящиком». Компании распределяют бюджетные средства без четкой стратегии, наблюдаемых показателей и мониторинга. Такой подход препятствует </w:t>
      </w:r>
      <w:r w:rsidRPr="00A312C5">
        <w:rPr>
          <w:rFonts w:ascii="Times New Roman" w:hAnsi="Times New Roman" w:cs="Times New Roman"/>
          <w:sz w:val="24"/>
          <w:szCs w:val="24"/>
        </w:rPr>
        <w:t xml:space="preserve">эффективному </w:t>
      </w:r>
      <w:r w:rsidR="00F5475A" w:rsidRPr="00A312C5">
        <w:rPr>
          <w:rFonts w:ascii="Times New Roman" w:hAnsi="Times New Roman" w:cs="Times New Roman"/>
          <w:sz w:val="24"/>
          <w:szCs w:val="24"/>
        </w:rPr>
        <w:t>росту</w:t>
      </w:r>
      <w:r w:rsidRPr="00A312C5">
        <w:rPr>
          <w:rFonts w:ascii="Times New Roman" w:hAnsi="Times New Roman" w:cs="Times New Roman"/>
          <w:sz w:val="24"/>
          <w:szCs w:val="24"/>
        </w:rPr>
        <w:t>. Все больше организаций прибегает</w:t>
      </w:r>
      <w:r w:rsidR="009B163E" w:rsidRPr="00A312C5">
        <w:rPr>
          <w:rFonts w:ascii="Times New Roman" w:hAnsi="Times New Roman" w:cs="Times New Roman"/>
          <w:sz w:val="24"/>
          <w:szCs w:val="24"/>
        </w:rPr>
        <w:t xml:space="preserve"> к использованию сложных </w:t>
      </w:r>
      <w:r w:rsidRPr="00A312C5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9B163E" w:rsidRPr="00A312C5">
        <w:rPr>
          <w:rFonts w:ascii="Times New Roman" w:hAnsi="Times New Roman" w:cs="Times New Roman"/>
          <w:sz w:val="24"/>
          <w:szCs w:val="24"/>
        </w:rPr>
        <w:t xml:space="preserve">инструментов, позволяющих произвести количественную оценку рисков и выбрать наиболее перспективные проекты. </w:t>
      </w:r>
    </w:p>
    <w:p w14:paraId="09DB5739" w14:textId="13A36734" w:rsidR="003268B5" w:rsidRPr="00A312C5" w:rsidRDefault="00F5475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Один из важных и часто применяемых </w:t>
      </w:r>
      <w:r w:rsidR="000F678D" w:rsidRPr="00A312C5">
        <w:rPr>
          <w:rFonts w:ascii="Times New Roman" w:hAnsi="Times New Roman" w:cs="Times New Roman"/>
          <w:sz w:val="24"/>
          <w:szCs w:val="24"/>
        </w:rPr>
        <w:t xml:space="preserve">количественных </w:t>
      </w:r>
      <w:r w:rsidRPr="00A312C5">
        <w:rPr>
          <w:rFonts w:ascii="Times New Roman" w:hAnsi="Times New Roman" w:cs="Times New Roman"/>
          <w:sz w:val="24"/>
          <w:szCs w:val="24"/>
        </w:rPr>
        <w:t xml:space="preserve">методов оценки эффективности затрат на НИОКР – концепция реальных опционов. </w:t>
      </w:r>
      <w:r w:rsidR="000255A4" w:rsidRPr="00A312C5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="000255A4" w:rsidRPr="00A312C5">
        <w:rPr>
          <w:rFonts w:ascii="Times New Roman" w:hAnsi="Times New Roman" w:cs="Times New Roman"/>
          <w:sz w:val="24"/>
          <w:szCs w:val="24"/>
        </w:rPr>
        <w:t>Бухвалов</w:t>
      </w:r>
      <w:proofErr w:type="spellEnd"/>
      <w:r w:rsidR="000255A4" w:rsidRPr="00A312C5">
        <w:rPr>
          <w:rFonts w:ascii="Times New Roman" w:hAnsi="Times New Roman" w:cs="Times New Roman"/>
          <w:sz w:val="24"/>
          <w:szCs w:val="24"/>
        </w:rPr>
        <w:t xml:space="preserve"> в своей статье «</w:t>
      </w:r>
      <w:r w:rsidR="003268B5" w:rsidRPr="00A312C5">
        <w:rPr>
          <w:rFonts w:ascii="Times New Roman" w:hAnsi="Times New Roman" w:cs="Times New Roman"/>
          <w:sz w:val="24"/>
          <w:szCs w:val="24"/>
        </w:rPr>
        <w:t>Реальные опционы в менеджменте: введение в проблему</w:t>
      </w:r>
      <w:r w:rsidR="000255A4" w:rsidRPr="00A312C5">
        <w:rPr>
          <w:rFonts w:ascii="Times New Roman" w:hAnsi="Times New Roman" w:cs="Times New Roman"/>
          <w:sz w:val="24"/>
          <w:szCs w:val="24"/>
        </w:rPr>
        <w:t>» определяет реальный опцион, как «возможность принятия гибких решений в условиях неопред</w:t>
      </w:r>
      <w:r w:rsidR="003268B5" w:rsidRPr="00A312C5">
        <w:rPr>
          <w:rFonts w:ascii="Times New Roman" w:hAnsi="Times New Roman" w:cs="Times New Roman"/>
          <w:sz w:val="24"/>
          <w:szCs w:val="24"/>
        </w:rPr>
        <w:t>еленности»</w:t>
      </w:r>
      <w:r w:rsidR="008C6F5B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C6F5B" w:rsidRPr="00A312C5">
        <w:rPr>
          <w:rFonts w:ascii="Times New Roman" w:hAnsi="Times New Roman" w:cs="Times New Roman"/>
          <w:sz w:val="24"/>
          <w:szCs w:val="24"/>
        </w:rPr>
        <w:t>Бухвалов</w:t>
      </w:r>
      <w:proofErr w:type="spellEnd"/>
      <w:r w:rsidR="008C6F5B" w:rsidRPr="00A312C5">
        <w:rPr>
          <w:rFonts w:ascii="Times New Roman" w:hAnsi="Times New Roman" w:cs="Times New Roman"/>
          <w:sz w:val="24"/>
          <w:szCs w:val="24"/>
        </w:rPr>
        <w:t>, 2004]</w:t>
      </w:r>
      <w:r w:rsidR="003268B5" w:rsidRPr="00A312C5">
        <w:rPr>
          <w:rFonts w:ascii="Times New Roman" w:hAnsi="Times New Roman" w:cs="Times New Roman"/>
          <w:sz w:val="24"/>
          <w:szCs w:val="24"/>
        </w:rPr>
        <w:t>.</w:t>
      </w:r>
      <w:r w:rsidR="008C6F5B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0255A4" w:rsidRPr="00A312C5">
        <w:rPr>
          <w:rFonts w:ascii="Times New Roman" w:hAnsi="Times New Roman" w:cs="Times New Roman"/>
          <w:sz w:val="24"/>
          <w:szCs w:val="24"/>
        </w:rPr>
        <w:t>Реальный опцион</w:t>
      </w:r>
      <w:r w:rsidR="00CE4A28" w:rsidRPr="00A312C5">
        <w:rPr>
          <w:rFonts w:ascii="Times New Roman" w:hAnsi="Times New Roman" w:cs="Times New Roman"/>
          <w:sz w:val="24"/>
          <w:szCs w:val="24"/>
        </w:rPr>
        <w:t>, в отличие от финансового,</w:t>
      </w:r>
      <w:r w:rsidR="000255A4" w:rsidRPr="00A312C5">
        <w:rPr>
          <w:rFonts w:ascii="Times New Roman" w:hAnsi="Times New Roman" w:cs="Times New Roman"/>
          <w:sz w:val="24"/>
          <w:szCs w:val="24"/>
        </w:rPr>
        <w:t xml:space="preserve"> является виртуальным понятием: он нематериален и не может быть продан другой компании. </w:t>
      </w:r>
    </w:p>
    <w:p w14:paraId="1B9533A6" w14:textId="6A9C50F9" w:rsidR="00F5475A" w:rsidRPr="00A312C5" w:rsidRDefault="00F5475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Инвестируя в </w:t>
      </w:r>
      <w:r w:rsidR="005325A8" w:rsidRPr="00A312C5">
        <w:rPr>
          <w:rFonts w:ascii="Times New Roman" w:hAnsi="Times New Roman" w:cs="Times New Roman"/>
          <w:sz w:val="24"/>
          <w:szCs w:val="24"/>
        </w:rPr>
        <w:t>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компания сталкивается с неопределенностью. </w:t>
      </w:r>
      <w:bookmarkStart w:id="13" w:name="_Hlk69418666"/>
      <w:r w:rsidRPr="00A312C5">
        <w:rPr>
          <w:rFonts w:ascii="Times New Roman" w:hAnsi="Times New Roman" w:cs="Times New Roman"/>
          <w:sz w:val="24"/>
          <w:szCs w:val="24"/>
        </w:rPr>
        <w:t>Расходы на НИОКР можно рассматривать в качестве платы за приобретение эксклюзивного права совершить вложение в реальные активы в будущем.</w:t>
      </w:r>
      <w:r w:rsidR="00C51A85"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A312C5">
        <w:rPr>
          <w:rFonts w:ascii="Times New Roman" w:hAnsi="Times New Roman" w:cs="Times New Roman"/>
          <w:sz w:val="24"/>
          <w:szCs w:val="24"/>
        </w:rPr>
        <w:t xml:space="preserve">Компании, которые вкладывают большие суммы в НИОКР, зачастую сталкиваются с затруднениями при оценке инвестиций, так как вознаграждение </w:t>
      </w:r>
      <w:r w:rsidR="00B01FDD" w:rsidRPr="00A312C5">
        <w:rPr>
          <w:rFonts w:ascii="Times New Roman" w:hAnsi="Times New Roman" w:cs="Times New Roman"/>
          <w:sz w:val="24"/>
          <w:szCs w:val="24"/>
        </w:rPr>
        <w:t>реализуется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форме неких будущих проектов. При этом существует вероятность, что после совершения вложений, разработанные проекты могут оказаться убыточными и неэффективными. На подобные расходы стоит смотреть, как на безвозвратные издержки. НИОКР повторяет характеристики колл-опциона: инвестиции в разработку соответствуют стоимости опциона, а продукты, которые могут быть разработаны в процессе – выплат</w:t>
      </w:r>
      <w:r w:rsidR="00A76B29" w:rsidRPr="00A312C5">
        <w:rPr>
          <w:rFonts w:ascii="Times New Roman" w:hAnsi="Times New Roman" w:cs="Times New Roman"/>
          <w:sz w:val="24"/>
          <w:szCs w:val="24"/>
        </w:rPr>
        <w:t>ам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 опциону. В случае, если приведенная стоимость выплат превысит сумму </w:t>
      </w:r>
      <w:r w:rsidR="00B01FDD" w:rsidRPr="00A312C5">
        <w:rPr>
          <w:rFonts w:ascii="Times New Roman" w:hAnsi="Times New Roman" w:cs="Times New Roman"/>
          <w:sz w:val="24"/>
          <w:szCs w:val="24"/>
        </w:rPr>
        <w:t xml:space="preserve">первоначальных </w:t>
      </w:r>
      <w:r w:rsidRPr="00A312C5">
        <w:rPr>
          <w:rFonts w:ascii="Times New Roman" w:hAnsi="Times New Roman" w:cs="Times New Roman"/>
          <w:sz w:val="24"/>
          <w:szCs w:val="24"/>
        </w:rPr>
        <w:t xml:space="preserve">инвестиций, вознаграждение составит разность между этими величинами. </w:t>
      </w:r>
    </w:p>
    <w:p w14:paraId="1719E359" w14:textId="37D1FD76" w:rsidR="000255A4" w:rsidRPr="00A312C5" w:rsidRDefault="00C51A8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Обладатель опциона имеет право, но не </w:t>
      </w:r>
      <w:r w:rsidR="0006278A" w:rsidRPr="00A312C5">
        <w:rPr>
          <w:rFonts w:ascii="Times New Roman" w:hAnsi="Times New Roman" w:cs="Times New Roman"/>
          <w:sz w:val="24"/>
          <w:szCs w:val="24"/>
        </w:rPr>
        <w:t>обязательство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 совершение неких действий с базовым активом. </w:t>
      </w:r>
      <w:r w:rsidR="00B01FDD" w:rsidRPr="00A312C5">
        <w:rPr>
          <w:rFonts w:ascii="Times New Roman" w:hAnsi="Times New Roman" w:cs="Times New Roman"/>
          <w:sz w:val="24"/>
          <w:szCs w:val="24"/>
        </w:rPr>
        <w:t>М</w:t>
      </w:r>
      <w:r w:rsidR="0006278A" w:rsidRPr="00A312C5">
        <w:rPr>
          <w:rFonts w:ascii="Times New Roman" w:hAnsi="Times New Roman" w:cs="Times New Roman"/>
          <w:sz w:val="24"/>
          <w:szCs w:val="24"/>
        </w:rPr>
        <w:t>енеджер компании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принимая во внимание новую поступающую информацию, может по-разному на нее реагировать. Например, проект можно </w:t>
      </w:r>
      <w:r w:rsidR="0006278A" w:rsidRPr="00A312C5">
        <w:rPr>
          <w:rFonts w:ascii="Times New Roman" w:hAnsi="Times New Roman" w:cs="Times New Roman"/>
          <w:sz w:val="24"/>
          <w:szCs w:val="24"/>
        </w:rPr>
        <w:t>остановить, тем самым избежав дальнейших потерь, или расширить его, если исследования успешны. Анализ различных возможностей реагирования</w:t>
      </w:r>
      <w:r w:rsidR="003268B5" w:rsidRPr="00A312C5">
        <w:rPr>
          <w:rFonts w:ascii="Times New Roman" w:hAnsi="Times New Roman" w:cs="Times New Roman"/>
          <w:sz w:val="24"/>
          <w:szCs w:val="24"/>
        </w:rPr>
        <w:t xml:space="preserve"> и управленческая гибкость</w:t>
      </w:r>
      <w:r w:rsidR="0006278A" w:rsidRPr="00A312C5">
        <w:rPr>
          <w:rFonts w:ascii="Times New Roman" w:hAnsi="Times New Roman" w:cs="Times New Roman"/>
          <w:sz w:val="24"/>
          <w:szCs w:val="24"/>
        </w:rPr>
        <w:t xml:space="preserve"> име</w:t>
      </w:r>
      <w:r w:rsidR="003268B5" w:rsidRPr="00A312C5">
        <w:rPr>
          <w:rFonts w:ascii="Times New Roman" w:hAnsi="Times New Roman" w:cs="Times New Roman"/>
          <w:sz w:val="24"/>
          <w:szCs w:val="24"/>
        </w:rPr>
        <w:t>ют</w:t>
      </w:r>
      <w:r w:rsidR="0006278A" w:rsidRPr="00A312C5">
        <w:rPr>
          <w:rFonts w:ascii="Times New Roman" w:hAnsi="Times New Roman" w:cs="Times New Roman"/>
          <w:sz w:val="24"/>
          <w:szCs w:val="24"/>
        </w:rPr>
        <w:t xml:space="preserve"> центральное значение в рамках применения концепции реальных опционов к </w:t>
      </w:r>
      <w:r w:rsidR="00B01FDD" w:rsidRPr="00A312C5">
        <w:rPr>
          <w:rFonts w:ascii="Times New Roman" w:hAnsi="Times New Roman" w:cs="Times New Roman"/>
          <w:sz w:val="24"/>
          <w:szCs w:val="24"/>
        </w:rPr>
        <w:t>оценке</w:t>
      </w:r>
      <w:r w:rsidR="0006278A" w:rsidRPr="00A312C5">
        <w:rPr>
          <w:rFonts w:ascii="Times New Roman" w:hAnsi="Times New Roman" w:cs="Times New Roman"/>
          <w:sz w:val="24"/>
          <w:szCs w:val="24"/>
        </w:rPr>
        <w:t xml:space="preserve"> проектов НИОКР</w:t>
      </w:r>
      <w:r w:rsidR="000255A4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6D0441A4" w14:textId="74404524" w:rsidR="00F5475A" w:rsidRPr="00A312C5" w:rsidRDefault="000255A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1A85" w:rsidRPr="00A312C5">
        <w:rPr>
          <w:rFonts w:ascii="Times New Roman" w:hAnsi="Times New Roman" w:cs="Times New Roman"/>
          <w:sz w:val="24"/>
          <w:szCs w:val="24"/>
        </w:rPr>
        <w:t>П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ри прочих равных инвестиции в </w:t>
      </w:r>
      <w:r w:rsidR="00B12BC9" w:rsidRPr="00A312C5">
        <w:rPr>
          <w:rFonts w:ascii="Times New Roman" w:hAnsi="Times New Roman" w:cs="Times New Roman"/>
          <w:sz w:val="24"/>
          <w:szCs w:val="24"/>
        </w:rPr>
        <w:t>НИОКР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должны обеспечивать более высокую </w:t>
      </w:r>
      <w:r w:rsidR="00B01FDD" w:rsidRPr="00A312C5">
        <w:rPr>
          <w:rFonts w:ascii="Times New Roman" w:hAnsi="Times New Roman" w:cs="Times New Roman"/>
          <w:sz w:val="24"/>
          <w:szCs w:val="24"/>
        </w:rPr>
        <w:t>ценность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B01FDD" w:rsidRPr="00A312C5">
        <w:rPr>
          <w:rFonts w:ascii="Times New Roman" w:hAnsi="Times New Roman" w:cs="Times New Roman"/>
          <w:sz w:val="24"/>
          <w:szCs w:val="24"/>
        </w:rPr>
        <w:t>ям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из отраслей, наиболее подверженных изменениям. Дисперсия выплат положительно коррелирует с ценностью колл-опциона</w:t>
      </w:r>
      <w:r w:rsidR="008C6F5B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C6F5B" w:rsidRPr="00A312C5">
        <w:rPr>
          <w:rFonts w:ascii="Times New Roman" w:hAnsi="Times New Roman" w:cs="Times New Roman"/>
          <w:sz w:val="24"/>
          <w:szCs w:val="24"/>
        </w:rPr>
        <w:t>Дамодаран</w:t>
      </w:r>
      <w:proofErr w:type="spellEnd"/>
      <w:r w:rsidR="008C6F5B" w:rsidRPr="00A312C5">
        <w:rPr>
          <w:rFonts w:ascii="Times New Roman" w:hAnsi="Times New Roman" w:cs="Times New Roman"/>
          <w:sz w:val="24"/>
          <w:szCs w:val="24"/>
        </w:rPr>
        <w:t>, 2005]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. Кроме этого, оптимальный объем затрат на НИОКР будет меняться по мере </w:t>
      </w:r>
      <w:r w:rsidR="00B01FDD" w:rsidRPr="00A312C5">
        <w:rPr>
          <w:rFonts w:ascii="Times New Roman" w:hAnsi="Times New Roman" w:cs="Times New Roman"/>
          <w:sz w:val="24"/>
          <w:szCs w:val="24"/>
        </w:rPr>
        <w:t>прохождения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этап</w:t>
      </w:r>
      <w:r w:rsidR="00B01FDD" w:rsidRPr="00A312C5">
        <w:rPr>
          <w:rFonts w:ascii="Times New Roman" w:hAnsi="Times New Roman" w:cs="Times New Roman"/>
          <w:sz w:val="24"/>
          <w:szCs w:val="24"/>
        </w:rPr>
        <w:t>ов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жизненного цикла отрасли. Например, в 1980-х годах компании фармацевтической отрасли активно инвестировали в НИОКР, извлекая высокую прибыль из новых продуктов с ростом затрат на здравоохранени</w:t>
      </w:r>
      <w:r w:rsidR="00A76B29" w:rsidRPr="00A312C5">
        <w:rPr>
          <w:rFonts w:ascii="Times New Roman" w:hAnsi="Times New Roman" w:cs="Times New Roman"/>
          <w:sz w:val="24"/>
          <w:szCs w:val="24"/>
        </w:rPr>
        <w:t>е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. В 1990-е затраты на здравоохранение постепенно начали достигать плато, а отрасль </w:t>
      </w:r>
      <w:r w:rsidR="00A76B29" w:rsidRPr="00A312C5">
        <w:rPr>
          <w:rFonts w:ascii="Times New Roman" w:hAnsi="Times New Roman" w:cs="Times New Roman"/>
          <w:sz w:val="24"/>
          <w:szCs w:val="24"/>
        </w:rPr>
        <w:t>в</w:t>
      </w:r>
      <w:r w:rsidR="00B01FDD" w:rsidRPr="00A312C5">
        <w:rPr>
          <w:rFonts w:ascii="Times New Roman" w:hAnsi="Times New Roman" w:cs="Times New Roman"/>
          <w:sz w:val="24"/>
          <w:szCs w:val="24"/>
        </w:rPr>
        <w:t>ы</w:t>
      </w:r>
      <w:r w:rsidR="00A76B29" w:rsidRPr="00A312C5">
        <w:rPr>
          <w:rFonts w:ascii="Times New Roman" w:hAnsi="Times New Roman" w:cs="Times New Roman"/>
          <w:sz w:val="24"/>
          <w:szCs w:val="24"/>
        </w:rPr>
        <w:t xml:space="preserve">шла </w:t>
      </w:r>
      <w:r w:rsidR="00B01FDD" w:rsidRPr="00A312C5">
        <w:rPr>
          <w:rFonts w:ascii="Times New Roman" w:hAnsi="Times New Roman" w:cs="Times New Roman"/>
          <w:sz w:val="24"/>
          <w:szCs w:val="24"/>
        </w:rPr>
        <w:t>на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стади</w:t>
      </w:r>
      <w:r w:rsidR="00A76B29" w:rsidRPr="00A312C5">
        <w:rPr>
          <w:rFonts w:ascii="Times New Roman" w:hAnsi="Times New Roman" w:cs="Times New Roman"/>
          <w:sz w:val="24"/>
          <w:szCs w:val="24"/>
        </w:rPr>
        <w:t>ю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зрелости. Отдача от инвестиций в НИОКР снизилась, и компании начали сокращать </w:t>
      </w:r>
      <w:r w:rsidR="00B12BC9" w:rsidRPr="00A312C5">
        <w:rPr>
          <w:rFonts w:ascii="Times New Roman" w:hAnsi="Times New Roman" w:cs="Times New Roman"/>
          <w:sz w:val="24"/>
          <w:szCs w:val="24"/>
        </w:rPr>
        <w:t>расходы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A76B29" w:rsidRPr="00A312C5">
        <w:rPr>
          <w:rFonts w:ascii="Times New Roman" w:hAnsi="Times New Roman" w:cs="Times New Roman"/>
          <w:sz w:val="24"/>
          <w:szCs w:val="24"/>
        </w:rPr>
        <w:t>на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исследования. Многие фирмы переориентировались на </w:t>
      </w:r>
      <w:r w:rsidR="00B12BC9" w:rsidRPr="00A312C5">
        <w:rPr>
          <w:rFonts w:ascii="Times New Roman" w:hAnsi="Times New Roman" w:cs="Times New Roman"/>
          <w:sz w:val="24"/>
          <w:szCs w:val="24"/>
        </w:rPr>
        <w:t>разработки</w:t>
      </w:r>
      <w:r w:rsidR="00F5475A" w:rsidRPr="00A312C5">
        <w:rPr>
          <w:rFonts w:ascii="Times New Roman" w:hAnsi="Times New Roman" w:cs="Times New Roman"/>
          <w:sz w:val="24"/>
          <w:szCs w:val="24"/>
        </w:rPr>
        <w:t xml:space="preserve"> в области биотехнологических продуктов, сопряженных с высоким уровнем неопределенности. </w:t>
      </w:r>
    </w:p>
    <w:p w14:paraId="49BE3ECF" w14:textId="6D2A0D50" w:rsidR="00B01FDD" w:rsidRPr="00A312C5" w:rsidRDefault="0080509B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Широкое развитие концепции реальных опционов началось в 1980-х годах с внедрением новых подходов и инструментов для их использования в финансовом и стратегическом менеджменте. </w:t>
      </w:r>
      <w:r w:rsidR="00C06549" w:rsidRPr="00A312C5">
        <w:rPr>
          <w:rFonts w:ascii="Times New Roman" w:hAnsi="Times New Roman" w:cs="Times New Roman"/>
          <w:sz w:val="24"/>
          <w:szCs w:val="24"/>
        </w:rPr>
        <w:t xml:space="preserve">Важным аспектом концепции стало принятие решений в рамках неопределенности, гибкости управленческих решений и необратимости совершенных инвестиций. </w:t>
      </w:r>
      <w:r w:rsidR="003F7EBC">
        <w:rPr>
          <w:rFonts w:ascii="Times New Roman" w:hAnsi="Times New Roman" w:cs="Times New Roman"/>
          <w:sz w:val="24"/>
          <w:szCs w:val="24"/>
        </w:rPr>
        <w:t xml:space="preserve">С распространением </w:t>
      </w:r>
      <w:r w:rsidR="00C06549" w:rsidRPr="00A312C5">
        <w:rPr>
          <w:rFonts w:ascii="Times New Roman" w:hAnsi="Times New Roman" w:cs="Times New Roman"/>
          <w:sz w:val="24"/>
          <w:szCs w:val="24"/>
        </w:rPr>
        <w:t>теории Блэка-</w:t>
      </w:r>
      <w:proofErr w:type="spellStart"/>
      <w:r w:rsidR="00C06549" w:rsidRPr="00A312C5">
        <w:rPr>
          <w:rFonts w:ascii="Times New Roman" w:hAnsi="Times New Roman" w:cs="Times New Roman"/>
          <w:sz w:val="24"/>
          <w:szCs w:val="24"/>
        </w:rPr>
        <w:t>Шоулза</w:t>
      </w:r>
      <w:proofErr w:type="spellEnd"/>
      <w:r w:rsidR="00C06549" w:rsidRPr="00A312C5">
        <w:rPr>
          <w:rFonts w:ascii="Times New Roman" w:hAnsi="Times New Roman" w:cs="Times New Roman"/>
          <w:sz w:val="24"/>
          <w:szCs w:val="24"/>
        </w:rPr>
        <w:t xml:space="preserve">, популярность приобрела концепция принятия решений в риск-нейтральном мире. </w:t>
      </w:r>
      <w:r w:rsidR="00DB5369" w:rsidRPr="00A312C5">
        <w:rPr>
          <w:rFonts w:ascii="Times New Roman" w:hAnsi="Times New Roman" w:cs="Times New Roman"/>
          <w:sz w:val="24"/>
          <w:szCs w:val="24"/>
        </w:rPr>
        <w:t>В рамках более поздних исследований классическая формула</w:t>
      </w:r>
      <w:r w:rsidR="00031117">
        <w:rPr>
          <w:rFonts w:ascii="Times New Roman" w:hAnsi="Times New Roman" w:cs="Times New Roman"/>
          <w:sz w:val="24"/>
          <w:szCs w:val="24"/>
        </w:rPr>
        <w:t xml:space="preserve"> (1) </w:t>
      </w:r>
      <w:r w:rsidR="00DB5369" w:rsidRPr="00A312C5">
        <w:rPr>
          <w:rFonts w:ascii="Times New Roman" w:hAnsi="Times New Roman" w:cs="Times New Roman"/>
          <w:sz w:val="24"/>
          <w:szCs w:val="24"/>
        </w:rPr>
        <w:t>Блэка-</w:t>
      </w:r>
      <w:proofErr w:type="spellStart"/>
      <w:r w:rsidR="00DB5369" w:rsidRPr="00A312C5">
        <w:rPr>
          <w:rFonts w:ascii="Times New Roman" w:hAnsi="Times New Roman" w:cs="Times New Roman"/>
          <w:sz w:val="24"/>
          <w:szCs w:val="24"/>
        </w:rPr>
        <w:t>Шоулза</w:t>
      </w:r>
      <w:proofErr w:type="spellEnd"/>
      <w:r w:rsidR="00DB5369" w:rsidRPr="00A312C5">
        <w:rPr>
          <w:rFonts w:ascii="Times New Roman" w:hAnsi="Times New Roman" w:cs="Times New Roman"/>
          <w:sz w:val="24"/>
          <w:szCs w:val="24"/>
        </w:rPr>
        <w:t xml:space="preserve"> доказала свою эффективность применительно к проектам НИОКР, позволив учесть </w:t>
      </w:r>
      <w:r w:rsidR="00031117">
        <w:rPr>
          <w:rFonts w:ascii="Times New Roman" w:hAnsi="Times New Roman" w:cs="Times New Roman"/>
          <w:sz w:val="24"/>
          <w:szCs w:val="24"/>
        </w:rPr>
        <w:t>преимущества</w:t>
      </w:r>
      <w:r w:rsidR="00DB536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4C75F9">
        <w:rPr>
          <w:rFonts w:ascii="Times New Roman" w:hAnsi="Times New Roman" w:cs="Times New Roman"/>
          <w:sz w:val="24"/>
          <w:szCs w:val="24"/>
        </w:rPr>
        <w:t xml:space="preserve">их </w:t>
      </w:r>
      <w:r w:rsidR="00DB5369" w:rsidRPr="00A312C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C2F18" w:rsidRPr="005C2F1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C2F18" w:rsidRPr="00037A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Брейли</w:t>
      </w:r>
      <w:proofErr w:type="spellEnd"/>
      <w:r w:rsidR="005C2F18" w:rsidRPr="00037AE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Майерс, Аллен,</w:t>
      </w:r>
      <w:r w:rsidR="00037AEA" w:rsidRPr="00037A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2018</w:t>
      </w:r>
      <w:r w:rsidR="005C2F18" w:rsidRPr="00037AEA">
        <w:rPr>
          <w:rFonts w:ascii="Times New Roman" w:hAnsi="Times New Roman" w:cs="Times New Roman"/>
          <w:sz w:val="24"/>
          <w:szCs w:val="24"/>
        </w:rPr>
        <w:t>]</w:t>
      </w:r>
      <w:r w:rsidR="00DB5369" w:rsidRPr="00037AEA">
        <w:rPr>
          <w:rFonts w:ascii="Times New Roman" w:hAnsi="Times New Roman" w:cs="Times New Roman"/>
          <w:sz w:val="24"/>
          <w:szCs w:val="24"/>
        </w:rPr>
        <w:t>:</w:t>
      </w:r>
      <w:r w:rsidR="00DB5369"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205"/>
      </w:tblGrid>
      <w:tr w:rsidR="00B01FDD" w:rsidRPr="00A312C5" w14:paraId="3CBFF199" w14:textId="77777777" w:rsidTr="00031117">
        <w:trPr>
          <w:trHeight w:val="426"/>
        </w:trPr>
        <w:tc>
          <w:tcPr>
            <w:tcW w:w="8784" w:type="dxa"/>
          </w:tcPr>
          <w:p w14:paraId="227C60C5" w14:textId="77777777" w:rsidR="00B01FDD" w:rsidRPr="00A312C5" w:rsidRDefault="00B01FDD" w:rsidP="00237685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9929AE" w14:textId="77777777" w:rsidR="00B01FDD" w:rsidRPr="00A312C5" w:rsidRDefault="00B01FDD" w:rsidP="00237685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*PV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EX</m:t>
                        </m:r>
                      </m:e>
                    </m:d>
                  </m:e>
                </m:d>
              </m:oMath>
            </m:oMathPara>
          </w:p>
          <w:p w14:paraId="46E0AFF5" w14:textId="77777777" w:rsidR="00B01FDD" w:rsidRPr="00A312C5" w:rsidRDefault="00B01FDD" w:rsidP="00237685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CB293D" w14:textId="77777777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0F9DDD4" w14:textId="44A01086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03111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B01FDD" w:rsidRPr="00A312C5" w14:paraId="195811A0" w14:textId="77777777" w:rsidTr="0076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79D7EC7A" w14:textId="77777777" w:rsidR="00B01FDD" w:rsidRPr="00A312C5" w:rsidRDefault="001543FB" w:rsidP="0003111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log⁡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PV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EX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]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B97FF20" w14:textId="77777777" w:rsidR="00B01FDD" w:rsidRPr="00A312C5" w:rsidRDefault="00B01FDD" w:rsidP="00237685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12363BD" w14:textId="77777777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B61FE8" w14:textId="77777777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F2BD61" w14:textId="7912D1FB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03111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B01FDD" w:rsidRPr="00A312C5" w14:paraId="79A2E17F" w14:textId="77777777" w:rsidTr="0076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62A8E35E" w14:textId="77777777" w:rsidR="00B01FDD" w:rsidRPr="00A312C5" w:rsidRDefault="00B01FDD" w:rsidP="00237685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27687D" w14:textId="77777777" w:rsidR="00B01FDD" w:rsidRPr="00A312C5" w:rsidRDefault="001543FB" w:rsidP="00237685">
            <w:pPr>
              <w:tabs>
                <w:tab w:val="left" w:pos="284"/>
              </w:tabs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 σ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</m:rad>
            </m:oMath>
            <w:r w:rsidR="00B01FDD"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76E046FE" w14:textId="77777777" w:rsidR="00B01FDD" w:rsidRPr="00A312C5" w:rsidRDefault="00B01FDD" w:rsidP="00237685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5107856" w14:textId="77777777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E52AAC" w14:textId="604AA774" w:rsidR="00B01FDD" w:rsidRPr="00A312C5" w:rsidRDefault="00B01FDD" w:rsidP="0023768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03111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A312C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</w:tbl>
    <w:p w14:paraId="78B1BD3E" w14:textId="77777777" w:rsidR="00B01FDD" w:rsidRPr="00A312C5" w:rsidRDefault="00B01FDD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где N(d) – это функция накопленной вероятности нормального распределения; </w:t>
      </w:r>
    </w:p>
    <w:p w14:paraId="55B5FA52" w14:textId="7E078794" w:rsidR="00B01FDD" w:rsidRDefault="00B01FDD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EX – цена </w:t>
      </w:r>
      <w:r w:rsidRPr="00037AEA">
        <w:rPr>
          <w:rFonts w:ascii="Times New Roman" w:eastAsiaTheme="minorEastAsia" w:hAnsi="Times New Roman" w:cs="Times New Roman"/>
          <w:sz w:val="24"/>
          <w:szCs w:val="24"/>
        </w:rPr>
        <w:t>исполнения</w:t>
      </w:r>
      <w:r w:rsidR="00917422" w:rsidRPr="00037AEA">
        <w:rPr>
          <w:rFonts w:ascii="Times New Roman" w:eastAsiaTheme="minorEastAsia" w:hAnsi="Times New Roman" w:cs="Times New Roman"/>
          <w:sz w:val="24"/>
          <w:szCs w:val="24"/>
        </w:rPr>
        <w:t xml:space="preserve"> (затраты </w:t>
      </w:r>
      <w:r w:rsidR="00037AEA" w:rsidRPr="00037AEA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4A4252" w:rsidRPr="00037AEA">
        <w:rPr>
          <w:rFonts w:ascii="Times New Roman" w:eastAsiaTheme="minorEastAsia" w:hAnsi="Times New Roman" w:cs="Times New Roman"/>
          <w:sz w:val="24"/>
          <w:szCs w:val="24"/>
        </w:rPr>
        <w:t>запуск успешного проекта</w:t>
      </w:r>
      <w:r w:rsidR="00917422" w:rsidRPr="00037A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7AEA">
        <w:rPr>
          <w:rFonts w:ascii="Times New Roman" w:eastAsiaTheme="minorEastAsia" w:hAnsi="Times New Roman" w:cs="Times New Roman"/>
          <w:sz w:val="24"/>
          <w:szCs w:val="24"/>
        </w:rPr>
        <w:t xml:space="preserve">по результатам </w:t>
      </w:r>
      <w:r w:rsidR="00917422" w:rsidRPr="00037AEA">
        <w:rPr>
          <w:rFonts w:ascii="Times New Roman" w:eastAsiaTheme="minorEastAsia" w:hAnsi="Times New Roman" w:cs="Times New Roman"/>
          <w:sz w:val="24"/>
          <w:szCs w:val="24"/>
        </w:rPr>
        <w:t>НИОКР)</w:t>
      </w:r>
      <w:r w:rsidRPr="00037AEA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A4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9D8514" w14:textId="749310D5" w:rsidR="00037AEA" w:rsidRPr="00A312C5" w:rsidRDefault="00037AEA" w:rsidP="00037AE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стоимость опциона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первоначальные инвестиции в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НИОКР</w:t>
      </w:r>
      <w:proofErr w:type="gramStart"/>
      <w:r w:rsidRPr="00A312C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4150ECF0" w14:textId="49D1F5C6" w:rsidR="00B01FDD" w:rsidRPr="00A312C5" w:rsidRDefault="00B01FDD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lastRenderedPageBreak/>
        <w:t>t – число лет до даты исполнения</w:t>
      </w:r>
      <w:r w:rsidR="00C170BE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(период до следующей стадии принятия решения или срок реализации возможности, созданной в процессе НИОКР)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14:paraId="589E8229" w14:textId="7C246E84" w:rsidR="00B01FDD" w:rsidRPr="00A312C5" w:rsidRDefault="00B01FDD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>P – ценность базового актива</w:t>
      </w:r>
      <w:r w:rsidR="00C170BE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C170BE" w:rsidRPr="00A312C5">
        <w:rPr>
          <w:rFonts w:ascii="Times New Roman" w:eastAsiaTheme="minorEastAsia" w:hAnsi="Times New Roman" w:cs="Times New Roman"/>
          <w:sz w:val="24"/>
          <w:szCs w:val="24"/>
          <w:lang w:val="en-US"/>
        </w:rPr>
        <w:t>PV</w:t>
      </w:r>
      <w:r w:rsidR="00C170BE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будущих денежных потоков от внедрения процесса или продукта, разработанного в рамках НИОКР)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14:paraId="53F449F7" w14:textId="2C7B9586" w:rsidR="00B01FDD" w:rsidRPr="00A312C5" w:rsidRDefault="00B01FDD" w:rsidP="0023768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Ϭ – волатильность </w:t>
      </w:r>
      <w:r w:rsidR="004A4252">
        <w:rPr>
          <w:rFonts w:ascii="Times New Roman" w:eastAsiaTheme="minorEastAsia" w:hAnsi="Times New Roman" w:cs="Times New Roman"/>
          <w:sz w:val="24"/>
          <w:szCs w:val="24"/>
        </w:rPr>
        <w:t>ценности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базового актива.</w:t>
      </w:r>
    </w:p>
    <w:p w14:paraId="181444CF" w14:textId="100EEAEB" w:rsidR="0080509B" w:rsidRPr="00A312C5" w:rsidRDefault="001434A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Ценность инвестиций в НИОКР в первую очередь определяется не непосредственными денежными потоками, поступившими в результате изначальных инвестиций, а будущими инвестиционными возможностями, появившимися благодаря совершенным вложениям. Таким образом ценность инвестиций в НИОКР </w:t>
      </w:r>
      <w:r w:rsidR="00B12BC9" w:rsidRPr="00A312C5">
        <w:rPr>
          <w:rFonts w:ascii="Times New Roman" w:hAnsi="Times New Roman" w:cs="Times New Roman"/>
          <w:sz w:val="24"/>
          <w:szCs w:val="24"/>
        </w:rPr>
        <w:t>формируется за счет двух основных факторов</w:t>
      </w:r>
      <w:r w:rsidRPr="00A312C5">
        <w:rPr>
          <w:rFonts w:ascii="Times New Roman" w:hAnsi="Times New Roman" w:cs="Times New Roman"/>
          <w:sz w:val="24"/>
          <w:szCs w:val="24"/>
        </w:rPr>
        <w:t xml:space="preserve">: ценность первоначального инвестиционного проекта и ценность новых возможностей, созданных благодаря этому проекту. </w:t>
      </w:r>
    </w:p>
    <w:p w14:paraId="73E72A47" w14:textId="2C5DAE78" w:rsidR="00833A58" w:rsidRPr="00A312C5" w:rsidRDefault="00833A58" w:rsidP="003F7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Обратимся к исследованию, опубликованному в 2018 году в Российском журнале менеджмента (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A.V.Bukhvalov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A.E.Loukianova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E.D.Nikulin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V.L.Okulov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2018). Методология исследования базируется на концепции реальных опционов. Авторы предлагают модель, которая объясняет размер инвестиций в НИОКР в больших зрелых корпорациях. Затраты на НИОКР в данной модели </w:t>
      </w:r>
      <w:r w:rsidR="003F7EBC">
        <w:rPr>
          <w:rFonts w:ascii="Times New Roman" w:hAnsi="Times New Roman" w:cs="Times New Roman"/>
          <w:sz w:val="24"/>
          <w:szCs w:val="24"/>
        </w:rPr>
        <w:t>представлены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как ценность реального опциона, предоставляющего компании право совершить инвестиции в реальные активы в будущем, тем самым обеспечив развитие бизнеса. Модель не делает различий между типами исследовательских проектов, которые могут быть реализованы в </w:t>
      </w:r>
      <w:r w:rsidR="003F7EBC">
        <w:rPr>
          <w:rFonts w:ascii="Times New Roman" w:hAnsi="Times New Roman" w:cs="Times New Roman"/>
          <w:sz w:val="24"/>
          <w:szCs w:val="24"/>
        </w:rPr>
        <w:t>организации</w:t>
      </w:r>
      <w:r w:rsidRPr="00A312C5">
        <w:rPr>
          <w:rFonts w:ascii="Times New Roman" w:hAnsi="Times New Roman" w:cs="Times New Roman"/>
          <w:sz w:val="24"/>
          <w:szCs w:val="24"/>
        </w:rPr>
        <w:t>. Авторы рассматривают только большие зрелые компании в высокотехнологичных отраслях</w:t>
      </w:r>
      <w:r w:rsidR="002E6BF5" w:rsidRPr="00A312C5">
        <w:rPr>
          <w:rFonts w:ascii="Times New Roman" w:hAnsi="Times New Roman" w:cs="Times New Roman"/>
          <w:sz w:val="24"/>
          <w:szCs w:val="24"/>
        </w:rPr>
        <w:t xml:space="preserve">, предполагая, что </w:t>
      </w:r>
      <w:r w:rsidRPr="00A312C5">
        <w:rPr>
          <w:rFonts w:ascii="Times New Roman" w:hAnsi="Times New Roman" w:cs="Times New Roman"/>
          <w:sz w:val="24"/>
          <w:szCs w:val="24"/>
        </w:rPr>
        <w:t xml:space="preserve">все </w:t>
      </w:r>
      <w:r w:rsidR="003F7EBC">
        <w:rPr>
          <w:rFonts w:ascii="Times New Roman" w:hAnsi="Times New Roman" w:cs="Times New Roman"/>
          <w:sz w:val="24"/>
          <w:szCs w:val="24"/>
        </w:rPr>
        <w:t>фирмы</w:t>
      </w:r>
      <w:r w:rsidRPr="00A312C5">
        <w:rPr>
          <w:rFonts w:ascii="Times New Roman" w:hAnsi="Times New Roman" w:cs="Times New Roman"/>
          <w:sz w:val="24"/>
          <w:szCs w:val="24"/>
        </w:rPr>
        <w:t xml:space="preserve"> располагают бюджетом на потенциальные инвестиции в НИОКР, который не подвержен сильным изменениям во времени</w:t>
      </w:r>
      <w:r w:rsidR="002E6BF5" w:rsidRPr="00A312C5">
        <w:rPr>
          <w:rFonts w:ascii="Times New Roman" w:hAnsi="Times New Roman" w:cs="Times New Roman"/>
          <w:sz w:val="24"/>
          <w:szCs w:val="24"/>
        </w:rPr>
        <w:t>, а м</w:t>
      </w:r>
      <w:r w:rsidRPr="00A312C5">
        <w:rPr>
          <w:rFonts w:ascii="Times New Roman" w:hAnsi="Times New Roman" w:cs="Times New Roman"/>
          <w:sz w:val="24"/>
          <w:szCs w:val="24"/>
        </w:rPr>
        <w:t>енеджеры способны оценить и выбрать портфолио проектов в риск-нейтральном мире для акционеров.</w:t>
      </w:r>
      <w:r w:rsidR="003F7EBC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 xml:space="preserve">Исследовательская модель </w:t>
      </w:r>
      <w:r w:rsidR="002B5A54">
        <w:rPr>
          <w:rFonts w:ascii="Times New Roman" w:hAnsi="Times New Roman" w:cs="Times New Roman"/>
          <w:sz w:val="24"/>
          <w:szCs w:val="24"/>
        </w:rPr>
        <w:t xml:space="preserve">описана в </w:t>
      </w:r>
      <w:r w:rsidR="00037AEA">
        <w:rPr>
          <w:rFonts w:ascii="Times New Roman" w:hAnsi="Times New Roman" w:cs="Times New Roman"/>
          <w:sz w:val="24"/>
          <w:szCs w:val="24"/>
        </w:rPr>
        <w:t>формул</w:t>
      </w:r>
      <w:r w:rsidR="002B5A54">
        <w:rPr>
          <w:rFonts w:ascii="Times New Roman" w:hAnsi="Times New Roman" w:cs="Times New Roman"/>
          <w:sz w:val="24"/>
          <w:szCs w:val="24"/>
        </w:rPr>
        <w:t>е</w:t>
      </w:r>
      <w:r w:rsidR="00037AEA">
        <w:rPr>
          <w:rFonts w:ascii="Times New Roman" w:hAnsi="Times New Roman" w:cs="Times New Roman"/>
          <w:sz w:val="24"/>
          <w:szCs w:val="24"/>
        </w:rPr>
        <w:t xml:space="preserve"> 4</w:t>
      </w:r>
      <w:r w:rsidRPr="00A312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031117" w14:paraId="16B99A7A" w14:textId="77777777" w:rsidTr="00BF10F1">
        <w:tc>
          <w:tcPr>
            <w:tcW w:w="8500" w:type="dxa"/>
          </w:tcPr>
          <w:p w14:paraId="59C6DF9E" w14:textId="0D25C43A" w:rsidR="00031117" w:rsidRDefault="001543FB" w:rsidP="0023768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RDI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σ</m:t>
                            </m:r>
                          </m:e>
                        </m:ba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</m:bar>
                          </m:e>
                        </m:ra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-r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bar>
                  </m:sup>
                </m:sSup>
              </m:oMath>
            </m:oMathPara>
          </w:p>
        </w:tc>
        <w:tc>
          <w:tcPr>
            <w:tcW w:w="844" w:type="dxa"/>
          </w:tcPr>
          <w:p w14:paraId="3D7D9B3F" w14:textId="02526CBD" w:rsidR="00031117" w:rsidRDefault="00031117" w:rsidP="0003111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</w:tr>
    </w:tbl>
    <w:p w14:paraId="72FF1617" w14:textId="301F6EFB" w:rsidR="00833A58" w:rsidRPr="00A312C5" w:rsidRDefault="00833A58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RDI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ind</m:t>
            </m:r>
          </m:sub>
        </m:sSub>
      </m:oMath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это отраслевая интенсивность НИОКР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EFF713C" w14:textId="513955D3" w:rsidR="00833A58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ind</m:t>
            </m:r>
          </m:sub>
        </m:sSub>
      </m:oMath>
      <w:r w:rsidR="00833A58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3A58" w:rsidRPr="00A312C5">
        <w:rPr>
          <w:rFonts w:ascii="Times New Roman" w:eastAsiaTheme="minorEastAsia" w:hAnsi="Times New Roman" w:cs="Times New Roman"/>
          <w:sz w:val="24"/>
          <w:szCs w:val="24"/>
        </w:rPr>
        <w:t>операционная рентабельность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8A7CE74" w14:textId="11327F49" w:rsidR="00833A58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bar>
      </m:oMath>
      <w:r w:rsidR="00833A58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средняя длительность проекта НИОКР в отрасли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8A8392C" w14:textId="1127DC48" w:rsidR="00833A58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</m:bar>
      </m:oMath>
      <w:r w:rsidR="00833A58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средняя волатильность ценности крупной компании в отрасли</w:t>
      </w:r>
      <w:r w:rsidR="004C75F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8A5F838" w14:textId="147A2B4C" w:rsidR="00833A58" w:rsidRPr="00A312C5" w:rsidRDefault="00833A58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безрисковая ставка доходности. </w:t>
      </w:r>
    </w:p>
    <w:p w14:paraId="2756E67B" w14:textId="631A9021" w:rsidR="00833A58" w:rsidRPr="00A312C5" w:rsidRDefault="00833A5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C5">
        <w:rPr>
          <w:rFonts w:ascii="Times New Roman" w:hAnsi="Times New Roman" w:cs="Times New Roman"/>
          <w:sz w:val="24"/>
          <w:szCs w:val="24"/>
        </w:rPr>
        <w:t>Согласно модели</w:t>
      </w:r>
      <w:proofErr w:type="gramEnd"/>
      <w:r w:rsidRPr="00A312C5">
        <w:rPr>
          <w:rFonts w:ascii="Times New Roman" w:hAnsi="Times New Roman" w:cs="Times New Roman"/>
          <w:sz w:val="24"/>
          <w:szCs w:val="24"/>
        </w:rPr>
        <w:t xml:space="preserve"> отраслевые затраты на НИОКР определяются тремя основными факторами: средней операционной рентабельностью, средней волатильностью ценности крупной компании и средней длительностью проекта НИОКР в данной отрасли. Чтобы протестировать модель на актуальных данных, авторы использовали информацию отчета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>Европейско</w:t>
      </w:r>
      <w:r w:rsidR="002B5A54">
        <w:rPr>
          <w:rFonts w:ascii="Times New Roman" w:hAnsi="Times New Roman" w:cs="Times New Roman"/>
          <w:sz w:val="24"/>
          <w:szCs w:val="24"/>
        </w:rPr>
        <w:t xml:space="preserve">го Союза </w:t>
      </w:r>
      <w:r w:rsidRPr="00A312C5">
        <w:rPr>
          <w:rFonts w:ascii="Times New Roman" w:hAnsi="Times New Roman" w:cs="Times New Roman"/>
          <w:sz w:val="24"/>
          <w:szCs w:val="24"/>
        </w:rPr>
        <w:t>об отраслевых инвестициях в НИОКР [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Hernández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2017]. Для каждой отрасли были вычислены интенсивность НИОКР и операционная рентабельность. Полученный эмпирический результат не противоречит предложенной модели. Авторы делают вывод, что данная модель может быть использована для объяснения отраслевых различий в инвестициях в НИОКР в крупных компаниях. </w:t>
      </w:r>
    </w:p>
    <w:p w14:paraId="0F216FD4" w14:textId="30D2611B" w:rsidR="004D3646" w:rsidRPr="00A312C5" w:rsidRDefault="009A3350" w:rsidP="00A548F1">
      <w:pPr>
        <w:pStyle w:val="2"/>
        <w:numPr>
          <w:ilvl w:val="1"/>
          <w:numId w:val="1"/>
        </w:numPr>
        <w:ind w:left="1276" w:hanging="567"/>
        <w:rPr>
          <w:rFonts w:cs="Times New Roman"/>
        </w:rPr>
      </w:pPr>
      <w:bookmarkStart w:id="14" w:name="_Toc73538426"/>
      <w:r w:rsidRPr="00A312C5">
        <w:rPr>
          <w:rFonts w:cs="Times New Roman"/>
        </w:rPr>
        <w:t>Эмпирические исследования</w:t>
      </w:r>
      <w:bookmarkEnd w:id="14"/>
    </w:p>
    <w:p w14:paraId="6481CA94" w14:textId="21A1BB38" w:rsidR="007F4813" w:rsidRDefault="007F4813" w:rsidP="003D4B4B">
      <w:pPr>
        <w:pStyle w:val="3"/>
      </w:pPr>
      <w:bookmarkStart w:id="15" w:name="_Toc73538427"/>
      <w:r w:rsidRPr="00A312C5">
        <w:t>Исследования на уровне компании</w:t>
      </w:r>
      <w:bookmarkEnd w:id="15"/>
    </w:p>
    <w:p w14:paraId="54981641" w14:textId="78F70632" w:rsidR="004A4252" w:rsidRPr="002B5A54" w:rsidRDefault="002B5A54" w:rsidP="002B5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54">
        <w:rPr>
          <w:rFonts w:ascii="Times New Roman" w:hAnsi="Times New Roman" w:cs="Times New Roman"/>
          <w:sz w:val="24"/>
          <w:szCs w:val="24"/>
        </w:rPr>
        <w:t>Начнем анализ проведенных эмпирических исследований с блока работ, реализованных на уровне компании (таблица 2):</w:t>
      </w:r>
    </w:p>
    <w:p w14:paraId="7BADFBB0" w14:textId="6F86EE39" w:rsidR="008B77BC" w:rsidRDefault="008B77BC" w:rsidP="008B77BC">
      <w:pPr>
        <w:pStyle w:val="af7"/>
        <w:jc w:val="center"/>
      </w:pP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Результаты эмпирических исследований на уровне компаний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560"/>
        <w:gridCol w:w="3112"/>
      </w:tblGrid>
      <w:tr w:rsidR="000F3F8B" w:rsidRPr="00A312C5" w14:paraId="29D6FB57" w14:textId="77777777" w:rsidTr="003F7EBC">
        <w:tc>
          <w:tcPr>
            <w:tcW w:w="2336" w:type="dxa"/>
          </w:tcPr>
          <w:p w14:paraId="1F1D9F7E" w14:textId="0EAF4A0D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Автор и название</w:t>
            </w:r>
          </w:p>
        </w:tc>
        <w:tc>
          <w:tcPr>
            <w:tcW w:w="2336" w:type="dxa"/>
          </w:tcPr>
          <w:p w14:paraId="4E7C5AA5" w14:textId="75B89DC6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Страна и выборка</w:t>
            </w:r>
          </w:p>
        </w:tc>
        <w:tc>
          <w:tcPr>
            <w:tcW w:w="1560" w:type="dxa"/>
          </w:tcPr>
          <w:p w14:paraId="13AE5CC9" w14:textId="4689B8F4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Год публикации</w:t>
            </w:r>
          </w:p>
        </w:tc>
        <w:tc>
          <w:tcPr>
            <w:tcW w:w="3112" w:type="dxa"/>
          </w:tcPr>
          <w:p w14:paraId="232A53A1" w14:textId="2C894494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Вывод</w:t>
            </w:r>
          </w:p>
        </w:tc>
      </w:tr>
      <w:tr w:rsidR="000F3F8B" w:rsidRPr="00A312C5" w14:paraId="2E90FE35" w14:textId="77777777" w:rsidTr="003F7EBC">
        <w:tc>
          <w:tcPr>
            <w:tcW w:w="2336" w:type="dxa"/>
          </w:tcPr>
          <w:p w14:paraId="309CBA22" w14:textId="77777777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Henry Grabowski</w:t>
            </w:r>
          </w:p>
          <w:p w14:paraId="3287B888" w14:textId="77777777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The Determinants of Industrial Research and Development: A Study of the Chemical, Drug, and Petroleum Industries</w:t>
            </w:r>
          </w:p>
          <w:p w14:paraId="377506C2" w14:textId="11EC4842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14:paraId="1F910543" w14:textId="09B48B6A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Компании из списка </w:t>
            </w:r>
            <w:r w:rsidRPr="00A312C5">
              <w:rPr>
                <w:rFonts w:ascii="Times New Roman" w:hAnsi="Times New Roman" w:cs="Times New Roman"/>
                <w:lang w:val="en-US"/>
              </w:rPr>
              <w:t>Fortune</w:t>
            </w:r>
            <w:r w:rsidRPr="00A312C5">
              <w:rPr>
                <w:rFonts w:ascii="Times New Roman" w:hAnsi="Times New Roman" w:cs="Times New Roman"/>
              </w:rPr>
              <w:t xml:space="preserve"> 500</w:t>
            </w:r>
            <w:r w:rsidR="007E58D1" w:rsidRPr="00A312C5">
              <w:rPr>
                <w:rFonts w:ascii="Times New Roman" w:hAnsi="Times New Roman" w:cs="Times New Roman"/>
              </w:rPr>
              <w:t>,</w:t>
            </w:r>
            <w:r w:rsidRPr="00A312C5">
              <w:rPr>
                <w:rFonts w:ascii="Times New Roman" w:hAnsi="Times New Roman" w:cs="Times New Roman"/>
              </w:rPr>
              <w:t xml:space="preserve">1960 год </w:t>
            </w:r>
          </w:p>
        </w:tc>
        <w:tc>
          <w:tcPr>
            <w:tcW w:w="1560" w:type="dxa"/>
          </w:tcPr>
          <w:p w14:paraId="1983AB71" w14:textId="7C6D5EF0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1968</w:t>
            </w:r>
          </w:p>
        </w:tc>
        <w:tc>
          <w:tcPr>
            <w:tcW w:w="3112" w:type="dxa"/>
          </w:tcPr>
          <w:p w14:paraId="6B54C831" w14:textId="3AB885EB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технологией</w:t>
            </w:r>
            <w:r w:rsidR="00C474C4" w:rsidRPr="00C474C4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продуктовой диверсификацией</w:t>
            </w:r>
            <w:r w:rsidR="00C474C4" w:rsidRPr="00C474C4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 xml:space="preserve">, доступностью финансовых средств </w:t>
            </w:r>
            <w:r w:rsidR="00C474C4" w:rsidRPr="00C474C4">
              <w:rPr>
                <w:rFonts w:ascii="Times New Roman" w:hAnsi="Times New Roman" w:cs="Times New Roman"/>
              </w:rPr>
              <w:t xml:space="preserve">(+) </w:t>
            </w:r>
            <w:r w:rsidRPr="00A312C5">
              <w:rPr>
                <w:rFonts w:ascii="Times New Roman" w:hAnsi="Times New Roman" w:cs="Times New Roman"/>
              </w:rPr>
              <w:t xml:space="preserve">и затратами на НИОКР </w:t>
            </w:r>
          </w:p>
        </w:tc>
      </w:tr>
      <w:tr w:rsidR="000F3F8B" w:rsidRPr="00A312C5" w14:paraId="7452438B" w14:textId="77777777" w:rsidTr="003F7EBC">
        <w:tc>
          <w:tcPr>
            <w:tcW w:w="2336" w:type="dxa"/>
          </w:tcPr>
          <w:p w14:paraId="3DD6F63A" w14:textId="7AB0EF5A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 xml:space="preserve">Daniel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Shefer</w:t>
            </w:r>
            <w:proofErr w:type="spellEnd"/>
            <w:r w:rsidRPr="00A312C5">
              <w:rPr>
                <w:rFonts w:ascii="Times New Roman" w:hAnsi="Times New Roman" w:cs="Times New Roman"/>
                <w:lang w:val="en-US"/>
              </w:rPr>
              <w:t>, Amnon Frenkel</w:t>
            </w:r>
          </w:p>
          <w:p w14:paraId="0B74FB38" w14:textId="6244F20E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 xml:space="preserve">R&amp;D, firm </w:t>
            </w:r>
            <w:proofErr w:type="gramStart"/>
            <w:r w:rsidRPr="00A312C5">
              <w:rPr>
                <w:rFonts w:ascii="Times New Roman" w:hAnsi="Times New Roman" w:cs="Times New Roman"/>
                <w:lang w:val="en-US"/>
              </w:rPr>
              <w:t>size</w:t>
            </w:r>
            <w:proofErr w:type="gramEnd"/>
            <w:r w:rsidRPr="00A312C5">
              <w:rPr>
                <w:rFonts w:ascii="Times New Roman" w:hAnsi="Times New Roman" w:cs="Times New Roman"/>
                <w:lang w:val="en-US"/>
              </w:rPr>
              <w:t xml:space="preserve"> and innovation: an empirical analysis</w:t>
            </w:r>
          </w:p>
        </w:tc>
        <w:tc>
          <w:tcPr>
            <w:tcW w:w="2336" w:type="dxa"/>
          </w:tcPr>
          <w:p w14:paraId="21D63D28" w14:textId="5A542C50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 xml:space="preserve">209 </w:t>
            </w:r>
            <w:r w:rsidRPr="00A312C5">
              <w:rPr>
                <w:rFonts w:ascii="Times New Roman" w:hAnsi="Times New Roman" w:cs="Times New Roman"/>
              </w:rPr>
              <w:t>компаний, Израиль</w:t>
            </w:r>
          </w:p>
        </w:tc>
        <w:tc>
          <w:tcPr>
            <w:tcW w:w="1560" w:type="dxa"/>
          </w:tcPr>
          <w:p w14:paraId="32F4E8A5" w14:textId="0B8C3623" w:rsidR="000F3F8B" w:rsidRPr="00A312C5" w:rsidRDefault="000F3F8B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112" w:type="dxa"/>
          </w:tcPr>
          <w:p w14:paraId="772CBD09" w14:textId="77777777" w:rsidR="00D54ACA" w:rsidRDefault="0097544C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размером</w:t>
            </w:r>
            <w:r w:rsidR="00553D54" w:rsidRPr="00553D54">
              <w:rPr>
                <w:rFonts w:ascii="Times New Roman" w:hAnsi="Times New Roman" w:cs="Times New Roman"/>
              </w:rPr>
              <w:t xml:space="preserve"> (-)</w:t>
            </w:r>
            <w:r w:rsidRPr="00A312C5">
              <w:rPr>
                <w:rFonts w:ascii="Times New Roman" w:hAnsi="Times New Roman" w:cs="Times New Roman"/>
              </w:rPr>
              <w:t>, уровнем экспорта</w:t>
            </w:r>
            <w:r w:rsidR="00553D54" w:rsidRPr="00553D54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возрастом</w:t>
            </w:r>
            <w:r w:rsidR="00553D54" w:rsidRPr="00553D54">
              <w:rPr>
                <w:rFonts w:ascii="Times New Roman" w:hAnsi="Times New Roman" w:cs="Times New Roman"/>
              </w:rPr>
              <w:t xml:space="preserve"> (-</w:t>
            </w:r>
            <w:r w:rsidR="00553D54" w:rsidRPr="00D54ACA">
              <w:rPr>
                <w:rFonts w:ascii="Times New Roman" w:hAnsi="Times New Roman" w:cs="Times New Roman"/>
              </w:rPr>
              <w:t>)</w:t>
            </w:r>
            <w:r w:rsidRPr="00A312C5">
              <w:rPr>
                <w:rFonts w:ascii="Times New Roman" w:hAnsi="Times New Roman" w:cs="Times New Roman"/>
              </w:rPr>
              <w:t>, долей работников в НИОКР</w:t>
            </w:r>
          </w:p>
          <w:p w14:paraId="788DD5DC" w14:textId="69081C26" w:rsidR="000F3F8B" w:rsidRPr="00A312C5" w:rsidRDefault="00553D54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 (-)</w:t>
            </w:r>
            <w:r w:rsidR="0097544C" w:rsidRPr="00A312C5">
              <w:rPr>
                <w:rFonts w:ascii="Times New Roman" w:hAnsi="Times New Roman" w:cs="Times New Roman"/>
              </w:rPr>
              <w:t xml:space="preserve"> и инвестициями в НИОКР</w:t>
            </w:r>
          </w:p>
        </w:tc>
      </w:tr>
      <w:tr w:rsidR="00BC404F" w:rsidRPr="00A312C5" w14:paraId="4753FAC1" w14:textId="77777777" w:rsidTr="003F7EBC">
        <w:tc>
          <w:tcPr>
            <w:tcW w:w="2336" w:type="dxa"/>
          </w:tcPr>
          <w:p w14:paraId="2633F358" w14:textId="77777777" w:rsidR="00BC404F" w:rsidRPr="00A312C5" w:rsidRDefault="00D246EE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Hsiang-Lan Chen</w:t>
            </w:r>
          </w:p>
          <w:p w14:paraId="68947DD9" w14:textId="2928DCE9" w:rsidR="00D246EE" w:rsidRPr="00A312C5" w:rsidRDefault="00D246EE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Board Capital, CEO Power and R&amp;D Investment in Electronics Firms</w:t>
            </w:r>
          </w:p>
        </w:tc>
        <w:tc>
          <w:tcPr>
            <w:tcW w:w="2336" w:type="dxa"/>
          </w:tcPr>
          <w:p w14:paraId="23ACE293" w14:textId="12147DC5" w:rsidR="00BC404F" w:rsidRPr="00A312C5" w:rsidRDefault="00D246EE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Компании из отрасли электроники, представленные на Тайваньской фондовой бирже</w:t>
            </w:r>
            <w:r w:rsidR="008C3E39">
              <w:rPr>
                <w:rFonts w:ascii="Times New Roman" w:hAnsi="Times New Roman" w:cs="Times New Roman"/>
              </w:rPr>
              <w:t>:</w:t>
            </w:r>
            <w:r w:rsidRPr="00A312C5">
              <w:rPr>
                <w:rFonts w:ascii="Times New Roman" w:hAnsi="Times New Roman" w:cs="Times New Roman"/>
              </w:rPr>
              <w:t xml:space="preserve"> 271 компания, 813 наблюдений</w:t>
            </w:r>
          </w:p>
        </w:tc>
        <w:tc>
          <w:tcPr>
            <w:tcW w:w="1560" w:type="dxa"/>
          </w:tcPr>
          <w:p w14:paraId="3A7CD4BB" w14:textId="53FFCC6F" w:rsidR="00BC404F" w:rsidRPr="00A312C5" w:rsidRDefault="00D246EE" w:rsidP="0033272F">
            <w:pPr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3112" w:type="dxa"/>
          </w:tcPr>
          <w:p w14:paraId="61F9CDAB" w14:textId="31775A18" w:rsidR="00BC404F" w:rsidRPr="00A312C5" w:rsidRDefault="00D246EE" w:rsidP="0033272F">
            <w:pPr>
              <w:keepNext/>
              <w:spacing w:line="36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Наличие взаимосвязи между </w:t>
            </w:r>
            <w:r w:rsidR="00355406" w:rsidRPr="00A312C5">
              <w:rPr>
                <w:rFonts w:ascii="Times New Roman" w:hAnsi="Times New Roman" w:cs="Times New Roman"/>
              </w:rPr>
              <w:t>упр</w:t>
            </w:r>
            <w:r w:rsidR="001C1F03" w:rsidRPr="00A312C5">
              <w:rPr>
                <w:rFonts w:ascii="Times New Roman" w:hAnsi="Times New Roman" w:cs="Times New Roman"/>
              </w:rPr>
              <w:t>а</w:t>
            </w:r>
            <w:r w:rsidR="00355406" w:rsidRPr="00A312C5">
              <w:rPr>
                <w:rFonts w:ascii="Times New Roman" w:hAnsi="Times New Roman" w:cs="Times New Roman"/>
              </w:rPr>
              <w:t>вленческим</w:t>
            </w:r>
            <w:r w:rsidR="001420C7" w:rsidRPr="00A312C5">
              <w:rPr>
                <w:rFonts w:ascii="Times New Roman" w:hAnsi="Times New Roman" w:cs="Times New Roman"/>
              </w:rPr>
              <w:t xml:space="preserve"> капиталом совета директоров</w:t>
            </w:r>
            <w:r w:rsidRPr="00A312C5">
              <w:rPr>
                <w:rFonts w:ascii="Times New Roman" w:hAnsi="Times New Roman" w:cs="Times New Roman"/>
              </w:rPr>
              <w:t xml:space="preserve"> (уровень образования совета директоров, отраслевой опыт и связи)</w:t>
            </w:r>
            <w:r w:rsidR="000F787D">
              <w:rPr>
                <w:rFonts w:ascii="Times New Roman" w:hAnsi="Times New Roman" w:cs="Times New Roman"/>
              </w:rPr>
              <w:t xml:space="preserve"> (+)</w:t>
            </w:r>
            <w:r w:rsidR="001C1F03" w:rsidRPr="00A312C5">
              <w:rPr>
                <w:rFonts w:ascii="Times New Roman" w:hAnsi="Times New Roman" w:cs="Times New Roman"/>
              </w:rPr>
              <w:t xml:space="preserve">, властью </w:t>
            </w:r>
            <w:r w:rsidR="001C1F03" w:rsidRPr="00A312C5">
              <w:rPr>
                <w:rFonts w:ascii="Times New Roman" w:hAnsi="Times New Roman" w:cs="Times New Roman"/>
                <w:lang w:val="en-US"/>
              </w:rPr>
              <w:t>CEO</w:t>
            </w:r>
            <w:r w:rsidR="000F787D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 xml:space="preserve"> и инвестициями в НИОКР</w:t>
            </w:r>
          </w:p>
        </w:tc>
      </w:tr>
    </w:tbl>
    <w:p w14:paraId="133697F7" w14:textId="51473EFB" w:rsidR="00BF10F1" w:rsidRPr="00093B99" w:rsidRDefault="00BF10F1" w:rsidP="00BF10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93B99">
        <w:rPr>
          <w:rFonts w:ascii="Times New Roman" w:hAnsi="Times New Roman" w:cs="Times New Roman"/>
        </w:rPr>
        <w:t>Источник: составлено автором</w:t>
      </w:r>
      <w:r w:rsidR="00D4639F" w:rsidRPr="00093B99">
        <w:rPr>
          <w:rFonts w:ascii="Times New Roman" w:hAnsi="Times New Roman" w:cs="Times New Roman"/>
        </w:rPr>
        <w:t xml:space="preserve"> на основе [</w:t>
      </w:r>
      <w:r w:rsidR="00D4639F" w:rsidRPr="00093B99">
        <w:rPr>
          <w:rFonts w:ascii="Times New Roman" w:hAnsi="Times New Roman" w:cs="Times New Roman"/>
          <w:lang w:val="en-US"/>
        </w:rPr>
        <w:t>Grabowski</w:t>
      </w:r>
      <w:r w:rsidR="00D4639F" w:rsidRPr="00093B99">
        <w:rPr>
          <w:rFonts w:ascii="Times New Roman" w:hAnsi="Times New Roman" w:cs="Times New Roman"/>
        </w:rPr>
        <w:t xml:space="preserve">, 1968; </w:t>
      </w:r>
      <w:proofErr w:type="spellStart"/>
      <w:r w:rsidR="00D4639F" w:rsidRPr="00093B99">
        <w:rPr>
          <w:rFonts w:ascii="Times New Roman" w:hAnsi="Times New Roman" w:cs="Times New Roman"/>
          <w:lang w:val="en-US"/>
        </w:rPr>
        <w:t>Shefer</w:t>
      </w:r>
      <w:proofErr w:type="spellEnd"/>
      <w:r w:rsidR="00D4639F" w:rsidRPr="00093B99">
        <w:rPr>
          <w:rFonts w:ascii="Times New Roman" w:hAnsi="Times New Roman" w:cs="Times New Roman"/>
        </w:rPr>
        <w:t xml:space="preserve">, </w:t>
      </w:r>
      <w:r w:rsidR="00D4639F" w:rsidRPr="00093B99">
        <w:rPr>
          <w:rFonts w:ascii="Times New Roman" w:hAnsi="Times New Roman" w:cs="Times New Roman"/>
          <w:lang w:val="en-US"/>
        </w:rPr>
        <w:t>Frenkel</w:t>
      </w:r>
      <w:r w:rsidR="00D4639F" w:rsidRPr="00093B99">
        <w:rPr>
          <w:rFonts w:ascii="Times New Roman" w:hAnsi="Times New Roman" w:cs="Times New Roman"/>
        </w:rPr>
        <w:t xml:space="preserve">, 2005; </w:t>
      </w:r>
      <w:r w:rsidR="00D4639F" w:rsidRPr="00093B99">
        <w:rPr>
          <w:rFonts w:ascii="Times New Roman" w:hAnsi="Times New Roman" w:cs="Times New Roman"/>
          <w:lang w:val="en-US"/>
        </w:rPr>
        <w:t>Hsiang</w:t>
      </w:r>
      <w:r w:rsidR="00D4639F" w:rsidRPr="00093B99">
        <w:rPr>
          <w:rFonts w:ascii="Times New Roman" w:hAnsi="Times New Roman" w:cs="Times New Roman"/>
        </w:rPr>
        <w:t>-</w:t>
      </w:r>
      <w:r w:rsidR="00D4639F" w:rsidRPr="00093B99">
        <w:rPr>
          <w:rFonts w:ascii="Times New Roman" w:hAnsi="Times New Roman" w:cs="Times New Roman"/>
          <w:lang w:val="en-US"/>
        </w:rPr>
        <w:t>Lan</w:t>
      </w:r>
      <w:r w:rsidR="00D4639F" w:rsidRPr="00093B99">
        <w:rPr>
          <w:rFonts w:ascii="Times New Roman" w:hAnsi="Times New Roman" w:cs="Times New Roman"/>
        </w:rPr>
        <w:t xml:space="preserve"> 2014]</w:t>
      </w:r>
    </w:p>
    <w:p w14:paraId="29A3B47A" w14:textId="6EBDAEE9" w:rsidR="007F4813" w:rsidRDefault="000945A7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Большинство проведенных исследований рассматривают проблему определения детерминант размера инвестиций в НИОКР на уровне отдельных </w:t>
      </w:r>
      <w:r w:rsidR="002B5A54">
        <w:rPr>
          <w:rFonts w:ascii="Times New Roman" w:hAnsi="Times New Roman" w:cs="Times New Roman"/>
          <w:sz w:val="24"/>
          <w:szCs w:val="24"/>
        </w:rPr>
        <w:t>организаций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изучая такие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факторы, как размер компании, продуктовая диверсификация и структура капитала. </w:t>
      </w:r>
      <w:r w:rsidR="00E71F36" w:rsidRPr="00A312C5">
        <w:rPr>
          <w:rFonts w:ascii="Times New Roman" w:hAnsi="Times New Roman" w:cs="Times New Roman"/>
          <w:sz w:val="24"/>
          <w:szCs w:val="24"/>
        </w:rPr>
        <w:t>Например, Г</w:t>
      </w:r>
      <w:r w:rsidR="007F4813" w:rsidRPr="00A312C5">
        <w:rPr>
          <w:rFonts w:ascii="Times New Roman" w:hAnsi="Times New Roman" w:cs="Times New Roman"/>
          <w:sz w:val="24"/>
          <w:szCs w:val="24"/>
        </w:rPr>
        <w:t xml:space="preserve">енри </w:t>
      </w:r>
      <w:proofErr w:type="spellStart"/>
      <w:r w:rsidR="007F4813" w:rsidRPr="00A312C5">
        <w:rPr>
          <w:rFonts w:ascii="Times New Roman" w:hAnsi="Times New Roman" w:cs="Times New Roman"/>
          <w:sz w:val="24"/>
          <w:szCs w:val="24"/>
        </w:rPr>
        <w:t>Грабовски</w:t>
      </w:r>
      <w:proofErr w:type="spellEnd"/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в своем исследовании детерминант инвестиций в НИОКР в химической, фармацевтической и нефтяной отраслях</w:t>
      </w:r>
      <w:r w:rsidR="00553D54">
        <w:rPr>
          <w:rFonts w:ascii="Times New Roman" w:hAnsi="Times New Roman" w:cs="Times New Roman"/>
          <w:sz w:val="24"/>
          <w:szCs w:val="24"/>
        </w:rPr>
        <w:t xml:space="preserve"> </w:t>
      </w:r>
      <w:r w:rsidR="00553D54" w:rsidRPr="00D4639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53D54" w:rsidRPr="00553D54">
        <w:rPr>
          <w:rFonts w:ascii="Times New Roman" w:hAnsi="Times New Roman" w:cs="Times New Roman"/>
          <w:sz w:val="24"/>
          <w:szCs w:val="24"/>
        </w:rPr>
        <w:t>Grabowski</w:t>
      </w:r>
      <w:proofErr w:type="spellEnd"/>
      <w:r w:rsidR="00553D54" w:rsidRPr="00553D54">
        <w:rPr>
          <w:rFonts w:ascii="Times New Roman" w:hAnsi="Times New Roman" w:cs="Times New Roman"/>
          <w:sz w:val="24"/>
          <w:szCs w:val="24"/>
        </w:rPr>
        <w:t>, 1968]</w:t>
      </w:r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предлагает следующую модель отраслевых инвестиций в НИОКР</w:t>
      </w:r>
      <w:r w:rsidR="002B5A54">
        <w:rPr>
          <w:rFonts w:ascii="Times New Roman" w:hAnsi="Times New Roman" w:cs="Times New Roman"/>
          <w:sz w:val="24"/>
          <w:szCs w:val="24"/>
        </w:rPr>
        <w:t xml:space="preserve"> (формула 5)</w:t>
      </w:r>
      <w:r w:rsidR="007F4813" w:rsidRPr="00A312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92"/>
      </w:tblGrid>
      <w:tr w:rsidR="00D4639F" w14:paraId="7B38C0D4" w14:textId="77777777" w:rsidTr="00D4639F">
        <w:tc>
          <w:tcPr>
            <w:tcW w:w="8359" w:type="dxa"/>
          </w:tcPr>
          <w:p w14:paraId="0E7A0DB2" w14:textId="230C7F95" w:rsidR="00D4639F" w:rsidRDefault="001543FB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i,t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i,t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i,t-1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i,t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992" w:type="dxa"/>
          </w:tcPr>
          <w:p w14:paraId="7B6C0CEC" w14:textId="1CC2783B" w:rsidR="00D4639F" w:rsidRPr="00D4639F" w:rsidRDefault="00D4639F" w:rsidP="00D4639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</w:tbl>
    <w:p w14:paraId="084F6B90" w14:textId="4B1C8273" w:rsidR="007F4813" w:rsidRPr="00A312C5" w:rsidRDefault="007F4813" w:rsidP="00D4639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69DE327A" w14:textId="77777777" w:rsidR="007F4813" w:rsidRPr="00A312C5" w:rsidRDefault="007F481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A312C5">
        <w:rPr>
          <w:rFonts w:ascii="Times New Roman" w:hAnsi="Times New Roman" w:cs="Times New Roman"/>
          <w:sz w:val="24"/>
          <w:szCs w:val="24"/>
        </w:rPr>
        <w:t xml:space="preserve"> – это затраты на НИОКР компании </w:t>
      </w:r>
      <w:proofErr w:type="spellStart"/>
      <w:r w:rsidRPr="00A31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12C5">
        <w:rPr>
          <w:rFonts w:ascii="Times New Roman" w:hAnsi="Times New Roman" w:cs="Times New Roman"/>
          <w:sz w:val="24"/>
          <w:szCs w:val="24"/>
        </w:rPr>
        <w:t>;</w:t>
      </w:r>
    </w:p>
    <w:p w14:paraId="0C4350E2" w14:textId="77777777" w:rsidR="007F4813" w:rsidRPr="00A312C5" w:rsidRDefault="001543F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7F4813" w:rsidRPr="00A312C5">
        <w:rPr>
          <w:rFonts w:ascii="Times New Roman" w:hAnsi="Times New Roman" w:cs="Times New Roman"/>
          <w:sz w:val="24"/>
          <w:szCs w:val="24"/>
        </w:rPr>
        <w:t xml:space="preserve"> – это выручка компании </w:t>
      </w:r>
      <w:proofErr w:type="spellStart"/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F4813" w:rsidRPr="00A312C5">
        <w:rPr>
          <w:rFonts w:ascii="Times New Roman" w:hAnsi="Times New Roman" w:cs="Times New Roman"/>
          <w:sz w:val="24"/>
          <w:szCs w:val="24"/>
        </w:rPr>
        <w:t>;</w:t>
      </w:r>
    </w:p>
    <w:p w14:paraId="0D82AA6C" w14:textId="77777777" w:rsidR="007F4813" w:rsidRPr="00A312C5" w:rsidRDefault="001543F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</m:sSub>
      </m:oMath>
      <w:r w:rsidR="007F4813" w:rsidRPr="00A312C5">
        <w:rPr>
          <w:rFonts w:ascii="Times New Roman" w:hAnsi="Times New Roman" w:cs="Times New Roman"/>
          <w:sz w:val="24"/>
          <w:szCs w:val="24"/>
        </w:rPr>
        <w:t xml:space="preserve"> – это прибыль после налогообложения плюс расходы на амортизацию компании </w:t>
      </w:r>
      <w:proofErr w:type="spellStart"/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F4813" w:rsidRPr="00A312C5"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68D0AD2D" w14:textId="6A218807" w:rsidR="007F4813" w:rsidRPr="00A312C5" w:rsidRDefault="001543F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F4813" w:rsidRPr="00A312C5">
        <w:rPr>
          <w:rFonts w:ascii="Times New Roman" w:hAnsi="Times New Roman" w:cs="Times New Roman"/>
          <w:sz w:val="24"/>
          <w:szCs w:val="24"/>
        </w:rPr>
        <w:t xml:space="preserve"> – это количество патентов, полученных на одного ученого или инженера, нанятого компанией </w:t>
      </w:r>
      <w:proofErr w:type="spellStart"/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за </w:t>
      </w:r>
      <w:r w:rsidR="008C3E39">
        <w:rPr>
          <w:rFonts w:ascii="Times New Roman" w:hAnsi="Times New Roman" w:cs="Times New Roman"/>
          <w:sz w:val="24"/>
          <w:szCs w:val="24"/>
        </w:rPr>
        <w:t>предыдущие четыре года</w:t>
      </w:r>
      <w:r w:rsidR="007F4813" w:rsidRPr="00A312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4813" w:rsidRPr="00A312C5">
        <w:rPr>
          <w:rFonts w:ascii="Times New Roman" w:hAnsi="Times New Roman" w:cs="Times New Roman"/>
          <w:sz w:val="24"/>
          <w:szCs w:val="24"/>
        </w:rPr>
        <w:t>1955 –</w:t>
      </w:r>
      <w:r w:rsidR="00D4639F" w:rsidRPr="00D4639F">
        <w:rPr>
          <w:rFonts w:ascii="Times New Roman" w:hAnsi="Times New Roman" w:cs="Times New Roman"/>
          <w:sz w:val="24"/>
          <w:szCs w:val="24"/>
        </w:rPr>
        <w:t xml:space="preserve"> </w:t>
      </w:r>
      <w:r w:rsidR="007F4813" w:rsidRPr="00A312C5">
        <w:rPr>
          <w:rFonts w:ascii="Times New Roman" w:hAnsi="Times New Roman" w:cs="Times New Roman"/>
          <w:sz w:val="24"/>
          <w:szCs w:val="24"/>
        </w:rPr>
        <w:t>1959</w:t>
      </w:r>
      <w:proofErr w:type="gramEnd"/>
      <w:r w:rsidR="007F4813" w:rsidRPr="00A312C5">
        <w:rPr>
          <w:rFonts w:ascii="Times New Roman" w:hAnsi="Times New Roman" w:cs="Times New Roman"/>
          <w:sz w:val="24"/>
          <w:szCs w:val="24"/>
        </w:rPr>
        <w:t xml:space="preserve"> гг.);</w:t>
      </w:r>
    </w:p>
    <w:p w14:paraId="28907D2D" w14:textId="77777777" w:rsidR="007F4813" w:rsidRPr="00A312C5" w:rsidRDefault="001543F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F4813" w:rsidRPr="00A312C5">
        <w:rPr>
          <w:rFonts w:ascii="Times New Roman" w:hAnsi="Times New Roman" w:cs="Times New Roman"/>
          <w:sz w:val="24"/>
          <w:szCs w:val="24"/>
        </w:rPr>
        <w:t xml:space="preserve"> – это индекс диверсификации компании </w:t>
      </w:r>
      <w:proofErr w:type="spellStart"/>
      <w:r w:rsidR="007F4813" w:rsidRPr="00A31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F4813" w:rsidRPr="00A312C5">
        <w:rPr>
          <w:rFonts w:ascii="Times New Roman" w:hAnsi="Times New Roman" w:cs="Times New Roman"/>
          <w:sz w:val="24"/>
          <w:szCs w:val="24"/>
        </w:rPr>
        <w:t>, рассчитанный как число отдельных пятизначных продуктовых классификаций, которые она производит;</w:t>
      </w:r>
    </w:p>
    <w:p w14:paraId="4A1EFB6B" w14:textId="77777777" w:rsidR="007F4813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положительные коэффициенты. </w:t>
      </w:r>
    </w:p>
    <w:p w14:paraId="21A00A12" w14:textId="04BFF4B7" w:rsidR="007F4813" w:rsidRPr="00A312C5" w:rsidRDefault="007F50D2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>бъясняющая сила модели достаточно высокая для химической и фармацевтической отраслей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=0,63 </m:t>
        </m:r>
      </m:oMath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>и 0,86 соответственно), но низкая для нефтяной отрасли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=0,29</m:t>
        </m:r>
      </m:oMath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). Результаты </w:t>
      </w:r>
      <w:r w:rsidR="002B5A54">
        <w:rPr>
          <w:rFonts w:ascii="Times New Roman" w:eastAsiaTheme="minorEastAsia" w:hAnsi="Times New Roman" w:cs="Times New Roman"/>
          <w:sz w:val="24"/>
          <w:szCs w:val="24"/>
        </w:rPr>
        <w:t>регрессионного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анализа показали, что используемы</w:t>
      </w:r>
      <w:r w:rsidR="0004755A" w:rsidRPr="00A312C5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технологи</w:t>
      </w:r>
      <w:r w:rsidR="0004755A" w:rsidRPr="00A312C5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>, продуктов</w:t>
      </w:r>
      <w:r w:rsidR="0004755A" w:rsidRPr="00A312C5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диверсификаци</w:t>
      </w:r>
      <w:r w:rsidR="0004755A" w:rsidRPr="00A312C5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и доступност</w:t>
      </w:r>
      <w:r w:rsidR="0004755A" w:rsidRPr="00A312C5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финансовых средств в равной степени значимы при объяснении различий в интенсивности НИОКР. 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7F4813" w:rsidRPr="00A312C5">
        <w:rPr>
          <w:rFonts w:ascii="Times New Roman" w:eastAsiaTheme="minorEastAsia" w:hAnsi="Times New Roman" w:cs="Times New Roman"/>
          <w:sz w:val="24"/>
          <w:szCs w:val="24"/>
        </w:rPr>
        <w:t>ровень расходов на НИОКР в отрасли чувствителен к большому количеству инструментов фискальной государственной политики.</w:t>
      </w:r>
    </w:p>
    <w:p w14:paraId="4F554D43" w14:textId="236C75CC" w:rsidR="007E58D1" w:rsidRPr="00A312C5" w:rsidRDefault="00AA041D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 статье 2005 года представлена модель, в которой НИОКР определяются </w:t>
      </w:r>
      <w:r w:rsidR="007F50D2" w:rsidRPr="00A312C5">
        <w:rPr>
          <w:rFonts w:ascii="Times New Roman" w:hAnsi="Times New Roman" w:cs="Times New Roman"/>
          <w:sz w:val="24"/>
          <w:szCs w:val="24"/>
        </w:rPr>
        <w:t xml:space="preserve">такими </w:t>
      </w:r>
      <w:r w:rsidRPr="00A312C5">
        <w:rPr>
          <w:rFonts w:ascii="Times New Roman" w:hAnsi="Times New Roman" w:cs="Times New Roman"/>
          <w:sz w:val="24"/>
          <w:szCs w:val="24"/>
        </w:rPr>
        <w:t xml:space="preserve">характеристиками компании, как: размер, отраслевая принадлежность, </w:t>
      </w:r>
      <w:r w:rsidR="0097544C" w:rsidRPr="00A312C5">
        <w:rPr>
          <w:rFonts w:ascii="Times New Roman" w:hAnsi="Times New Roman" w:cs="Times New Roman"/>
          <w:sz w:val="24"/>
          <w:szCs w:val="24"/>
        </w:rPr>
        <w:t>уровень экспорта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</w:t>
      </w:r>
      <w:r w:rsidR="0097544C" w:rsidRPr="00A312C5">
        <w:rPr>
          <w:rFonts w:ascii="Times New Roman" w:hAnsi="Times New Roman" w:cs="Times New Roman"/>
          <w:sz w:val="24"/>
          <w:szCs w:val="24"/>
        </w:rPr>
        <w:t>возраст</w:t>
      </w:r>
      <w:r w:rsidR="00553D54">
        <w:rPr>
          <w:rFonts w:ascii="Times New Roman" w:hAnsi="Times New Roman" w:cs="Times New Roman"/>
          <w:sz w:val="24"/>
          <w:szCs w:val="24"/>
        </w:rPr>
        <w:t xml:space="preserve"> </w:t>
      </w:r>
      <w:r w:rsidR="00553D54" w:rsidRPr="00553D5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53D54" w:rsidRPr="00553D54">
        <w:rPr>
          <w:rFonts w:ascii="Times New Roman" w:hAnsi="Times New Roman" w:cs="Times New Roman"/>
          <w:sz w:val="24"/>
          <w:szCs w:val="24"/>
        </w:rPr>
        <w:t>Frenkel</w:t>
      </w:r>
      <w:proofErr w:type="spellEnd"/>
      <w:r w:rsidR="00553D54" w:rsidRPr="00553D54">
        <w:rPr>
          <w:rFonts w:ascii="Times New Roman" w:hAnsi="Times New Roman" w:cs="Times New Roman"/>
          <w:sz w:val="24"/>
          <w:szCs w:val="24"/>
        </w:rPr>
        <w:t>, 2005]</w:t>
      </w:r>
      <w:r w:rsidRPr="00A312C5">
        <w:rPr>
          <w:rFonts w:ascii="Times New Roman" w:hAnsi="Times New Roman" w:cs="Times New Roman"/>
          <w:sz w:val="24"/>
          <w:szCs w:val="24"/>
        </w:rPr>
        <w:t xml:space="preserve">. Эмпирическое исследование было проведено на основе данных, полученных из интервью с топ-менеджментом 209 промышленных компаний Израиля. В качестве </w:t>
      </w:r>
      <w:r w:rsidR="003631DD">
        <w:rPr>
          <w:rFonts w:ascii="Times New Roman" w:hAnsi="Times New Roman" w:cs="Times New Roman"/>
          <w:sz w:val="24"/>
          <w:szCs w:val="24"/>
        </w:rPr>
        <w:t>инструментов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исследования авторы использовали дисперсионный анализ,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12C5">
        <w:rPr>
          <w:rFonts w:ascii="Times New Roman" w:hAnsi="Times New Roman" w:cs="Times New Roman"/>
          <w:sz w:val="24"/>
          <w:szCs w:val="24"/>
        </w:rPr>
        <w:t xml:space="preserve">-тест и множественную регрессию. В противовес </w:t>
      </w:r>
      <w:r w:rsidR="00E0472B" w:rsidRPr="00A312C5">
        <w:rPr>
          <w:rFonts w:ascii="Times New Roman" w:hAnsi="Times New Roman" w:cs="Times New Roman"/>
          <w:sz w:val="24"/>
          <w:szCs w:val="24"/>
        </w:rPr>
        <w:t xml:space="preserve">более ранним работам </w:t>
      </w:r>
      <w:r w:rsidR="008C6F5B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0472B" w:rsidRPr="00A312C5">
        <w:rPr>
          <w:rFonts w:ascii="Times New Roman" w:hAnsi="Times New Roman" w:cs="Times New Roman"/>
          <w:sz w:val="24"/>
          <w:szCs w:val="24"/>
        </w:rPr>
        <w:t>Fisher</w:t>
      </w:r>
      <w:proofErr w:type="spellEnd"/>
      <w:r w:rsidR="00E0472B"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72B" w:rsidRPr="00A312C5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E0472B" w:rsidRPr="00A312C5">
        <w:rPr>
          <w:rFonts w:ascii="Times New Roman" w:hAnsi="Times New Roman" w:cs="Times New Roman"/>
          <w:sz w:val="24"/>
          <w:szCs w:val="24"/>
        </w:rPr>
        <w:t>, 1973</w:t>
      </w:r>
      <w:r w:rsidR="008C6F5B" w:rsidRPr="00A312C5">
        <w:rPr>
          <w:rFonts w:ascii="Times New Roman" w:hAnsi="Times New Roman" w:cs="Times New Roman"/>
          <w:sz w:val="24"/>
          <w:szCs w:val="24"/>
        </w:rPr>
        <w:t>;</w:t>
      </w:r>
      <w:r w:rsidR="00E0472B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2B" w:rsidRPr="00A312C5">
        <w:rPr>
          <w:rFonts w:ascii="Times New Roman" w:hAnsi="Times New Roman" w:cs="Times New Roman"/>
          <w:sz w:val="24"/>
          <w:szCs w:val="24"/>
        </w:rPr>
        <w:t>Dosi</w:t>
      </w:r>
      <w:proofErr w:type="spellEnd"/>
      <w:r w:rsidR="00E0472B" w:rsidRPr="00A312C5">
        <w:rPr>
          <w:rFonts w:ascii="Times New Roman" w:hAnsi="Times New Roman" w:cs="Times New Roman"/>
          <w:sz w:val="24"/>
          <w:szCs w:val="24"/>
        </w:rPr>
        <w:t>,</w:t>
      </w:r>
      <w:r w:rsidR="008C6F5B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E0472B" w:rsidRPr="00A312C5">
        <w:rPr>
          <w:rFonts w:ascii="Times New Roman" w:hAnsi="Times New Roman" w:cs="Times New Roman"/>
          <w:sz w:val="24"/>
          <w:szCs w:val="24"/>
        </w:rPr>
        <w:t>1988</w:t>
      </w:r>
      <w:r w:rsidR="008C6F5B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04755A" w:rsidRPr="00A312C5">
        <w:rPr>
          <w:rFonts w:ascii="Times New Roman" w:hAnsi="Times New Roman" w:cs="Times New Roman"/>
          <w:sz w:val="24"/>
          <w:szCs w:val="24"/>
        </w:rPr>
        <w:t>данное исследование показало</w:t>
      </w:r>
      <w:r w:rsidR="006A1EBB" w:rsidRPr="00A312C5">
        <w:rPr>
          <w:rFonts w:ascii="Times New Roman" w:hAnsi="Times New Roman" w:cs="Times New Roman"/>
          <w:sz w:val="24"/>
          <w:szCs w:val="24"/>
        </w:rPr>
        <w:t xml:space="preserve"> наличие обратной взаимосвязи между размером фирмы и затратами на НИОКР</w:t>
      </w:r>
      <w:r w:rsidR="007F50D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A1EBB" w:rsidRPr="00A312C5">
        <w:rPr>
          <w:rFonts w:ascii="Times New Roman" w:hAnsi="Times New Roman" w:cs="Times New Roman"/>
          <w:sz w:val="24"/>
          <w:szCs w:val="24"/>
        </w:rPr>
        <w:t xml:space="preserve">для высокотехнологичных компаний. Для традиционных фирм статистически значимой взаимосвязи между размером </w:t>
      </w:r>
      <w:r w:rsidR="003631DD">
        <w:rPr>
          <w:rFonts w:ascii="Times New Roman" w:hAnsi="Times New Roman" w:cs="Times New Roman"/>
          <w:sz w:val="24"/>
          <w:szCs w:val="24"/>
        </w:rPr>
        <w:t xml:space="preserve">фирмы </w:t>
      </w:r>
      <w:r w:rsidR="006A1EBB" w:rsidRPr="00A312C5">
        <w:rPr>
          <w:rFonts w:ascii="Times New Roman" w:hAnsi="Times New Roman" w:cs="Times New Roman"/>
          <w:sz w:val="24"/>
          <w:szCs w:val="24"/>
        </w:rPr>
        <w:t xml:space="preserve">и затратами на НИОКР установлено не было. </w:t>
      </w:r>
      <w:r w:rsidR="00CE77C2" w:rsidRPr="00A312C5">
        <w:rPr>
          <w:rFonts w:ascii="Times New Roman" w:hAnsi="Times New Roman" w:cs="Times New Roman"/>
          <w:sz w:val="24"/>
          <w:szCs w:val="24"/>
        </w:rPr>
        <w:t xml:space="preserve">Доля работников, задействованных в НИОКР, </w:t>
      </w:r>
      <w:r w:rsidR="00E0472B" w:rsidRPr="00A312C5">
        <w:rPr>
          <w:rFonts w:ascii="Times New Roman" w:hAnsi="Times New Roman" w:cs="Times New Roman"/>
          <w:sz w:val="24"/>
          <w:szCs w:val="24"/>
        </w:rPr>
        <w:t xml:space="preserve">характеризуется обратной взаимосвязью с инвестициями в НИОКР в высокотехнологичных компаниях. </w:t>
      </w:r>
      <w:r w:rsidR="00173F47" w:rsidRPr="00A312C5">
        <w:rPr>
          <w:rFonts w:ascii="Times New Roman" w:hAnsi="Times New Roman" w:cs="Times New Roman"/>
          <w:sz w:val="24"/>
          <w:szCs w:val="24"/>
        </w:rPr>
        <w:t xml:space="preserve">Уровень экспорта монотонно увеличивается с увеличением размера компании, независимо </w:t>
      </w:r>
      <w:r w:rsidR="00173F47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от ее отрасли и расположения. В то же время уровень экспорта в высокотехнологичных компаниях значительно превышает экспорт среди группы традиционных компаний. Возраст фирмы имеет значимую, но отрицательную взаимосвязь с уровнем инвестиций в НИОКР: при прочих равных молодые фирмы более склонны инвестировать в НИОКР, чем опытные игроки рынка. </w:t>
      </w:r>
    </w:p>
    <w:p w14:paraId="17E995FE" w14:textId="7A92033C" w:rsidR="00F56C82" w:rsidRPr="00A312C5" w:rsidRDefault="00F56C82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Другое исследование 2014 года </w:t>
      </w:r>
      <w:r w:rsidR="00B72B96" w:rsidRPr="00A312C5">
        <w:rPr>
          <w:rFonts w:ascii="Times New Roman" w:eastAsiaTheme="minorEastAsia" w:hAnsi="Times New Roman" w:cs="Times New Roman"/>
          <w:sz w:val="24"/>
          <w:szCs w:val="24"/>
        </w:rPr>
        <w:t>[</w:t>
      </w:r>
      <w:proofErr w:type="spellStart"/>
      <w:r w:rsidRPr="00A312C5">
        <w:rPr>
          <w:rFonts w:ascii="Times New Roman" w:eastAsiaTheme="minorEastAsia" w:hAnsi="Times New Roman" w:cs="Times New Roman"/>
          <w:sz w:val="24"/>
          <w:szCs w:val="24"/>
        </w:rPr>
        <w:t>Chen</w:t>
      </w:r>
      <w:proofErr w:type="spellEnd"/>
      <w:r w:rsidR="00B72B96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>2014</w:t>
      </w:r>
      <w:r w:rsidR="00B72B96" w:rsidRPr="00A312C5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изучает взаимосвязь управленческого капитала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>, власти генерального директора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и инвестиций в НИОКР на примере Тайваньских фирм. </w:t>
      </w:r>
      <w:r w:rsidR="00CE42C1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Данная работа опирается на теорию ресурсной зависимости, которая утверждает, что корпоративная стратегия компании связана с </w:t>
      </w:r>
      <w:r w:rsidR="00355406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наличием </w:t>
      </w:r>
      <w:r w:rsidR="00CE42C1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доступа к определенным ресурсам. </w:t>
      </w:r>
      <w:r w:rsidR="00355406" w:rsidRPr="00A312C5">
        <w:rPr>
          <w:rFonts w:ascii="Times New Roman" w:eastAsiaTheme="minorEastAsia" w:hAnsi="Times New Roman" w:cs="Times New Roman"/>
          <w:sz w:val="24"/>
          <w:szCs w:val="24"/>
        </w:rPr>
        <w:t>Совет директоров ответственен за эффективный мониторинг и предоставление ресурс</w:t>
      </w:r>
      <w:r w:rsidR="000F787D">
        <w:rPr>
          <w:rFonts w:ascii="Times New Roman" w:eastAsiaTheme="minorEastAsia" w:hAnsi="Times New Roman" w:cs="Times New Roman"/>
          <w:sz w:val="24"/>
          <w:szCs w:val="24"/>
        </w:rPr>
        <w:t>ов</w:t>
      </w:r>
      <w:r w:rsidR="00355406" w:rsidRPr="00A312C5">
        <w:rPr>
          <w:rFonts w:ascii="Times New Roman" w:eastAsiaTheme="minorEastAsia" w:hAnsi="Times New Roman" w:cs="Times New Roman"/>
          <w:sz w:val="24"/>
          <w:szCs w:val="24"/>
        </w:rPr>
        <w:t>, так как он обеспечивает легитимность и репутацию, советы и консультацию, каналы связи компани</w:t>
      </w:r>
      <w:r w:rsidR="000F787D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355406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787D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355406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внешними организациями. Соответственно, управленческий капитал совета директоров может объяснять решения об инвестировании в НИОКР, требующие эффективного руководства. 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эмпирического исследования показали </w:t>
      </w:r>
      <w:r w:rsidR="00015FE8" w:rsidRPr="00A312C5">
        <w:rPr>
          <w:rFonts w:ascii="Times New Roman" w:eastAsiaTheme="minorEastAsia" w:hAnsi="Times New Roman" w:cs="Times New Roman"/>
          <w:sz w:val="24"/>
          <w:szCs w:val="24"/>
        </w:rPr>
        <w:t>наличие прямой взаимосвязи между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уров</w:t>
      </w:r>
      <w:r w:rsidR="00015FE8" w:rsidRPr="00A312C5">
        <w:rPr>
          <w:rFonts w:ascii="Times New Roman" w:eastAsiaTheme="minorEastAsia" w:hAnsi="Times New Roman" w:cs="Times New Roman"/>
          <w:sz w:val="24"/>
          <w:szCs w:val="24"/>
        </w:rPr>
        <w:t>нем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образования членов совета директоров, их опыт</w:t>
      </w:r>
      <w:r w:rsidR="00015FE8" w:rsidRPr="00A312C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работы в отрасли</w:t>
      </w:r>
      <w:r w:rsidR="007F50D2" w:rsidRPr="00A312C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социальны</w:t>
      </w:r>
      <w:r w:rsidR="00015FE8" w:rsidRPr="00A312C5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1C1F03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капитал</w:t>
      </w:r>
      <w:r w:rsidR="00015FE8" w:rsidRPr="00A312C5">
        <w:rPr>
          <w:rFonts w:ascii="Times New Roman" w:eastAsiaTheme="minorEastAsia" w:hAnsi="Times New Roman" w:cs="Times New Roman"/>
          <w:sz w:val="24"/>
          <w:szCs w:val="24"/>
        </w:rPr>
        <w:t>ом и инвестициями в НИОКР.</w:t>
      </w:r>
      <w:r w:rsidR="00D263E4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Исследование также показало</w:t>
      </w:r>
      <w:r w:rsidR="007D794B" w:rsidRPr="00A312C5">
        <w:rPr>
          <w:rFonts w:ascii="Times New Roman" w:eastAsiaTheme="minorEastAsia" w:hAnsi="Times New Roman" w:cs="Times New Roman"/>
          <w:sz w:val="24"/>
          <w:szCs w:val="24"/>
        </w:rPr>
        <w:t>, что присутствие влиятельного генерального директора побуждает других членов совета директоров более активно делиться ресурсами и знаниями, тем самым усиливая возможности фирмы</w:t>
      </w:r>
      <w:r w:rsidR="007F50D2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в сфере НИОКР</w:t>
      </w:r>
      <w:r w:rsidR="007D794B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50B0C8C3" w14:textId="5AD2349F" w:rsidR="006A1F4C" w:rsidRDefault="007F4813" w:rsidP="003D4B4B">
      <w:pPr>
        <w:pStyle w:val="3"/>
      </w:pPr>
      <w:bookmarkStart w:id="16" w:name="_Toc73538428"/>
      <w:r w:rsidRPr="00A312C5">
        <w:t>Исследования на уровне отрасли</w:t>
      </w:r>
      <w:bookmarkEnd w:id="16"/>
    </w:p>
    <w:p w14:paraId="4D39A8AE" w14:textId="7358F5AB" w:rsidR="00160251" w:rsidRPr="00160251" w:rsidRDefault="00160251" w:rsidP="001602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0251">
        <w:rPr>
          <w:rFonts w:ascii="Times New Roman" w:eastAsiaTheme="minorEastAsia" w:hAnsi="Times New Roman" w:cs="Times New Roman"/>
          <w:sz w:val="24"/>
          <w:szCs w:val="24"/>
        </w:rPr>
        <w:t xml:space="preserve">В таблице 3 приведены результаты эмпирических исследований, посвященных поиску отраслевых детерминант величины инвестиций в НИОКР: </w:t>
      </w:r>
    </w:p>
    <w:p w14:paraId="2724D034" w14:textId="08BEB4F3" w:rsidR="008B77BC" w:rsidRPr="008B77BC" w:rsidRDefault="008B77BC" w:rsidP="008B77BC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3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Результаты эмпирических исследований на уровне отрасли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560"/>
        <w:gridCol w:w="3112"/>
      </w:tblGrid>
      <w:tr w:rsidR="009E6C8F" w:rsidRPr="00A312C5" w14:paraId="7D37AAF1" w14:textId="77777777" w:rsidTr="0033272F">
        <w:tc>
          <w:tcPr>
            <w:tcW w:w="2336" w:type="dxa"/>
          </w:tcPr>
          <w:p w14:paraId="34C3A3C0" w14:textId="00AEE691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Автор и название</w:t>
            </w:r>
          </w:p>
        </w:tc>
        <w:tc>
          <w:tcPr>
            <w:tcW w:w="2336" w:type="dxa"/>
          </w:tcPr>
          <w:p w14:paraId="506DBB64" w14:textId="50D0055E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Страна и выборка</w:t>
            </w:r>
          </w:p>
        </w:tc>
        <w:tc>
          <w:tcPr>
            <w:tcW w:w="1560" w:type="dxa"/>
          </w:tcPr>
          <w:p w14:paraId="1CBABF7A" w14:textId="576AC5EF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Год публикации</w:t>
            </w:r>
          </w:p>
        </w:tc>
        <w:tc>
          <w:tcPr>
            <w:tcW w:w="3112" w:type="dxa"/>
          </w:tcPr>
          <w:p w14:paraId="43505E1F" w14:textId="36383E83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Вывод</w:t>
            </w:r>
          </w:p>
        </w:tc>
      </w:tr>
      <w:tr w:rsidR="009E6C8F" w:rsidRPr="00A312C5" w14:paraId="07F348C8" w14:textId="77777777" w:rsidTr="0033272F">
        <w:tc>
          <w:tcPr>
            <w:tcW w:w="2336" w:type="dxa"/>
          </w:tcPr>
          <w:p w14:paraId="0A6A0BDA" w14:textId="77777777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</w:rPr>
              <w:t>A.V.Bukhvalov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12C5">
              <w:rPr>
                <w:rFonts w:ascii="Times New Roman" w:hAnsi="Times New Roman" w:cs="Times New Roman"/>
              </w:rPr>
              <w:t>A.E.Loukianova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12C5">
              <w:rPr>
                <w:rFonts w:ascii="Times New Roman" w:hAnsi="Times New Roman" w:cs="Times New Roman"/>
              </w:rPr>
              <w:t>E.D.Nikulin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12C5">
              <w:rPr>
                <w:rFonts w:ascii="Times New Roman" w:hAnsi="Times New Roman" w:cs="Times New Roman"/>
              </w:rPr>
              <w:t>V.L.Okulov</w:t>
            </w:r>
            <w:proofErr w:type="spellEnd"/>
          </w:p>
          <w:p w14:paraId="5BA5DE07" w14:textId="6948F791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 xml:space="preserve">A real options model for analysis of industrial R&amp;D expenditures </w:t>
            </w:r>
          </w:p>
        </w:tc>
        <w:tc>
          <w:tcPr>
            <w:tcW w:w="2336" w:type="dxa"/>
          </w:tcPr>
          <w:p w14:paraId="0543A3C3" w14:textId="7D1D5AA2" w:rsidR="009E6C8F" w:rsidRPr="00A312C5" w:rsidRDefault="008D7CDC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1833 компании из развивающихся стран, 25 отраслей</w:t>
            </w:r>
          </w:p>
        </w:tc>
        <w:tc>
          <w:tcPr>
            <w:tcW w:w="1560" w:type="dxa"/>
          </w:tcPr>
          <w:p w14:paraId="0EEE34ED" w14:textId="40E3279E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3112" w:type="dxa"/>
          </w:tcPr>
          <w:p w14:paraId="63712DB4" w14:textId="441B4C3B" w:rsidR="009E6C8F" w:rsidRPr="00A312C5" w:rsidRDefault="009E6C8F" w:rsidP="0033272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инвестициями в НИОКР на уровне отрасли</w:t>
            </w:r>
            <w:r w:rsidR="002C3809" w:rsidRPr="00A312C5">
              <w:rPr>
                <w:rFonts w:ascii="Times New Roman" w:hAnsi="Times New Roman" w:cs="Times New Roman"/>
              </w:rPr>
              <w:t>,</w:t>
            </w:r>
            <w:r w:rsidRPr="00A312C5">
              <w:rPr>
                <w:rFonts w:ascii="Times New Roman" w:hAnsi="Times New Roman" w:cs="Times New Roman"/>
              </w:rPr>
              <w:t xml:space="preserve"> средней операционной рентабельностью, средней волатильностью ценности крупной компании и средней длительностью проекта НИОКР в данной отрасли</w:t>
            </w:r>
          </w:p>
        </w:tc>
      </w:tr>
    </w:tbl>
    <w:p w14:paraId="69B852C7" w14:textId="2ACFCB59" w:rsidR="00160251" w:rsidRDefault="00160251" w:rsidP="00D463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0B8CD15" w14:textId="77777777" w:rsidR="00160251" w:rsidRDefault="00160251" w:rsidP="00D463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5EF7FE0" w14:textId="42A0B86B" w:rsidR="00160251" w:rsidRPr="00160251" w:rsidRDefault="00160251" w:rsidP="00160251">
      <w:pPr>
        <w:pStyle w:val="af7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16025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Продолжение таблицы 3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560"/>
        <w:gridCol w:w="3112"/>
      </w:tblGrid>
      <w:tr w:rsidR="00160251" w:rsidRPr="00A312C5" w14:paraId="7EE3DC64" w14:textId="77777777" w:rsidTr="00B81917">
        <w:tc>
          <w:tcPr>
            <w:tcW w:w="2336" w:type="dxa"/>
          </w:tcPr>
          <w:p w14:paraId="6143982B" w14:textId="77777777" w:rsidR="00160251" w:rsidRPr="00A312C5" w:rsidRDefault="00160251" w:rsidP="00B81917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F. M. Scherer</w:t>
            </w:r>
          </w:p>
          <w:p w14:paraId="79318D59" w14:textId="77777777" w:rsidR="00160251" w:rsidRPr="00A312C5" w:rsidRDefault="00160251" w:rsidP="00B81917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Concentration, R&amp;D, and Productivity Change</w:t>
            </w:r>
          </w:p>
        </w:tc>
        <w:tc>
          <w:tcPr>
            <w:tcW w:w="2336" w:type="dxa"/>
          </w:tcPr>
          <w:p w14:paraId="7D088677" w14:textId="77777777" w:rsidR="00160251" w:rsidRPr="00A312C5" w:rsidRDefault="00160251" w:rsidP="00B81917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США, данные Федеральной торговой комиссии, 443 корпорации</w:t>
            </w:r>
          </w:p>
        </w:tc>
        <w:tc>
          <w:tcPr>
            <w:tcW w:w="1560" w:type="dxa"/>
          </w:tcPr>
          <w:p w14:paraId="4B1B7C3D" w14:textId="77777777" w:rsidR="00160251" w:rsidRPr="00A312C5" w:rsidRDefault="00160251" w:rsidP="00B81917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112" w:type="dxa"/>
          </w:tcPr>
          <w:p w14:paraId="787A177C" w14:textId="77777777" w:rsidR="00160251" w:rsidRPr="00A312C5" w:rsidRDefault="00160251" w:rsidP="00B81917">
            <w:pPr>
              <w:keepNext/>
              <w:spacing w:line="360" w:lineRule="auto"/>
              <w:ind w:left="34" w:hanging="5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рыночной концентрацией</w:t>
            </w:r>
            <w:r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инвестициями в НИОКР</w:t>
            </w:r>
            <w:r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 xml:space="preserve"> и продуктивностью компании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C4E1D9" w14:textId="55B664D6" w:rsidR="00D4639F" w:rsidRPr="0078598A" w:rsidRDefault="00D4639F" w:rsidP="00D463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598A">
        <w:rPr>
          <w:rFonts w:ascii="Times New Roman" w:hAnsi="Times New Roman" w:cs="Times New Roman"/>
        </w:rPr>
        <w:t>Источник: составлено автором на основе [</w:t>
      </w:r>
      <w:proofErr w:type="spellStart"/>
      <w:r w:rsidRPr="00A312C5">
        <w:rPr>
          <w:rFonts w:ascii="Times New Roman" w:hAnsi="Times New Roman" w:cs="Times New Roman"/>
        </w:rPr>
        <w:t>Bukhvalov</w:t>
      </w:r>
      <w:proofErr w:type="spellEnd"/>
      <w:r w:rsidRPr="00A312C5">
        <w:rPr>
          <w:rFonts w:ascii="Times New Roman" w:hAnsi="Times New Roman" w:cs="Times New Roman"/>
        </w:rPr>
        <w:t>,</w:t>
      </w:r>
      <w:r w:rsidRPr="00D4639F">
        <w:rPr>
          <w:rFonts w:ascii="Times New Roman" w:hAnsi="Times New Roman" w:cs="Times New Roman"/>
        </w:rPr>
        <w:t xml:space="preserve"> </w:t>
      </w:r>
      <w:proofErr w:type="spellStart"/>
      <w:r w:rsidRPr="00A312C5">
        <w:rPr>
          <w:rFonts w:ascii="Times New Roman" w:hAnsi="Times New Roman" w:cs="Times New Roman"/>
        </w:rPr>
        <w:t>Loukianova</w:t>
      </w:r>
      <w:proofErr w:type="spellEnd"/>
      <w:r w:rsidRPr="00A312C5">
        <w:rPr>
          <w:rFonts w:ascii="Times New Roman" w:hAnsi="Times New Roman" w:cs="Times New Roman"/>
        </w:rPr>
        <w:t xml:space="preserve">, </w:t>
      </w:r>
      <w:proofErr w:type="spellStart"/>
      <w:r w:rsidRPr="00A312C5">
        <w:rPr>
          <w:rFonts w:ascii="Times New Roman" w:hAnsi="Times New Roman" w:cs="Times New Roman"/>
        </w:rPr>
        <w:t>Nikulin</w:t>
      </w:r>
      <w:proofErr w:type="spellEnd"/>
      <w:r w:rsidRPr="00A312C5">
        <w:rPr>
          <w:rFonts w:ascii="Times New Roman" w:hAnsi="Times New Roman" w:cs="Times New Roman"/>
        </w:rPr>
        <w:t xml:space="preserve">, </w:t>
      </w:r>
      <w:proofErr w:type="spellStart"/>
      <w:r w:rsidRPr="00A312C5">
        <w:rPr>
          <w:rFonts w:ascii="Times New Roman" w:hAnsi="Times New Roman" w:cs="Times New Roman"/>
        </w:rPr>
        <w:t>Okulov</w:t>
      </w:r>
      <w:proofErr w:type="spellEnd"/>
      <w:r w:rsidRPr="00D4639F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>;</w:t>
      </w:r>
      <w:r w:rsidRPr="00D4639F">
        <w:rPr>
          <w:rFonts w:ascii="Times New Roman" w:hAnsi="Times New Roman" w:cs="Times New Roman"/>
        </w:rPr>
        <w:t xml:space="preserve"> </w:t>
      </w:r>
      <w:proofErr w:type="spellStart"/>
      <w:r w:rsidRPr="0078598A">
        <w:rPr>
          <w:rFonts w:ascii="Times New Roman" w:hAnsi="Times New Roman" w:cs="Times New Roman"/>
        </w:rPr>
        <w:t>Scherer</w:t>
      </w:r>
      <w:proofErr w:type="spellEnd"/>
      <w:r w:rsidRPr="00D4639F">
        <w:rPr>
          <w:rFonts w:ascii="Times New Roman" w:hAnsi="Times New Roman" w:cs="Times New Roman"/>
        </w:rPr>
        <w:t xml:space="preserve"> 1983</w:t>
      </w:r>
      <w:r w:rsidRPr="0078598A">
        <w:rPr>
          <w:rFonts w:ascii="Times New Roman" w:hAnsi="Times New Roman" w:cs="Times New Roman"/>
        </w:rPr>
        <w:t>]</w:t>
      </w:r>
    </w:p>
    <w:p w14:paraId="3F07ECB0" w14:textId="483521CE" w:rsidR="00833A58" w:rsidRPr="00A312C5" w:rsidRDefault="00833A5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Отраслевых исследований, посвященных данной проблематике</w:t>
      </w:r>
      <w:r w:rsidR="0078598A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достаточно мало. Так, уже упомянутая ранее модель А. В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Бухвалова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В. Л. Окулова, Е. Д. Никулина и А. Е. Лукьяновой была проверена на выборке из 1833 компаний, оперирующих в 25 отраслях экономики. Анализ показал наличие взаимосвязи </w:t>
      </w:r>
      <w:r w:rsidRPr="0078598A">
        <w:rPr>
          <w:rFonts w:ascii="Times New Roman" w:hAnsi="Times New Roman" w:cs="Times New Roman"/>
          <w:sz w:val="24"/>
          <w:szCs w:val="24"/>
        </w:rPr>
        <w:t xml:space="preserve">между инвестициями в НИОКР, средней операционной рентабельностью, средней волатильностью ценности крупной компании и средней длительностью проекта НИОКР. Однако, валидация была осуществлена на основе данных только за один год, что не может гарантировать </w:t>
      </w:r>
      <w:r w:rsidR="008C3E39">
        <w:rPr>
          <w:rFonts w:ascii="Times New Roman" w:hAnsi="Times New Roman" w:cs="Times New Roman"/>
          <w:sz w:val="24"/>
          <w:szCs w:val="24"/>
        </w:rPr>
        <w:t xml:space="preserve">достаточную </w:t>
      </w:r>
      <w:r w:rsidRPr="0078598A">
        <w:rPr>
          <w:rFonts w:ascii="Times New Roman" w:hAnsi="Times New Roman" w:cs="Times New Roman"/>
          <w:sz w:val="24"/>
          <w:szCs w:val="24"/>
        </w:rPr>
        <w:t xml:space="preserve">достоверность полученных результатов. </w:t>
      </w:r>
    </w:p>
    <w:p w14:paraId="62AE885F" w14:textId="4033DEA6" w:rsidR="00755B18" w:rsidRPr="00A312C5" w:rsidRDefault="00A833A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Более раннее исследование 1983 года</w:t>
      </w:r>
      <w:r w:rsidR="002C380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72B96" w:rsidRPr="00A312C5">
        <w:rPr>
          <w:rFonts w:ascii="Times New Roman" w:hAnsi="Times New Roman" w:cs="Times New Roman"/>
          <w:sz w:val="24"/>
          <w:szCs w:val="24"/>
        </w:rPr>
        <w:t>[</w:t>
      </w:r>
      <w:r w:rsidR="002C3809" w:rsidRPr="00A312C5">
        <w:rPr>
          <w:rFonts w:ascii="Times New Roman" w:hAnsi="Times New Roman" w:cs="Times New Roman"/>
          <w:sz w:val="24"/>
          <w:szCs w:val="24"/>
          <w:lang w:val="en-US"/>
        </w:rPr>
        <w:t>Scherer</w:t>
      </w:r>
      <w:r w:rsidR="002C3809" w:rsidRPr="00A312C5">
        <w:rPr>
          <w:rFonts w:ascii="Times New Roman" w:hAnsi="Times New Roman" w:cs="Times New Roman"/>
          <w:sz w:val="24"/>
          <w:szCs w:val="24"/>
        </w:rPr>
        <w:t>, 198</w:t>
      </w:r>
      <w:r w:rsidR="00B72B96" w:rsidRPr="00A312C5">
        <w:rPr>
          <w:rFonts w:ascii="Times New Roman" w:hAnsi="Times New Roman" w:cs="Times New Roman"/>
          <w:sz w:val="24"/>
          <w:szCs w:val="24"/>
        </w:rPr>
        <w:t>3]</w:t>
      </w:r>
      <w:r w:rsidR="00615C13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рассматривает взаимосвязь между рыночной концентрацией, инвестициями в НИОКР и ростом продуктивности</w:t>
      </w:r>
      <w:r w:rsidR="008C3E39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A312C5">
        <w:rPr>
          <w:rFonts w:ascii="Times New Roman" w:hAnsi="Times New Roman" w:cs="Times New Roman"/>
          <w:sz w:val="24"/>
          <w:szCs w:val="24"/>
        </w:rPr>
        <w:t>. Данная работа основывается на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исследовании </w:t>
      </w:r>
      <w:proofErr w:type="spellStart"/>
      <w:r w:rsidR="004D60BB" w:rsidRPr="00A312C5">
        <w:rPr>
          <w:rFonts w:ascii="Times New Roman" w:hAnsi="Times New Roman" w:cs="Times New Roman"/>
          <w:sz w:val="24"/>
          <w:szCs w:val="24"/>
        </w:rPr>
        <w:t>Грира</w:t>
      </w:r>
      <w:proofErr w:type="spellEnd"/>
      <w:r w:rsidR="004D60BB" w:rsidRPr="00A312C5">
        <w:rPr>
          <w:rFonts w:ascii="Times New Roman" w:hAnsi="Times New Roman" w:cs="Times New Roman"/>
          <w:sz w:val="24"/>
          <w:szCs w:val="24"/>
        </w:rPr>
        <w:t xml:space="preserve"> и Роудса </w:t>
      </w:r>
      <w:r w:rsidR="00B72B96" w:rsidRPr="00A312C5">
        <w:rPr>
          <w:rFonts w:ascii="Times New Roman" w:hAnsi="Times New Roman" w:cs="Times New Roman"/>
          <w:sz w:val="24"/>
          <w:szCs w:val="24"/>
        </w:rPr>
        <w:t>[</w:t>
      </w:r>
      <w:r w:rsidR="004D60BB" w:rsidRPr="00A312C5">
        <w:rPr>
          <w:rFonts w:ascii="Times New Roman" w:hAnsi="Times New Roman" w:cs="Times New Roman"/>
          <w:sz w:val="24"/>
          <w:szCs w:val="24"/>
          <w:lang w:val="en-US"/>
        </w:rPr>
        <w:t>Greer</w:t>
      </w:r>
      <w:r w:rsidR="004D60BB" w:rsidRPr="00A312C5">
        <w:rPr>
          <w:rFonts w:ascii="Times New Roman" w:hAnsi="Times New Roman" w:cs="Times New Roman"/>
          <w:sz w:val="24"/>
          <w:szCs w:val="24"/>
        </w:rPr>
        <w:t>, 1976</w:t>
      </w:r>
      <w:r w:rsidR="00B72B96" w:rsidRPr="00A312C5">
        <w:rPr>
          <w:rFonts w:ascii="Times New Roman" w:hAnsi="Times New Roman" w:cs="Times New Roman"/>
          <w:sz w:val="24"/>
          <w:szCs w:val="24"/>
        </w:rPr>
        <w:t>]</w:t>
      </w:r>
      <w:r w:rsidR="004D60BB" w:rsidRPr="00A312C5">
        <w:rPr>
          <w:rFonts w:ascii="Times New Roman" w:hAnsi="Times New Roman" w:cs="Times New Roman"/>
          <w:sz w:val="24"/>
          <w:szCs w:val="24"/>
        </w:rPr>
        <w:t>, показавшем наличие положительно</w:t>
      </w:r>
      <w:r w:rsidR="00872E1E" w:rsidRPr="00A312C5">
        <w:rPr>
          <w:rFonts w:ascii="Times New Roman" w:hAnsi="Times New Roman" w:cs="Times New Roman"/>
          <w:sz w:val="24"/>
          <w:szCs w:val="24"/>
        </w:rPr>
        <w:t>й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статистически значимо</w:t>
      </w:r>
      <w:r w:rsidR="00872E1E" w:rsidRPr="00A312C5">
        <w:rPr>
          <w:rFonts w:ascii="Times New Roman" w:hAnsi="Times New Roman" w:cs="Times New Roman"/>
          <w:sz w:val="24"/>
          <w:szCs w:val="24"/>
        </w:rPr>
        <w:t>й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872E1E" w:rsidRPr="00A312C5">
        <w:rPr>
          <w:rFonts w:ascii="Times New Roman" w:hAnsi="Times New Roman" w:cs="Times New Roman"/>
          <w:sz w:val="24"/>
          <w:szCs w:val="24"/>
        </w:rPr>
        <w:t>взаимосвязи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рыночной концентрации </w:t>
      </w:r>
      <w:r w:rsidR="00872E1E" w:rsidRPr="00A312C5">
        <w:rPr>
          <w:rFonts w:ascii="Times New Roman" w:hAnsi="Times New Roman" w:cs="Times New Roman"/>
          <w:sz w:val="24"/>
          <w:szCs w:val="24"/>
        </w:rPr>
        <w:t>и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рост</w:t>
      </w:r>
      <w:r w:rsidR="00872E1E" w:rsidRPr="00A312C5">
        <w:rPr>
          <w:rFonts w:ascii="Times New Roman" w:hAnsi="Times New Roman" w:cs="Times New Roman"/>
          <w:sz w:val="24"/>
          <w:szCs w:val="24"/>
        </w:rPr>
        <w:t>а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продуктивности в рамках трех </w:t>
      </w:r>
      <w:proofErr w:type="spellStart"/>
      <w:r w:rsidR="007F50D2" w:rsidRPr="00A312C5">
        <w:rPr>
          <w:rFonts w:ascii="Times New Roman" w:hAnsi="Times New Roman" w:cs="Times New Roman"/>
          <w:sz w:val="24"/>
          <w:szCs w:val="24"/>
        </w:rPr>
        <w:t>под</w:t>
      </w:r>
      <w:r w:rsidR="004D60BB" w:rsidRPr="00A312C5">
        <w:rPr>
          <w:rFonts w:ascii="Times New Roman" w:hAnsi="Times New Roman" w:cs="Times New Roman"/>
          <w:sz w:val="24"/>
          <w:szCs w:val="24"/>
        </w:rPr>
        <w:t>выборок</w:t>
      </w:r>
      <w:proofErr w:type="spellEnd"/>
      <w:r w:rsidR="004D60BB" w:rsidRPr="00A312C5">
        <w:rPr>
          <w:rFonts w:ascii="Times New Roman" w:hAnsi="Times New Roman" w:cs="Times New Roman"/>
          <w:sz w:val="24"/>
          <w:szCs w:val="24"/>
        </w:rPr>
        <w:t>, покрывающих различные</w:t>
      </w:r>
      <w:r w:rsidR="00615C13">
        <w:rPr>
          <w:rFonts w:ascii="Times New Roman" w:hAnsi="Times New Roman" w:cs="Times New Roman"/>
          <w:sz w:val="24"/>
          <w:szCs w:val="24"/>
        </w:rPr>
        <w:t xml:space="preserve"> отрасли и 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периоды времени. </w:t>
      </w:r>
      <w:r w:rsidR="007F50D2" w:rsidRPr="00A312C5">
        <w:rPr>
          <w:rFonts w:ascii="Times New Roman" w:hAnsi="Times New Roman" w:cs="Times New Roman"/>
          <w:sz w:val="24"/>
          <w:szCs w:val="24"/>
        </w:rPr>
        <w:t>Шерер</w:t>
      </w:r>
      <w:r w:rsidR="004D60BB" w:rsidRPr="00A312C5">
        <w:rPr>
          <w:rFonts w:ascii="Times New Roman" w:hAnsi="Times New Roman" w:cs="Times New Roman"/>
          <w:sz w:val="24"/>
          <w:szCs w:val="24"/>
        </w:rPr>
        <w:t xml:space="preserve"> предлагает новые теоретические предпосылки, объясняющие найденную </w:t>
      </w:r>
      <w:r w:rsidR="00F14615" w:rsidRPr="00A312C5">
        <w:rPr>
          <w:rFonts w:ascii="Times New Roman" w:hAnsi="Times New Roman" w:cs="Times New Roman"/>
          <w:sz w:val="24"/>
          <w:szCs w:val="24"/>
        </w:rPr>
        <w:t xml:space="preserve">взаимосвязь. Чем более концентрирована отрасль, тем больше будут доли ее основных игроков. Большая рыночная доля </w:t>
      </w:r>
      <w:r w:rsidR="007F50D2" w:rsidRPr="00A312C5">
        <w:rPr>
          <w:rFonts w:ascii="Times New Roman" w:hAnsi="Times New Roman" w:cs="Times New Roman"/>
          <w:sz w:val="24"/>
          <w:szCs w:val="24"/>
        </w:rPr>
        <w:t>подразумевает</w:t>
      </w:r>
      <w:r w:rsidR="00F14615" w:rsidRPr="00A312C5">
        <w:rPr>
          <w:rFonts w:ascii="Times New Roman" w:hAnsi="Times New Roman" w:cs="Times New Roman"/>
          <w:sz w:val="24"/>
          <w:szCs w:val="24"/>
        </w:rPr>
        <w:t xml:space="preserve"> большую экономию затрат за счет НИОКР, предполагая, что реализация и лицензирование НИОКР для конкурентов либо непривлекательны, либо сопряжены с высокими транзакционными издержками. При прочих равных компания, способная присвоить большую долю прибыли, имеет более сильный стимул для инвестирования в НИОКР.</w:t>
      </w:r>
      <w:r w:rsidR="002C380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7F50D2" w:rsidRPr="00A312C5">
        <w:rPr>
          <w:rFonts w:ascii="Times New Roman" w:hAnsi="Times New Roman" w:cs="Times New Roman"/>
          <w:sz w:val="24"/>
          <w:szCs w:val="24"/>
        </w:rPr>
        <w:t>А</w:t>
      </w:r>
      <w:r w:rsidR="002C3809" w:rsidRPr="00A312C5">
        <w:rPr>
          <w:rFonts w:ascii="Times New Roman" w:hAnsi="Times New Roman" w:cs="Times New Roman"/>
          <w:sz w:val="24"/>
          <w:szCs w:val="24"/>
        </w:rPr>
        <w:t>втор делает вывод, что</w:t>
      </w:r>
      <w:r w:rsidR="00A71104">
        <w:rPr>
          <w:rFonts w:ascii="Times New Roman" w:hAnsi="Times New Roman" w:cs="Times New Roman"/>
          <w:sz w:val="24"/>
          <w:szCs w:val="24"/>
        </w:rPr>
        <w:t xml:space="preserve"> более высокая</w:t>
      </w:r>
      <w:r w:rsidR="002C3809" w:rsidRPr="00A312C5">
        <w:rPr>
          <w:rFonts w:ascii="Times New Roman" w:hAnsi="Times New Roman" w:cs="Times New Roman"/>
          <w:sz w:val="24"/>
          <w:szCs w:val="24"/>
        </w:rPr>
        <w:t xml:space="preserve"> рыночная концентрация приводит к росту инвестиций в НИОКР, что в свою очередь </w:t>
      </w:r>
      <w:r w:rsidR="007F50D2" w:rsidRPr="00A312C5">
        <w:rPr>
          <w:rFonts w:ascii="Times New Roman" w:hAnsi="Times New Roman" w:cs="Times New Roman"/>
          <w:sz w:val="24"/>
          <w:szCs w:val="24"/>
        </w:rPr>
        <w:t xml:space="preserve">увеличивает </w:t>
      </w:r>
      <w:r w:rsidR="002C3809" w:rsidRPr="00A312C5">
        <w:rPr>
          <w:rFonts w:ascii="Times New Roman" w:hAnsi="Times New Roman" w:cs="Times New Roman"/>
          <w:sz w:val="24"/>
          <w:szCs w:val="24"/>
        </w:rPr>
        <w:t>производительност</w:t>
      </w:r>
      <w:r w:rsidR="007F50D2" w:rsidRPr="00A312C5">
        <w:rPr>
          <w:rFonts w:ascii="Times New Roman" w:hAnsi="Times New Roman" w:cs="Times New Roman"/>
          <w:sz w:val="24"/>
          <w:szCs w:val="24"/>
        </w:rPr>
        <w:t>ь</w:t>
      </w:r>
      <w:r w:rsidR="002C3809" w:rsidRPr="00A312C5">
        <w:rPr>
          <w:rFonts w:ascii="Times New Roman" w:hAnsi="Times New Roman" w:cs="Times New Roman"/>
          <w:sz w:val="24"/>
          <w:szCs w:val="24"/>
        </w:rPr>
        <w:t xml:space="preserve"> компании. </w:t>
      </w:r>
      <w:r w:rsidR="00F14615"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9D431" w14:textId="71A70A79" w:rsidR="00392C8F" w:rsidRPr="00A312C5" w:rsidRDefault="00392C8F" w:rsidP="003D4B4B">
      <w:pPr>
        <w:pStyle w:val="3"/>
      </w:pPr>
      <w:bookmarkStart w:id="17" w:name="_Toc73538429"/>
      <w:r w:rsidRPr="00A312C5">
        <w:t>Исследования на уровне страны</w:t>
      </w:r>
      <w:bookmarkEnd w:id="17"/>
    </w:p>
    <w:p w14:paraId="7F8134B5" w14:textId="7EABE1F1" w:rsidR="008B77BC" w:rsidRPr="00A71104" w:rsidRDefault="002E7B6E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данном блоке обратимся к исследованиям, изучающим детерминанты инвес</w:t>
      </w:r>
      <w:r w:rsidR="002623EE">
        <w:rPr>
          <w:rFonts w:ascii="Times New Roman" w:hAnsi="Times New Roman" w:cs="Times New Roman"/>
          <w:sz w:val="24"/>
          <w:szCs w:val="24"/>
        </w:rPr>
        <w:t>тиций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НИОКР на страновом уровне (таблица</w:t>
      </w:r>
      <w:r w:rsidR="008B77BC">
        <w:rPr>
          <w:rFonts w:ascii="Times New Roman" w:hAnsi="Times New Roman" w:cs="Times New Roman"/>
          <w:sz w:val="24"/>
          <w:szCs w:val="24"/>
        </w:rPr>
        <w:t xml:space="preserve"> 4</w:t>
      </w:r>
      <w:r w:rsidRPr="00A312C5">
        <w:rPr>
          <w:rFonts w:ascii="Times New Roman" w:hAnsi="Times New Roman" w:cs="Times New Roman"/>
          <w:sz w:val="24"/>
          <w:szCs w:val="24"/>
        </w:rPr>
        <w:t>)</w:t>
      </w:r>
      <w:r w:rsidR="00A71104">
        <w:rPr>
          <w:rFonts w:ascii="Times New Roman" w:hAnsi="Times New Roman" w:cs="Times New Roman"/>
          <w:sz w:val="24"/>
          <w:szCs w:val="24"/>
        </w:rPr>
        <w:t>:</w:t>
      </w:r>
    </w:p>
    <w:p w14:paraId="461258D6" w14:textId="48E6D379" w:rsidR="00A71104" w:rsidRDefault="00A7110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B989B" w14:textId="212A4F5F" w:rsidR="00A71104" w:rsidRDefault="00A7110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3B9EA" w14:textId="77777777" w:rsidR="00A71104" w:rsidRPr="00A312C5" w:rsidRDefault="00A7110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F4D0A" w14:textId="65A2DFD1" w:rsidR="008B77BC" w:rsidRPr="008B77BC" w:rsidRDefault="008B77BC" w:rsidP="008B77BC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Таблица 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4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Результаты эмпирических исследований на уровне страны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187"/>
        <w:gridCol w:w="1459"/>
        <w:gridCol w:w="3377"/>
      </w:tblGrid>
      <w:tr w:rsidR="00F506C7" w:rsidRPr="00A312C5" w14:paraId="73E12B29" w14:textId="77777777" w:rsidTr="0033272F">
        <w:tc>
          <w:tcPr>
            <w:tcW w:w="2321" w:type="dxa"/>
          </w:tcPr>
          <w:p w14:paraId="7721816E" w14:textId="10BB7623" w:rsidR="00F506C7" w:rsidRPr="00A312C5" w:rsidRDefault="00F506C7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 xml:space="preserve">Автор </w:t>
            </w:r>
            <w:r w:rsidR="00EB45DC" w:rsidRPr="00A312C5">
              <w:rPr>
                <w:rFonts w:ascii="Times New Roman" w:hAnsi="Times New Roman" w:cs="Times New Roman"/>
                <w:b/>
                <w:bCs/>
              </w:rPr>
              <w:t>и название</w:t>
            </w:r>
          </w:p>
        </w:tc>
        <w:tc>
          <w:tcPr>
            <w:tcW w:w="2187" w:type="dxa"/>
          </w:tcPr>
          <w:p w14:paraId="5B6F4A53" w14:textId="703BD5AF" w:rsidR="00F506C7" w:rsidRPr="00A312C5" w:rsidRDefault="00870806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Страна и выборка</w:t>
            </w:r>
          </w:p>
        </w:tc>
        <w:tc>
          <w:tcPr>
            <w:tcW w:w="1459" w:type="dxa"/>
          </w:tcPr>
          <w:p w14:paraId="57834B9C" w14:textId="6F090DCA" w:rsidR="00F506C7" w:rsidRPr="00A312C5" w:rsidRDefault="00870806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Год публикации</w:t>
            </w:r>
          </w:p>
        </w:tc>
        <w:tc>
          <w:tcPr>
            <w:tcW w:w="3377" w:type="dxa"/>
          </w:tcPr>
          <w:p w14:paraId="62F88A5E" w14:textId="10CBD1CB" w:rsidR="00F506C7" w:rsidRPr="00A312C5" w:rsidRDefault="00870806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Вывод</w:t>
            </w:r>
          </w:p>
        </w:tc>
      </w:tr>
      <w:tr w:rsidR="00F506C7" w:rsidRPr="00A312C5" w14:paraId="71B5D945" w14:textId="77777777" w:rsidTr="0033272F">
        <w:tc>
          <w:tcPr>
            <w:tcW w:w="2321" w:type="dxa"/>
          </w:tcPr>
          <w:p w14:paraId="35560B1A" w14:textId="77777777" w:rsidR="00EB45DC" w:rsidRPr="00A312C5" w:rsidRDefault="00EB45DC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8" w:name="_Hlk69308851"/>
            <w:r w:rsidRPr="00A312C5">
              <w:rPr>
                <w:rFonts w:ascii="Times New Roman" w:hAnsi="Times New Roman" w:cs="Times New Roman"/>
                <w:lang w:val="en-US"/>
              </w:rPr>
              <w:t xml:space="preserve">Ashraful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  <w:r w:rsidRPr="00A312C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Moshfique</w:t>
            </w:r>
            <w:proofErr w:type="spellEnd"/>
            <w:r w:rsidRPr="00A312C5">
              <w:rPr>
                <w:rFonts w:ascii="Times New Roman" w:hAnsi="Times New Roman" w:cs="Times New Roman"/>
                <w:lang w:val="en-US"/>
              </w:rPr>
              <w:t xml:space="preserve"> Uddin, Hassan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Yazdifar</w:t>
            </w:r>
            <w:proofErr w:type="spellEnd"/>
            <w:r w:rsidRPr="00A312C5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D43F096" w14:textId="77777777" w:rsidR="00A71104" w:rsidRDefault="00EB45DC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Institutional determinants of R&amp;D</w:t>
            </w:r>
          </w:p>
          <w:p w14:paraId="2041BD21" w14:textId="3271992A" w:rsidR="00F506C7" w:rsidRPr="00A312C5" w:rsidRDefault="00A71104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investment: Evidence from emerging markets</w:t>
            </w:r>
            <w:r w:rsidR="00EB45DC" w:rsidRPr="00A312C5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End w:id="18"/>
          </w:p>
        </w:tc>
        <w:tc>
          <w:tcPr>
            <w:tcW w:w="2187" w:type="dxa"/>
          </w:tcPr>
          <w:p w14:paraId="150170EF" w14:textId="05BBDC6E" w:rsidR="00F506C7" w:rsidRPr="00A312C5" w:rsidRDefault="00EB45DC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664 компании, 20 развивающихся стран</w:t>
            </w:r>
          </w:p>
        </w:tc>
        <w:tc>
          <w:tcPr>
            <w:tcW w:w="1459" w:type="dxa"/>
          </w:tcPr>
          <w:p w14:paraId="73564169" w14:textId="0B6432D2" w:rsidR="00F506C7" w:rsidRPr="00A312C5" w:rsidRDefault="00EB45DC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77" w:type="dxa"/>
          </w:tcPr>
          <w:p w14:paraId="58E5B4F5" w14:textId="77777777" w:rsidR="00F506C7" w:rsidRDefault="007F128B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институциональными факторами (эффективность правительства</w:t>
            </w:r>
            <w:r w:rsidR="002623EE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верховенство права</w:t>
            </w:r>
            <w:r w:rsidR="002623EE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качество системы регулирования</w:t>
            </w:r>
            <w:r w:rsidR="002623EE"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коррупция</w:t>
            </w:r>
            <w:r w:rsidR="002623EE">
              <w:rPr>
                <w:rFonts w:ascii="Times New Roman" w:hAnsi="Times New Roman" w:cs="Times New Roman"/>
              </w:rPr>
              <w:t xml:space="preserve"> (-)</w:t>
            </w:r>
            <w:r w:rsidRPr="00A312C5">
              <w:rPr>
                <w:rFonts w:ascii="Times New Roman" w:hAnsi="Times New Roman" w:cs="Times New Roman"/>
              </w:rPr>
              <w:t xml:space="preserve">, политическая </w:t>
            </w:r>
          </w:p>
          <w:p w14:paraId="4F184903" w14:textId="20F16C22" w:rsidR="00A71104" w:rsidRPr="00A312C5" w:rsidRDefault="00A71104" w:rsidP="002E087C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12C5">
              <w:rPr>
                <w:rFonts w:ascii="Times New Roman" w:hAnsi="Times New Roman" w:cs="Times New Roman"/>
              </w:rPr>
              <w:t>нестабильность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A312C5">
              <w:rPr>
                <w:rFonts w:ascii="Times New Roman" w:hAnsi="Times New Roman" w:cs="Times New Roman"/>
              </w:rPr>
              <w:t>) и размером инвестиций в НИОКР</w:t>
            </w:r>
          </w:p>
        </w:tc>
      </w:tr>
      <w:tr w:rsidR="00A71104" w:rsidRPr="00A312C5" w14:paraId="3DA010B1" w14:textId="77777777" w:rsidTr="0033272F">
        <w:tc>
          <w:tcPr>
            <w:tcW w:w="2321" w:type="dxa"/>
          </w:tcPr>
          <w:p w14:paraId="418C08F2" w14:textId="77777777" w:rsidR="00A71104" w:rsidRPr="00A312C5" w:rsidRDefault="00A71104" w:rsidP="00A71104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Eric C. Wang</w:t>
            </w:r>
          </w:p>
          <w:p w14:paraId="76B45FDE" w14:textId="344000E2" w:rsidR="00A71104" w:rsidRPr="00A312C5" w:rsidRDefault="00A71104" w:rsidP="00A71104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Determinants of R&amp;D investment: The Extreme-Bounds-Analysis approach applied to 26 OECD countries</w:t>
            </w:r>
          </w:p>
        </w:tc>
        <w:tc>
          <w:tcPr>
            <w:tcW w:w="2187" w:type="dxa"/>
          </w:tcPr>
          <w:p w14:paraId="00CEB353" w14:textId="166EB732" w:rsidR="00A71104" w:rsidRPr="00A312C5" w:rsidRDefault="00A71104" w:rsidP="00A71104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26 стран ОЭСР</w:t>
            </w:r>
          </w:p>
        </w:tc>
        <w:tc>
          <w:tcPr>
            <w:tcW w:w="1459" w:type="dxa"/>
          </w:tcPr>
          <w:p w14:paraId="14C22B61" w14:textId="3076AB84" w:rsidR="00A71104" w:rsidRPr="00A312C5" w:rsidRDefault="00A71104" w:rsidP="00A71104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377" w:type="dxa"/>
          </w:tcPr>
          <w:p w14:paraId="7806F2DD" w14:textId="539EC330" w:rsidR="00A71104" w:rsidRPr="00A312C5" w:rsidRDefault="00A71104" w:rsidP="00A71104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Наличие взаимосвязи между долей граждан с высшим образованием</w:t>
            </w:r>
            <w:r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числом ученых</w:t>
            </w:r>
            <w:r>
              <w:rPr>
                <w:rFonts w:ascii="Times New Roman" w:hAnsi="Times New Roman" w:cs="Times New Roman"/>
              </w:rPr>
              <w:t xml:space="preserve"> (+)</w:t>
            </w:r>
            <w:r w:rsidRPr="00A312C5">
              <w:rPr>
                <w:rFonts w:ascii="Times New Roman" w:hAnsi="Times New Roman" w:cs="Times New Roman"/>
              </w:rPr>
              <w:t>, притоком иностранных инвестиций</w:t>
            </w:r>
            <w:r>
              <w:rPr>
                <w:rFonts w:ascii="Times New Roman" w:hAnsi="Times New Roman" w:cs="Times New Roman"/>
              </w:rPr>
              <w:t xml:space="preserve"> (-)</w:t>
            </w:r>
            <w:r w:rsidRPr="00A312C5">
              <w:rPr>
                <w:rFonts w:ascii="Times New Roman" w:hAnsi="Times New Roman" w:cs="Times New Roman"/>
              </w:rPr>
              <w:t xml:space="preserve"> и размером затрат на НИОКР</w:t>
            </w:r>
          </w:p>
        </w:tc>
      </w:tr>
    </w:tbl>
    <w:p w14:paraId="65C3BACE" w14:textId="37EB3754" w:rsidR="00F506C7" w:rsidRPr="00A71104" w:rsidRDefault="002E087C" w:rsidP="002E087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71104">
        <w:rPr>
          <w:rFonts w:ascii="Times New Roman" w:hAnsi="Times New Roman" w:cs="Times New Roman"/>
        </w:rPr>
        <w:t>Источник: составлено автором на основе [</w:t>
      </w:r>
      <w:proofErr w:type="spellStart"/>
      <w:r w:rsidRPr="00A71104">
        <w:rPr>
          <w:rFonts w:ascii="Times New Roman" w:hAnsi="Times New Roman" w:cs="Times New Roman"/>
          <w:lang w:val="en-US"/>
        </w:rPr>
        <w:t>Alam</w:t>
      </w:r>
      <w:proofErr w:type="spellEnd"/>
      <w:r w:rsidRPr="00A71104">
        <w:rPr>
          <w:rFonts w:ascii="Times New Roman" w:hAnsi="Times New Roman" w:cs="Times New Roman"/>
        </w:rPr>
        <w:t xml:space="preserve">, </w:t>
      </w:r>
      <w:r w:rsidRPr="00A71104">
        <w:rPr>
          <w:rFonts w:ascii="Times New Roman" w:hAnsi="Times New Roman" w:cs="Times New Roman"/>
          <w:lang w:val="en-US"/>
        </w:rPr>
        <w:t>Uddin</w:t>
      </w:r>
      <w:r w:rsidRPr="00A71104">
        <w:rPr>
          <w:rFonts w:ascii="Times New Roman" w:hAnsi="Times New Roman" w:cs="Times New Roman"/>
        </w:rPr>
        <w:t xml:space="preserve">, </w:t>
      </w:r>
      <w:proofErr w:type="spellStart"/>
      <w:r w:rsidRPr="00A71104">
        <w:rPr>
          <w:rFonts w:ascii="Times New Roman" w:hAnsi="Times New Roman" w:cs="Times New Roman"/>
          <w:lang w:val="en-US"/>
        </w:rPr>
        <w:t>Yazdifar</w:t>
      </w:r>
      <w:proofErr w:type="spellEnd"/>
      <w:r w:rsidRPr="00A71104">
        <w:rPr>
          <w:rFonts w:ascii="Times New Roman" w:hAnsi="Times New Roman" w:cs="Times New Roman"/>
        </w:rPr>
        <w:t xml:space="preserve">, 2019; </w:t>
      </w:r>
      <w:r w:rsidRPr="00A71104">
        <w:rPr>
          <w:rFonts w:ascii="Times New Roman" w:hAnsi="Times New Roman" w:cs="Times New Roman"/>
          <w:lang w:val="en-US"/>
        </w:rPr>
        <w:t>Wang</w:t>
      </w:r>
      <w:r w:rsidRPr="00A71104">
        <w:rPr>
          <w:rFonts w:ascii="Times New Roman" w:hAnsi="Times New Roman" w:cs="Times New Roman"/>
        </w:rPr>
        <w:t xml:space="preserve"> 2009]</w:t>
      </w:r>
    </w:p>
    <w:p w14:paraId="78028DB1" w14:textId="7574BCBA" w:rsidR="002E7B6E" w:rsidRPr="00A312C5" w:rsidRDefault="002E7B6E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Первая приведенная работа</w:t>
      </w:r>
      <w:r w:rsidR="00917ECB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17ECB" w:rsidRPr="00A312C5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="00917ECB" w:rsidRPr="00A312C5">
        <w:rPr>
          <w:rFonts w:ascii="Times New Roman" w:hAnsi="Times New Roman" w:cs="Times New Roman"/>
          <w:sz w:val="24"/>
          <w:szCs w:val="24"/>
        </w:rPr>
        <w:t xml:space="preserve">, 2019] </w:t>
      </w:r>
      <w:r w:rsidRPr="00A312C5">
        <w:rPr>
          <w:rFonts w:ascii="Times New Roman" w:hAnsi="Times New Roman" w:cs="Times New Roman"/>
          <w:sz w:val="24"/>
          <w:szCs w:val="24"/>
        </w:rPr>
        <w:t>фокусируется на изучении институциональных факторов и их роли в определении инновационного потенциала страны. Результаты проведенного эмпирического исследования подтверждают, что в развивающихся странах макросреда оказывает значительное влияние на инвестиции компаний в НИОКР. Авторы использовали обобщенн</w:t>
      </w:r>
      <w:r w:rsidR="00B31ED0" w:rsidRPr="00A312C5">
        <w:rPr>
          <w:rFonts w:ascii="Times New Roman" w:hAnsi="Times New Roman" w:cs="Times New Roman"/>
          <w:sz w:val="24"/>
          <w:szCs w:val="24"/>
        </w:rPr>
        <w:t>ый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метод моментов для анализа панельных данных о 664 компаниях из 20 развивающихся стран за период с 2006 по 2013 год. Согласно результатам исследования, эффективность правительства, верховенство права и качество системы регулирования </w:t>
      </w:r>
      <w:r w:rsidR="007E003B" w:rsidRPr="00A312C5">
        <w:rPr>
          <w:rFonts w:ascii="Times New Roman" w:hAnsi="Times New Roman" w:cs="Times New Roman"/>
          <w:sz w:val="24"/>
          <w:szCs w:val="24"/>
        </w:rPr>
        <w:t>имеют положительное влияние на инвестиции в НИОКР на развивающихся рынках, тогда как коррупция и политическая нестабильность оказывают отрицательный эффект на инвестиции в НИОКР.</w:t>
      </w:r>
      <w:r w:rsidR="00CF4309" w:rsidRPr="00A312C5">
        <w:rPr>
          <w:rFonts w:ascii="Times New Roman" w:hAnsi="Times New Roman" w:cs="Times New Roman"/>
          <w:sz w:val="24"/>
          <w:szCs w:val="24"/>
        </w:rPr>
        <w:t xml:space="preserve"> Проведенный анализ чувствительности показал, что наиболее важным среди изученных институциональных факторов является коррупция. Далее следуют качество системы регулирования, эффективность правительства, </w:t>
      </w:r>
      <w:r w:rsidR="00815CA0" w:rsidRPr="00A312C5">
        <w:rPr>
          <w:rFonts w:ascii="Times New Roman" w:hAnsi="Times New Roman" w:cs="Times New Roman"/>
          <w:sz w:val="24"/>
          <w:szCs w:val="24"/>
        </w:rPr>
        <w:t xml:space="preserve">верховенство права и политическая нестабильность соответственно. </w:t>
      </w:r>
      <w:r w:rsidR="00341733" w:rsidRPr="00A312C5">
        <w:rPr>
          <w:rFonts w:ascii="Times New Roman" w:hAnsi="Times New Roman" w:cs="Times New Roman"/>
          <w:sz w:val="24"/>
          <w:szCs w:val="24"/>
        </w:rPr>
        <w:t xml:space="preserve">Результаты данного исследования демонстрируют, что привлечения большего количества инвестиций в НИОКР на страновом уровне можно добиться, обеспечив стабильную институциональную среду. </w:t>
      </w:r>
      <w:r w:rsidR="002623EE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341733" w:rsidRPr="00A312C5">
        <w:rPr>
          <w:rFonts w:ascii="Times New Roman" w:hAnsi="Times New Roman" w:cs="Times New Roman"/>
          <w:sz w:val="24"/>
          <w:szCs w:val="24"/>
        </w:rPr>
        <w:t xml:space="preserve"> факторы имеют более важное значение</w:t>
      </w:r>
      <w:r w:rsidR="0083395D">
        <w:rPr>
          <w:rFonts w:ascii="Times New Roman" w:hAnsi="Times New Roman" w:cs="Times New Roman"/>
          <w:sz w:val="24"/>
          <w:szCs w:val="24"/>
        </w:rPr>
        <w:t xml:space="preserve"> </w:t>
      </w:r>
      <w:r w:rsidR="0083395D" w:rsidRPr="00A312C5">
        <w:rPr>
          <w:rFonts w:ascii="Times New Roman" w:hAnsi="Times New Roman" w:cs="Times New Roman"/>
          <w:sz w:val="24"/>
          <w:szCs w:val="24"/>
        </w:rPr>
        <w:t xml:space="preserve">в объяснении </w:t>
      </w:r>
      <w:r w:rsidR="00A71104">
        <w:rPr>
          <w:rFonts w:ascii="Times New Roman" w:hAnsi="Times New Roman" w:cs="Times New Roman"/>
          <w:sz w:val="24"/>
          <w:szCs w:val="24"/>
        </w:rPr>
        <w:t xml:space="preserve">долгосрочной </w:t>
      </w:r>
      <w:r w:rsidR="0083395D" w:rsidRPr="00A312C5">
        <w:rPr>
          <w:rFonts w:ascii="Times New Roman" w:hAnsi="Times New Roman" w:cs="Times New Roman"/>
          <w:sz w:val="24"/>
          <w:szCs w:val="24"/>
        </w:rPr>
        <w:t>динамики изменений</w:t>
      </w:r>
      <w:r w:rsidR="00341733" w:rsidRPr="00A312C5">
        <w:rPr>
          <w:rFonts w:ascii="Times New Roman" w:hAnsi="Times New Roman" w:cs="Times New Roman"/>
          <w:sz w:val="24"/>
          <w:szCs w:val="24"/>
        </w:rPr>
        <w:t>, чем факторы</w:t>
      </w:r>
      <w:r w:rsidR="002623EE">
        <w:rPr>
          <w:rFonts w:ascii="Times New Roman" w:hAnsi="Times New Roman" w:cs="Times New Roman"/>
          <w:sz w:val="24"/>
          <w:szCs w:val="24"/>
        </w:rPr>
        <w:t xml:space="preserve">, </w:t>
      </w:r>
      <w:r w:rsidR="002623EE">
        <w:rPr>
          <w:rFonts w:ascii="Times New Roman" w:hAnsi="Times New Roman" w:cs="Times New Roman"/>
          <w:sz w:val="24"/>
          <w:szCs w:val="24"/>
        </w:rPr>
        <w:lastRenderedPageBreak/>
        <w:t>действующие</w:t>
      </w:r>
      <w:r w:rsidR="00341733" w:rsidRPr="00A312C5">
        <w:rPr>
          <w:rFonts w:ascii="Times New Roman" w:hAnsi="Times New Roman" w:cs="Times New Roman"/>
          <w:sz w:val="24"/>
          <w:szCs w:val="24"/>
        </w:rPr>
        <w:t xml:space="preserve"> на уровне компании, а также являются более экономически эффективными с точки зрения внедрения. </w:t>
      </w:r>
    </w:p>
    <w:p w14:paraId="2739103A" w14:textId="5CBD5BB1" w:rsidR="00E12438" w:rsidRPr="00A312C5" w:rsidRDefault="00E1243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Выводы, представленные авторами, совпадают с позицией Всемирной организации интеллектуальной собственности, ведущей рейтинг самых инновационных стран. Представители организации полагают, что для эффективного развития НИОКР государству необходимо не только напрямую инвестировать в человеческий капитал и научные разработки, но и создавать благоприятную политическую и социальную среду, развивать инфраструктуру и бизнес, удел</w:t>
      </w:r>
      <w:r w:rsidR="00B31ED0" w:rsidRPr="00A312C5">
        <w:rPr>
          <w:rFonts w:ascii="Times New Roman" w:hAnsi="Times New Roman" w:cs="Times New Roman"/>
          <w:sz w:val="24"/>
          <w:szCs w:val="24"/>
        </w:rPr>
        <w:t>я</w:t>
      </w:r>
      <w:r w:rsidRPr="00A312C5">
        <w:rPr>
          <w:rFonts w:ascii="Times New Roman" w:hAnsi="Times New Roman" w:cs="Times New Roman"/>
          <w:sz w:val="24"/>
          <w:szCs w:val="24"/>
        </w:rPr>
        <w:t xml:space="preserve">ть внимание образованию населения. </w:t>
      </w:r>
    </w:p>
    <w:p w14:paraId="3B38BCF0" w14:textId="770303A7" w:rsidR="00652610" w:rsidRPr="00A312C5" w:rsidRDefault="0065261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Друг</w:t>
      </w:r>
      <w:r w:rsidR="00E036EB" w:rsidRPr="00A312C5">
        <w:rPr>
          <w:rFonts w:ascii="Times New Roman" w:hAnsi="Times New Roman" w:cs="Times New Roman"/>
          <w:sz w:val="24"/>
          <w:szCs w:val="24"/>
        </w:rPr>
        <w:t xml:space="preserve">ое исследование делает особый акцент на роли защиты патентного права, передачи технологий между странами путем торговли и совершения прямых иностранных инвестиций, а также экономического роста государства в дополнение к </w:t>
      </w:r>
      <w:r w:rsidR="0083395D">
        <w:rPr>
          <w:rFonts w:ascii="Times New Roman" w:hAnsi="Times New Roman" w:cs="Times New Roman"/>
          <w:sz w:val="24"/>
          <w:szCs w:val="24"/>
        </w:rPr>
        <w:t>фактор</w:t>
      </w:r>
      <w:r w:rsidR="00B373B3">
        <w:rPr>
          <w:rFonts w:ascii="Times New Roman" w:hAnsi="Times New Roman" w:cs="Times New Roman"/>
          <w:sz w:val="24"/>
          <w:szCs w:val="24"/>
        </w:rPr>
        <w:t>у</w:t>
      </w:r>
      <w:r w:rsidR="00E036EB" w:rsidRPr="00A312C5">
        <w:rPr>
          <w:rFonts w:ascii="Times New Roman" w:hAnsi="Times New Roman" w:cs="Times New Roman"/>
          <w:sz w:val="24"/>
          <w:szCs w:val="24"/>
        </w:rPr>
        <w:t xml:space="preserve"> накоплени</w:t>
      </w:r>
      <w:r w:rsidR="0083395D">
        <w:rPr>
          <w:rFonts w:ascii="Times New Roman" w:hAnsi="Times New Roman" w:cs="Times New Roman"/>
          <w:sz w:val="24"/>
          <w:szCs w:val="24"/>
        </w:rPr>
        <w:t>я</w:t>
      </w:r>
      <w:r w:rsidR="00E036EB" w:rsidRPr="00A312C5">
        <w:rPr>
          <w:rFonts w:ascii="Times New Roman" w:hAnsi="Times New Roman" w:cs="Times New Roman"/>
          <w:sz w:val="24"/>
          <w:szCs w:val="24"/>
        </w:rPr>
        <w:t xml:space="preserve"> человеческого капитала и количеств</w:t>
      </w:r>
      <w:r w:rsidR="00B373B3">
        <w:rPr>
          <w:rFonts w:ascii="Times New Roman" w:hAnsi="Times New Roman" w:cs="Times New Roman"/>
          <w:sz w:val="24"/>
          <w:szCs w:val="24"/>
        </w:rPr>
        <w:t>у</w:t>
      </w:r>
      <w:r w:rsidR="00E036EB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CA5864" w:rsidRPr="00A312C5">
        <w:rPr>
          <w:rFonts w:ascii="Times New Roman" w:hAnsi="Times New Roman" w:cs="Times New Roman"/>
          <w:sz w:val="24"/>
          <w:szCs w:val="24"/>
        </w:rPr>
        <w:t>ученых</w:t>
      </w:r>
      <w:r w:rsidR="0083395D">
        <w:rPr>
          <w:rFonts w:ascii="Times New Roman" w:hAnsi="Times New Roman" w:cs="Times New Roman"/>
          <w:sz w:val="24"/>
          <w:szCs w:val="24"/>
        </w:rPr>
        <w:t xml:space="preserve"> </w:t>
      </w:r>
      <w:r w:rsidR="0083395D" w:rsidRPr="0083395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3395D" w:rsidRPr="0083395D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A71104">
        <w:rPr>
          <w:rFonts w:ascii="Times New Roman" w:hAnsi="Times New Roman" w:cs="Times New Roman"/>
          <w:sz w:val="24"/>
          <w:szCs w:val="24"/>
        </w:rPr>
        <w:t xml:space="preserve">, </w:t>
      </w:r>
      <w:r w:rsidR="0083395D" w:rsidRPr="0083395D">
        <w:rPr>
          <w:rFonts w:ascii="Times New Roman" w:hAnsi="Times New Roman" w:cs="Times New Roman"/>
          <w:sz w:val="24"/>
          <w:szCs w:val="24"/>
        </w:rPr>
        <w:t>2009</w:t>
      </w:r>
      <w:r w:rsidR="0083395D" w:rsidRPr="00D4639F">
        <w:rPr>
          <w:rFonts w:ascii="Times New Roman" w:hAnsi="Times New Roman" w:cs="Times New Roman"/>
          <w:sz w:val="24"/>
          <w:szCs w:val="24"/>
        </w:rPr>
        <w:t>]</w:t>
      </w:r>
      <w:r w:rsidR="0083395D">
        <w:rPr>
          <w:rFonts w:ascii="Times New Roman" w:hAnsi="Times New Roman" w:cs="Times New Roman"/>
          <w:sz w:val="24"/>
          <w:szCs w:val="24"/>
        </w:rPr>
        <w:t>.</w:t>
      </w:r>
      <w:r w:rsidR="00E036EB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31ED0" w:rsidRPr="00A312C5">
        <w:rPr>
          <w:rFonts w:ascii="Times New Roman" w:hAnsi="Times New Roman" w:cs="Times New Roman"/>
          <w:sz w:val="24"/>
          <w:szCs w:val="24"/>
        </w:rPr>
        <w:t>А</w:t>
      </w:r>
      <w:r w:rsidR="00375F14" w:rsidRPr="00A312C5">
        <w:rPr>
          <w:rFonts w:ascii="Times New Roman" w:hAnsi="Times New Roman" w:cs="Times New Roman"/>
          <w:sz w:val="24"/>
          <w:szCs w:val="24"/>
        </w:rPr>
        <w:t>вторы использовали анализ крайних границ</w:t>
      </w:r>
      <w:r w:rsidR="00CA5864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A71104">
        <w:rPr>
          <w:rFonts w:ascii="Times New Roman" w:hAnsi="Times New Roman" w:cs="Times New Roman"/>
          <w:sz w:val="24"/>
          <w:szCs w:val="24"/>
        </w:rPr>
        <w:t>изучив</w:t>
      </w:r>
      <w:r w:rsidR="00CA5864" w:rsidRPr="00A312C5">
        <w:rPr>
          <w:rFonts w:ascii="Times New Roman" w:hAnsi="Times New Roman" w:cs="Times New Roman"/>
          <w:sz w:val="24"/>
          <w:szCs w:val="24"/>
        </w:rPr>
        <w:t xml:space="preserve"> данные с 1996 по 2006 год из 26 стран ОЭСР. Результаты исследования показали, что высшее образование и доля ученых в стране положительно влияют на </w:t>
      </w:r>
      <w:r w:rsidR="00F84546" w:rsidRPr="00A312C5">
        <w:rPr>
          <w:rFonts w:ascii="Times New Roman" w:hAnsi="Times New Roman" w:cs="Times New Roman"/>
          <w:sz w:val="24"/>
          <w:szCs w:val="24"/>
        </w:rPr>
        <w:t>интенсивность</w:t>
      </w:r>
      <w:r w:rsidR="00CA5864" w:rsidRPr="00A312C5">
        <w:rPr>
          <w:rFonts w:ascii="Times New Roman" w:hAnsi="Times New Roman" w:cs="Times New Roman"/>
          <w:sz w:val="24"/>
          <w:szCs w:val="24"/>
        </w:rPr>
        <w:t xml:space="preserve"> НИОКР. </w:t>
      </w:r>
      <w:r w:rsidR="00F84546" w:rsidRPr="00A312C5">
        <w:rPr>
          <w:rFonts w:ascii="Times New Roman" w:hAnsi="Times New Roman" w:cs="Times New Roman"/>
          <w:sz w:val="24"/>
          <w:szCs w:val="24"/>
        </w:rPr>
        <w:t>Приток иностранных технологий оказывает негативное влияние на национальные инвестиции в НИОКР. Защита патентных прав и темпы роста доходов населения не показали устойчивой связи с размер</w:t>
      </w:r>
      <w:r w:rsidR="00A71104">
        <w:rPr>
          <w:rFonts w:ascii="Times New Roman" w:hAnsi="Times New Roman" w:cs="Times New Roman"/>
          <w:sz w:val="24"/>
          <w:szCs w:val="24"/>
        </w:rPr>
        <w:t>ом</w:t>
      </w:r>
      <w:r w:rsidR="00F84546" w:rsidRPr="00A312C5">
        <w:rPr>
          <w:rFonts w:ascii="Times New Roman" w:hAnsi="Times New Roman" w:cs="Times New Roman"/>
          <w:sz w:val="24"/>
          <w:szCs w:val="24"/>
        </w:rPr>
        <w:t xml:space="preserve"> инвестиций в НИОКР в рамках данного исследования. </w:t>
      </w:r>
    </w:p>
    <w:p w14:paraId="3C7E23BF" w14:textId="5EC856BF" w:rsidR="009A3350" w:rsidRPr="00A312C5" w:rsidRDefault="009A3350" w:rsidP="0074673F">
      <w:pPr>
        <w:pStyle w:val="2"/>
        <w:numPr>
          <w:ilvl w:val="1"/>
          <w:numId w:val="1"/>
        </w:numPr>
      </w:pPr>
      <w:bookmarkStart w:id="19" w:name="_Toc73538430"/>
      <w:r w:rsidRPr="00A312C5">
        <w:t xml:space="preserve">Практика </w:t>
      </w:r>
      <w:r w:rsidR="00A46FB5" w:rsidRPr="00A312C5">
        <w:t>реализации проектов</w:t>
      </w:r>
      <w:r w:rsidRPr="00A312C5">
        <w:t xml:space="preserve"> НИОКР в компаниях</w:t>
      </w:r>
      <w:r w:rsidR="00A46FB5" w:rsidRPr="00A312C5">
        <w:t xml:space="preserve"> разных отраслей</w:t>
      </w:r>
      <w:bookmarkEnd w:id="19"/>
    </w:p>
    <w:p w14:paraId="09ECCEF9" w14:textId="1378FF03" w:rsidR="00C021AC" w:rsidRPr="00A312C5" w:rsidRDefault="00C021A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83395D">
        <w:rPr>
          <w:rFonts w:ascii="Times New Roman" w:hAnsi="Times New Roman" w:cs="Times New Roman"/>
          <w:sz w:val="24"/>
          <w:szCs w:val="24"/>
        </w:rPr>
        <w:t>многие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83395D">
        <w:rPr>
          <w:rFonts w:ascii="Times New Roman" w:hAnsi="Times New Roman" w:cs="Times New Roman"/>
          <w:sz w:val="24"/>
          <w:szCs w:val="24"/>
        </w:rPr>
        <w:t>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инвестиру</w:t>
      </w:r>
      <w:r w:rsidR="0083395D">
        <w:rPr>
          <w:rFonts w:ascii="Times New Roman" w:hAnsi="Times New Roman" w:cs="Times New Roman"/>
          <w:sz w:val="24"/>
          <w:szCs w:val="24"/>
        </w:rPr>
        <w:t>ю</w:t>
      </w:r>
      <w:r w:rsidRPr="00A312C5">
        <w:rPr>
          <w:rFonts w:ascii="Times New Roman" w:hAnsi="Times New Roman" w:cs="Times New Roman"/>
          <w:sz w:val="24"/>
          <w:szCs w:val="24"/>
        </w:rPr>
        <w:t xml:space="preserve">т большие суммы денег в НИОКР. Постоянные инновации необходимы для поддержания </w:t>
      </w:r>
      <w:r w:rsidR="00E71F36" w:rsidRPr="00A312C5">
        <w:rPr>
          <w:rFonts w:ascii="Times New Roman" w:hAnsi="Times New Roman" w:cs="Times New Roman"/>
          <w:sz w:val="24"/>
          <w:szCs w:val="24"/>
        </w:rPr>
        <w:t xml:space="preserve">конкурентной </w:t>
      </w:r>
      <w:r w:rsidRPr="00A312C5">
        <w:rPr>
          <w:rFonts w:ascii="Times New Roman" w:hAnsi="Times New Roman" w:cs="Times New Roman"/>
          <w:sz w:val="24"/>
          <w:szCs w:val="24"/>
        </w:rPr>
        <w:t>рыночной позиции и удовлетворения изменчивого спроса. Мировые инвестиции в НИОКР достигают огромных масштабов. Только в 2019 году компании по всему миру потратили 2,3 триллиона долларов на НИОКР, что эквивалентно примерно 2 процентам мирового ВВП</w:t>
      </w:r>
      <w:r w:rsidR="008711F3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8711F3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Brennan</w:t>
      </w:r>
      <w:r w:rsidR="008711F3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2020]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E71F36" w:rsidRPr="00A312C5">
        <w:rPr>
          <w:rFonts w:ascii="Times New Roman" w:hAnsi="Times New Roman" w:cs="Times New Roman"/>
          <w:sz w:val="24"/>
          <w:szCs w:val="24"/>
        </w:rPr>
        <w:t>Научные разработки приобретают все большее значение: в</w:t>
      </w:r>
      <w:r w:rsidRPr="00A312C5">
        <w:rPr>
          <w:rFonts w:ascii="Times New Roman" w:hAnsi="Times New Roman" w:cs="Times New Roman"/>
          <w:sz w:val="24"/>
          <w:szCs w:val="24"/>
        </w:rPr>
        <w:t xml:space="preserve"> течение последних 10 лет инвестиции в инновации ежегодно росли примерно на 4%.</w:t>
      </w:r>
      <w:r w:rsidR="00216DEC" w:rsidRPr="00A312C5">
        <w:rPr>
          <w:rFonts w:ascii="Times New Roman" w:hAnsi="Times New Roman" w:cs="Times New Roman"/>
          <w:sz w:val="24"/>
          <w:szCs w:val="24"/>
        </w:rPr>
        <w:t xml:space="preserve"> При этом, согласно современным исследованиям, от 40% до 90% проектов НИОКР полностью или частично заканчиваются провалом</w:t>
      </w:r>
      <w:r w:rsidR="008711F3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711F3" w:rsidRPr="00A312C5">
        <w:rPr>
          <w:rFonts w:ascii="Times New Roman" w:hAnsi="Times New Roman" w:cs="Times New Roman"/>
          <w:sz w:val="24"/>
          <w:szCs w:val="24"/>
          <w:lang w:val="en-US"/>
        </w:rPr>
        <w:t>Rhaiem</w:t>
      </w:r>
      <w:proofErr w:type="spellEnd"/>
      <w:r w:rsidR="008711F3" w:rsidRPr="00A312C5">
        <w:rPr>
          <w:rFonts w:ascii="Times New Roman" w:hAnsi="Times New Roman" w:cs="Times New Roman"/>
          <w:sz w:val="24"/>
          <w:szCs w:val="24"/>
        </w:rPr>
        <w:t>, 2019]</w:t>
      </w:r>
      <w:r w:rsidR="00216DEC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460D5E70" w14:textId="58D7BB2D" w:rsidR="00C021AC" w:rsidRPr="00A312C5" w:rsidRDefault="00C021A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Большие затраты на НИОКР должны выглядеть неоправданными для акционеров компаний, поскольку сами по себе такие инвестиции не создают ценности. Расходы на НИОКР теоретически имеют отрицательную чистую приведенную ценность. Они относятся к постоянным непроизводственным затратам и, уменьшая прибыль, должны со временем снижать рыночную капитализацию компании. Практика бизнеса показывает, что в долгосрочной перспективе инвестиции в НИОКР, напротив, улучшают финансовые результаты компаний. Пол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Ромер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стал обладателем нобелевской премии по экономике в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2018 году за интеграцию инноваций в макроэкономический анализ, доказав, что инвестиции в НИОКР – необходимый элемент экономического прогресса государства. Тем не менее, многочисленные учебники по бухгалтерскому учету, менеджменту, планы национального бюджета по-прежнему классифицируют инвестиции в НИОКР как дискреционные расходы, которые могут быть урезаны или полностью устранены в краткосрочной перспективе, не влияя на текущий доход компании. </w:t>
      </w:r>
    </w:p>
    <w:p w14:paraId="76A628A2" w14:textId="38CF989C" w:rsidR="00E71F36" w:rsidRPr="00A312C5" w:rsidRDefault="00E71F36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крупных компаниях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затраты на НИОКР могут составлять значительную долю годовой выручки. Отраслевые лидеры зачастую вовлечены в научно-исследовательскую активность на постоянной основе. Внутри отдельных отраслей размер инвестиций также варьируется от компании к компании. </w:t>
      </w:r>
      <w:r w:rsidR="00B31ED0" w:rsidRPr="00A312C5">
        <w:rPr>
          <w:rFonts w:ascii="Times New Roman" w:hAnsi="Times New Roman" w:cs="Times New Roman"/>
          <w:sz w:val="24"/>
          <w:szCs w:val="24"/>
        </w:rPr>
        <w:t>Компании-лидеры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располагают уникальными ресурсами и </w:t>
      </w:r>
      <w:r w:rsidR="003E31F2">
        <w:rPr>
          <w:rFonts w:ascii="Times New Roman" w:hAnsi="Times New Roman" w:cs="Times New Roman"/>
          <w:sz w:val="24"/>
          <w:szCs w:val="24"/>
        </w:rPr>
        <w:t>большими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бюджетами для финансирования новых разработок. </w:t>
      </w:r>
      <w:r w:rsidRPr="00A312C5">
        <w:rPr>
          <w:rFonts w:ascii="Times New Roman" w:hAnsi="Times New Roman" w:cs="Times New Roman"/>
          <w:sz w:val="24"/>
          <w:szCs w:val="24"/>
        </w:rPr>
        <w:t>Небольшие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Pr="00A312C5">
        <w:rPr>
          <w:rFonts w:ascii="Times New Roman" w:hAnsi="Times New Roman" w:cs="Times New Roman"/>
          <w:sz w:val="24"/>
          <w:szCs w:val="24"/>
        </w:rPr>
        <w:t>могут отдавать предпочтение стратегии приобретения патентов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, тем самым снижая свои расходы на НИОКР. Таким образом, сравнение инвестиций разных компаний в НИОКР является комплексным и подвержено </w:t>
      </w:r>
      <w:r w:rsidR="003E31F2">
        <w:rPr>
          <w:rFonts w:ascii="Times New Roman" w:hAnsi="Times New Roman" w:cs="Times New Roman"/>
          <w:sz w:val="24"/>
          <w:szCs w:val="24"/>
        </w:rPr>
        <w:t xml:space="preserve">влиянию </w:t>
      </w:r>
      <w:r w:rsidR="00C021AC" w:rsidRPr="00A312C5">
        <w:rPr>
          <w:rFonts w:ascii="Times New Roman" w:hAnsi="Times New Roman" w:cs="Times New Roman"/>
          <w:sz w:val="24"/>
          <w:szCs w:val="24"/>
        </w:rPr>
        <w:t>большо</w:t>
      </w:r>
      <w:r w:rsidR="003E31F2">
        <w:rPr>
          <w:rFonts w:ascii="Times New Roman" w:hAnsi="Times New Roman" w:cs="Times New Roman"/>
          <w:sz w:val="24"/>
          <w:szCs w:val="24"/>
        </w:rPr>
        <w:t>го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числ</w:t>
      </w:r>
      <w:r w:rsidR="003E31F2">
        <w:rPr>
          <w:rFonts w:ascii="Times New Roman" w:hAnsi="Times New Roman" w:cs="Times New Roman"/>
          <w:sz w:val="24"/>
          <w:szCs w:val="24"/>
        </w:rPr>
        <w:t>а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факторов.  </w:t>
      </w:r>
    </w:p>
    <w:p w14:paraId="6E67AFEC" w14:textId="18BB201D" w:rsidR="00C021AC" w:rsidRPr="00A312C5" w:rsidRDefault="00E71F36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У</w:t>
      </w:r>
      <w:r w:rsidR="00C021AC" w:rsidRPr="00A312C5">
        <w:rPr>
          <w:rFonts w:ascii="Times New Roman" w:hAnsi="Times New Roman" w:cs="Times New Roman"/>
          <w:sz w:val="24"/>
          <w:szCs w:val="24"/>
        </w:rPr>
        <w:t>ровень инвестиций в НИОКР значительно зависит от отраслевой принадлежности компании.</w:t>
      </w:r>
      <w:r w:rsidR="00B31ED0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31ED0" w:rsidRPr="00F059B5">
        <w:rPr>
          <w:rFonts w:ascii="Times New Roman" w:hAnsi="Times New Roman" w:cs="Times New Roman"/>
          <w:sz w:val="24"/>
          <w:szCs w:val="24"/>
        </w:rPr>
        <w:t>Например,</w:t>
      </w:r>
      <w:r w:rsidR="00C021AC" w:rsidRPr="00F059B5">
        <w:rPr>
          <w:rFonts w:ascii="Times New Roman" w:hAnsi="Times New Roman" w:cs="Times New Roman"/>
          <w:sz w:val="24"/>
          <w:szCs w:val="24"/>
        </w:rPr>
        <w:t xml:space="preserve"> </w:t>
      </w:r>
      <w:r w:rsidR="00216DEC" w:rsidRPr="00F059B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16DEC" w:rsidRPr="00F059B5">
        <w:rPr>
          <w:rFonts w:ascii="Times New Roman" w:hAnsi="Times New Roman" w:cs="Times New Roman"/>
          <w:sz w:val="24"/>
          <w:szCs w:val="24"/>
        </w:rPr>
        <w:t>-компании продемонстрировали впечатляющий рост инвестиций в последние годы (рисунок</w:t>
      </w:r>
      <w:r w:rsidR="003F6F3D" w:rsidRPr="00F059B5">
        <w:rPr>
          <w:rFonts w:ascii="Times New Roman" w:hAnsi="Times New Roman" w:cs="Times New Roman"/>
          <w:sz w:val="24"/>
          <w:szCs w:val="24"/>
        </w:rPr>
        <w:t xml:space="preserve"> 1</w:t>
      </w:r>
      <w:r w:rsidR="00216DEC" w:rsidRPr="00F059B5">
        <w:rPr>
          <w:rFonts w:ascii="Times New Roman" w:hAnsi="Times New Roman" w:cs="Times New Roman"/>
          <w:sz w:val="24"/>
          <w:szCs w:val="24"/>
        </w:rPr>
        <w:t>)</w:t>
      </w:r>
      <w:r w:rsidR="003F6F3D" w:rsidRPr="00F059B5">
        <w:rPr>
          <w:rFonts w:ascii="Times New Roman" w:hAnsi="Times New Roman" w:cs="Times New Roman"/>
          <w:sz w:val="24"/>
          <w:szCs w:val="24"/>
        </w:rPr>
        <w:t>:</w:t>
      </w:r>
    </w:p>
    <w:p w14:paraId="1238858E" w14:textId="77777777" w:rsidR="003F6F3D" w:rsidRDefault="00216DEC" w:rsidP="00EA0622">
      <w:pPr>
        <w:keepNext/>
        <w:spacing w:after="0" w:line="360" w:lineRule="auto"/>
        <w:jc w:val="center"/>
      </w:pPr>
      <w:r w:rsidRPr="00A312C5">
        <w:rPr>
          <w:rFonts w:ascii="Times New Roman" w:hAnsi="Times New Roman" w:cs="Times New Roman"/>
          <w:noProof/>
        </w:rPr>
        <w:drawing>
          <wp:inline distT="0" distB="0" distL="0" distR="0" wp14:anchorId="0BC9FC12" wp14:editId="15C14086">
            <wp:extent cx="3211373" cy="36791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8" r="-723" b="8468"/>
                    <a:stretch/>
                  </pic:blipFill>
                  <pic:spPr bwMode="auto">
                    <a:xfrm>
                      <a:off x="0" y="0"/>
                      <a:ext cx="3254150" cy="3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4E42A" w14:textId="39CFF799" w:rsidR="00C021AC" w:rsidRPr="003F6F3D" w:rsidRDefault="003F6F3D" w:rsidP="003F6F3D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Рисунок </w:t>
      </w: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C77210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3F6F3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Отраслевая динамика затрат на НИОКР</w:t>
      </w:r>
    </w:p>
    <w:p w14:paraId="1DBFDE0A" w14:textId="77777777" w:rsidR="00293580" w:rsidRPr="00720114" w:rsidRDefault="00293580" w:rsidP="00293580">
      <w:pPr>
        <w:rPr>
          <w:rFonts w:ascii="Times New Roman" w:hAnsi="Times New Roman" w:cs="Times New Roman"/>
          <w:lang w:val="en-US"/>
        </w:rPr>
      </w:pPr>
      <w:r w:rsidRPr="003F6F3D">
        <w:rPr>
          <w:rFonts w:ascii="Times New Roman" w:hAnsi="Times New Roman" w:cs="Times New Roman"/>
        </w:rPr>
        <w:t>Источник</w:t>
      </w:r>
      <w:r w:rsidRPr="00720114">
        <w:rPr>
          <w:rFonts w:ascii="Times New Roman" w:hAnsi="Times New Roman" w:cs="Times New Roman"/>
          <w:lang w:val="en-US"/>
        </w:rPr>
        <w:t>: [The 2020 EU Industrial R&amp;D Investment Scoreboard, 2020]</w:t>
      </w:r>
    </w:p>
    <w:p w14:paraId="1E15B2C3" w14:textId="7CEEC10B" w:rsidR="00C021AC" w:rsidRPr="00A312C5" w:rsidRDefault="00C021A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Если взглянуть на общую картину отраслевых расходов на НИОКР, </w:t>
      </w:r>
      <w:r w:rsidR="003E31F2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93580">
        <w:rPr>
          <w:rFonts w:ascii="Times New Roman" w:hAnsi="Times New Roman" w:cs="Times New Roman"/>
          <w:sz w:val="24"/>
          <w:szCs w:val="24"/>
        </w:rPr>
        <w:t>проследить</w:t>
      </w:r>
      <w:r w:rsidR="003E31F2">
        <w:rPr>
          <w:rFonts w:ascii="Times New Roman" w:hAnsi="Times New Roman" w:cs="Times New Roman"/>
          <w:sz w:val="24"/>
          <w:szCs w:val="24"/>
        </w:rPr>
        <w:t xml:space="preserve"> положительную динамику, связанную с ростом инвестиций в НИОКР.</w:t>
      </w:r>
      <w:r w:rsidR="00F059B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 4 отрасли, характеризующиеся растущими затратами – вычислительная техника и электроника, здравоохранение, автомобилестроение, программное обеспечение и интернет – приходится 76% общих расходов на НИОКР. </w:t>
      </w:r>
    </w:p>
    <w:p w14:paraId="1C808532" w14:textId="3AEC05C7" w:rsidR="00C021AC" w:rsidRPr="00A312C5" w:rsidRDefault="00B31ED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Можно предположить</w:t>
      </w:r>
      <w:r w:rsidR="00C021AC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что</w:t>
      </w:r>
      <w:r w:rsidR="00C021AC" w:rsidRPr="00A312C5">
        <w:rPr>
          <w:rFonts w:ascii="Times New Roman" w:hAnsi="Times New Roman" w:cs="Times New Roman"/>
        </w:rPr>
        <w:t xml:space="preserve"> 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инвестиции в НИОКР являются экономически более значимыми для </w:t>
      </w:r>
      <w:r w:rsidR="00BE1EFF" w:rsidRPr="00A312C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E1EFF" w:rsidRPr="00A312C5">
        <w:rPr>
          <w:rFonts w:ascii="Times New Roman" w:hAnsi="Times New Roman" w:cs="Times New Roman"/>
          <w:sz w:val="24"/>
          <w:szCs w:val="24"/>
        </w:rPr>
        <w:t>-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компаний, чем для компаний реального сектора. Например, в 2017 году такие известные цифровые компании, как Facebook и </w:t>
      </w:r>
      <w:proofErr w:type="spellStart"/>
      <w:r w:rsidR="00C021AC" w:rsidRPr="00A312C5">
        <w:rPr>
          <w:rFonts w:ascii="Times New Roman" w:hAnsi="Times New Roman" w:cs="Times New Roman"/>
          <w:sz w:val="24"/>
          <w:szCs w:val="24"/>
        </w:rPr>
        <w:t>Alphabet</w:t>
      </w:r>
      <w:proofErr w:type="spellEnd"/>
      <w:r w:rsidR="00C021AC" w:rsidRPr="00A312C5">
        <w:rPr>
          <w:rFonts w:ascii="Times New Roman" w:hAnsi="Times New Roman" w:cs="Times New Roman"/>
          <w:sz w:val="24"/>
          <w:szCs w:val="24"/>
        </w:rPr>
        <w:t xml:space="preserve">, вложили </w:t>
      </w:r>
      <w:r w:rsidR="00293580">
        <w:rPr>
          <w:rFonts w:ascii="Times New Roman" w:hAnsi="Times New Roman" w:cs="Times New Roman"/>
          <w:sz w:val="24"/>
          <w:szCs w:val="24"/>
        </w:rPr>
        <w:t xml:space="preserve">в НИОКР 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19% и 15% </w:t>
      </w:r>
      <w:r w:rsidR="00293580">
        <w:rPr>
          <w:rFonts w:ascii="Times New Roman" w:hAnsi="Times New Roman" w:cs="Times New Roman"/>
          <w:sz w:val="24"/>
          <w:szCs w:val="24"/>
        </w:rPr>
        <w:t>выручки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соответственно. Инвестиции цифровых компаний в исследования могут </w:t>
      </w:r>
      <w:r w:rsidR="00F059B5">
        <w:rPr>
          <w:rFonts w:ascii="Times New Roman" w:hAnsi="Times New Roman" w:cs="Times New Roman"/>
          <w:sz w:val="24"/>
          <w:szCs w:val="24"/>
        </w:rPr>
        <w:t>превышать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50% от</w:t>
      </w:r>
      <w:r w:rsidR="00293580">
        <w:rPr>
          <w:rFonts w:ascii="Times New Roman" w:hAnsi="Times New Roman" w:cs="Times New Roman"/>
          <w:sz w:val="24"/>
          <w:szCs w:val="24"/>
        </w:rPr>
        <w:t xml:space="preserve"> их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доходов. Так, в 2013 году </w:t>
      </w:r>
      <w:proofErr w:type="spellStart"/>
      <w:r w:rsidR="00C021AC" w:rsidRPr="00A312C5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потратил 76% своих доходов на НИОКР. Мы можем наблюдать яркий контраст </w:t>
      </w:r>
      <w:r w:rsidR="00393AAA">
        <w:rPr>
          <w:rFonts w:ascii="Times New Roman" w:hAnsi="Times New Roman" w:cs="Times New Roman"/>
          <w:sz w:val="24"/>
          <w:szCs w:val="24"/>
        </w:rPr>
        <w:t>относительно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393AAA">
        <w:rPr>
          <w:rFonts w:ascii="Times New Roman" w:hAnsi="Times New Roman" w:cs="Times New Roman"/>
          <w:sz w:val="24"/>
          <w:szCs w:val="24"/>
        </w:rPr>
        <w:t>й из</w:t>
      </w:r>
      <w:r w:rsidR="00C021AC" w:rsidRPr="00A312C5">
        <w:rPr>
          <w:rFonts w:ascii="Times New Roman" w:hAnsi="Times New Roman" w:cs="Times New Roman"/>
          <w:sz w:val="24"/>
          <w:szCs w:val="24"/>
        </w:rPr>
        <w:t xml:space="preserve"> других отраслей: в 2017 году General Motors инвестировала 2% дохода в НИОКР, </w:t>
      </w:r>
      <w:proofErr w:type="spellStart"/>
      <w:r w:rsidR="00C021AC" w:rsidRPr="00A312C5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="00C021AC" w:rsidRPr="00A312C5">
        <w:rPr>
          <w:rFonts w:ascii="Times New Roman" w:hAnsi="Times New Roman" w:cs="Times New Roman"/>
          <w:sz w:val="24"/>
          <w:szCs w:val="24"/>
        </w:rPr>
        <w:t xml:space="preserve"> – 0%, Tesla – 12%</w:t>
      </w:r>
      <w:r w:rsidR="008711F3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8711F3" w:rsidRPr="00A312C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Govindarajan</w:t>
      </w:r>
      <w:r w:rsidR="008711F3" w:rsidRPr="00A312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2109]</w:t>
      </w:r>
      <w:r w:rsidR="00C021AC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48981CB3" w14:textId="1DAD55E2" w:rsidR="00D24279" w:rsidRPr="00A312C5" w:rsidRDefault="00D2427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Интересно проследить </w:t>
      </w:r>
      <w:r w:rsidR="00A704DC" w:rsidRPr="00A312C5">
        <w:rPr>
          <w:rFonts w:ascii="Times New Roman" w:hAnsi="Times New Roman" w:cs="Times New Roman"/>
          <w:sz w:val="24"/>
          <w:szCs w:val="24"/>
        </w:rPr>
        <w:t xml:space="preserve">динамику инвестиций в НИОКР в сравнении с выручкой компаний. Из графика, представленного в отчете Европейского Союза об отраслевых инвестициях в НИОКР (рисунок </w:t>
      </w:r>
      <w:r w:rsidR="003F6F3D">
        <w:rPr>
          <w:rFonts w:ascii="Times New Roman" w:hAnsi="Times New Roman" w:cs="Times New Roman"/>
          <w:sz w:val="24"/>
          <w:szCs w:val="24"/>
        </w:rPr>
        <w:t>2</w:t>
      </w:r>
      <w:r w:rsidR="00A704DC" w:rsidRPr="00A312C5">
        <w:rPr>
          <w:rFonts w:ascii="Times New Roman" w:hAnsi="Times New Roman" w:cs="Times New Roman"/>
          <w:sz w:val="24"/>
          <w:szCs w:val="24"/>
        </w:rPr>
        <w:t>), видно, что четкий характер взаимосвязи определить невозможно. Так, например, в 2014 году выручка мировых компаний резко упала, но расходы на НИОКР при этом выросли по сравнению с предыдущим периодом. В 2017 году, напротив</w:t>
      </w:r>
      <w:r w:rsidR="00B22B4E">
        <w:rPr>
          <w:rFonts w:ascii="Times New Roman" w:hAnsi="Times New Roman" w:cs="Times New Roman"/>
          <w:sz w:val="24"/>
          <w:szCs w:val="24"/>
        </w:rPr>
        <w:t>,</w:t>
      </w:r>
      <w:r w:rsidR="00A704DC" w:rsidRPr="00A312C5">
        <w:rPr>
          <w:rFonts w:ascii="Times New Roman" w:hAnsi="Times New Roman" w:cs="Times New Roman"/>
          <w:sz w:val="24"/>
          <w:szCs w:val="24"/>
        </w:rPr>
        <w:t xml:space="preserve"> рост выручки сопровождался ростом затрат на НИОКР. Взаимосвязь этих двух параметро</w:t>
      </w:r>
      <w:r w:rsidR="00F059B5">
        <w:rPr>
          <w:rFonts w:ascii="Times New Roman" w:hAnsi="Times New Roman" w:cs="Times New Roman"/>
          <w:sz w:val="24"/>
          <w:szCs w:val="24"/>
        </w:rPr>
        <w:t>в</w:t>
      </w:r>
      <w:r w:rsidR="00A704DC" w:rsidRPr="00A312C5">
        <w:rPr>
          <w:rFonts w:ascii="Times New Roman" w:hAnsi="Times New Roman" w:cs="Times New Roman"/>
          <w:sz w:val="24"/>
          <w:szCs w:val="24"/>
        </w:rPr>
        <w:t xml:space="preserve"> представляет исследовательский интерес в рамках изучаемой проблематики. </w:t>
      </w:r>
    </w:p>
    <w:p w14:paraId="32E52347" w14:textId="17955CCE" w:rsidR="00D24279" w:rsidRPr="00A312C5" w:rsidRDefault="00D24279" w:rsidP="00EA0622">
      <w:pPr>
        <w:keepNext/>
        <w:spacing w:after="0" w:line="360" w:lineRule="auto"/>
        <w:jc w:val="center"/>
        <w:rPr>
          <w:rFonts w:ascii="Times New Roman" w:hAnsi="Times New Roman" w:cs="Times New Roman"/>
        </w:rPr>
      </w:pPr>
      <w:r w:rsidRPr="00A312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C962E" wp14:editId="240F2854">
            <wp:extent cx="5345234" cy="3167482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704" cy="319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681C" w14:textId="4C9BC3EA" w:rsidR="00D24279" w:rsidRDefault="00D24279" w:rsidP="00237685">
      <w:pPr>
        <w:pStyle w:val="af7"/>
        <w:ind w:firstLine="7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312C5">
        <w:rPr>
          <w:rFonts w:ascii="Times New Roman" w:hAnsi="Times New Roman" w:cs="Times New Roman"/>
          <w:color w:val="auto"/>
          <w:sz w:val="22"/>
          <w:szCs w:val="22"/>
        </w:rPr>
        <w:t xml:space="preserve">Рисунок </w:t>
      </w:r>
      <w:r w:rsidRPr="00A312C5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A312C5">
        <w:rPr>
          <w:rFonts w:ascii="Times New Roman" w:hAnsi="Times New Roman" w:cs="Times New Roman"/>
          <w:color w:val="auto"/>
          <w:sz w:val="22"/>
          <w:szCs w:val="22"/>
        </w:rPr>
        <w:instrText xml:space="preserve"> SEQ Рисунок \* ARABIC </w:instrText>
      </w:r>
      <w:r w:rsidRPr="00A312C5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C77210">
        <w:rPr>
          <w:rFonts w:ascii="Times New Roman" w:hAnsi="Times New Roman" w:cs="Times New Roman"/>
          <w:noProof/>
          <w:color w:val="auto"/>
          <w:sz w:val="22"/>
          <w:szCs w:val="22"/>
        </w:rPr>
        <w:t>2</w:t>
      </w:r>
      <w:r w:rsidRPr="00A312C5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A312C5">
        <w:rPr>
          <w:rFonts w:ascii="Times New Roman" w:hAnsi="Times New Roman" w:cs="Times New Roman"/>
          <w:color w:val="auto"/>
          <w:sz w:val="22"/>
          <w:szCs w:val="22"/>
        </w:rPr>
        <w:t xml:space="preserve"> Динамика инвестиций в НИОКР и выручки в мировых компаниях с 2011 по 2019 гг.</w:t>
      </w:r>
    </w:p>
    <w:p w14:paraId="38C10819" w14:textId="4A9A4ACC" w:rsidR="003F6F3D" w:rsidRPr="00720114" w:rsidRDefault="003F6F3D" w:rsidP="003F6F3D">
      <w:pPr>
        <w:rPr>
          <w:rFonts w:ascii="Times New Roman" w:hAnsi="Times New Roman" w:cs="Times New Roman"/>
          <w:lang w:val="en-US"/>
        </w:rPr>
      </w:pPr>
      <w:r w:rsidRPr="003F6F3D">
        <w:rPr>
          <w:rFonts w:ascii="Times New Roman" w:hAnsi="Times New Roman" w:cs="Times New Roman"/>
        </w:rPr>
        <w:t>Источник</w:t>
      </w:r>
      <w:r w:rsidRPr="00720114">
        <w:rPr>
          <w:rFonts w:ascii="Times New Roman" w:hAnsi="Times New Roman" w:cs="Times New Roman"/>
          <w:lang w:val="en-US"/>
        </w:rPr>
        <w:t>: [The 2020 EU Industrial R&amp;D Investment Scoreboard, 2020]</w:t>
      </w:r>
    </w:p>
    <w:p w14:paraId="2C4B4555" w14:textId="0B74611E" w:rsidR="00216DEC" w:rsidRPr="00A312C5" w:rsidRDefault="0012149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7F">
        <w:rPr>
          <w:rFonts w:ascii="Times New Roman" w:hAnsi="Times New Roman" w:cs="Times New Roman"/>
          <w:sz w:val="24"/>
          <w:szCs w:val="24"/>
        </w:rPr>
        <w:lastRenderedPageBreak/>
        <w:t>Полноценный ан</w:t>
      </w:r>
      <w:r w:rsidRPr="00A312C5">
        <w:rPr>
          <w:rFonts w:ascii="Times New Roman" w:hAnsi="Times New Roman" w:cs="Times New Roman"/>
          <w:sz w:val="24"/>
          <w:szCs w:val="24"/>
        </w:rPr>
        <w:t xml:space="preserve">ализ современных тенденций и практики инвестирования в НИОКР невозможен без обращения к кризисной ситуации, вызванной вирусом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312C5">
        <w:rPr>
          <w:rFonts w:ascii="Times New Roman" w:hAnsi="Times New Roman" w:cs="Times New Roman"/>
          <w:sz w:val="24"/>
          <w:szCs w:val="24"/>
        </w:rPr>
        <w:t xml:space="preserve">-19. Мы все еще находимся в периоде </w:t>
      </w:r>
      <w:r w:rsidR="00FA4471" w:rsidRPr="00A312C5">
        <w:rPr>
          <w:rFonts w:ascii="Times New Roman" w:hAnsi="Times New Roman" w:cs="Times New Roman"/>
          <w:sz w:val="24"/>
          <w:szCs w:val="24"/>
        </w:rPr>
        <w:t>неопределенности</w:t>
      </w:r>
      <w:r w:rsidR="00FD5C7F">
        <w:rPr>
          <w:rFonts w:ascii="Times New Roman" w:hAnsi="Times New Roman" w:cs="Times New Roman"/>
          <w:sz w:val="24"/>
          <w:szCs w:val="24"/>
        </w:rPr>
        <w:t>, связанно</w:t>
      </w:r>
      <w:r w:rsidR="002D307C">
        <w:rPr>
          <w:rFonts w:ascii="Times New Roman" w:hAnsi="Times New Roman" w:cs="Times New Roman"/>
          <w:sz w:val="24"/>
          <w:szCs w:val="24"/>
        </w:rPr>
        <w:t>м</w:t>
      </w:r>
      <w:r w:rsidR="00FD5C7F">
        <w:rPr>
          <w:rFonts w:ascii="Times New Roman" w:hAnsi="Times New Roman" w:cs="Times New Roman"/>
          <w:sz w:val="24"/>
          <w:szCs w:val="24"/>
        </w:rPr>
        <w:t xml:space="preserve"> с пандемией</w:t>
      </w:r>
      <w:r w:rsidR="00FA4471" w:rsidRPr="00A312C5">
        <w:rPr>
          <w:rFonts w:ascii="Times New Roman" w:hAnsi="Times New Roman" w:cs="Times New Roman"/>
          <w:sz w:val="24"/>
          <w:szCs w:val="24"/>
        </w:rPr>
        <w:t xml:space="preserve">, но уже сейчас заметны некоторые закономерности. Чтобы провести аналогию, обратимся к одной из наиболее масштабных кризисных ситуаций последних лет – глобальному финансовому кризису 2008 года. </w:t>
      </w:r>
      <w:r w:rsidR="00761C90" w:rsidRPr="00A312C5">
        <w:rPr>
          <w:rFonts w:ascii="Times New Roman" w:hAnsi="Times New Roman" w:cs="Times New Roman"/>
          <w:sz w:val="24"/>
          <w:szCs w:val="24"/>
        </w:rPr>
        <w:t xml:space="preserve">Инвестиции компаний в НИОКР в этот период носили </w:t>
      </w:r>
      <w:proofErr w:type="spellStart"/>
      <w:r w:rsidR="00761C90" w:rsidRPr="00A312C5">
        <w:rPr>
          <w:rFonts w:ascii="Times New Roman" w:hAnsi="Times New Roman" w:cs="Times New Roman"/>
          <w:sz w:val="24"/>
          <w:szCs w:val="24"/>
        </w:rPr>
        <w:t>проциклический</w:t>
      </w:r>
      <w:proofErr w:type="spellEnd"/>
      <w:r w:rsidR="00761C90" w:rsidRPr="00A312C5">
        <w:rPr>
          <w:rFonts w:ascii="Times New Roman" w:hAnsi="Times New Roman" w:cs="Times New Roman"/>
          <w:sz w:val="24"/>
          <w:szCs w:val="24"/>
        </w:rPr>
        <w:t xml:space="preserve"> характер, ввиду </w:t>
      </w:r>
      <w:r w:rsidR="002E60C2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761C90" w:rsidRPr="00A312C5">
        <w:rPr>
          <w:rFonts w:ascii="Times New Roman" w:hAnsi="Times New Roman" w:cs="Times New Roman"/>
          <w:sz w:val="24"/>
          <w:szCs w:val="24"/>
        </w:rPr>
        <w:t>финансовых ограничений. Также важно отметить, что в кризисный период крупные компании внедряли процессные инновации</w:t>
      </w:r>
      <w:r w:rsidR="00FD5C7F" w:rsidRPr="00FD5C7F">
        <w:rPr>
          <w:rFonts w:ascii="Times New Roman" w:hAnsi="Times New Roman" w:cs="Times New Roman"/>
          <w:sz w:val="24"/>
          <w:szCs w:val="24"/>
        </w:rPr>
        <w:t xml:space="preserve"> </w:t>
      </w:r>
      <w:r w:rsidR="00FD5C7F" w:rsidRPr="00A312C5">
        <w:rPr>
          <w:rFonts w:ascii="Times New Roman" w:hAnsi="Times New Roman" w:cs="Times New Roman"/>
          <w:sz w:val="24"/>
          <w:szCs w:val="24"/>
        </w:rPr>
        <w:t>более активно</w:t>
      </w:r>
      <w:r w:rsidR="00FD5C7F">
        <w:rPr>
          <w:rFonts w:ascii="Times New Roman" w:hAnsi="Times New Roman" w:cs="Times New Roman"/>
          <w:sz w:val="24"/>
          <w:szCs w:val="24"/>
        </w:rPr>
        <w:t>, чем небольшие фирмы.</w:t>
      </w:r>
      <w:r w:rsidR="00761C90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D5C7F">
        <w:rPr>
          <w:rFonts w:ascii="Times New Roman" w:hAnsi="Times New Roman" w:cs="Times New Roman"/>
          <w:sz w:val="24"/>
          <w:szCs w:val="24"/>
        </w:rPr>
        <w:t>Продуктовые</w:t>
      </w:r>
      <w:r w:rsidR="00761C90" w:rsidRPr="00A312C5">
        <w:rPr>
          <w:rFonts w:ascii="Times New Roman" w:hAnsi="Times New Roman" w:cs="Times New Roman"/>
          <w:sz w:val="24"/>
          <w:szCs w:val="24"/>
        </w:rPr>
        <w:t xml:space="preserve"> инновации реализовывались </w:t>
      </w:r>
      <w:r w:rsidR="00FD5C7F">
        <w:rPr>
          <w:rFonts w:ascii="Times New Roman" w:hAnsi="Times New Roman" w:cs="Times New Roman"/>
          <w:sz w:val="24"/>
          <w:szCs w:val="24"/>
        </w:rPr>
        <w:t>большими</w:t>
      </w:r>
      <w:r w:rsidR="00761C90" w:rsidRPr="00A312C5">
        <w:rPr>
          <w:rFonts w:ascii="Times New Roman" w:hAnsi="Times New Roman" w:cs="Times New Roman"/>
          <w:sz w:val="24"/>
          <w:szCs w:val="24"/>
        </w:rPr>
        <w:t xml:space="preserve"> и маленькими </w:t>
      </w:r>
      <w:r w:rsidR="00FD5C7F">
        <w:rPr>
          <w:rFonts w:ascii="Times New Roman" w:hAnsi="Times New Roman" w:cs="Times New Roman"/>
          <w:sz w:val="24"/>
          <w:szCs w:val="24"/>
        </w:rPr>
        <w:t>предприятиями</w:t>
      </w:r>
      <w:r w:rsidR="00761C90" w:rsidRPr="00A312C5">
        <w:rPr>
          <w:rFonts w:ascii="Times New Roman" w:hAnsi="Times New Roman" w:cs="Times New Roman"/>
          <w:sz w:val="24"/>
          <w:szCs w:val="24"/>
        </w:rPr>
        <w:t xml:space="preserve"> в равном соотношении. </w:t>
      </w:r>
      <w:r w:rsidR="0089059C" w:rsidRPr="00A312C5">
        <w:rPr>
          <w:rFonts w:ascii="Times New Roman" w:hAnsi="Times New Roman" w:cs="Times New Roman"/>
          <w:sz w:val="24"/>
          <w:szCs w:val="24"/>
        </w:rPr>
        <w:t xml:space="preserve">Расходы на НИОКР в этот период были более устойчивы к кризису, чем общая экономическая активность. Из-за быстрого сокращения ВВП относительно затрат на НИОКР в период кризиса интенсивность НИОКР в странах Европейского союза увеличилась до 2,01% от ВВП в 2009 году. </w:t>
      </w:r>
      <w:r w:rsidR="00DF471D" w:rsidRPr="00A312C5">
        <w:rPr>
          <w:rFonts w:ascii="Times New Roman" w:hAnsi="Times New Roman" w:cs="Times New Roman"/>
          <w:sz w:val="24"/>
          <w:szCs w:val="24"/>
        </w:rPr>
        <w:t xml:space="preserve">Бюджет на НИОКР в странах ЕС в этот период увеличился на </w:t>
      </w:r>
      <w:proofErr w:type="gramStart"/>
      <w:r w:rsidR="00DF471D" w:rsidRPr="00A312C5">
        <w:rPr>
          <w:rFonts w:ascii="Times New Roman" w:hAnsi="Times New Roman" w:cs="Times New Roman"/>
          <w:sz w:val="24"/>
          <w:szCs w:val="24"/>
        </w:rPr>
        <w:t>0,03%-0,74%</w:t>
      </w:r>
      <w:proofErr w:type="gramEnd"/>
      <w:r w:rsidR="00DF471D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EF6719">
        <w:rPr>
          <w:rFonts w:ascii="Times New Roman" w:hAnsi="Times New Roman" w:cs="Times New Roman"/>
          <w:sz w:val="24"/>
          <w:szCs w:val="24"/>
        </w:rPr>
        <w:t>Можно заключить,</w:t>
      </w:r>
      <w:r w:rsidR="00DF471D" w:rsidRPr="00A312C5">
        <w:rPr>
          <w:rFonts w:ascii="Times New Roman" w:hAnsi="Times New Roman" w:cs="Times New Roman"/>
          <w:sz w:val="24"/>
          <w:szCs w:val="24"/>
        </w:rPr>
        <w:t xml:space="preserve"> что компании Европейского союза считали НИОКР приоритетной деятельностью в период кризиса. </w:t>
      </w:r>
    </w:p>
    <w:p w14:paraId="431118C9" w14:textId="158F2659" w:rsidR="00BE1EFF" w:rsidRPr="00A312C5" w:rsidRDefault="004F60B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Кризис, вызванный 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312C5">
        <w:rPr>
          <w:rFonts w:ascii="Times New Roman" w:hAnsi="Times New Roman" w:cs="Times New Roman"/>
          <w:sz w:val="24"/>
          <w:szCs w:val="24"/>
        </w:rPr>
        <w:t>-19, имеет два важных сходства с финансовым кризисом 2008 года. Во-первых, оба события представля</w:t>
      </w:r>
      <w:r w:rsidR="00EF6719">
        <w:rPr>
          <w:rFonts w:ascii="Times New Roman" w:hAnsi="Times New Roman" w:cs="Times New Roman"/>
          <w:sz w:val="24"/>
          <w:szCs w:val="24"/>
        </w:rPr>
        <w:t>ют собой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экзогенный шок, а не этап, связанный с колебанием бизнес-цикла. Во-вторых</w:t>
      </w:r>
      <w:r w:rsidR="00B36F58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оба </w:t>
      </w:r>
      <w:r w:rsidR="00B36F58" w:rsidRPr="00A312C5">
        <w:rPr>
          <w:rFonts w:ascii="Times New Roman" w:hAnsi="Times New Roman" w:cs="Times New Roman"/>
          <w:sz w:val="24"/>
          <w:szCs w:val="24"/>
        </w:rPr>
        <w:t>кризиса характериз</w:t>
      </w:r>
      <w:r w:rsidR="00EF6719">
        <w:rPr>
          <w:rFonts w:ascii="Times New Roman" w:hAnsi="Times New Roman" w:cs="Times New Roman"/>
          <w:sz w:val="24"/>
          <w:szCs w:val="24"/>
        </w:rPr>
        <w:t>уются</w:t>
      </w:r>
      <w:r w:rsidR="00B36F58" w:rsidRPr="00A312C5">
        <w:rPr>
          <w:rFonts w:ascii="Times New Roman" w:hAnsi="Times New Roman" w:cs="Times New Roman"/>
          <w:sz w:val="24"/>
          <w:szCs w:val="24"/>
        </w:rPr>
        <w:t xml:space="preserve"> резким падением ликвидности: кризис 2008 года сопровождался сокращением доступности финансирования, кризис 2020 года – сокращением товарооборота. Финансовые ограничения подталкивают компании к принятию быстры</w:t>
      </w:r>
      <w:r w:rsidR="00FD5058" w:rsidRPr="00A312C5">
        <w:rPr>
          <w:rFonts w:ascii="Times New Roman" w:hAnsi="Times New Roman" w:cs="Times New Roman"/>
          <w:sz w:val="24"/>
          <w:szCs w:val="24"/>
        </w:rPr>
        <w:t>х</w:t>
      </w:r>
      <w:r w:rsidR="00B36F58" w:rsidRPr="00A312C5">
        <w:rPr>
          <w:rFonts w:ascii="Times New Roman" w:hAnsi="Times New Roman" w:cs="Times New Roman"/>
          <w:sz w:val="24"/>
          <w:szCs w:val="24"/>
        </w:rPr>
        <w:t xml:space="preserve"> стратегически</w:t>
      </w:r>
      <w:r w:rsidR="00FD5058" w:rsidRPr="00A312C5">
        <w:rPr>
          <w:rFonts w:ascii="Times New Roman" w:hAnsi="Times New Roman" w:cs="Times New Roman"/>
          <w:sz w:val="24"/>
          <w:szCs w:val="24"/>
        </w:rPr>
        <w:t>х</w:t>
      </w:r>
      <w:r w:rsidR="00B36F58" w:rsidRPr="00A312C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D5058" w:rsidRPr="00A312C5">
        <w:rPr>
          <w:rFonts w:ascii="Times New Roman" w:hAnsi="Times New Roman" w:cs="Times New Roman"/>
          <w:sz w:val="24"/>
          <w:szCs w:val="24"/>
        </w:rPr>
        <w:t>й</w:t>
      </w:r>
      <w:r w:rsidR="00B36F58" w:rsidRPr="00A312C5">
        <w:rPr>
          <w:rFonts w:ascii="Times New Roman" w:hAnsi="Times New Roman" w:cs="Times New Roman"/>
          <w:sz w:val="24"/>
          <w:szCs w:val="24"/>
        </w:rPr>
        <w:t xml:space="preserve"> относительно потенциальных направлени</w:t>
      </w:r>
      <w:r w:rsidR="00FD5058" w:rsidRPr="00A312C5">
        <w:rPr>
          <w:rFonts w:ascii="Times New Roman" w:hAnsi="Times New Roman" w:cs="Times New Roman"/>
          <w:sz w:val="24"/>
          <w:szCs w:val="24"/>
        </w:rPr>
        <w:t>й</w:t>
      </w:r>
      <w:r w:rsidR="00B36F58" w:rsidRPr="00A312C5">
        <w:rPr>
          <w:rFonts w:ascii="Times New Roman" w:hAnsi="Times New Roman" w:cs="Times New Roman"/>
          <w:sz w:val="24"/>
          <w:szCs w:val="24"/>
        </w:rPr>
        <w:t xml:space="preserve"> экономии. </w:t>
      </w:r>
      <w:r w:rsidR="00FD5058" w:rsidRPr="00A312C5">
        <w:rPr>
          <w:rFonts w:ascii="Times New Roman" w:hAnsi="Times New Roman" w:cs="Times New Roman"/>
          <w:sz w:val="24"/>
          <w:szCs w:val="24"/>
        </w:rPr>
        <w:t>Исследования показывают, что организации, продолжавшие инвестировать в НИОКР в период кризиса 2008</w:t>
      </w:r>
      <w:r w:rsidR="002E60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130D7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FD5058" w:rsidRPr="00A312C5">
        <w:rPr>
          <w:rFonts w:ascii="Times New Roman" w:hAnsi="Times New Roman" w:cs="Times New Roman"/>
          <w:sz w:val="24"/>
          <w:szCs w:val="24"/>
        </w:rPr>
        <w:t xml:space="preserve">сумели поддержать конкурентоспособность за счет повышения эффективности, легкой адаптации </w:t>
      </w:r>
      <w:r w:rsidR="001130D7" w:rsidRPr="00A312C5">
        <w:rPr>
          <w:rFonts w:ascii="Times New Roman" w:hAnsi="Times New Roman" w:cs="Times New Roman"/>
          <w:sz w:val="24"/>
          <w:szCs w:val="24"/>
        </w:rPr>
        <w:t>к изменениям потребностей потребителей и требований поставщиков, усиления организационной устойчивости</w:t>
      </w:r>
      <w:r w:rsidR="002D307C">
        <w:rPr>
          <w:rFonts w:ascii="Times New Roman" w:hAnsi="Times New Roman" w:cs="Times New Roman"/>
          <w:sz w:val="24"/>
          <w:szCs w:val="24"/>
        </w:rPr>
        <w:t xml:space="preserve"> </w:t>
      </w:r>
      <w:r w:rsidR="002D307C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D307C" w:rsidRPr="00A312C5">
        <w:rPr>
          <w:rFonts w:ascii="Times New Roman" w:hAnsi="Times New Roman" w:cs="Times New Roman"/>
          <w:sz w:val="24"/>
          <w:szCs w:val="24"/>
        </w:rPr>
        <w:t>Flammer</w:t>
      </w:r>
      <w:proofErr w:type="spellEnd"/>
      <w:r w:rsidR="002D307C"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07C" w:rsidRPr="00A312C5">
        <w:rPr>
          <w:rFonts w:ascii="Times New Roman" w:hAnsi="Times New Roman" w:cs="Times New Roman"/>
          <w:sz w:val="24"/>
          <w:szCs w:val="24"/>
        </w:rPr>
        <w:t>Ioannou</w:t>
      </w:r>
      <w:proofErr w:type="spellEnd"/>
      <w:r w:rsidR="002D307C" w:rsidRPr="00A312C5">
        <w:rPr>
          <w:rFonts w:ascii="Times New Roman" w:hAnsi="Times New Roman" w:cs="Times New Roman"/>
          <w:sz w:val="24"/>
          <w:szCs w:val="24"/>
        </w:rPr>
        <w:t>, 2015]</w:t>
      </w:r>
      <w:r w:rsidR="001130D7" w:rsidRPr="00A312C5">
        <w:rPr>
          <w:rFonts w:ascii="Times New Roman" w:hAnsi="Times New Roman" w:cs="Times New Roman"/>
          <w:sz w:val="24"/>
          <w:szCs w:val="24"/>
        </w:rPr>
        <w:t xml:space="preserve">. Это также подтверждается публикацией в Международном журнале малого бизнеса: анализ, проведенный на базе Европейских фирм, показал, что </w:t>
      </w:r>
      <w:proofErr w:type="spellStart"/>
      <w:r w:rsidR="001130D7" w:rsidRPr="00A312C5">
        <w:rPr>
          <w:rFonts w:ascii="Times New Roman" w:hAnsi="Times New Roman" w:cs="Times New Roman"/>
          <w:sz w:val="24"/>
          <w:szCs w:val="24"/>
        </w:rPr>
        <w:t>неинновационные</w:t>
      </w:r>
      <w:proofErr w:type="spellEnd"/>
      <w:r w:rsidR="001130D7" w:rsidRPr="00A312C5">
        <w:rPr>
          <w:rFonts w:ascii="Times New Roman" w:hAnsi="Times New Roman" w:cs="Times New Roman"/>
          <w:sz w:val="24"/>
          <w:szCs w:val="24"/>
        </w:rPr>
        <w:t xml:space="preserve"> компании понесли наиболее значительные убытки по время экономического кризиса</w:t>
      </w:r>
      <w:r w:rsidR="008711F3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711F3" w:rsidRPr="00A312C5">
        <w:rPr>
          <w:rFonts w:ascii="Times New Roman" w:hAnsi="Times New Roman" w:cs="Times New Roman"/>
          <w:sz w:val="24"/>
          <w:szCs w:val="24"/>
          <w:lang w:val="en-US"/>
        </w:rPr>
        <w:t>Spes</w:t>
      </w:r>
      <w:r w:rsidR="00954424" w:rsidRPr="00A312C5">
        <w:rPr>
          <w:rFonts w:ascii="Times New Roman" w:hAnsi="Times New Roman" w:cs="Times New Roman"/>
          <w:sz w:val="24"/>
          <w:szCs w:val="24"/>
          <w:lang w:val="en-US"/>
        </w:rPr>
        <w:t>cha</w:t>
      </w:r>
      <w:proofErr w:type="spellEnd"/>
      <w:r w:rsidR="00954424" w:rsidRPr="00A312C5">
        <w:rPr>
          <w:rFonts w:ascii="Times New Roman" w:hAnsi="Times New Roman" w:cs="Times New Roman"/>
          <w:sz w:val="24"/>
          <w:szCs w:val="24"/>
        </w:rPr>
        <w:t>, 2019]</w:t>
      </w:r>
      <w:r w:rsidR="001130D7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6375DF" w:rsidRPr="00A312C5">
        <w:rPr>
          <w:rFonts w:ascii="Times New Roman" w:hAnsi="Times New Roman" w:cs="Times New Roman"/>
          <w:sz w:val="24"/>
          <w:szCs w:val="24"/>
        </w:rPr>
        <w:t xml:space="preserve">Инновации, основанные на НИОКР, обеспечивают более надежную защиту от экономических кризисов: компании, инвестирующие в </w:t>
      </w:r>
      <w:r w:rsidR="002D307C">
        <w:rPr>
          <w:rFonts w:ascii="Times New Roman" w:hAnsi="Times New Roman" w:cs="Times New Roman"/>
          <w:sz w:val="24"/>
          <w:szCs w:val="24"/>
        </w:rPr>
        <w:t>разработки</w:t>
      </w:r>
      <w:r w:rsidR="006375DF" w:rsidRPr="00A312C5">
        <w:rPr>
          <w:rFonts w:ascii="Times New Roman" w:hAnsi="Times New Roman" w:cs="Times New Roman"/>
          <w:sz w:val="24"/>
          <w:szCs w:val="24"/>
        </w:rPr>
        <w:t>, характеризуются более стабильным ростом, чем компании-</w:t>
      </w:r>
      <w:proofErr w:type="spellStart"/>
      <w:r w:rsidR="006375DF" w:rsidRPr="00A312C5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="006375DF" w:rsidRPr="00A312C5">
        <w:rPr>
          <w:rFonts w:ascii="Times New Roman" w:hAnsi="Times New Roman" w:cs="Times New Roman"/>
          <w:sz w:val="24"/>
          <w:szCs w:val="24"/>
        </w:rPr>
        <w:t>, не развивающие НИОКР</w:t>
      </w:r>
      <w:r w:rsidR="00954424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54424" w:rsidRPr="00A312C5">
        <w:rPr>
          <w:rFonts w:ascii="Times New Roman" w:hAnsi="Times New Roman" w:cs="Times New Roman"/>
          <w:sz w:val="24"/>
          <w:szCs w:val="24"/>
          <w:lang w:val="en-US"/>
        </w:rPr>
        <w:t>Laursen</w:t>
      </w:r>
      <w:proofErr w:type="spellEnd"/>
      <w:r w:rsidR="00954424" w:rsidRPr="00A312C5">
        <w:rPr>
          <w:rFonts w:ascii="Times New Roman" w:hAnsi="Times New Roman" w:cs="Times New Roman"/>
          <w:sz w:val="24"/>
          <w:szCs w:val="24"/>
        </w:rPr>
        <w:t>, 2006]</w:t>
      </w:r>
      <w:r w:rsidR="006375DF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2DC82853" w14:textId="1EAA5594" w:rsidR="00014825" w:rsidRPr="00A312C5" w:rsidRDefault="006375DF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Существуют свидетельства, позволяющие предположить, что </w:t>
      </w:r>
      <w:r w:rsidR="003F6F3D">
        <w:rPr>
          <w:rFonts w:ascii="Times New Roman" w:hAnsi="Times New Roman" w:cs="Times New Roman"/>
          <w:sz w:val="24"/>
          <w:szCs w:val="24"/>
        </w:rPr>
        <w:t>прошлый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опыт осуществления инновационной деятельности в периоды экономического спада укрепляет способность компании инвестировать в НИОКР во время новых кризисов </w:t>
      </w:r>
      <w:r w:rsidR="00954424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Amore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 2015</w:t>
      </w:r>
      <w:r w:rsidR="00954424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F83AE8" w:rsidRPr="00A312C5">
        <w:rPr>
          <w:rFonts w:ascii="Times New Roman" w:hAnsi="Times New Roman" w:cs="Times New Roman"/>
          <w:sz w:val="24"/>
          <w:szCs w:val="24"/>
        </w:rPr>
        <w:t xml:space="preserve"> В </w:t>
      </w:r>
      <w:r w:rsidR="00F83AE8" w:rsidRPr="00A312C5"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r w:rsidR="00D26999">
        <w:rPr>
          <w:rFonts w:ascii="Times New Roman" w:hAnsi="Times New Roman" w:cs="Times New Roman"/>
          <w:sz w:val="24"/>
          <w:szCs w:val="24"/>
        </w:rPr>
        <w:t xml:space="preserve"> проведенного</w:t>
      </w:r>
      <w:r w:rsidR="00F83AE8" w:rsidRPr="00A312C5">
        <w:rPr>
          <w:rFonts w:ascii="Times New Roman" w:hAnsi="Times New Roman" w:cs="Times New Roman"/>
          <w:sz w:val="24"/>
          <w:szCs w:val="24"/>
        </w:rPr>
        <w:t xml:space="preserve"> эмпирического анализа автор находит доказательства положительного влияния инновационно</w:t>
      </w:r>
      <w:r w:rsidR="002D307C">
        <w:rPr>
          <w:rFonts w:ascii="Times New Roman" w:hAnsi="Times New Roman" w:cs="Times New Roman"/>
          <w:sz w:val="24"/>
          <w:szCs w:val="24"/>
        </w:rPr>
        <w:t>й активности</w:t>
      </w:r>
      <w:r w:rsidR="00F83AE8" w:rsidRPr="00A312C5">
        <w:rPr>
          <w:rFonts w:ascii="Times New Roman" w:hAnsi="Times New Roman" w:cs="Times New Roman"/>
          <w:sz w:val="24"/>
          <w:szCs w:val="24"/>
        </w:rPr>
        <w:t xml:space="preserve"> фирм в</w:t>
      </w:r>
      <w:r w:rsidR="002D307C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F83AE8" w:rsidRPr="00A312C5">
        <w:rPr>
          <w:rFonts w:ascii="Times New Roman" w:hAnsi="Times New Roman" w:cs="Times New Roman"/>
          <w:sz w:val="24"/>
          <w:szCs w:val="24"/>
        </w:rPr>
        <w:t>рецессии начала 1980</w:t>
      </w:r>
      <w:r w:rsidR="002E60C2">
        <w:rPr>
          <w:rFonts w:ascii="Times New Roman" w:hAnsi="Times New Roman" w:cs="Times New Roman"/>
          <w:sz w:val="24"/>
          <w:szCs w:val="24"/>
        </w:rPr>
        <w:t>-</w:t>
      </w:r>
      <w:r w:rsidR="00F83AE8" w:rsidRPr="00A312C5">
        <w:rPr>
          <w:rFonts w:ascii="Times New Roman" w:hAnsi="Times New Roman" w:cs="Times New Roman"/>
          <w:sz w:val="24"/>
          <w:szCs w:val="24"/>
        </w:rPr>
        <w:t>х годов на инвестирование в НИОКР во время последующих</w:t>
      </w:r>
      <w:r w:rsidR="00D26999"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 w:rsidR="00F83AE8" w:rsidRPr="00A312C5">
        <w:rPr>
          <w:rFonts w:ascii="Times New Roman" w:hAnsi="Times New Roman" w:cs="Times New Roman"/>
          <w:sz w:val="24"/>
          <w:szCs w:val="24"/>
        </w:rPr>
        <w:t xml:space="preserve"> спадов. Эти данные могут свидетельствовать о наличии эффекта организационного обучения и </w:t>
      </w:r>
      <w:r w:rsidR="002E60C2">
        <w:rPr>
          <w:rFonts w:ascii="Times New Roman" w:hAnsi="Times New Roman" w:cs="Times New Roman"/>
          <w:sz w:val="24"/>
          <w:szCs w:val="24"/>
        </w:rPr>
        <w:t xml:space="preserve">о </w:t>
      </w:r>
      <w:r w:rsidR="00F83AE8" w:rsidRPr="00A312C5">
        <w:rPr>
          <w:rFonts w:ascii="Times New Roman" w:hAnsi="Times New Roman" w:cs="Times New Roman"/>
          <w:sz w:val="24"/>
          <w:szCs w:val="24"/>
        </w:rPr>
        <w:t>следовани</w:t>
      </w:r>
      <w:r w:rsidR="007F766D">
        <w:rPr>
          <w:rFonts w:ascii="Times New Roman" w:hAnsi="Times New Roman" w:cs="Times New Roman"/>
          <w:sz w:val="24"/>
          <w:szCs w:val="24"/>
        </w:rPr>
        <w:t>и</w:t>
      </w:r>
      <w:r w:rsidR="00F83AE8" w:rsidRPr="00A312C5">
        <w:rPr>
          <w:rFonts w:ascii="Times New Roman" w:hAnsi="Times New Roman" w:cs="Times New Roman"/>
          <w:sz w:val="24"/>
          <w:szCs w:val="24"/>
        </w:rPr>
        <w:t xml:space="preserve"> предыдущим успешным стратегиям при наступлении кризиса. </w:t>
      </w:r>
      <w:r w:rsidR="009B0E86" w:rsidRPr="00A312C5">
        <w:rPr>
          <w:rFonts w:ascii="Times New Roman" w:hAnsi="Times New Roman" w:cs="Times New Roman"/>
          <w:sz w:val="24"/>
          <w:szCs w:val="24"/>
        </w:rPr>
        <w:t>Таким образом, мы можем ожидать увеличение инновационной активности компаний в посткризисный период.</w:t>
      </w:r>
    </w:p>
    <w:p w14:paraId="746DE6C6" w14:textId="7D87AE84" w:rsidR="002776FC" w:rsidRPr="00A312C5" w:rsidRDefault="00930712" w:rsidP="00A548F1">
      <w:pPr>
        <w:pStyle w:val="2"/>
        <w:numPr>
          <w:ilvl w:val="1"/>
          <w:numId w:val="1"/>
        </w:numPr>
        <w:ind w:left="1276" w:hanging="567"/>
        <w:rPr>
          <w:rFonts w:cs="Times New Roman"/>
        </w:rPr>
      </w:pPr>
      <w:bookmarkStart w:id="20" w:name="_Toc73538431"/>
      <w:r w:rsidRPr="00A312C5">
        <w:rPr>
          <w:rFonts w:cs="Times New Roman"/>
        </w:rPr>
        <w:t>Постановка проблемы и исследовательских гипотез</w:t>
      </w:r>
      <w:bookmarkEnd w:id="20"/>
    </w:p>
    <w:p w14:paraId="7AF9DC31" w14:textId="3E9BC952" w:rsidR="0078684A" w:rsidRPr="00A312C5" w:rsidRDefault="0078684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Исходя из обзора литературы, представленного выше, в целях определения детерминант отраслевых инвестиций в НИОКР были сформулированы основные исследовательские гипотезы. </w:t>
      </w:r>
    </w:p>
    <w:p w14:paraId="7987131F" w14:textId="05EE1732" w:rsidR="0078684A" w:rsidRPr="00A312C5" w:rsidRDefault="0078684A" w:rsidP="003D4B4B">
      <w:pPr>
        <w:pStyle w:val="4"/>
        <w:ind w:left="709"/>
        <w:rPr>
          <w:rFonts w:cs="Times New Roman"/>
        </w:rPr>
      </w:pPr>
      <w:r w:rsidRPr="00A312C5">
        <w:rPr>
          <w:rFonts w:cs="Times New Roman"/>
        </w:rPr>
        <w:t xml:space="preserve">Операционная рентабельность в отрасли </w:t>
      </w:r>
    </w:p>
    <w:p w14:paraId="19FC969C" w14:textId="40803DEA" w:rsidR="00942AD8" w:rsidRPr="00A312C5" w:rsidRDefault="00E4597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Интуитивно мы можем предположить, что </w:t>
      </w:r>
      <w:r w:rsidR="00BE1EFF" w:rsidRPr="00A312C5">
        <w:rPr>
          <w:rFonts w:ascii="Times New Roman" w:hAnsi="Times New Roman" w:cs="Times New Roman"/>
          <w:sz w:val="24"/>
          <w:szCs w:val="24"/>
        </w:rPr>
        <w:t>реализация 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направленная на создание новых продуктов и улучшение процессов, ведет к увеличению прибыли компании в долгосрочной перспективе. </w:t>
      </w:r>
      <w:r w:rsidR="00942AD8" w:rsidRPr="00A312C5">
        <w:rPr>
          <w:rFonts w:ascii="Times New Roman" w:hAnsi="Times New Roman" w:cs="Times New Roman"/>
          <w:sz w:val="24"/>
          <w:szCs w:val="24"/>
        </w:rPr>
        <w:t xml:space="preserve">При условии, что операционная прибыль является основным источником финансирования исследований и разработок, этот показатель </w:t>
      </w:r>
      <w:r w:rsidR="00BE1EFF" w:rsidRPr="00A312C5">
        <w:rPr>
          <w:rFonts w:ascii="Times New Roman" w:hAnsi="Times New Roman" w:cs="Times New Roman"/>
          <w:sz w:val="24"/>
          <w:szCs w:val="24"/>
        </w:rPr>
        <w:t>будет иметь</w:t>
      </w:r>
      <w:r w:rsidR="00942AD8" w:rsidRPr="00A312C5">
        <w:rPr>
          <w:rFonts w:ascii="Times New Roman" w:hAnsi="Times New Roman" w:cs="Times New Roman"/>
          <w:sz w:val="24"/>
          <w:szCs w:val="24"/>
        </w:rPr>
        <w:t xml:space="preserve"> прямую взаимосвязь с объемом инвестиций компании в НИОКР.</w:t>
      </w:r>
      <w:r w:rsidRPr="00A312C5">
        <w:rPr>
          <w:rFonts w:ascii="Times New Roman" w:hAnsi="Times New Roman" w:cs="Times New Roman"/>
          <w:sz w:val="24"/>
          <w:szCs w:val="24"/>
        </w:rPr>
        <w:t xml:space="preserve"> Данное предположение подтверждается исследованием, </w:t>
      </w:r>
      <w:r w:rsidR="0004755A" w:rsidRPr="00A312C5">
        <w:rPr>
          <w:rFonts w:ascii="Times New Roman" w:hAnsi="Times New Roman" w:cs="Times New Roman"/>
          <w:sz w:val="24"/>
          <w:szCs w:val="24"/>
        </w:rPr>
        <w:t>определяющим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инвестиции в НИОКР </w:t>
      </w:r>
      <w:r w:rsidR="00503AB6">
        <w:rPr>
          <w:rFonts w:ascii="Times New Roman" w:hAnsi="Times New Roman" w:cs="Times New Roman"/>
          <w:sz w:val="24"/>
          <w:szCs w:val="24"/>
        </w:rPr>
        <w:t>на основе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концепции реальных опционов </w:t>
      </w:r>
      <w:r w:rsidR="00F50B92" w:rsidRPr="00F50B9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Bukhvalov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</w:t>
      </w:r>
      <w:r w:rsidR="00F50B92" w:rsidRPr="00F5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Loukianova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Nikulin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Okulov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 2018</w:t>
      </w:r>
      <w:r w:rsidR="00F50B92" w:rsidRPr="00F50B92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.  С другой стороны, слишком большие расходы на НИОКР могут снизить прибыль, не гарантируя при этом успешного результата.</w:t>
      </w:r>
      <w:r w:rsidR="00BE1EFF" w:rsidRPr="00A312C5">
        <w:rPr>
          <w:rFonts w:ascii="Times New Roman" w:hAnsi="Times New Roman" w:cs="Times New Roman"/>
          <w:sz w:val="24"/>
          <w:szCs w:val="24"/>
        </w:rPr>
        <w:t xml:space="preserve"> Для проверки данного предположения</w:t>
      </w:r>
      <w:r w:rsidR="00942AD8" w:rsidRPr="00A312C5">
        <w:rPr>
          <w:rFonts w:ascii="Times New Roman" w:hAnsi="Times New Roman" w:cs="Times New Roman"/>
          <w:sz w:val="24"/>
          <w:szCs w:val="24"/>
        </w:rPr>
        <w:t xml:space="preserve"> можно сформулировать следующую</w:t>
      </w:r>
      <w:r w:rsidR="00186360" w:rsidRPr="00A312C5">
        <w:rPr>
          <w:rFonts w:ascii="Times New Roman" w:hAnsi="Times New Roman" w:cs="Times New Roman"/>
          <w:sz w:val="24"/>
          <w:szCs w:val="24"/>
        </w:rPr>
        <w:t xml:space="preserve"> исследовательскую</w:t>
      </w:r>
      <w:r w:rsidR="00942AD8" w:rsidRPr="00A312C5">
        <w:rPr>
          <w:rFonts w:ascii="Times New Roman" w:hAnsi="Times New Roman" w:cs="Times New Roman"/>
          <w:sz w:val="24"/>
          <w:szCs w:val="24"/>
        </w:rPr>
        <w:t xml:space="preserve"> гипотезу:</w:t>
      </w:r>
    </w:p>
    <w:p w14:paraId="1C2BB899" w14:textId="68CC4486" w:rsidR="00FF25C2" w:rsidRPr="00A312C5" w:rsidRDefault="00FF25C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Н1: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операционной </w:t>
      </w:r>
      <w:r w:rsidR="00503AB6">
        <w:rPr>
          <w:rFonts w:ascii="Times New Roman" w:hAnsi="Times New Roman" w:cs="Times New Roman"/>
          <w:sz w:val="24"/>
          <w:szCs w:val="24"/>
        </w:rPr>
        <w:t>рентабельностью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отрасли и объемами инвестиций компаний в НИОКР</w:t>
      </w:r>
      <w:r w:rsidR="00503AB6">
        <w:rPr>
          <w:rFonts w:ascii="Times New Roman" w:hAnsi="Times New Roman" w:cs="Times New Roman"/>
          <w:sz w:val="24"/>
          <w:szCs w:val="24"/>
        </w:rPr>
        <w:t>.</w:t>
      </w:r>
    </w:p>
    <w:p w14:paraId="0502307C" w14:textId="272E3931" w:rsidR="0078684A" w:rsidRPr="00A312C5" w:rsidRDefault="003F487F" w:rsidP="003D4B4B">
      <w:pPr>
        <w:pStyle w:val="4"/>
        <w:ind w:left="709"/>
        <w:rPr>
          <w:rFonts w:cs="Times New Roman"/>
        </w:rPr>
      </w:pPr>
      <w:r w:rsidRPr="00A312C5">
        <w:rPr>
          <w:rFonts w:cs="Times New Roman"/>
        </w:rPr>
        <w:t>Выручка</w:t>
      </w:r>
      <w:r w:rsidR="00FF6851" w:rsidRPr="00A312C5">
        <w:rPr>
          <w:rFonts w:cs="Times New Roman"/>
        </w:rPr>
        <w:t xml:space="preserve"> </w:t>
      </w:r>
    </w:p>
    <w:p w14:paraId="5988C78D" w14:textId="135A0282" w:rsidR="003F487F" w:rsidRPr="00A312C5" w:rsidRDefault="00C2282E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Компании с высокой выручкой обладают большей финансовой свободой. Высокие обороты позволяют варьировать денежные потоки и вкладывать заработанные средства в </w:t>
      </w:r>
      <w:r w:rsidR="004C327C" w:rsidRPr="00A312C5">
        <w:rPr>
          <w:rFonts w:ascii="Times New Roman" w:hAnsi="Times New Roman" w:cs="Times New Roman"/>
          <w:sz w:val="24"/>
          <w:szCs w:val="24"/>
        </w:rPr>
        <w:t>развитие инновационных проектов. Исходя из этого, можно предположить, что:</w:t>
      </w:r>
    </w:p>
    <w:p w14:paraId="54557C0E" w14:textId="7F6DB6F8" w:rsidR="00FF25C2" w:rsidRPr="00A312C5" w:rsidRDefault="00FF25C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Н2: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3F487F" w:rsidRPr="00A312C5">
        <w:rPr>
          <w:rFonts w:ascii="Times New Roman" w:hAnsi="Times New Roman" w:cs="Times New Roman"/>
          <w:sz w:val="24"/>
          <w:szCs w:val="24"/>
        </w:rPr>
        <w:t>в среднем при прочих равных с ростом выручки в отрасли увеличивается интенсивность НИОКР</w:t>
      </w:r>
      <w:r w:rsidR="00503AB6">
        <w:rPr>
          <w:rFonts w:ascii="Times New Roman" w:hAnsi="Times New Roman" w:cs="Times New Roman"/>
          <w:sz w:val="24"/>
          <w:szCs w:val="24"/>
        </w:rPr>
        <w:t>.</w:t>
      </w:r>
    </w:p>
    <w:p w14:paraId="43A3E3F2" w14:textId="11A30935" w:rsidR="0078684A" w:rsidRPr="00A312C5" w:rsidRDefault="0078684A" w:rsidP="003D4B4B">
      <w:pPr>
        <w:pStyle w:val="4"/>
        <w:ind w:left="709"/>
        <w:rPr>
          <w:rFonts w:cs="Times New Roman"/>
        </w:rPr>
      </w:pPr>
      <w:r w:rsidRPr="00A312C5">
        <w:rPr>
          <w:rFonts w:cs="Times New Roman"/>
        </w:rPr>
        <w:t xml:space="preserve">Рыночная концентрация </w:t>
      </w:r>
    </w:p>
    <w:p w14:paraId="36A4FD96" w14:textId="4B17BC0D" w:rsidR="00124BA1" w:rsidRPr="00A312C5" w:rsidRDefault="00D7563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2C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954424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Schumpeter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 1942</w:t>
      </w:r>
      <w:r w:rsidR="00954424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 xml:space="preserve"> утверждал, что </w:t>
      </w:r>
      <w:r w:rsidR="002E60C2">
        <w:rPr>
          <w:rFonts w:ascii="Times New Roman" w:hAnsi="Times New Roman" w:cs="Times New Roman"/>
          <w:sz w:val="24"/>
          <w:szCs w:val="24"/>
        </w:rPr>
        <w:t>крупные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03AB6">
        <w:rPr>
          <w:rFonts w:ascii="Times New Roman" w:hAnsi="Times New Roman" w:cs="Times New Roman"/>
          <w:sz w:val="24"/>
          <w:szCs w:val="24"/>
        </w:rPr>
        <w:t>компании</w:t>
      </w:r>
      <w:r w:rsidRPr="00A312C5">
        <w:rPr>
          <w:rFonts w:ascii="Times New Roman" w:hAnsi="Times New Roman" w:cs="Times New Roman"/>
          <w:sz w:val="24"/>
          <w:szCs w:val="24"/>
        </w:rPr>
        <w:t>, оперирующ</w:t>
      </w:r>
      <w:r w:rsidR="00503AB6">
        <w:rPr>
          <w:rFonts w:ascii="Times New Roman" w:hAnsi="Times New Roman" w:cs="Times New Roman"/>
          <w:sz w:val="24"/>
          <w:szCs w:val="24"/>
        </w:rPr>
        <w:t>ие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 </w:t>
      </w:r>
      <w:r w:rsidR="00503AB6">
        <w:rPr>
          <w:rFonts w:ascii="Times New Roman" w:hAnsi="Times New Roman" w:cs="Times New Roman"/>
          <w:sz w:val="24"/>
          <w:szCs w:val="24"/>
        </w:rPr>
        <w:t>высоко</w:t>
      </w:r>
      <w:r w:rsidRPr="00A312C5">
        <w:rPr>
          <w:rFonts w:ascii="Times New Roman" w:hAnsi="Times New Roman" w:cs="Times New Roman"/>
          <w:sz w:val="24"/>
          <w:szCs w:val="24"/>
        </w:rPr>
        <w:t xml:space="preserve">концентрированном рынке, </w:t>
      </w:r>
      <w:r w:rsidR="00503AB6">
        <w:rPr>
          <w:rFonts w:ascii="Times New Roman" w:hAnsi="Times New Roman" w:cs="Times New Roman"/>
          <w:sz w:val="24"/>
          <w:szCs w:val="24"/>
        </w:rPr>
        <w:t>являются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03AB6">
        <w:rPr>
          <w:rFonts w:ascii="Times New Roman" w:hAnsi="Times New Roman" w:cs="Times New Roman"/>
          <w:sz w:val="24"/>
          <w:szCs w:val="24"/>
        </w:rPr>
        <w:t>одним из самых сильных двигателей прогресса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BE1EFF" w:rsidRPr="00A312C5">
        <w:rPr>
          <w:rFonts w:ascii="Times New Roman" w:hAnsi="Times New Roman" w:cs="Times New Roman"/>
          <w:sz w:val="24"/>
          <w:szCs w:val="24"/>
        </w:rPr>
        <w:t>Автор</w:t>
      </w:r>
      <w:r w:rsidR="00CE0E5E" w:rsidRPr="00A312C5">
        <w:rPr>
          <w:rFonts w:ascii="Times New Roman" w:hAnsi="Times New Roman" w:cs="Times New Roman"/>
          <w:sz w:val="24"/>
          <w:szCs w:val="24"/>
        </w:rPr>
        <w:t xml:space="preserve"> определяет монополистическую прибыль как действенны</w:t>
      </w:r>
      <w:r w:rsidR="00326789" w:rsidRPr="00A312C5">
        <w:rPr>
          <w:rFonts w:ascii="Times New Roman" w:hAnsi="Times New Roman" w:cs="Times New Roman"/>
          <w:sz w:val="24"/>
          <w:szCs w:val="24"/>
        </w:rPr>
        <w:t>й</w:t>
      </w:r>
      <w:r w:rsidR="00CE0E5E" w:rsidRPr="00A312C5">
        <w:rPr>
          <w:rFonts w:ascii="Times New Roman" w:hAnsi="Times New Roman" w:cs="Times New Roman"/>
          <w:sz w:val="24"/>
          <w:szCs w:val="24"/>
        </w:rPr>
        <w:t xml:space="preserve"> способ </w:t>
      </w:r>
      <w:r w:rsidR="00CE0E5E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накопления денежных средств для инвестирования в НИОКР. Монополист может располагать факторами производства, недоступными конкурирующим игрокам. </w:t>
      </w:r>
      <w:proofErr w:type="spellStart"/>
      <w:r w:rsidR="002E60C2">
        <w:rPr>
          <w:rFonts w:ascii="Times New Roman" w:hAnsi="Times New Roman" w:cs="Times New Roman"/>
          <w:sz w:val="24"/>
          <w:szCs w:val="24"/>
        </w:rPr>
        <w:t>Низко</w:t>
      </w:r>
      <w:r w:rsidR="00326789" w:rsidRPr="00A312C5">
        <w:rPr>
          <w:rFonts w:ascii="Times New Roman" w:hAnsi="Times New Roman" w:cs="Times New Roman"/>
          <w:sz w:val="24"/>
          <w:szCs w:val="24"/>
        </w:rPr>
        <w:t>конкурентный</w:t>
      </w:r>
      <w:proofErr w:type="spellEnd"/>
      <w:r w:rsidR="00326789" w:rsidRPr="00A312C5">
        <w:rPr>
          <w:rFonts w:ascii="Times New Roman" w:hAnsi="Times New Roman" w:cs="Times New Roman"/>
          <w:sz w:val="24"/>
          <w:szCs w:val="24"/>
        </w:rPr>
        <w:t xml:space="preserve"> рынок</w:t>
      </w:r>
      <w:r w:rsidR="00CE0E5E" w:rsidRPr="00A312C5">
        <w:rPr>
          <w:rFonts w:ascii="Times New Roman" w:hAnsi="Times New Roman" w:cs="Times New Roman"/>
          <w:sz w:val="24"/>
          <w:szCs w:val="24"/>
        </w:rPr>
        <w:t xml:space="preserve">, с другой стороны, может провоцировать появление </w:t>
      </w:r>
      <w:r w:rsidR="00BE1EFF" w:rsidRPr="00A312C5">
        <w:rPr>
          <w:rFonts w:ascii="Times New Roman" w:hAnsi="Times New Roman" w:cs="Times New Roman"/>
          <w:sz w:val="24"/>
          <w:szCs w:val="24"/>
        </w:rPr>
        <w:t>неподходящей</w:t>
      </w:r>
      <w:r w:rsidR="00CE0E5E" w:rsidRPr="00A312C5">
        <w:rPr>
          <w:rFonts w:ascii="Times New Roman" w:hAnsi="Times New Roman" w:cs="Times New Roman"/>
          <w:sz w:val="24"/>
          <w:szCs w:val="24"/>
        </w:rPr>
        <w:t xml:space="preserve"> организационной структуры и менее производительной технологии, что по мнению автора</w:t>
      </w:r>
      <w:r w:rsidR="00326789" w:rsidRPr="00A312C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E1EFF" w:rsidRPr="00A312C5">
        <w:rPr>
          <w:rFonts w:ascii="Times New Roman" w:hAnsi="Times New Roman" w:cs="Times New Roman"/>
          <w:sz w:val="24"/>
          <w:szCs w:val="24"/>
        </w:rPr>
        <w:t>неэффективным</w:t>
      </w:r>
      <w:r w:rsidR="00326789" w:rsidRPr="00A312C5">
        <w:rPr>
          <w:rFonts w:ascii="Times New Roman" w:hAnsi="Times New Roman" w:cs="Times New Roman"/>
          <w:sz w:val="24"/>
          <w:szCs w:val="24"/>
        </w:rPr>
        <w:t xml:space="preserve"> в контексте стимулирования инноваций.</w:t>
      </w:r>
      <w:r w:rsidR="002A7121" w:rsidRPr="00A312C5">
        <w:rPr>
          <w:rFonts w:ascii="Times New Roman" w:hAnsi="Times New Roman" w:cs="Times New Roman"/>
          <w:sz w:val="24"/>
          <w:szCs w:val="24"/>
        </w:rPr>
        <w:t xml:space="preserve"> Компания-монополист в данном случае обладает средствами и стимулом наращивать объемы НИОКР.</w:t>
      </w:r>
      <w:r w:rsidR="0032678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Исследование Шерера, рассмотренное выше,</w:t>
      </w:r>
      <w:r w:rsidR="00F50B92">
        <w:rPr>
          <w:rFonts w:ascii="Times New Roman" w:hAnsi="Times New Roman" w:cs="Times New Roman"/>
          <w:sz w:val="24"/>
          <w:szCs w:val="24"/>
        </w:rPr>
        <w:t xml:space="preserve"> </w:t>
      </w:r>
      <w:r w:rsidR="00F50B92" w:rsidRPr="00A312C5">
        <w:rPr>
          <w:rFonts w:ascii="Times New Roman" w:hAnsi="Times New Roman" w:cs="Times New Roman"/>
          <w:sz w:val="24"/>
          <w:szCs w:val="24"/>
        </w:rPr>
        <w:t>[</w:t>
      </w:r>
      <w:r w:rsidR="00F50B92" w:rsidRPr="00A312C5">
        <w:rPr>
          <w:rFonts w:ascii="Times New Roman" w:hAnsi="Times New Roman" w:cs="Times New Roman"/>
          <w:sz w:val="24"/>
          <w:szCs w:val="24"/>
          <w:lang w:val="en-US"/>
        </w:rPr>
        <w:t>Scherer</w:t>
      </w:r>
      <w:r w:rsidR="00F50B92" w:rsidRPr="00A312C5">
        <w:rPr>
          <w:rFonts w:ascii="Times New Roman" w:hAnsi="Times New Roman" w:cs="Times New Roman"/>
          <w:sz w:val="24"/>
          <w:szCs w:val="24"/>
        </w:rPr>
        <w:t>, 1983]</w:t>
      </w:r>
      <w:r w:rsidRPr="00A312C5">
        <w:rPr>
          <w:rFonts w:ascii="Times New Roman" w:hAnsi="Times New Roman" w:cs="Times New Roman"/>
          <w:sz w:val="24"/>
          <w:szCs w:val="24"/>
        </w:rPr>
        <w:t xml:space="preserve"> также постулирует наличие взаимосвязи между рыночной концентрацией и объемом инвестиций в НИОКР. </w:t>
      </w:r>
      <w:r w:rsidR="00F50B92">
        <w:rPr>
          <w:rFonts w:ascii="Times New Roman" w:hAnsi="Times New Roman" w:cs="Times New Roman"/>
          <w:sz w:val="24"/>
          <w:szCs w:val="24"/>
        </w:rPr>
        <w:t>С</w:t>
      </w:r>
      <w:r w:rsidR="002A7121" w:rsidRPr="00A312C5">
        <w:rPr>
          <w:rFonts w:ascii="Times New Roman" w:hAnsi="Times New Roman" w:cs="Times New Roman"/>
          <w:sz w:val="24"/>
          <w:szCs w:val="24"/>
        </w:rPr>
        <w:t>уществует</w:t>
      </w:r>
      <w:r w:rsidR="00F50B92">
        <w:rPr>
          <w:rFonts w:ascii="Times New Roman" w:hAnsi="Times New Roman" w:cs="Times New Roman"/>
          <w:sz w:val="24"/>
          <w:szCs w:val="24"/>
        </w:rPr>
        <w:t xml:space="preserve"> и</w:t>
      </w:r>
      <w:r w:rsidR="002A7121" w:rsidRPr="00A312C5">
        <w:rPr>
          <w:rFonts w:ascii="Times New Roman" w:hAnsi="Times New Roman" w:cs="Times New Roman"/>
          <w:sz w:val="24"/>
          <w:szCs w:val="24"/>
        </w:rPr>
        <w:t xml:space="preserve"> противоположная точка зрения: Адам Смит</w:t>
      </w:r>
      <w:r w:rsidR="00954424" w:rsidRPr="00A312C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A7121" w:rsidRPr="00A312C5">
        <w:rPr>
          <w:rFonts w:ascii="Times New Roman" w:hAnsi="Times New Roman" w:cs="Times New Roman"/>
          <w:sz w:val="24"/>
          <w:szCs w:val="24"/>
        </w:rPr>
        <w:t xml:space="preserve">утверждал, что </w:t>
      </w:r>
      <w:r w:rsidR="003202C2" w:rsidRPr="00A312C5">
        <w:rPr>
          <w:rFonts w:ascii="Times New Roman" w:hAnsi="Times New Roman" w:cs="Times New Roman"/>
          <w:sz w:val="24"/>
          <w:szCs w:val="24"/>
        </w:rPr>
        <w:t>экономическое развитие стимулируется именно свободной конкуренцией</w:t>
      </w:r>
      <w:r w:rsidR="00954424" w:rsidRPr="00A312C5">
        <w:rPr>
          <w:rFonts w:ascii="Times New Roman" w:hAnsi="Times New Roman" w:cs="Times New Roman"/>
          <w:sz w:val="24"/>
          <w:szCs w:val="24"/>
        </w:rPr>
        <w:t xml:space="preserve"> [Смит, 2019]</w:t>
      </w:r>
      <w:r w:rsidR="003202C2" w:rsidRPr="00A312C5">
        <w:rPr>
          <w:rFonts w:ascii="Times New Roman" w:hAnsi="Times New Roman" w:cs="Times New Roman"/>
          <w:sz w:val="24"/>
          <w:szCs w:val="24"/>
        </w:rPr>
        <w:t>. Таким образом, чтобы проверить данное утверждение, протестируем соответствующую исследовательскую гипотезу:</w:t>
      </w:r>
    </w:p>
    <w:p w14:paraId="18AE32F7" w14:textId="12D2C84A" w:rsidR="00FF25C2" w:rsidRPr="00A312C5" w:rsidRDefault="00FF25C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Н3: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рыночной концентрацией в отрасли и объемами инвестиций в НИОКР</w:t>
      </w:r>
      <w:r w:rsidR="00503AB6">
        <w:rPr>
          <w:rFonts w:ascii="Times New Roman" w:hAnsi="Times New Roman" w:cs="Times New Roman"/>
          <w:sz w:val="24"/>
          <w:szCs w:val="24"/>
        </w:rPr>
        <w:t>.</w:t>
      </w:r>
    </w:p>
    <w:p w14:paraId="697E7EEA" w14:textId="27974B40" w:rsidR="00FF6851" w:rsidRPr="00A312C5" w:rsidRDefault="00862D27" w:rsidP="003D4B4B">
      <w:pPr>
        <w:pStyle w:val="4"/>
        <w:ind w:left="709"/>
        <w:rPr>
          <w:rFonts w:cs="Times New Roman"/>
        </w:rPr>
      </w:pPr>
      <w:r w:rsidRPr="00503AB6">
        <w:rPr>
          <w:rFonts w:cs="Times New Roman"/>
        </w:rPr>
        <w:t xml:space="preserve">Волатильность </w:t>
      </w:r>
      <w:r w:rsidR="00700054" w:rsidRPr="00503AB6">
        <w:rPr>
          <w:rFonts w:cs="Times New Roman"/>
        </w:rPr>
        <w:t>ценности фирмы</w:t>
      </w:r>
    </w:p>
    <w:p w14:paraId="2E47BCBA" w14:textId="69778C9D" w:rsidR="00124BA1" w:rsidRPr="00A312C5" w:rsidRDefault="0070005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Как упоминалось в </w:t>
      </w:r>
      <w:r w:rsidR="002E60C2">
        <w:rPr>
          <w:rFonts w:ascii="Times New Roman" w:hAnsi="Times New Roman" w:cs="Times New Roman"/>
          <w:sz w:val="24"/>
          <w:szCs w:val="24"/>
        </w:rPr>
        <w:t>представленном выше обзоре литературы</w:t>
      </w:r>
      <w:r w:rsidRPr="00A312C5">
        <w:rPr>
          <w:rFonts w:ascii="Times New Roman" w:hAnsi="Times New Roman" w:cs="Times New Roman"/>
          <w:sz w:val="24"/>
          <w:szCs w:val="24"/>
        </w:rPr>
        <w:t xml:space="preserve">, инвестиции в НИОКР можно рассматривать как реальные опционы. В таком случае с ростом </w:t>
      </w:r>
      <w:r w:rsidR="00503AB6">
        <w:rPr>
          <w:rFonts w:ascii="Times New Roman" w:hAnsi="Times New Roman" w:cs="Times New Roman"/>
          <w:sz w:val="24"/>
          <w:szCs w:val="24"/>
        </w:rPr>
        <w:t>волатильности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повышается неопределенность, что в свою очередь, обуславливает </w:t>
      </w:r>
      <w:r w:rsidR="00F50B92">
        <w:rPr>
          <w:rFonts w:ascii="Times New Roman" w:hAnsi="Times New Roman" w:cs="Times New Roman"/>
          <w:sz w:val="24"/>
          <w:szCs w:val="24"/>
        </w:rPr>
        <w:t>рост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ценности такого опциона. Чем более высокое значение принимает этот параметр, тем вер</w:t>
      </w:r>
      <w:r w:rsidR="000B4E6C" w:rsidRPr="00A312C5">
        <w:rPr>
          <w:rFonts w:ascii="Times New Roman" w:hAnsi="Times New Roman" w:cs="Times New Roman"/>
          <w:sz w:val="24"/>
          <w:szCs w:val="24"/>
        </w:rPr>
        <w:t>оятнее, данный инвестиционный проект принесет выгоду. Исходя из этого можно предположить, что:</w:t>
      </w:r>
    </w:p>
    <w:p w14:paraId="127F06DA" w14:textId="1BC42456" w:rsidR="00700054" w:rsidRPr="00A312C5" w:rsidRDefault="00FF685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Н4</w:t>
      </w:r>
      <w:r w:rsidR="00700054" w:rsidRPr="00A312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0054" w:rsidRPr="00A312C5">
        <w:rPr>
          <w:rFonts w:ascii="Times New Roman" w:hAnsi="Times New Roman" w:cs="Times New Roman"/>
          <w:sz w:val="24"/>
          <w:szCs w:val="24"/>
        </w:rPr>
        <w:t xml:space="preserve"> между стандартным отклонением ценности фирмы и интенсивностью НИОКР есть прямая взаимосвязь</w:t>
      </w:r>
      <w:r w:rsidR="006A49C0">
        <w:rPr>
          <w:rFonts w:ascii="Times New Roman" w:hAnsi="Times New Roman" w:cs="Times New Roman"/>
          <w:sz w:val="24"/>
          <w:szCs w:val="24"/>
        </w:rPr>
        <w:t>.</w:t>
      </w:r>
    </w:p>
    <w:p w14:paraId="3BB5604F" w14:textId="57799CCB" w:rsidR="00700054" w:rsidRPr="00A312C5" w:rsidRDefault="00700054" w:rsidP="003D4B4B">
      <w:pPr>
        <w:pStyle w:val="4"/>
        <w:ind w:left="851"/>
        <w:rPr>
          <w:rFonts w:cs="Times New Roman"/>
        </w:rPr>
      </w:pPr>
      <w:r w:rsidRPr="00A312C5">
        <w:rPr>
          <w:rFonts w:cs="Times New Roman"/>
        </w:rPr>
        <w:t>Рентабельность собственного капитала</w:t>
      </w:r>
    </w:p>
    <w:p w14:paraId="6F81012B" w14:textId="1C873DED" w:rsidR="000B4E6C" w:rsidRPr="00A312C5" w:rsidRDefault="000B4E6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Для анализа операционной эффективности компаний </w:t>
      </w:r>
      <w:r w:rsidR="006A49C0">
        <w:rPr>
          <w:rFonts w:ascii="Times New Roman" w:hAnsi="Times New Roman" w:cs="Times New Roman"/>
          <w:sz w:val="24"/>
          <w:szCs w:val="24"/>
        </w:rPr>
        <w:t>используются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финансовые </w:t>
      </w:r>
      <w:r w:rsidR="006A49C0">
        <w:rPr>
          <w:rFonts w:ascii="Times New Roman" w:hAnsi="Times New Roman" w:cs="Times New Roman"/>
          <w:sz w:val="24"/>
          <w:szCs w:val="24"/>
        </w:rPr>
        <w:t>индикаторы</w:t>
      </w:r>
      <w:r w:rsidRPr="00A312C5">
        <w:rPr>
          <w:rFonts w:ascii="Times New Roman" w:hAnsi="Times New Roman" w:cs="Times New Roman"/>
          <w:sz w:val="24"/>
          <w:szCs w:val="24"/>
        </w:rPr>
        <w:t>, позволяющие реализовывать сравнение не только на уровне фирм</w:t>
      </w:r>
      <w:r w:rsidR="00333D08">
        <w:rPr>
          <w:rFonts w:ascii="Times New Roman" w:hAnsi="Times New Roman" w:cs="Times New Roman"/>
          <w:sz w:val="24"/>
          <w:szCs w:val="24"/>
        </w:rPr>
        <w:t>ы</w:t>
      </w:r>
      <w:r w:rsidRPr="00A312C5">
        <w:rPr>
          <w:rFonts w:ascii="Times New Roman" w:hAnsi="Times New Roman" w:cs="Times New Roman"/>
          <w:sz w:val="24"/>
          <w:szCs w:val="24"/>
        </w:rPr>
        <w:t>, но и на отраслевом уровне. Одним из наиболее часто применяемых показателей является рентабельность собственного капитала. Он отражает эффективность использования капитала, принадлежащего собственникам. Поскольку инвестирование в НИОКР требует управленческой экспертизы и опыта, а также наличия свободных средств, можно сформулировать исследовательскую гипотезу:</w:t>
      </w:r>
    </w:p>
    <w:p w14:paraId="3B5683DC" w14:textId="0B5F812C" w:rsidR="00FF6851" w:rsidRPr="00A312C5" w:rsidRDefault="0070005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Н5: </w:t>
      </w:r>
      <w:r w:rsidRPr="00A312C5">
        <w:rPr>
          <w:rFonts w:ascii="Times New Roman" w:hAnsi="Times New Roman" w:cs="Times New Roman"/>
          <w:sz w:val="24"/>
          <w:szCs w:val="24"/>
        </w:rPr>
        <w:t>рост рентабельности собственного капитала положительно влияет на интенсивность НИОКР</w:t>
      </w:r>
      <w:r w:rsidR="006A49C0">
        <w:rPr>
          <w:rFonts w:ascii="Times New Roman" w:hAnsi="Times New Roman" w:cs="Times New Roman"/>
          <w:sz w:val="24"/>
          <w:szCs w:val="24"/>
        </w:rPr>
        <w:t>.</w:t>
      </w:r>
      <w:r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9824E" w14:textId="4653981B" w:rsidR="00FF25C2" w:rsidRPr="00A312C5" w:rsidRDefault="00FF25C2" w:rsidP="003D4B4B">
      <w:pPr>
        <w:pStyle w:val="3"/>
        <w:numPr>
          <w:ilvl w:val="0"/>
          <w:numId w:val="0"/>
        </w:numPr>
        <w:ind w:left="1019"/>
      </w:pPr>
      <w:bookmarkStart w:id="21" w:name="_Toc73538432"/>
      <w:r w:rsidRPr="00A312C5">
        <w:lastRenderedPageBreak/>
        <w:t xml:space="preserve">Выводы по главе </w:t>
      </w:r>
      <w:r w:rsidR="003D4B4B">
        <w:t>1</w:t>
      </w:r>
      <w:bookmarkEnd w:id="21"/>
    </w:p>
    <w:p w14:paraId="0B14C640" w14:textId="060A72B5" w:rsidR="002A7C85" w:rsidRPr="00A312C5" w:rsidRDefault="002A7C8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Проанализировав различные российские и зарубежные исследования на трех уровнях: уровне компании, отраслевом и страновом, можно </w:t>
      </w:r>
      <w:r w:rsidR="00BE1EFF" w:rsidRPr="00A312C5">
        <w:rPr>
          <w:rFonts w:ascii="Times New Roman" w:hAnsi="Times New Roman" w:cs="Times New Roman"/>
          <w:sz w:val="24"/>
          <w:szCs w:val="24"/>
        </w:rPr>
        <w:t xml:space="preserve">увидеть, что единое мнение </w:t>
      </w:r>
      <w:r w:rsidRPr="00A312C5">
        <w:rPr>
          <w:rFonts w:ascii="Times New Roman" w:hAnsi="Times New Roman" w:cs="Times New Roman"/>
          <w:sz w:val="24"/>
          <w:szCs w:val="24"/>
        </w:rPr>
        <w:t>относительно детерминант инвестиций в НИОКР</w:t>
      </w:r>
      <w:r w:rsidR="00BE1EFF" w:rsidRPr="00A312C5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657B7A" w:rsidRPr="00A312C5">
        <w:rPr>
          <w:rFonts w:ascii="Times New Roman" w:hAnsi="Times New Roman" w:cs="Times New Roman"/>
          <w:sz w:val="24"/>
          <w:szCs w:val="24"/>
        </w:rPr>
        <w:t xml:space="preserve">Большинство изученных работ были изданы в прошлом столетии, что значительно снижает их актуальность в рамках современной повестки. Возвращаясь к проблематике </w:t>
      </w:r>
      <w:r w:rsidR="006A49C0">
        <w:rPr>
          <w:rFonts w:ascii="Times New Roman" w:hAnsi="Times New Roman" w:cs="Times New Roman"/>
          <w:sz w:val="24"/>
          <w:szCs w:val="24"/>
        </w:rPr>
        <w:t>данного исследования</w:t>
      </w:r>
      <w:r w:rsidR="00657B7A" w:rsidRPr="00A312C5">
        <w:rPr>
          <w:rFonts w:ascii="Times New Roman" w:hAnsi="Times New Roman" w:cs="Times New Roman"/>
          <w:sz w:val="24"/>
          <w:szCs w:val="24"/>
        </w:rPr>
        <w:t>, заостренной на теме</w:t>
      </w:r>
      <w:r w:rsidR="00866747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57B7A" w:rsidRPr="00A312C5">
        <w:rPr>
          <w:rFonts w:ascii="Times New Roman" w:hAnsi="Times New Roman" w:cs="Times New Roman"/>
          <w:sz w:val="24"/>
          <w:szCs w:val="24"/>
        </w:rPr>
        <w:t>отраслевых инвестиций в НИОКР, были выделены показатели, которые я считаю важным использовать в дальнейшем анализе</w:t>
      </w:r>
      <w:r w:rsidR="006A49C0">
        <w:rPr>
          <w:rFonts w:ascii="Times New Roman" w:hAnsi="Times New Roman" w:cs="Times New Roman"/>
          <w:sz w:val="24"/>
          <w:szCs w:val="24"/>
        </w:rPr>
        <w:t>. Н</w:t>
      </w:r>
      <w:r w:rsidR="00657B7A" w:rsidRPr="00A312C5">
        <w:rPr>
          <w:rFonts w:ascii="Times New Roman" w:hAnsi="Times New Roman" w:cs="Times New Roman"/>
          <w:sz w:val="24"/>
          <w:szCs w:val="24"/>
        </w:rPr>
        <w:t>а их</w:t>
      </w:r>
      <w:r w:rsidR="007870C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9D3A8C" w:rsidRPr="00A312C5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7870C2" w:rsidRPr="00A312C5">
        <w:rPr>
          <w:rFonts w:ascii="Times New Roman" w:hAnsi="Times New Roman" w:cs="Times New Roman"/>
          <w:sz w:val="24"/>
          <w:szCs w:val="24"/>
        </w:rPr>
        <w:t xml:space="preserve">сформулированы основные исследовательские гипотезы: </w:t>
      </w:r>
    </w:p>
    <w:p w14:paraId="51296E4D" w14:textId="761DEF16" w:rsidR="00F41369" w:rsidRPr="00A312C5" w:rsidRDefault="00F4136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Н1: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операционной рентабельностью в отрасли и объемами инвестиций компаний в НИОКР</w:t>
      </w:r>
      <w:r w:rsidR="00333D08">
        <w:rPr>
          <w:rFonts w:ascii="Times New Roman" w:hAnsi="Times New Roman" w:cs="Times New Roman"/>
          <w:sz w:val="24"/>
          <w:szCs w:val="24"/>
        </w:rPr>
        <w:t>;</w:t>
      </w:r>
    </w:p>
    <w:p w14:paraId="451BE427" w14:textId="756A1B85" w:rsidR="00F41369" w:rsidRPr="00A312C5" w:rsidRDefault="00FF685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Н2: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Hlk68515518"/>
      <w:r w:rsidR="00F55346" w:rsidRPr="00A312C5">
        <w:rPr>
          <w:rFonts w:ascii="Times New Roman" w:hAnsi="Times New Roman" w:cs="Times New Roman"/>
          <w:sz w:val="24"/>
          <w:szCs w:val="24"/>
        </w:rPr>
        <w:t>в среднем при прочих равных с ростом выручки в отрасли увеличивается интенсивность НИОКР</w:t>
      </w:r>
      <w:bookmarkEnd w:id="22"/>
      <w:r w:rsidR="00333D08">
        <w:rPr>
          <w:rFonts w:ascii="Times New Roman" w:hAnsi="Times New Roman" w:cs="Times New Roman"/>
          <w:sz w:val="24"/>
          <w:szCs w:val="24"/>
        </w:rPr>
        <w:t>;</w:t>
      </w:r>
    </w:p>
    <w:p w14:paraId="31A663B5" w14:textId="0408704F" w:rsidR="00FF25C2" w:rsidRPr="00A312C5" w:rsidRDefault="00F4136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Н3: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рыночной концентрацией в отрасли и объемами инвестиций в НИОКР</w:t>
      </w:r>
      <w:r w:rsidR="00333D08">
        <w:rPr>
          <w:rFonts w:ascii="Times New Roman" w:hAnsi="Times New Roman" w:cs="Times New Roman"/>
          <w:sz w:val="24"/>
          <w:szCs w:val="24"/>
        </w:rPr>
        <w:t>;</w:t>
      </w:r>
    </w:p>
    <w:p w14:paraId="1BD355B1" w14:textId="52C9414B" w:rsidR="00F55346" w:rsidRPr="00A312C5" w:rsidRDefault="00FF685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Н4: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55346" w:rsidRPr="00A312C5">
        <w:rPr>
          <w:rFonts w:ascii="Times New Roman" w:hAnsi="Times New Roman" w:cs="Times New Roman"/>
          <w:sz w:val="24"/>
          <w:szCs w:val="24"/>
        </w:rPr>
        <w:t>между стандартным отклонением ценности фирмы и интенсивностью НИОКР есть прямая взаимосвязь</w:t>
      </w:r>
      <w:r w:rsidR="00333D08">
        <w:rPr>
          <w:rFonts w:ascii="Times New Roman" w:hAnsi="Times New Roman" w:cs="Times New Roman"/>
          <w:sz w:val="24"/>
          <w:szCs w:val="24"/>
        </w:rPr>
        <w:t>;</w:t>
      </w:r>
    </w:p>
    <w:p w14:paraId="2CB1A840" w14:textId="229E64FD" w:rsidR="00FF6851" w:rsidRPr="00A312C5" w:rsidRDefault="00F55346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Н5: </w:t>
      </w:r>
      <w:r w:rsidRPr="00A312C5">
        <w:rPr>
          <w:rFonts w:ascii="Times New Roman" w:hAnsi="Times New Roman" w:cs="Times New Roman"/>
          <w:sz w:val="24"/>
          <w:szCs w:val="24"/>
        </w:rPr>
        <w:t>рост рентабельности собственного капитала положительно влияет на интенсивность НИОКР</w:t>
      </w:r>
      <w:r w:rsidR="00333D08">
        <w:rPr>
          <w:rFonts w:ascii="Times New Roman" w:hAnsi="Times New Roman" w:cs="Times New Roman"/>
          <w:sz w:val="24"/>
          <w:szCs w:val="24"/>
        </w:rPr>
        <w:t>.</w:t>
      </w:r>
      <w:r w:rsidR="00FF6851"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FB485" w14:textId="6B0D9112" w:rsidR="00FB3720" w:rsidRDefault="006A49C0" w:rsidP="00F50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B99">
        <w:rPr>
          <w:rFonts w:ascii="Times New Roman" w:hAnsi="Times New Roman" w:cs="Times New Roman"/>
          <w:sz w:val="24"/>
          <w:szCs w:val="24"/>
        </w:rPr>
        <w:t xml:space="preserve">Для реализации исследования </w:t>
      </w:r>
      <w:r w:rsidR="00657B7A" w:rsidRPr="00093B99">
        <w:rPr>
          <w:rFonts w:ascii="Times New Roman" w:hAnsi="Times New Roman" w:cs="Times New Roman"/>
          <w:sz w:val="24"/>
          <w:szCs w:val="24"/>
        </w:rPr>
        <w:t xml:space="preserve">я </w:t>
      </w:r>
      <w:r w:rsidR="009D3A8C" w:rsidRPr="00093B99">
        <w:rPr>
          <w:rFonts w:ascii="Times New Roman" w:hAnsi="Times New Roman" w:cs="Times New Roman"/>
          <w:sz w:val="24"/>
          <w:szCs w:val="24"/>
        </w:rPr>
        <w:t>буду</w:t>
      </w:r>
      <w:r w:rsidR="00657B7A" w:rsidRPr="00093B99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093B99">
        <w:rPr>
          <w:rFonts w:ascii="Times New Roman" w:hAnsi="Times New Roman" w:cs="Times New Roman"/>
          <w:sz w:val="24"/>
          <w:szCs w:val="24"/>
        </w:rPr>
        <w:t xml:space="preserve"> регрессионный анализ по панельным данным, а также отдельные отраслевые регрессионные модели. В число исследуемых факторов войдут такие переменные, как стандартное отклонение ценности фирмы в отрасли, что позволит </w:t>
      </w:r>
      <w:r w:rsidR="00FB3720">
        <w:rPr>
          <w:rFonts w:ascii="Times New Roman" w:hAnsi="Times New Roman" w:cs="Times New Roman"/>
          <w:sz w:val="24"/>
          <w:szCs w:val="24"/>
        </w:rPr>
        <w:t>принять во внимание</w:t>
      </w:r>
      <w:r w:rsidR="00093B99">
        <w:rPr>
          <w:rFonts w:ascii="Times New Roman" w:hAnsi="Times New Roman" w:cs="Times New Roman"/>
          <w:sz w:val="24"/>
          <w:szCs w:val="24"/>
        </w:rPr>
        <w:t xml:space="preserve"> описанную в первой главе</w:t>
      </w:r>
      <w:r w:rsidR="00B431BB" w:rsidRPr="00093B99">
        <w:rPr>
          <w:rFonts w:ascii="Times New Roman" w:hAnsi="Times New Roman" w:cs="Times New Roman"/>
          <w:sz w:val="24"/>
          <w:szCs w:val="24"/>
        </w:rPr>
        <w:t xml:space="preserve"> концепцию реальных опционов</w:t>
      </w:r>
      <w:r w:rsidR="00FB3720">
        <w:rPr>
          <w:rFonts w:ascii="Times New Roman" w:hAnsi="Times New Roman" w:cs="Times New Roman"/>
          <w:sz w:val="24"/>
          <w:szCs w:val="24"/>
        </w:rPr>
        <w:t>.</w:t>
      </w:r>
      <w:r w:rsidR="00B431BB" w:rsidRPr="00093B99">
        <w:rPr>
          <w:rFonts w:ascii="Times New Roman" w:hAnsi="Times New Roman" w:cs="Times New Roman"/>
          <w:sz w:val="24"/>
          <w:szCs w:val="24"/>
        </w:rPr>
        <w:t xml:space="preserve"> </w:t>
      </w:r>
      <w:r w:rsidR="00FB3720">
        <w:rPr>
          <w:rFonts w:ascii="Times New Roman" w:hAnsi="Times New Roman" w:cs="Times New Roman"/>
          <w:sz w:val="24"/>
          <w:szCs w:val="24"/>
        </w:rPr>
        <w:t>Данная концепция имеет важное значение, поскольку она</w:t>
      </w:r>
      <w:r w:rsidR="00B431BB" w:rsidRPr="00093B99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69418746"/>
      <w:r w:rsidR="00FB3720">
        <w:rPr>
          <w:rFonts w:ascii="Times New Roman" w:hAnsi="Times New Roman" w:cs="Times New Roman"/>
          <w:sz w:val="24"/>
          <w:szCs w:val="24"/>
        </w:rPr>
        <w:t>учитывает</w:t>
      </w:r>
      <w:r w:rsidR="00B431BB" w:rsidRPr="00093B99">
        <w:rPr>
          <w:rFonts w:ascii="Times New Roman" w:hAnsi="Times New Roman" w:cs="Times New Roman"/>
          <w:sz w:val="24"/>
          <w:szCs w:val="24"/>
        </w:rPr>
        <w:t xml:space="preserve"> комплексную природу проектов в сфере НИОКР, их рискованность и </w:t>
      </w:r>
      <w:r w:rsidR="009D3A8C" w:rsidRPr="00093B99">
        <w:rPr>
          <w:rFonts w:ascii="Times New Roman" w:hAnsi="Times New Roman" w:cs="Times New Roman"/>
          <w:sz w:val="24"/>
          <w:szCs w:val="24"/>
        </w:rPr>
        <w:t>уникальную гибкость в принятии решений.</w:t>
      </w:r>
      <w:bookmarkEnd w:id="23"/>
    </w:p>
    <w:p w14:paraId="25D6F973" w14:textId="77777777" w:rsidR="00FB3720" w:rsidRDefault="00FB3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0C2800" w14:textId="6CBB703C" w:rsidR="008C15E6" w:rsidRPr="00A312C5" w:rsidRDefault="008C15E6" w:rsidP="00237685">
      <w:pPr>
        <w:pStyle w:val="1"/>
        <w:ind w:firstLine="709"/>
        <w:rPr>
          <w:noProof/>
        </w:rPr>
      </w:pPr>
      <w:bookmarkStart w:id="24" w:name="_Toc73538433"/>
      <w:r w:rsidRPr="00A312C5">
        <w:rPr>
          <w:noProof/>
        </w:rPr>
        <w:lastRenderedPageBreak/>
        <w:t xml:space="preserve">ГЛАВА 2. ЭМПИРИЧЕСКОЕ ИССЛЕДОВАНИЕ </w:t>
      </w:r>
      <w:r w:rsidR="00A704DC" w:rsidRPr="00A312C5">
        <w:rPr>
          <w:noProof/>
        </w:rPr>
        <w:t>ДЕТЕРМИНАНТ ИНТЕНСИВНОСТИ НИОКР НА ОТРАСЛЕВОМ УРОВНЕ</w:t>
      </w:r>
      <w:bookmarkEnd w:id="24"/>
    </w:p>
    <w:p w14:paraId="2D521B4D" w14:textId="4E83DAAD" w:rsidR="008C15E6" w:rsidRPr="00A312C5" w:rsidRDefault="008C15E6" w:rsidP="00A312C5">
      <w:pPr>
        <w:pStyle w:val="2"/>
        <w:ind w:left="1276" w:hanging="567"/>
        <w:rPr>
          <w:rFonts w:cs="Times New Roman"/>
        </w:rPr>
      </w:pPr>
      <w:bookmarkStart w:id="25" w:name="_Toc73538434"/>
      <w:r w:rsidRPr="00A312C5">
        <w:rPr>
          <w:rFonts w:cs="Times New Roman"/>
        </w:rPr>
        <w:t>2.1</w:t>
      </w:r>
      <w:r w:rsidRPr="00A312C5">
        <w:rPr>
          <w:rFonts w:cs="Times New Roman"/>
        </w:rPr>
        <w:tab/>
        <w:t>Формирование выборки</w:t>
      </w:r>
      <w:bookmarkEnd w:id="25"/>
      <w:r w:rsidR="00FF25C2" w:rsidRPr="00A312C5">
        <w:rPr>
          <w:rFonts w:cs="Times New Roman"/>
        </w:rPr>
        <w:t xml:space="preserve"> </w:t>
      </w:r>
    </w:p>
    <w:p w14:paraId="64576E4E" w14:textId="1F5E0FDC" w:rsidR="00AF38E8" w:rsidRPr="00A312C5" w:rsidRDefault="0067510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9419285"/>
      <w:r w:rsidRPr="00A312C5">
        <w:rPr>
          <w:rFonts w:ascii="Times New Roman" w:hAnsi="Times New Roman" w:cs="Times New Roman"/>
          <w:sz w:val="24"/>
          <w:szCs w:val="24"/>
        </w:rPr>
        <w:t xml:space="preserve">Для исследования взаимосвязи отраслевой принадлежности компаний и расходов на НИОКР были использованы данные отчета Европейского Союза об инвестициях в НИОКР за </w:t>
      </w:r>
      <w:r w:rsidR="00C3626A" w:rsidRPr="00A312C5">
        <w:rPr>
          <w:rFonts w:ascii="Times New Roman" w:hAnsi="Times New Roman" w:cs="Times New Roman"/>
          <w:sz w:val="24"/>
          <w:szCs w:val="24"/>
        </w:rPr>
        <w:t>период с 2004 по 2020</w:t>
      </w:r>
      <w:r w:rsidRPr="00A312C5">
        <w:rPr>
          <w:rFonts w:ascii="Times New Roman" w:hAnsi="Times New Roman" w:cs="Times New Roman"/>
          <w:sz w:val="24"/>
          <w:szCs w:val="24"/>
        </w:rPr>
        <w:t xml:space="preserve"> год</w:t>
      </w:r>
      <w:r w:rsidR="000E28AD">
        <w:rPr>
          <w:rFonts w:ascii="Times New Roman" w:hAnsi="Times New Roman" w:cs="Times New Roman"/>
          <w:sz w:val="24"/>
          <w:szCs w:val="24"/>
        </w:rPr>
        <w:t xml:space="preserve"> </w:t>
      </w:r>
      <w:r w:rsidR="000E28AD" w:rsidRPr="00A312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E28AD" w:rsidRPr="00A312C5">
        <w:rPr>
          <w:rFonts w:ascii="Times New Roman" w:hAnsi="Times New Roman" w:cs="Times New Roman"/>
          <w:sz w:val="24"/>
          <w:szCs w:val="24"/>
        </w:rPr>
        <w:t>Hernández</w:t>
      </w:r>
      <w:proofErr w:type="spellEnd"/>
      <w:r w:rsidR="000E28AD" w:rsidRPr="00A312C5">
        <w:rPr>
          <w:rFonts w:ascii="Times New Roman" w:hAnsi="Times New Roman" w:cs="Times New Roman"/>
          <w:sz w:val="24"/>
          <w:szCs w:val="24"/>
        </w:rPr>
        <w:t>, 20</w:t>
      </w:r>
      <w:r w:rsidR="000E28AD">
        <w:rPr>
          <w:rFonts w:ascii="Times New Roman" w:hAnsi="Times New Roman" w:cs="Times New Roman"/>
          <w:sz w:val="24"/>
          <w:szCs w:val="24"/>
        </w:rPr>
        <w:t>20</w:t>
      </w:r>
      <w:r w:rsidR="000E28AD" w:rsidRPr="00A312C5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C3626A"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End w:id="26"/>
      <w:r w:rsidR="00C3626A" w:rsidRPr="00A312C5">
        <w:rPr>
          <w:rFonts w:ascii="Times New Roman" w:hAnsi="Times New Roman" w:cs="Times New Roman"/>
          <w:sz w:val="24"/>
          <w:szCs w:val="24"/>
        </w:rPr>
        <w:t xml:space="preserve">В 2004 году была опубликована первая версия отчета, </w:t>
      </w:r>
      <w:r w:rsidR="003B7BF7">
        <w:rPr>
          <w:rFonts w:ascii="Times New Roman" w:hAnsi="Times New Roman" w:cs="Times New Roman"/>
          <w:sz w:val="24"/>
          <w:szCs w:val="24"/>
        </w:rPr>
        <w:t>включающая</w:t>
      </w:r>
      <w:r w:rsidR="00C3626A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3B7BF7">
        <w:rPr>
          <w:rFonts w:ascii="Times New Roman" w:hAnsi="Times New Roman" w:cs="Times New Roman"/>
          <w:sz w:val="24"/>
          <w:szCs w:val="24"/>
        </w:rPr>
        <w:t>информацию</w:t>
      </w:r>
      <w:r w:rsidR="00C3626A" w:rsidRPr="00A312C5">
        <w:rPr>
          <w:rFonts w:ascii="Times New Roman" w:hAnsi="Times New Roman" w:cs="Times New Roman"/>
          <w:sz w:val="24"/>
          <w:szCs w:val="24"/>
        </w:rPr>
        <w:t xml:space="preserve"> о 500 компаниях. Более поздние версии содержат </w:t>
      </w:r>
      <w:r w:rsidR="003B7BF7">
        <w:rPr>
          <w:rFonts w:ascii="Times New Roman" w:hAnsi="Times New Roman" w:cs="Times New Roman"/>
          <w:sz w:val="24"/>
          <w:szCs w:val="24"/>
        </w:rPr>
        <w:t>данные</w:t>
      </w:r>
      <w:r w:rsidR="00C3626A" w:rsidRPr="00A312C5">
        <w:rPr>
          <w:rFonts w:ascii="Times New Roman" w:hAnsi="Times New Roman" w:cs="Times New Roman"/>
          <w:sz w:val="24"/>
          <w:szCs w:val="24"/>
        </w:rPr>
        <w:t xml:space="preserve"> о деятельности 2500 компаний из различных секторов экономики.</w:t>
      </w:r>
      <w:r w:rsidR="00AF38E8" w:rsidRPr="00A312C5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3B7BF7">
        <w:rPr>
          <w:rFonts w:ascii="Times New Roman" w:hAnsi="Times New Roman" w:cs="Times New Roman"/>
          <w:sz w:val="24"/>
          <w:szCs w:val="24"/>
        </w:rPr>
        <w:t>информации</w:t>
      </w:r>
      <w:r w:rsidR="00AF38E8" w:rsidRPr="00A312C5">
        <w:rPr>
          <w:rFonts w:ascii="Times New Roman" w:hAnsi="Times New Roman" w:cs="Times New Roman"/>
          <w:sz w:val="24"/>
          <w:szCs w:val="24"/>
        </w:rPr>
        <w:t xml:space="preserve"> за такой продолжительный период </w:t>
      </w:r>
      <w:r w:rsidR="00396840" w:rsidRPr="00A312C5">
        <w:rPr>
          <w:rFonts w:ascii="Times New Roman" w:hAnsi="Times New Roman" w:cs="Times New Roman"/>
          <w:sz w:val="24"/>
          <w:szCs w:val="24"/>
        </w:rPr>
        <w:t>может позволить</w:t>
      </w:r>
      <w:r w:rsidR="00AF38E8" w:rsidRPr="00A312C5">
        <w:rPr>
          <w:rFonts w:ascii="Times New Roman" w:hAnsi="Times New Roman" w:cs="Times New Roman"/>
          <w:sz w:val="24"/>
          <w:szCs w:val="24"/>
        </w:rPr>
        <w:t xml:space="preserve"> выявить некоторые закономерности и циклические составляющие динамики, что особенно интересно проследить в рамках исследования.</w:t>
      </w:r>
      <w:r w:rsidR="00F96380" w:rsidRPr="00A312C5">
        <w:rPr>
          <w:rFonts w:ascii="Times New Roman" w:hAnsi="Times New Roman" w:cs="Times New Roman"/>
          <w:sz w:val="24"/>
          <w:szCs w:val="24"/>
        </w:rPr>
        <w:t xml:space="preserve"> Влияние кризиса, вызванного пандемией COVID-19, не отражено в исследовании, поскольку в последней версии отчета за 2020 год использованы данные, относящиеся к </w:t>
      </w:r>
      <w:r w:rsidR="003B7BF7">
        <w:rPr>
          <w:rFonts w:ascii="Times New Roman" w:hAnsi="Times New Roman" w:cs="Times New Roman"/>
          <w:sz w:val="24"/>
          <w:szCs w:val="24"/>
        </w:rPr>
        <w:t>докризисному периоду</w:t>
      </w:r>
      <w:r w:rsidR="00F96380" w:rsidRPr="00A312C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893AB8" w14:textId="3BEAC596" w:rsidR="00673C0B" w:rsidRDefault="00C3626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67510B" w:rsidRPr="00A312C5">
        <w:rPr>
          <w:rFonts w:ascii="Times New Roman" w:hAnsi="Times New Roman" w:cs="Times New Roman"/>
          <w:sz w:val="24"/>
          <w:szCs w:val="24"/>
        </w:rPr>
        <w:t xml:space="preserve">Данные для анализа получены из годовых отчетов </w:t>
      </w:r>
      <w:r w:rsidR="009B7DCA">
        <w:rPr>
          <w:rFonts w:ascii="Times New Roman" w:hAnsi="Times New Roman" w:cs="Times New Roman"/>
          <w:sz w:val="24"/>
          <w:szCs w:val="24"/>
        </w:rPr>
        <w:t>организаций</w:t>
      </w:r>
      <w:r w:rsidR="0067510B" w:rsidRPr="00A312C5">
        <w:rPr>
          <w:rFonts w:ascii="Times New Roman" w:hAnsi="Times New Roman" w:cs="Times New Roman"/>
          <w:sz w:val="24"/>
          <w:szCs w:val="24"/>
        </w:rPr>
        <w:t xml:space="preserve"> и докладов Bureau </w:t>
      </w:r>
      <w:proofErr w:type="spellStart"/>
      <w:r w:rsidR="0067510B" w:rsidRPr="00A312C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7510B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10B" w:rsidRPr="00A312C5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="0067510B" w:rsidRPr="00A312C5">
        <w:rPr>
          <w:rFonts w:ascii="Times New Roman" w:hAnsi="Times New Roman" w:cs="Times New Roman"/>
          <w:sz w:val="24"/>
          <w:szCs w:val="24"/>
        </w:rPr>
        <w:t xml:space="preserve"> – аналитической компании </w:t>
      </w:r>
      <w:proofErr w:type="spellStart"/>
      <w:r w:rsidR="0067510B" w:rsidRPr="00A312C5">
        <w:rPr>
          <w:rFonts w:ascii="Times New Roman" w:hAnsi="Times New Roman" w:cs="Times New Roman"/>
          <w:sz w:val="24"/>
          <w:szCs w:val="24"/>
        </w:rPr>
        <w:t>Moody’s</w:t>
      </w:r>
      <w:proofErr w:type="spellEnd"/>
      <w:r w:rsidR="0067510B" w:rsidRPr="00A312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7" w:name="_Hlk69419327"/>
      <w:r w:rsidR="00055220" w:rsidRPr="00A312C5">
        <w:rPr>
          <w:rFonts w:ascii="Times New Roman" w:hAnsi="Times New Roman" w:cs="Times New Roman"/>
          <w:sz w:val="24"/>
          <w:szCs w:val="24"/>
        </w:rPr>
        <w:t>В отчет</w:t>
      </w:r>
      <w:r w:rsidRPr="00A312C5">
        <w:rPr>
          <w:rFonts w:ascii="Times New Roman" w:hAnsi="Times New Roman" w:cs="Times New Roman"/>
          <w:sz w:val="24"/>
          <w:szCs w:val="24"/>
        </w:rPr>
        <w:t>ах</w:t>
      </w:r>
      <w:r w:rsidR="00055220" w:rsidRPr="00A312C5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C7231A" w:rsidRPr="00A312C5">
        <w:rPr>
          <w:rFonts w:ascii="Times New Roman" w:hAnsi="Times New Roman" w:cs="Times New Roman"/>
          <w:sz w:val="24"/>
          <w:szCs w:val="24"/>
        </w:rPr>
        <w:t>и</w:t>
      </w:r>
      <w:r w:rsidR="00055220" w:rsidRPr="00A312C5">
        <w:rPr>
          <w:rFonts w:ascii="Times New Roman" w:hAnsi="Times New Roman" w:cs="Times New Roman"/>
          <w:sz w:val="24"/>
          <w:szCs w:val="24"/>
        </w:rPr>
        <w:t xml:space="preserve">тся </w:t>
      </w:r>
      <w:r w:rsidR="00C7231A" w:rsidRPr="00A312C5">
        <w:rPr>
          <w:rFonts w:ascii="Times New Roman" w:hAnsi="Times New Roman" w:cs="Times New Roman"/>
          <w:sz w:val="24"/>
          <w:szCs w:val="24"/>
        </w:rPr>
        <w:t>информация</w:t>
      </w:r>
      <w:r w:rsidR="00055220" w:rsidRPr="00A312C5">
        <w:rPr>
          <w:rFonts w:ascii="Times New Roman" w:hAnsi="Times New Roman" w:cs="Times New Roman"/>
          <w:sz w:val="24"/>
          <w:szCs w:val="24"/>
        </w:rPr>
        <w:t xml:space="preserve"> о компаниях, вложивших </w:t>
      </w:r>
      <w:r w:rsidRPr="00A312C5">
        <w:rPr>
          <w:rFonts w:ascii="Times New Roman" w:hAnsi="Times New Roman" w:cs="Times New Roman"/>
          <w:sz w:val="24"/>
          <w:szCs w:val="24"/>
        </w:rPr>
        <w:t>наиболее</w:t>
      </w:r>
      <w:r w:rsidR="00055220" w:rsidRPr="00A312C5">
        <w:rPr>
          <w:rFonts w:ascii="Times New Roman" w:hAnsi="Times New Roman" w:cs="Times New Roman"/>
          <w:sz w:val="24"/>
          <w:szCs w:val="24"/>
        </w:rPr>
        <w:t xml:space="preserve"> крупные суммы в исследования и разработки по всему миру. </w:t>
      </w:r>
      <w:r w:rsidRPr="00A312C5">
        <w:rPr>
          <w:rFonts w:ascii="Times New Roman" w:hAnsi="Times New Roman" w:cs="Times New Roman"/>
          <w:sz w:val="24"/>
          <w:szCs w:val="24"/>
        </w:rPr>
        <w:t>Например</w:t>
      </w:r>
      <w:r w:rsidR="00E056BF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</w:t>
      </w:r>
      <w:r w:rsidR="00C7231A" w:rsidRPr="00A312C5">
        <w:rPr>
          <w:rFonts w:ascii="Times New Roman" w:hAnsi="Times New Roman" w:cs="Times New Roman"/>
          <w:sz w:val="24"/>
          <w:szCs w:val="24"/>
        </w:rPr>
        <w:t>бщий объем инвестиций в НИОКР</w:t>
      </w:r>
      <w:r w:rsidR="00E056BF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9B7DCA">
        <w:rPr>
          <w:rFonts w:ascii="Times New Roman" w:hAnsi="Times New Roman" w:cs="Times New Roman"/>
          <w:sz w:val="24"/>
          <w:szCs w:val="24"/>
        </w:rPr>
        <w:t>организаций</w:t>
      </w:r>
      <w:r w:rsidR="00BC413D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E056BF" w:rsidRPr="00A312C5">
        <w:rPr>
          <w:rFonts w:ascii="Times New Roman" w:hAnsi="Times New Roman" w:cs="Times New Roman"/>
          <w:sz w:val="24"/>
          <w:szCs w:val="24"/>
        </w:rPr>
        <w:t>упомянутых в от</w:t>
      </w:r>
      <w:r w:rsidR="00C7231A" w:rsidRPr="00A312C5">
        <w:rPr>
          <w:rFonts w:ascii="Times New Roman" w:hAnsi="Times New Roman" w:cs="Times New Roman"/>
          <w:sz w:val="24"/>
          <w:szCs w:val="24"/>
        </w:rPr>
        <w:t>чет</w:t>
      </w:r>
      <w:r w:rsidR="00E056BF" w:rsidRPr="00A312C5">
        <w:rPr>
          <w:rFonts w:ascii="Times New Roman" w:hAnsi="Times New Roman" w:cs="Times New Roman"/>
          <w:sz w:val="24"/>
          <w:szCs w:val="24"/>
        </w:rPr>
        <w:t>е за 2020 год</w:t>
      </w:r>
      <w:r w:rsidR="00BC413D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C7231A" w:rsidRPr="00A312C5">
        <w:rPr>
          <w:rFonts w:ascii="Times New Roman" w:hAnsi="Times New Roman" w:cs="Times New Roman"/>
          <w:sz w:val="24"/>
          <w:szCs w:val="24"/>
        </w:rPr>
        <w:t>соответствует примерно 90% мировых расходов на исследования, финансируемых бизнесом.</w:t>
      </w:r>
      <w:r w:rsidR="007C3F76" w:rsidRPr="00A312C5">
        <w:rPr>
          <w:rFonts w:ascii="Times New Roman" w:hAnsi="Times New Roman" w:cs="Times New Roman"/>
          <w:sz w:val="24"/>
          <w:szCs w:val="24"/>
        </w:rPr>
        <w:t xml:space="preserve"> </w:t>
      </w:r>
      <w:bookmarkEnd w:id="27"/>
      <w:r w:rsidR="00F96380" w:rsidRPr="00A312C5">
        <w:rPr>
          <w:rFonts w:ascii="Times New Roman" w:hAnsi="Times New Roman" w:cs="Times New Roman"/>
          <w:sz w:val="24"/>
          <w:szCs w:val="24"/>
        </w:rPr>
        <w:t xml:space="preserve">Общая сумма инвестиций в НИОКР всех рассмотренных компаний в 2019 году составила 904,7 миллиардов евро, что на 8,9% выше, чем годом ранее. </w:t>
      </w:r>
    </w:p>
    <w:p w14:paraId="36FD2F10" w14:textId="5B54D0D7" w:rsidR="00DF327E" w:rsidRDefault="00673C0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Инвестиции в НИОКР, описанные в отчете, финансируются компаниями самостоятельно. Они не включают исследования, которые </w:t>
      </w:r>
      <w:r w:rsidR="00741B82">
        <w:rPr>
          <w:rFonts w:ascii="Times New Roman" w:hAnsi="Times New Roman" w:cs="Times New Roman"/>
          <w:sz w:val="24"/>
          <w:szCs w:val="24"/>
        </w:rPr>
        <w:t>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41B82">
        <w:rPr>
          <w:rFonts w:ascii="Times New Roman" w:hAnsi="Times New Roman" w:cs="Times New Roman"/>
          <w:sz w:val="24"/>
          <w:szCs w:val="24"/>
        </w:rPr>
        <w:t xml:space="preserve">контрактной </w:t>
      </w:r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A84B62">
        <w:rPr>
          <w:rFonts w:ascii="Times New Roman" w:hAnsi="Times New Roman" w:cs="Times New Roman"/>
          <w:sz w:val="24"/>
          <w:szCs w:val="24"/>
        </w:rPr>
        <w:t>в пользу</w:t>
      </w:r>
      <w:r>
        <w:rPr>
          <w:rFonts w:ascii="Times New Roman" w:hAnsi="Times New Roman" w:cs="Times New Roman"/>
          <w:sz w:val="24"/>
          <w:szCs w:val="24"/>
        </w:rPr>
        <w:t xml:space="preserve"> государства или других организаций. Методология также учитывает бухгалтерские различия в учете НИОКР, присущие разным компаниям. Инвестиции в НИОКР включают разработки, классифицированные, как операционные расходы, а также капитализированные затраты на НИОКР за вычетом </w:t>
      </w:r>
      <w:r w:rsidR="00A84B62">
        <w:rPr>
          <w:rFonts w:ascii="Times New Roman" w:hAnsi="Times New Roman" w:cs="Times New Roman"/>
          <w:sz w:val="24"/>
          <w:szCs w:val="24"/>
        </w:rPr>
        <w:t xml:space="preserve">амортизации. </w:t>
      </w:r>
      <w:r w:rsidR="00741B82">
        <w:rPr>
          <w:rFonts w:ascii="Times New Roman" w:hAnsi="Times New Roman" w:cs="Times New Roman"/>
          <w:sz w:val="24"/>
          <w:szCs w:val="24"/>
        </w:rPr>
        <w:t xml:space="preserve">Географическое распределение компаний основано на локации их головного офиса. Это означает, что использованные данные не учитывают фактическое место проведения НИОКР. Распределение компаний по отраслям реализовано на основе международного стандарта </w:t>
      </w:r>
      <w:r w:rsidR="00741B82" w:rsidRPr="00741B82">
        <w:rPr>
          <w:rFonts w:ascii="Times New Roman" w:hAnsi="Times New Roman" w:cs="Times New Roman"/>
          <w:sz w:val="24"/>
          <w:szCs w:val="24"/>
        </w:rPr>
        <w:t>“</w:t>
      </w:r>
      <w:r w:rsidR="00741B82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741B82"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741B82">
        <w:rPr>
          <w:rFonts w:ascii="Times New Roman" w:hAnsi="Times New Roman" w:cs="Times New Roman"/>
          <w:sz w:val="24"/>
          <w:szCs w:val="24"/>
          <w:lang w:val="en-US"/>
        </w:rPr>
        <w:t>classification</w:t>
      </w:r>
      <w:r w:rsidR="00741B82"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741B82">
        <w:rPr>
          <w:rFonts w:ascii="Times New Roman" w:hAnsi="Times New Roman" w:cs="Times New Roman"/>
          <w:sz w:val="24"/>
          <w:szCs w:val="24"/>
          <w:lang w:val="en-US"/>
        </w:rPr>
        <w:t>benchmark</w:t>
      </w:r>
      <w:r w:rsidR="00741B82" w:rsidRPr="00741B82">
        <w:rPr>
          <w:rFonts w:ascii="Times New Roman" w:hAnsi="Times New Roman" w:cs="Times New Roman"/>
          <w:sz w:val="24"/>
          <w:szCs w:val="24"/>
        </w:rPr>
        <w:t>”</w:t>
      </w:r>
      <w:r w:rsidR="003B7BF7">
        <w:rPr>
          <w:rFonts w:ascii="Times New Roman" w:hAnsi="Times New Roman" w:cs="Times New Roman"/>
          <w:sz w:val="24"/>
          <w:szCs w:val="24"/>
        </w:rPr>
        <w:t xml:space="preserve"> </w:t>
      </w:r>
      <w:r w:rsidR="003B7BF7" w:rsidRPr="003B7BF7">
        <w:rPr>
          <w:rFonts w:ascii="Times New Roman" w:hAnsi="Times New Roman" w:cs="Times New Roman"/>
          <w:sz w:val="24"/>
          <w:szCs w:val="24"/>
        </w:rPr>
        <w:t>[</w:t>
      </w:r>
      <w:r w:rsidR="003B7BF7">
        <w:rPr>
          <w:rFonts w:ascii="Times New Roman" w:hAnsi="Times New Roman" w:cs="Times New Roman"/>
          <w:sz w:val="24"/>
          <w:szCs w:val="24"/>
          <w:lang w:val="en-US"/>
        </w:rPr>
        <w:t>Russel</w:t>
      </w:r>
      <w:r w:rsidR="003B7BF7" w:rsidRPr="003B7BF7">
        <w:rPr>
          <w:rFonts w:ascii="Times New Roman" w:hAnsi="Times New Roman" w:cs="Times New Roman"/>
          <w:sz w:val="24"/>
          <w:szCs w:val="24"/>
        </w:rPr>
        <w:t>, 2018]</w:t>
      </w:r>
      <w:r w:rsidR="00741B82" w:rsidRPr="00741B82">
        <w:rPr>
          <w:rFonts w:ascii="Times New Roman" w:hAnsi="Times New Roman" w:cs="Times New Roman"/>
          <w:sz w:val="24"/>
          <w:szCs w:val="24"/>
        </w:rPr>
        <w:t>.</w:t>
      </w:r>
      <w:r w:rsidR="003B7BF7" w:rsidRPr="003B7BF7">
        <w:rPr>
          <w:rFonts w:ascii="Times New Roman" w:hAnsi="Times New Roman" w:cs="Times New Roman"/>
          <w:sz w:val="24"/>
          <w:szCs w:val="24"/>
        </w:rPr>
        <w:t xml:space="preserve"> </w:t>
      </w:r>
      <w:r w:rsidR="00396840" w:rsidRPr="00A312C5">
        <w:rPr>
          <w:rFonts w:ascii="Times New Roman" w:hAnsi="Times New Roman" w:cs="Times New Roman"/>
          <w:sz w:val="24"/>
          <w:szCs w:val="24"/>
        </w:rPr>
        <w:t xml:space="preserve">Отраслевые данные о волатильности ценности фирм и рентабельности собственного капитала были получены из годовых отчетов А. </w:t>
      </w:r>
      <w:proofErr w:type="spellStart"/>
      <w:r w:rsidR="00396840" w:rsidRPr="00A312C5">
        <w:rPr>
          <w:rFonts w:ascii="Times New Roman" w:hAnsi="Times New Roman" w:cs="Times New Roman"/>
          <w:sz w:val="24"/>
          <w:szCs w:val="24"/>
        </w:rPr>
        <w:t>Дамодарана</w:t>
      </w:r>
      <w:proofErr w:type="spellEnd"/>
      <w:r w:rsidR="003B7BF7" w:rsidRPr="003B7BF7">
        <w:rPr>
          <w:rFonts w:ascii="Times New Roman" w:hAnsi="Times New Roman" w:cs="Times New Roman"/>
          <w:sz w:val="24"/>
          <w:szCs w:val="24"/>
        </w:rPr>
        <w:t xml:space="preserve"> </w:t>
      </w:r>
      <w:r w:rsidR="003B7BF7" w:rsidRPr="00C4494B">
        <w:rPr>
          <w:rFonts w:ascii="Times New Roman" w:hAnsi="Times New Roman" w:cs="Times New Roman"/>
          <w:sz w:val="24"/>
          <w:szCs w:val="24"/>
        </w:rPr>
        <w:t>[</w:t>
      </w:r>
      <w:r w:rsidR="003B7BF7">
        <w:rPr>
          <w:rFonts w:ascii="Times New Roman" w:hAnsi="Times New Roman" w:cs="Times New Roman"/>
          <w:sz w:val="24"/>
          <w:szCs w:val="24"/>
          <w:lang w:val="en-US"/>
        </w:rPr>
        <w:t>Damodaran</w:t>
      </w:r>
      <w:r w:rsidR="003B7BF7" w:rsidRPr="00C4494B">
        <w:rPr>
          <w:rFonts w:ascii="Times New Roman" w:hAnsi="Times New Roman" w:cs="Times New Roman"/>
          <w:sz w:val="24"/>
          <w:szCs w:val="24"/>
        </w:rPr>
        <w:t>, 2021]</w:t>
      </w:r>
      <w:r w:rsidR="00396840" w:rsidRPr="00A312C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14E16D" w14:textId="482D62ED" w:rsidR="00F24420" w:rsidRDefault="00F24420" w:rsidP="00F24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выборке представлены компании из 46 различных отраслей [</w:t>
      </w:r>
      <w:hyperlink w:anchor="_Приложение_1._Отраслевая" w:history="1"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пр</w:t>
        </w:r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и</w:t>
        </w:r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ло</w:t>
        </w:r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ж</w:t>
        </w:r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ение 1</w:t>
        </w:r>
      </w:hyperlink>
      <w:r w:rsidRPr="00A312C5">
        <w:rPr>
          <w:rFonts w:ascii="Times New Roman" w:hAnsi="Times New Roman" w:cs="Times New Roman"/>
          <w:sz w:val="24"/>
          <w:szCs w:val="24"/>
        </w:rPr>
        <w:t xml:space="preserve">]. Из перечня изучаемых фирм были исключены все финансовые, страховые компании и банки.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>Наибольшие доли в общей выборке занимают такие отрасли, как: фармацевтика и биотехнологии (12,79%), программное обеспечение и компьютерные сервисы (12, 28%) и технологическое оборудование (8,87%). Отраслевая классификация, использованная в отчете, была несколько изменена: некоторые отрасли были агрегированы в укрупненные, чтобы соотнести два источника данных</w:t>
      </w:r>
      <w:r>
        <w:rPr>
          <w:rFonts w:ascii="Times New Roman" w:hAnsi="Times New Roman" w:cs="Times New Roman"/>
          <w:sz w:val="24"/>
          <w:szCs w:val="24"/>
        </w:rPr>
        <w:t xml:space="preserve">: отчет Европейского Союза и информацию об отраслевых коэффициентах из таблиц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Дамодарана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6789A" w14:textId="77777777" w:rsidR="009B7DCA" w:rsidRDefault="002A479C" w:rsidP="00E7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>описанных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ограничений после очистки данных от аномальных наблюдений в выборку попали 28047 компаний.</w:t>
      </w:r>
      <w:r w:rsidR="00E71E52" w:rsidRPr="00E71E52">
        <w:rPr>
          <w:rFonts w:ascii="Times New Roman" w:hAnsi="Times New Roman" w:cs="Times New Roman"/>
          <w:sz w:val="24"/>
          <w:szCs w:val="24"/>
        </w:rPr>
        <w:t xml:space="preserve"> </w:t>
      </w:r>
      <w:r w:rsidR="00E71E52" w:rsidRPr="00A312C5">
        <w:rPr>
          <w:rFonts w:ascii="Times New Roman" w:hAnsi="Times New Roman" w:cs="Times New Roman"/>
          <w:sz w:val="24"/>
          <w:szCs w:val="24"/>
        </w:rPr>
        <w:t xml:space="preserve">Данные по соответствующим компаниям были агрегированы согласно их отраслевой принадлежности. </w:t>
      </w:r>
      <w:r w:rsidR="00A65E6E">
        <w:rPr>
          <w:rFonts w:ascii="Times New Roman" w:hAnsi="Times New Roman" w:cs="Times New Roman"/>
          <w:sz w:val="24"/>
          <w:szCs w:val="24"/>
        </w:rPr>
        <w:t xml:space="preserve">Показатели по отдельным отраслям были получены путем нахождения среднего арифметического значения по всем компаниям соответствующего сектора, представленным в отчете. Такой метод вычисления отраслевых показателей предполагает некое смещение в сторону небольших компаний. Однако, если принять во внимание методологию составления отчета, на базе которого реализовано исследование, данное ограничение станет менее значимым. Использованные данные включают информацию о наиболее крупных мировых компаниях, активно инвестирующих средства в научные разработки. Таким образом, можно предположить, что их размеры будут сопоставимы. </w:t>
      </w:r>
    </w:p>
    <w:p w14:paraId="58716902" w14:textId="38073AC5" w:rsidR="002A479C" w:rsidRDefault="00E71E52" w:rsidP="00E7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Существенным критерием для составления сбалансированного массива панельных данных стало наличие информации о необходимых показателях за весь период исследования. Итоговая выборка содержит информацию о 22 отраслях экономики за 17 периодов: с 2003 по 2019 год.</w:t>
      </w:r>
      <w:r w:rsidR="002A479C" w:rsidRPr="00A312C5">
        <w:rPr>
          <w:rFonts w:ascii="Times New Roman" w:hAnsi="Times New Roman" w:cs="Times New Roman"/>
          <w:sz w:val="24"/>
          <w:szCs w:val="24"/>
        </w:rPr>
        <w:t xml:space="preserve"> Наибольшие доли в выборке занимают компании из отрасли электронного оборудования (19,09%), фармацевтики и </w:t>
      </w:r>
      <w:proofErr w:type="gramStart"/>
      <w:r w:rsidR="002A479C" w:rsidRPr="00A312C5">
        <w:rPr>
          <w:rFonts w:ascii="Times New Roman" w:hAnsi="Times New Roman" w:cs="Times New Roman"/>
          <w:sz w:val="24"/>
          <w:szCs w:val="24"/>
        </w:rPr>
        <w:t>биотехнологий</w:t>
      </w:r>
      <w:r w:rsidR="00A65E6E">
        <w:rPr>
          <w:rFonts w:ascii="Times New Roman" w:hAnsi="Times New Roman" w:cs="Times New Roman"/>
          <w:sz w:val="24"/>
          <w:szCs w:val="24"/>
        </w:rPr>
        <w:t xml:space="preserve"> </w:t>
      </w:r>
      <w:r w:rsidR="002A479C" w:rsidRPr="00A312C5">
        <w:rPr>
          <w:rFonts w:ascii="Times New Roman" w:hAnsi="Times New Roman" w:cs="Times New Roman"/>
          <w:sz w:val="24"/>
          <w:szCs w:val="24"/>
        </w:rPr>
        <w:t>(14,02%)</w:t>
      </w:r>
      <w:proofErr w:type="gramEnd"/>
      <w:r w:rsidR="00A65E6E">
        <w:rPr>
          <w:rFonts w:ascii="Times New Roman" w:hAnsi="Times New Roman" w:cs="Times New Roman"/>
          <w:sz w:val="24"/>
          <w:szCs w:val="24"/>
        </w:rPr>
        <w:t xml:space="preserve"> </w:t>
      </w:r>
      <w:r w:rsidR="002A479C" w:rsidRPr="00A312C5">
        <w:rPr>
          <w:rFonts w:ascii="Times New Roman" w:hAnsi="Times New Roman" w:cs="Times New Roman"/>
          <w:sz w:val="24"/>
          <w:szCs w:val="24"/>
        </w:rPr>
        <w:t xml:space="preserve">и сектора инфраструктуры (12,75%). </w:t>
      </w:r>
    </w:p>
    <w:p w14:paraId="2E937EEE" w14:textId="0E6F77C6" w:rsidR="0097328A" w:rsidRDefault="007C3F76" w:rsidP="00C4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Что касается географической структуры выборки, она охватывает </w:t>
      </w:r>
      <w:r w:rsidR="00E056BF" w:rsidRPr="00A312C5">
        <w:rPr>
          <w:rFonts w:ascii="Times New Roman" w:hAnsi="Times New Roman" w:cs="Times New Roman"/>
          <w:sz w:val="24"/>
          <w:szCs w:val="24"/>
        </w:rPr>
        <w:t>54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страны </w:t>
      </w:r>
      <w:r w:rsidRPr="00C4494B">
        <w:rPr>
          <w:rFonts w:ascii="Times New Roman" w:hAnsi="Times New Roman" w:cs="Times New Roman"/>
          <w:sz w:val="24"/>
          <w:szCs w:val="24"/>
        </w:rPr>
        <w:t>[</w:t>
      </w:r>
      <w:hyperlink w:anchor="_Приложение_2._Географическая" w:history="1">
        <w:r w:rsidRPr="00B03745">
          <w:rPr>
            <w:rStyle w:val="a7"/>
            <w:rFonts w:ascii="Times New Roman" w:hAnsi="Times New Roman" w:cs="Times New Roman"/>
            <w:sz w:val="24"/>
            <w:szCs w:val="24"/>
          </w:rPr>
          <w:t>приложение</w:t>
        </w:r>
        <w:r w:rsidR="007923CF" w:rsidRPr="00B03745">
          <w:rPr>
            <w:rStyle w:val="a7"/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4494B">
        <w:rPr>
          <w:rFonts w:ascii="Times New Roman" w:hAnsi="Times New Roman" w:cs="Times New Roman"/>
          <w:sz w:val="24"/>
          <w:szCs w:val="24"/>
        </w:rPr>
        <w:t>].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C7231A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E056BF" w:rsidRPr="00A312C5">
        <w:rPr>
          <w:rFonts w:ascii="Times New Roman" w:hAnsi="Times New Roman" w:cs="Times New Roman"/>
          <w:sz w:val="24"/>
          <w:szCs w:val="24"/>
        </w:rPr>
        <w:t xml:space="preserve">37,7% наблюдений в выборке соответствуют компаниям из США, второе место занимает Япония (17, 56%), третье – Китай (10,29%). В выборку вошли всего 40 компаний из России, что составляет 0,14% от общего числа наблюдений. </w:t>
      </w:r>
      <w:r w:rsidR="00A57F10">
        <w:rPr>
          <w:rFonts w:ascii="Times New Roman" w:hAnsi="Times New Roman" w:cs="Times New Roman"/>
          <w:sz w:val="24"/>
          <w:szCs w:val="24"/>
        </w:rPr>
        <w:t xml:space="preserve">С помощью инструментария программы </w:t>
      </w:r>
      <w:r w:rsidR="00A57F1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A57F10" w:rsidRPr="00A57F10">
        <w:rPr>
          <w:rFonts w:ascii="Times New Roman" w:hAnsi="Times New Roman" w:cs="Times New Roman"/>
          <w:sz w:val="24"/>
          <w:szCs w:val="24"/>
        </w:rPr>
        <w:t xml:space="preserve"> </w:t>
      </w:r>
      <w:r w:rsidR="00A57F1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57F10" w:rsidRPr="00A57F10">
        <w:rPr>
          <w:rFonts w:ascii="Times New Roman" w:hAnsi="Times New Roman" w:cs="Times New Roman"/>
          <w:sz w:val="24"/>
          <w:szCs w:val="24"/>
        </w:rPr>
        <w:t xml:space="preserve"> </w:t>
      </w:r>
      <w:r w:rsidR="00A57F10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A57F10" w:rsidRPr="00A57F10">
        <w:rPr>
          <w:rFonts w:ascii="Times New Roman" w:hAnsi="Times New Roman" w:cs="Times New Roman"/>
          <w:sz w:val="24"/>
          <w:szCs w:val="24"/>
        </w:rPr>
        <w:t xml:space="preserve"> </w:t>
      </w:r>
      <w:r w:rsidR="00A57F10">
        <w:rPr>
          <w:rFonts w:ascii="Times New Roman" w:hAnsi="Times New Roman" w:cs="Times New Roman"/>
          <w:sz w:val="24"/>
          <w:szCs w:val="24"/>
        </w:rPr>
        <w:t>данные были визуализированы в виде графика, где размер инвестиций компании</w:t>
      </w:r>
      <w:r w:rsidR="002B334D">
        <w:rPr>
          <w:rFonts w:ascii="Times New Roman" w:hAnsi="Times New Roman" w:cs="Times New Roman"/>
          <w:sz w:val="24"/>
          <w:szCs w:val="24"/>
        </w:rPr>
        <w:t xml:space="preserve"> в НИОКР</w:t>
      </w:r>
      <w:r w:rsidR="00A57F10">
        <w:rPr>
          <w:rFonts w:ascii="Times New Roman" w:hAnsi="Times New Roman" w:cs="Times New Roman"/>
          <w:sz w:val="24"/>
          <w:szCs w:val="24"/>
        </w:rPr>
        <w:t xml:space="preserve"> представлен круг</w:t>
      </w:r>
      <w:r w:rsidR="002B334D">
        <w:rPr>
          <w:rFonts w:ascii="Times New Roman" w:hAnsi="Times New Roman" w:cs="Times New Roman"/>
          <w:sz w:val="24"/>
          <w:szCs w:val="24"/>
        </w:rPr>
        <w:t>ом</w:t>
      </w:r>
      <w:r w:rsidR="00EF00D8">
        <w:rPr>
          <w:rFonts w:ascii="Times New Roman" w:hAnsi="Times New Roman" w:cs="Times New Roman"/>
          <w:sz w:val="24"/>
          <w:szCs w:val="24"/>
        </w:rPr>
        <w:t xml:space="preserve"> (рисунок 3)</w:t>
      </w:r>
      <w:r w:rsidR="00A57F10">
        <w:rPr>
          <w:rFonts w:ascii="Times New Roman" w:hAnsi="Times New Roman" w:cs="Times New Roman"/>
          <w:sz w:val="24"/>
          <w:szCs w:val="24"/>
        </w:rPr>
        <w:t xml:space="preserve">. Чем больше площадь круга, тем </w:t>
      </w:r>
      <w:r w:rsidR="00C4033F">
        <w:rPr>
          <w:rFonts w:ascii="Times New Roman" w:hAnsi="Times New Roman" w:cs="Times New Roman"/>
          <w:sz w:val="24"/>
          <w:szCs w:val="24"/>
        </w:rPr>
        <w:t>больше компании из этой страны инвестировали в НИОКР в данном периоде</w:t>
      </w:r>
      <w:r w:rsidR="0097328A">
        <w:rPr>
          <w:rFonts w:ascii="Times New Roman" w:hAnsi="Times New Roman" w:cs="Times New Roman"/>
          <w:sz w:val="24"/>
          <w:szCs w:val="24"/>
        </w:rPr>
        <w:t>:</w:t>
      </w:r>
    </w:p>
    <w:p w14:paraId="2D4129CF" w14:textId="77777777" w:rsidR="0097328A" w:rsidRDefault="0097328A" w:rsidP="0097328A">
      <w:pPr>
        <w:keepNext/>
        <w:spacing w:after="0" w:line="360" w:lineRule="auto"/>
        <w:jc w:val="center"/>
      </w:pPr>
      <w:r w:rsidRPr="00A57F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7AFECE" wp14:editId="2BCECFE5">
            <wp:extent cx="5661964" cy="26257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3141" cy="26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C29E" w14:textId="7AE872E2" w:rsidR="0097328A" w:rsidRPr="002B334D" w:rsidRDefault="0097328A" w:rsidP="0097328A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Рисунок </w:t>
      </w: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C77210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3</w:t>
      </w: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2B33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Размер инвестиций в НИОКР в компаниях разных стран</w:t>
      </w:r>
    </w:p>
    <w:p w14:paraId="5E835A97" w14:textId="7EF99478" w:rsidR="0056704D" w:rsidRPr="0056704D" w:rsidRDefault="0056704D" w:rsidP="005670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704D">
        <w:rPr>
          <w:rFonts w:ascii="Times New Roman" w:hAnsi="Times New Roman" w:cs="Times New Roman"/>
        </w:rPr>
        <w:t>Источник: составлено автором на основе [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The</w:t>
      </w:r>
      <w:r w:rsidRPr="0074673F">
        <w:rPr>
          <w:rFonts w:ascii="Times New Roman" w:eastAsiaTheme="minorEastAsia" w:hAnsi="Times New Roman" w:cs="Times New Roman"/>
          <w:lang w:eastAsia="ru-RU"/>
        </w:rPr>
        <w:t xml:space="preserve"> 2020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EU</w:t>
      </w:r>
      <w:r w:rsidRPr="0074673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Industrial</w:t>
      </w:r>
      <w:r w:rsidRPr="0074673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R</w:t>
      </w:r>
      <w:r w:rsidRPr="0074673F">
        <w:rPr>
          <w:rFonts w:ascii="Times New Roman" w:eastAsiaTheme="minorEastAsia" w:hAnsi="Times New Roman" w:cs="Times New Roman"/>
          <w:lang w:eastAsia="ru-RU"/>
        </w:rPr>
        <w:t>&amp;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D</w:t>
      </w:r>
      <w:r w:rsidRPr="0074673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Investment</w:t>
      </w:r>
      <w:r w:rsidRPr="0074673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Scoreboard</w:t>
      </w:r>
      <w:r w:rsidRPr="0056704D">
        <w:rPr>
          <w:rFonts w:ascii="Times New Roman" w:hAnsi="Times New Roman" w:cs="Times New Roman"/>
        </w:rPr>
        <w:t>]</w:t>
      </w:r>
    </w:p>
    <w:p w14:paraId="76C8628F" w14:textId="649BB330" w:rsidR="00D84F91" w:rsidRPr="00C4033F" w:rsidRDefault="00C4033F" w:rsidP="00C4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рисунка</w:t>
      </w:r>
      <w:r w:rsidR="00EF00D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видно, что существует общемировой тренд к росту затрат на исследования. </w:t>
      </w:r>
      <w:r w:rsidR="002B334D">
        <w:rPr>
          <w:rFonts w:ascii="Times New Roman" w:hAnsi="Times New Roman" w:cs="Times New Roman"/>
          <w:sz w:val="24"/>
          <w:szCs w:val="24"/>
        </w:rPr>
        <w:t xml:space="preserve">По размерам инвестиций в </w:t>
      </w:r>
      <w:r w:rsidR="005952A9">
        <w:rPr>
          <w:rFonts w:ascii="Times New Roman" w:hAnsi="Times New Roman" w:cs="Times New Roman"/>
          <w:sz w:val="24"/>
          <w:szCs w:val="24"/>
        </w:rPr>
        <w:t>научные</w:t>
      </w:r>
      <w:r w:rsidR="002B334D">
        <w:rPr>
          <w:rFonts w:ascii="Times New Roman" w:hAnsi="Times New Roman" w:cs="Times New Roman"/>
          <w:sz w:val="24"/>
          <w:szCs w:val="24"/>
        </w:rPr>
        <w:t xml:space="preserve"> разработки в последнем десятилетии топ три страны включают США, Китай и Германию.</w:t>
      </w:r>
    </w:p>
    <w:p w14:paraId="4406E2DA" w14:textId="64202335" w:rsidR="00C4494B" w:rsidRPr="00C4494B" w:rsidRDefault="00C4494B" w:rsidP="00C4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4B">
        <w:rPr>
          <w:rFonts w:ascii="Times New Roman" w:hAnsi="Times New Roman" w:cs="Times New Roman"/>
          <w:sz w:val="24"/>
          <w:szCs w:val="24"/>
        </w:rPr>
        <w:t>Другой формат визуализации данных, представленный на рисунке 4, позволяет наглядно увидеть, с какой интенсивностью разные страны инвестируют в научные разработки. Яркость цвета, которым окрашена территория той или иной страны, на данном графике соответствует размеру затрат на НИОКР. Нетрудно заметить, что Америка является безусловным лидером в отношении вложений в научные исследования.</w:t>
      </w:r>
    </w:p>
    <w:p w14:paraId="745B7D86" w14:textId="77777777" w:rsidR="00C4494B" w:rsidRDefault="00C4494B" w:rsidP="00F94439">
      <w:pPr>
        <w:keepNext/>
        <w:jc w:val="center"/>
      </w:pPr>
      <w:r w:rsidRPr="00D84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3A2BF" wp14:editId="72CEBEC3">
            <wp:extent cx="4842663" cy="309035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9066" cy="31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D537" w14:textId="771BF8B8" w:rsidR="00C4494B" w:rsidRPr="00F94439" w:rsidRDefault="00C4494B" w:rsidP="00C4494B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Рисунок </w:t>
      </w: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C77210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4</w:t>
      </w: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C4494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Географическое распределение затрат на НИОКР</w:t>
      </w:r>
      <w:r w:rsidR="00F9443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:</w:t>
      </w:r>
      <w:r w:rsidR="00F94439" w:rsidRPr="00F9443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F9443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интенсивность НИОКР соответствует яркости цвета, которым окрашена территория государства</w:t>
      </w:r>
    </w:p>
    <w:p w14:paraId="33C68AC7" w14:textId="77777777" w:rsidR="00F94439" w:rsidRPr="0056704D" w:rsidRDefault="00F94439" w:rsidP="00F944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704D">
        <w:rPr>
          <w:rFonts w:ascii="Times New Roman" w:hAnsi="Times New Roman" w:cs="Times New Roman"/>
        </w:rPr>
        <w:t>Источник: составлено автором на основе [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The</w:t>
      </w:r>
      <w:r w:rsidRPr="00F94439">
        <w:rPr>
          <w:rFonts w:ascii="Times New Roman" w:eastAsiaTheme="minorEastAsia" w:hAnsi="Times New Roman" w:cs="Times New Roman"/>
          <w:lang w:eastAsia="ru-RU"/>
        </w:rPr>
        <w:t xml:space="preserve"> 2020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EU</w:t>
      </w:r>
      <w:r w:rsidRPr="00F9443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Industrial</w:t>
      </w:r>
      <w:r w:rsidRPr="00F9443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R</w:t>
      </w:r>
      <w:r w:rsidRPr="00F94439">
        <w:rPr>
          <w:rFonts w:ascii="Times New Roman" w:eastAsiaTheme="minorEastAsia" w:hAnsi="Times New Roman" w:cs="Times New Roman"/>
          <w:lang w:eastAsia="ru-RU"/>
        </w:rPr>
        <w:t>&amp;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D</w:t>
      </w:r>
      <w:r w:rsidRPr="00F9443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Investment</w:t>
      </w:r>
      <w:r w:rsidRPr="00F9443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704D">
        <w:rPr>
          <w:rFonts w:ascii="Times New Roman" w:eastAsiaTheme="minorEastAsia" w:hAnsi="Times New Roman" w:cs="Times New Roman"/>
          <w:lang w:val="en-US" w:eastAsia="ru-RU"/>
        </w:rPr>
        <w:t>Scoreboard</w:t>
      </w:r>
      <w:r w:rsidRPr="0056704D">
        <w:rPr>
          <w:rFonts w:ascii="Times New Roman" w:hAnsi="Times New Roman" w:cs="Times New Roman"/>
        </w:rPr>
        <w:t>]</w:t>
      </w:r>
    </w:p>
    <w:p w14:paraId="46191E77" w14:textId="4F635C9A" w:rsidR="00A164B6" w:rsidRDefault="0088213A" w:rsidP="00A1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видно из рисунка 5, м</w:t>
      </w:r>
      <w:r w:rsidR="00A164B6" w:rsidRPr="00A164B6">
        <w:rPr>
          <w:rFonts w:ascii="Times New Roman" w:hAnsi="Times New Roman" w:cs="Times New Roman"/>
          <w:sz w:val="24"/>
          <w:szCs w:val="24"/>
        </w:rPr>
        <w:t xml:space="preserve">ировые инвестиции в НИОКР показывают стабильный рост. </w:t>
      </w:r>
      <w:r w:rsidR="00A164B6">
        <w:rPr>
          <w:rFonts w:ascii="Times New Roman" w:hAnsi="Times New Roman" w:cs="Times New Roman"/>
          <w:sz w:val="24"/>
          <w:szCs w:val="24"/>
        </w:rPr>
        <w:t xml:space="preserve">Исключение составляет только 2009 год, как период, связанный с </w:t>
      </w:r>
      <w:r w:rsidR="00DE2E08">
        <w:rPr>
          <w:rFonts w:ascii="Times New Roman" w:hAnsi="Times New Roman" w:cs="Times New Roman"/>
          <w:sz w:val="24"/>
          <w:szCs w:val="24"/>
        </w:rPr>
        <w:t>началом выхода</w:t>
      </w:r>
      <w:r w:rsidR="00A164B6">
        <w:rPr>
          <w:rFonts w:ascii="Times New Roman" w:hAnsi="Times New Roman" w:cs="Times New Roman"/>
          <w:sz w:val="24"/>
          <w:szCs w:val="24"/>
        </w:rPr>
        <w:t xml:space="preserve"> из финансового кризиса</w:t>
      </w:r>
      <w:r w:rsidR="004B33BD">
        <w:rPr>
          <w:rFonts w:ascii="Times New Roman" w:hAnsi="Times New Roman" w:cs="Times New Roman"/>
          <w:sz w:val="24"/>
          <w:szCs w:val="24"/>
        </w:rPr>
        <w:t xml:space="preserve">, когда затраты на НИОКР снизились на 12,77%. </w:t>
      </w:r>
      <w:r w:rsidR="00EF00D8">
        <w:rPr>
          <w:rFonts w:ascii="Times New Roman" w:hAnsi="Times New Roman" w:cs="Times New Roman"/>
          <w:sz w:val="24"/>
          <w:szCs w:val="24"/>
        </w:rPr>
        <w:t>В последующий 2010 год произошел резкий скачок инвестиционной активности. Затраты на НИОКР в 2019 году превысили соответствующее значение 2003 года в 4,7 раз. Общая динамика мировых инвестиций в НИОКР отражает постепенный рост затрат на исследования и разработки</w:t>
      </w:r>
      <w:r w:rsidR="009B7DCA">
        <w:rPr>
          <w:rFonts w:ascii="Times New Roman" w:hAnsi="Times New Roman" w:cs="Times New Roman"/>
          <w:sz w:val="24"/>
          <w:szCs w:val="24"/>
        </w:rPr>
        <w:t>.</w:t>
      </w:r>
    </w:p>
    <w:p w14:paraId="3DB200C2" w14:textId="53322743" w:rsidR="00A164B6" w:rsidRDefault="00A164B6" w:rsidP="00A164B6">
      <w:pPr>
        <w:keepNext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DEAC4" wp14:editId="7E704C05">
            <wp:extent cx="6035040" cy="2837815"/>
            <wp:effectExtent l="0" t="0" r="3810" b="6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1228570" w14:textId="6DD2DFC7" w:rsidR="00A164B6" w:rsidRDefault="00A164B6" w:rsidP="00A164B6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Рисунок </w:t>
      </w: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C77210" w:rsidRPr="002F116D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5</w:t>
      </w: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Динамика мировых инвестиций в НИОКР</w:t>
      </w:r>
      <w:r w:rsidR="00862D27" w:rsidRPr="002F116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</w:p>
    <w:p w14:paraId="6B243965" w14:textId="77777777" w:rsidR="00A164B6" w:rsidRDefault="00A164B6" w:rsidP="00A164B6">
      <w:pPr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6820CE14" w14:textId="1FBFCC6B" w:rsidR="00F54A08" w:rsidRDefault="00F54A0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отраслевого среза положительный тренд, связанный с ростом затрат на исследования, также присутствует. Ключевыми инвесторами </w:t>
      </w:r>
      <w:r w:rsidR="002A479C">
        <w:rPr>
          <w:rFonts w:ascii="Times New Roman" w:hAnsi="Times New Roman" w:cs="Times New Roman"/>
          <w:sz w:val="24"/>
          <w:szCs w:val="24"/>
        </w:rPr>
        <w:t>в 2019 году стали</w:t>
      </w:r>
      <w:r>
        <w:rPr>
          <w:rFonts w:ascii="Times New Roman" w:hAnsi="Times New Roman" w:cs="Times New Roman"/>
          <w:sz w:val="24"/>
          <w:szCs w:val="24"/>
        </w:rPr>
        <w:t xml:space="preserve"> компании фармацевтического сектора, отрасли технологического оборудования, информационных технологий и автомобилестроени</w:t>
      </w:r>
      <w:r w:rsidR="009B7DCA">
        <w:rPr>
          <w:rFonts w:ascii="Times New Roman" w:hAnsi="Times New Roman" w:cs="Times New Roman"/>
          <w:sz w:val="24"/>
          <w:szCs w:val="24"/>
        </w:rPr>
        <w:t>я</w:t>
      </w:r>
      <w:r w:rsidR="00EF00D8">
        <w:rPr>
          <w:rFonts w:ascii="Times New Roman" w:hAnsi="Times New Roman" w:cs="Times New Roman"/>
          <w:sz w:val="24"/>
          <w:szCs w:val="24"/>
        </w:rPr>
        <w:t xml:space="preserve"> </w:t>
      </w:r>
      <w:r w:rsidR="00DE2E08" w:rsidRPr="00DE2E08">
        <w:rPr>
          <w:rFonts w:ascii="Times New Roman" w:hAnsi="Times New Roman" w:cs="Times New Roman"/>
          <w:sz w:val="24"/>
          <w:szCs w:val="24"/>
        </w:rPr>
        <w:t>[</w:t>
      </w:r>
      <w:hyperlink w:anchor="_Приложение_3_Отраслевые" w:history="1">
        <w:r w:rsidR="00EF00D8" w:rsidRPr="00B03745">
          <w:rPr>
            <w:rStyle w:val="a7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5D19E4" w:rsidRPr="00B03745">
          <w:rPr>
            <w:rStyle w:val="a7"/>
            <w:rFonts w:ascii="Times New Roman" w:hAnsi="Times New Roman" w:cs="Times New Roman"/>
            <w:sz w:val="24"/>
            <w:szCs w:val="24"/>
          </w:rPr>
          <w:t>3</w:t>
        </w:r>
      </w:hyperlink>
      <w:r w:rsidR="00DE2E08" w:rsidRPr="00DE2E08">
        <w:rPr>
          <w:rFonts w:ascii="Times New Roman" w:hAnsi="Times New Roman" w:cs="Times New Roman"/>
          <w:sz w:val="24"/>
          <w:szCs w:val="24"/>
        </w:rPr>
        <w:t>]</w:t>
      </w:r>
      <w:r w:rsidR="00C77210">
        <w:rPr>
          <w:rFonts w:ascii="Times New Roman" w:hAnsi="Times New Roman" w:cs="Times New Roman"/>
          <w:sz w:val="24"/>
          <w:szCs w:val="24"/>
        </w:rPr>
        <w:t>.</w:t>
      </w:r>
    </w:p>
    <w:p w14:paraId="606EDB8E" w14:textId="2CED1B67" w:rsidR="000C2901" w:rsidRDefault="0099335C" w:rsidP="00993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5C">
        <w:rPr>
          <w:rFonts w:ascii="Times New Roman" w:hAnsi="Times New Roman" w:cs="Times New Roman"/>
          <w:sz w:val="24"/>
          <w:szCs w:val="24"/>
        </w:rPr>
        <w:t xml:space="preserve">На основе данных об операционной </w:t>
      </w:r>
      <w:r w:rsidRPr="002C2BD6">
        <w:rPr>
          <w:rFonts w:ascii="Times New Roman" w:hAnsi="Times New Roman" w:cs="Times New Roman"/>
          <w:sz w:val="24"/>
          <w:szCs w:val="24"/>
        </w:rPr>
        <w:t>марже прибыли и стандартном отклонении ценности фирм разных отраслей была составлена карта стратегических групп</w:t>
      </w:r>
      <w:r w:rsidR="00DE2E08">
        <w:rPr>
          <w:rFonts w:ascii="Times New Roman" w:hAnsi="Times New Roman" w:cs="Times New Roman"/>
          <w:sz w:val="24"/>
          <w:szCs w:val="24"/>
        </w:rPr>
        <w:t xml:space="preserve"> (рисунок 6)</w:t>
      </w:r>
      <w:r w:rsidRPr="0099335C">
        <w:rPr>
          <w:rFonts w:ascii="Times New Roman" w:hAnsi="Times New Roman" w:cs="Times New Roman"/>
          <w:sz w:val="24"/>
          <w:szCs w:val="24"/>
        </w:rPr>
        <w:t xml:space="preserve">. Размер круга на данном графике обозначает </w:t>
      </w:r>
      <w:r w:rsidR="001067C9">
        <w:rPr>
          <w:rFonts w:ascii="Times New Roman" w:hAnsi="Times New Roman" w:cs="Times New Roman"/>
          <w:sz w:val="24"/>
          <w:szCs w:val="24"/>
        </w:rPr>
        <w:t>интенсивность</w:t>
      </w:r>
      <w:r w:rsidRPr="0099335C">
        <w:rPr>
          <w:rFonts w:ascii="Times New Roman" w:hAnsi="Times New Roman" w:cs="Times New Roman"/>
          <w:sz w:val="24"/>
          <w:szCs w:val="24"/>
        </w:rPr>
        <w:t xml:space="preserve"> НИОКР в отрасли.</w:t>
      </w:r>
      <w:r w:rsidR="000C5E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FCA61C" w14:textId="77777777" w:rsidR="000C2901" w:rsidRDefault="000C2901" w:rsidP="000C2901">
      <w:pPr>
        <w:keepNext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E13422" wp14:editId="72B26C65">
            <wp:extent cx="5939790" cy="3057098"/>
            <wp:effectExtent l="0" t="0" r="3810" b="1016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7D7DAC" w14:textId="1E7295E4" w:rsidR="000C2901" w:rsidRPr="002C2BD6" w:rsidRDefault="000C2901" w:rsidP="000C2901">
      <w:pPr>
        <w:pStyle w:val="af7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Рисунок </w:t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6</w:t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C7721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Карта стратегических отраслевых групп</w:t>
      </w:r>
      <w:r w:rsidR="001C7A1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:</w:t>
      </w:r>
      <w:r w:rsidR="002C2BD6" w:rsidRPr="002C2BD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2C2BD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размер круга соответствует интенсивности НИОКР в отрасли</w:t>
      </w:r>
    </w:p>
    <w:p w14:paraId="7FFEBF45" w14:textId="2643861D" w:rsidR="000C2901" w:rsidRPr="000C2901" w:rsidRDefault="000C2901" w:rsidP="000C2901">
      <w:pPr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08E0684F" w14:textId="1F411483" w:rsidR="000C2901" w:rsidRPr="000C2901" w:rsidRDefault="0099335C" w:rsidP="000C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рисунка</w:t>
      </w:r>
      <w:r w:rsidR="00C7721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видно, что отрасли, инвестирующие наиболее крупные суммы в исследования и разработки, сконцентрированы в центральной части графика</w:t>
      </w:r>
      <w:r w:rsidR="001067C9">
        <w:rPr>
          <w:rFonts w:ascii="Times New Roman" w:hAnsi="Times New Roman" w:cs="Times New Roman"/>
          <w:sz w:val="24"/>
          <w:szCs w:val="24"/>
        </w:rPr>
        <w:t xml:space="preserve">. Значения интенсивности НИОКР у отраслей, расположенных на боковых краях горизонтальной оси относительно небольшие. Кроме того, наиболее НИОКР-интенсивные отрасли характеризуются положительным значением маржи операционной прибыли. </w:t>
      </w:r>
      <w:r w:rsidR="000C2901">
        <w:rPr>
          <w:rFonts w:ascii="Times New Roman" w:hAnsi="Times New Roman" w:cs="Times New Roman"/>
          <w:sz w:val="24"/>
          <w:szCs w:val="24"/>
        </w:rPr>
        <w:t>Возможно,</w:t>
      </w:r>
      <w:r w:rsidR="00BC5476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операционной рентабельностью и интенсивностью НИОКР. </w:t>
      </w:r>
      <w:r w:rsidR="00E71E52">
        <w:rPr>
          <w:rFonts w:ascii="Times New Roman" w:hAnsi="Times New Roman" w:cs="Times New Roman"/>
          <w:sz w:val="24"/>
          <w:szCs w:val="24"/>
        </w:rPr>
        <w:t>Данный график также позволяет определить некие обобщенные стратегические отраслевые группы. Так, например, отрасл</w:t>
      </w:r>
      <w:r w:rsidR="00BC5476">
        <w:rPr>
          <w:rFonts w:ascii="Times New Roman" w:hAnsi="Times New Roman" w:cs="Times New Roman"/>
          <w:sz w:val="24"/>
          <w:szCs w:val="24"/>
        </w:rPr>
        <w:t>ь</w:t>
      </w:r>
      <w:r w:rsidR="00E71E52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оборонн</w:t>
      </w:r>
      <w:r w:rsidR="000C2901">
        <w:rPr>
          <w:rFonts w:ascii="Times New Roman" w:hAnsi="Times New Roman" w:cs="Times New Roman"/>
          <w:sz w:val="24"/>
          <w:szCs w:val="24"/>
        </w:rPr>
        <w:t>ая</w:t>
      </w:r>
      <w:r w:rsidR="00E71E52">
        <w:rPr>
          <w:rFonts w:ascii="Times New Roman" w:hAnsi="Times New Roman" w:cs="Times New Roman"/>
          <w:sz w:val="24"/>
          <w:szCs w:val="24"/>
        </w:rPr>
        <w:t xml:space="preserve"> промышленност</w:t>
      </w:r>
      <w:r w:rsidR="000C2901">
        <w:rPr>
          <w:rFonts w:ascii="Times New Roman" w:hAnsi="Times New Roman" w:cs="Times New Roman"/>
          <w:sz w:val="24"/>
          <w:szCs w:val="24"/>
        </w:rPr>
        <w:t>ь</w:t>
      </w:r>
      <w:r w:rsidR="00E71E52">
        <w:rPr>
          <w:rFonts w:ascii="Times New Roman" w:hAnsi="Times New Roman" w:cs="Times New Roman"/>
          <w:sz w:val="24"/>
          <w:szCs w:val="24"/>
        </w:rPr>
        <w:t>, химическая и деревообрабатывающая</w:t>
      </w:r>
      <w:r w:rsidR="000C2901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E71E52">
        <w:rPr>
          <w:rFonts w:ascii="Times New Roman" w:hAnsi="Times New Roman" w:cs="Times New Roman"/>
          <w:sz w:val="24"/>
          <w:szCs w:val="24"/>
        </w:rPr>
        <w:t xml:space="preserve"> являются сходными по ряду параметров. Можно предположить, что размер инвестиций в исследования и разработки в этих отраслевых группах будет определяться схожим набором детерминант. </w:t>
      </w:r>
    </w:p>
    <w:p w14:paraId="44038312" w14:textId="22746435" w:rsidR="007564C1" w:rsidRPr="00A312C5" w:rsidRDefault="007564C1" w:rsidP="00A312C5">
      <w:pPr>
        <w:pStyle w:val="2"/>
        <w:numPr>
          <w:ilvl w:val="1"/>
          <w:numId w:val="14"/>
        </w:numPr>
        <w:ind w:left="1276" w:hanging="567"/>
        <w:rPr>
          <w:rFonts w:cs="Times New Roman"/>
        </w:rPr>
      </w:pPr>
      <w:bookmarkStart w:id="28" w:name="_Toc73538435"/>
      <w:r w:rsidRPr="00A312C5">
        <w:rPr>
          <w:rFonts w:cs="Times New Roman"/>
        </w:rPr>
        <w:t>Методология исследования</w:t>
      </w:r>
      <w:bookmarkEnd w:id="28"/>
    </w:p>
    <w:p w14:paraId="3F91E696" w14:textId="387D1AD4" w:rsidR="00CB0B3A" w:rsidRDefault="00CB0B3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Первым шагом в реализации исследования стала идентификация переменных, которые войдут в регрессионную модель. В основу исследовательской работы легла модель, представленная ниже</w:t>
      </w:r>
      <w:r w:rsidR="00066B14" w:rsidRPr="00066B14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F50B9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66B14" w:rsidRPr="00A312C5">
        <w:rPr>
          <w:rFonts w:ascii="Times New Roman" w:hAnsi="Times New Roman" w:cs="Times New Roman"/>
          <w:sz w:val="24"/>
          <w:szCs w:val="24"/>
        </w:rPr>
        <w:t>Bukhvalov</w:t>
      </w:r>
      <w:proofErr w:type="spellEnd"/>
      <w:r w:rsidR="00066B14" w:rsidRPr="00A312C5">
        <w:rPr>
          <w:rFonts w:ascii="Times New Roman" w:hAnsi="Times New Roman" w:cs="Times New Roman"/>
          <w:sz w:val="24"/>
          <w:szCs w:val="24"/>
        </w:rPr>
        <w:t>,</w:t>
      </w:r>
      <w:r w:rsidR="00066B14" w:rsidRPr="00F5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B14" w:rsidRPr="00A312C5">
        <w:rPr>
          <w:rFonts w:ascii="Times New Roman" w:hAnsi="Times New Roman" w:cs="Times New Roman"/>
          <w:sz w:val="24"/>
          <w:szCs w:val="24"/>
        </w:rPr>
        <w:t>Loukianova</w:t>
      </w:r>
      <w:proofErr w:type="spellEnd"/>
      <w:r w:rsidR="00066B14"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B14" w:rsidRPr="00A312C5">
        <w:rPr>
          <w:rFonts w:ascii="Times New Roman" w:hAnsi="Times New Roman" w:cs="Times New Roman"/>
          <w:sz w:val="24"/>
          <w:szCs w:val="24"/>
        </w:rPr>
        <w:t>Nikulin</w:t>
      </w:r>
      <w:proofErr w:type="spellEnd"/>
      <w:r w:rsidR="00066B14"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B14" w:rsidRPr="00A312C5">
        <w:rPr>
          <w:rFonts w:ascii="Times New Roman" w:hAnsi="Times New Roman" w:cs="Times New Roman"/>
          <w:sz w:val="24"/>
          <w:szCs w:val="24"/>
        </w:rPr>
        <w:t>Okulov</w:t>
      </w:r>
      <w:proofErr w:type="spellEnd"/>
      <w:r w:rsidR="00066B14" w:rsidRPr="00A312C5">
        <w:rPr>
          <w:rFonts w:ascii="Times New Roman" w:hAnsi="Times New Roman" w:cs="Times New Roman"/>
          <w:sz w:val="24"/>
          <w:szCs w:val="24"/>
        </w:rPr>
        <w:t>, 2018</w:t>
      </w:r>
      <w:r w:rsidR="00066B14" w:rsidRPr="00F50B92">
        <w:rPr>
          <w:rFonts w:ascii="Times New Roman" w:hAnsi="Times New Roman" w:cs="Times New Roman"/>
          <w:sz w:val="24"/>
          <w:szCs w:val="24"/>
        </w:rPr>
        <w:t>]</w:t>
      </w:r>
      <w:r w:rsidRPr="00A312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67"/>
      </w:tblGrid>
      <w:tr w:rsidR="005B0E30" w14:paraId="65EA6737" w14:textId="77777777" w:rsidTr="005B0E30">
        <w:tc>
          <w:tcPr>
            <w:tcW w:w="8642" w:type="dxa"/>
          </w:tcPr>
          <w:p w14:paraId="5F7F9214" w14:textId="48BE887B" w:rsidR="005B0E30" w:rsidRDefault="001543FB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RDI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σ</m:t>
                            </m:r>
                          </m:e>
                        </m:ba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</m:bar>
                          </m:e>
                        </m:ra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-r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bar>
                  </m:sup>
                </m:sSup>
              </m:oMath>
            </m:oMathPara>
          </w:p>
        </w:tc>
        <w:tc>
          <w:tcPr>
            <w:tcW w:w="567" w:type="dxa"/>
          </w:tcPr>
          <w:p w14:paraId="3C13FD55" w14:textId="2222FB60" w:rsidR="005B0E30" w:rsidRDefault="005B0E30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</w:tbl>
    <w:p w14:paraId="2C4ADE6F" w14:textId="77777777" w:rsidR="005B0E30" w:rsidRPr="00A312C5" w:rsidRDefault="005B0E3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E7131" w14:textId="7D64DE1F" w:rsidR="00CB0B3A" w:rsidRPr="00066B14" w:rsidRDefault="00CB0B3A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RDI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ind</m:t>
            </m:r>
          </m:sub>
        </m:sSub>
      </m:oMath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 это отраслевая интенсивность НИОКР</w:t>
      </w:r>
      <w:r w:rsidR="00066B1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E492264" w14:textId="514BD278" w:rsidR="00CB0B3A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ind</m:t>
            </m:r>
          </m:sub>
        </m:sSub>
      </m:oMath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B7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>операционная рентабельность</w:t>
      </w:r>
      <w:r w:rsidR="00066B1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6B93C02" w14:textId="2DF7DBC9" w:rsidR="00CB0B3A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bar>
      </m:oMath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B7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>средняя длительность проекта НИОКР в отрасли</w:t>
      </w:r>
      <w:r w:rsidR="00066B1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B3FDEDB" w14:textId="1A8B1907" w:rsidR="00CB0B3A" w:rsidRPr="00A312C5" w:rsidRDefault="001543FB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</m:bar>
      </m:oMath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B7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0B3A" w:rsidRPr="00A312C5">
        <w:rPr>
          <w:rFonts w:ascii="Times New Roman" w:eastAsiaTheme="minorEastAsia" w:hAnsi="Times New Roman" w:cs="Times New Roman"/>
          <w:sz w:val="24"/>
          <w:szCs w:val="24"/>
        </w:rPr>
        <w:t>средняя волатильность ценности крупной компании в отрасли</w:t>
      </w:r>
      <w:r w:rsidR="00066B1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C55785C" w14:textId="76F2B9FB" w:rsidR="00CB0B3A" w:rsidRPr="00A312C5" w:rsidRDefault="00CB0B3A" w:rsidP="002376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C5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B7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eastAsiaTheme="minorEastAsia" w:hAnsi="Times New Roman" w:cs="Times New Roman"/>
          <w:sz w:val="24"/>
          <w:szCs w:val="24"/>
        </w:rPr>
        <w:t xml:space="preserve">безрисковая ставка доходности. </w:t>
      </w:r>
    </w:p>
    <w:p w14:paraId="03328AE9" w14:textId="5D97A77B" w:rsidR="005B0E30" w:rsidRPr="008B77BC" w:rsidRDefault="00842F61" w:rsidP="008B77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2C5">
        <w:rPr>
          <w:rFonts w:ascii="Times New Roman" w:hAnsi="Times New Roman" w:cs="Times New Roman"/>
          <w:sz w:val="24"/>
          <w:szCs w:val="24"/>
        </w:rPr>
        <w:t>Из данной модели были взяты такие переменные, как интенсивность НИОКР, операционная рентабельность и средняя волатильность</w:t>
      </w:r>
      <w:r w:rsidR="00066B14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компании в отрасли. Переменную, отражающую среднюю отраслевую длительность проекта, решено было исключить, так как она варьируется незначительно</w:t>
      </w:r>
      <w:r w:rsidR="00954424" w:rsidRPr="00A312C5">
        <w:rPr>
          <w:rFonts w:ascii="Times New Roman" w:hAnsi="Times New Roman" w:cs="Times New Roman"/>
          <w:sz w:val="24"/>
          <w:szCs w:val="24"/>
        </w:rPr>
        <w:t xml:space="preserve"> [</w:t>
      </w:r>
      <w:r w:rsidR="00954424" w:rsidRPr="00A312C5">
        <w:rPr>
          <w:rFonts w:ascii="Times New Roman" w:hAnsi="Times New Roman" w:cs="Times New Roman"/>
          <w:sz w:val="24"/>
          <w:szCs w:val="24"/>
          <w:lang w:val="en-US"/>
        </w:rPr>
        <w:t>Ker</w:t>
      </w:r>
      <w:r w:rsidR="00954424" w:rsidRPr="00A312C5">
        <w:rPr>
          <w:rFonts w:ascii="Times New Roman" w:hAnsi="Times New Roman" w:cs="Times New Roman"/>
          <w:sz w:val="24"/>
          <w:szCs w:val="24"/>
        </w:rPr>
        <w:t>, 2013].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Кроме того, в модель были включены несколько дополнительных переменных</w:t>
      </w:r>
      <w:r w:rsidR="001621A6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из отчета Европейского Союза</w:t>
      </w:r>
      <w:r w:rsidR="001C7A15">
        <w:rPr>
          <w:rFonts w:ascii="Times New Roman" w:hAnsi="Times New Roman" w:cs="Times New Roman"/>
          <w:sz w:val="24"/>
          <w:szCs w:val="24"/>
        </w:rPr>
        <w:t xml:space="preserve"> об инвестициях в НИОКР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032F41" w:rsidRPr="00A312C5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1621A6">
        <w:rPr>
          <w:rFonts w:ascii="Times New Roman" w:hAnsi="Times New Roman" w:cs="Times New Roman"/>
          <w:sz w:val="24"/>
          <w:szCs w:val="24"/>
        </w:rPr>
        <w:t xml:space="preserve">5 </w:t>
      </w:r>
      <w:r w:rsidR="00032F41" w:rsidRPr="00A312C5">
        <w:rPr>
          <w:rFonts w:ascii="Times New Roman" w:hAnsi="Times New Roman" w:cs="Times New Roman"/>
          <w:sz w:val="24"/>
          <w:szCs w:val="24"/>
        </w:rPr>
        <w:t>приведен</w:t>
      </w:r>
      <w:r w:rsidR="001C7A15">
        <w:rPr>
          <w:rFonts w:ascii="Times New Roman" w:hAnsi="Times New Roman" w:cs="Times New Roman"/>
          <w:sz w:val="24"/>
          <w:szCs w:val="24"/>
        </w:rPr>
        <w:t>о</w:t>
      </w:r>
      <w:r w:rsidR="00032F41" w:rsidRPr="00A312C5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1C7A15">
        <w:rPr>
          <w:rFonts w:ascii="Times New Roman" w:hAnsi="Times New Roman" w:cs="Times New Roman"/>
          <w:sz w:val="24"/>
          <w:szCs w:val="24"/>
        </w:rPr>
        <w:t>е</w:t>
      </w:r>
      <w:r w:rsidR="00032F41" w:rsidRPr="00A312C5">
        <w:rPr>
          <w:rFonts w:ascii="Times New Roman" w:hAnsi="Times New Roman" w:cs="Times New Roman"/>
          <w:sz w:val="24"/>
          <w:szCs w:val="24"/>
        </w:rPr>
        <w:t xml:space="preserve"> использованных в модели переменных:</w:t>
      </w:r>
    </w:p>
    <w:p w14:paraId="0FEC2E9C" w14:textId="7E7FDD14" w:rsidR="008B77BC" w:rsidRPr="008B77BC" w:rsidRDefault="008B77BC" w:rsidP="008B77BC">
      <w:pPr>
        <w:pStyle w:val="af7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5</w:t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B77B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Описание переменных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F41" w:rsidRPr="00A312C5" w14:paraId="464C1E76" w14:textId="77777777" w:rsidTr="00641103">
        <w:tc>
          <w:tcPr>
            <w:tcW w:w="3114" w:type="dxa"/>
          </w:tcPr>
          <w:p w14:paraId="2A94E90B" w14:textId="77777777" w:rsidR="00032F41" w:rsidRPr="00A312C5" w:rsidRDefault="00032F41" w:rsidP="005B0E30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b/>
                <w:bCs/>
                <w:lang w:val="en-US"/>
              </w:rPr>
              <w:t>Переменная</w:t>
            </w:r>
            <w:proofErr w:type="spellEnd"/>
          </w:p>
        </w:tc>
        <w:tc>
          <w:tcPr>
            <w:tcW w:w="3115" w:type="dxa"/>
          </w:tcPr>
          <w:p w14:paraId="2DBD2523" w14:textId="77777777" w:rsidR="00032F41" w:rsidRPr="00A312C5" w:rsidRDefault="00032F41" w:rsidP="005B0E30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b/>
                <w:bCs/>
                <w:lang w:val="en-US"/>
              </w:rPr>
              <w:t>Название</w:t>
            </w:r>
            <w:proofErr w:type="spellEnd"/>
          </w:p>
        </w:tc>
        <w:tc>
          <w:tcPr>
            <w:tcW w:w="3115" w:type="dxa"/>
          </w:tcPr>
          <w:p w14:paraId="4C4676E5" w14:textId="77777777" w:rsidR="00032F41" w:rsidRPr="00A312C5" w:rsidRDefault="00032F41" w:rsidP="005B0E30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b/>
                <w:bCs/>
                <w:lang w:val="en-US"/>
              </w:rPr>
              <w:t>Пояснение</w:t>
            </w:r>
            <w:proofErr w:type="spellEnd"/>
          </w:p>
        </w:tc>
      </w:tr>
      <w:tr w:rsidR="00032F41" w:rsidRPr="00A312C5" w14:paraId="68BD61A1" w14:textId="77777777" w:rsidTr="00641103">
        <w:tc>
          <w:tcPr>
            <w:tcW w:w="3114" w:type="dxa"/>
          </w:tcPr>
          <w:p w14:paraId="71396497" w14:textId="77777777" w:rsidR="00032F41" w:rsidRPr="00A312C5" w:rsidRDefault="00032F41" w:rsidP="005B0E30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Интенсивность НИОКР</w:t>
            </w:r>
          </w:p>
        </w:tc>
        <w:tc>
          <w:tcPr>
            <w:tcW w:w="3115" w:type="dxa"/>
          </w:tcPr>
          <w:p w14:paraId="41D4D8E3" w14:textId="0F5B84AF" w:rsidR="00032F41" w:rsidRPr="00A312C5" w:rsidRDefault="00032F41" w:rsidP="005B0E30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av_RD_intensity</w:t>
            </w:r>
            <w:proofErr w:type="spellEnd"/>
          </w:p>
        </w:tc>
        <w:tc>
          <w:tcPr>
            <w:tcW w:w="3115" w:type="dxa"/>
          </w:tcPr>
          <w:p w14:paraId="1D9142D3" w14:textId="578A2204" w:rsidR="00032F41" w:rsidRPr="00A312C5" w:rsidRDefault="009B39D2" w:rsidP="005B0E30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Средняя интенсивность</w:t>
            </w:r>
            <w:r w:rsidR="00032F41" w:rsidRPr="00A312C5">
              <w:rPr>
                <w:rFonts w:ascii="Times New Roman" w:hAnsi="Times New Roman" w:cs="Times New Roman"/>
              </w:rPr>
              <w:t xml:space="preserve"> НИОКР в отрасли </w:t>
            </w:r>
            <w:proofErr w:type="spellStart"/>
            <w:r w:rsidR="00032F41"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032F41" w:rsidRPr="00A312C5">
              <w:rPr>
                <w:rFonts w:ascii="Times New Roman" w:hAnsi="Times New Roman" w:cs="Times New Roman"/>
              </w:rPr>
              <w:t xml:space="preserve"> за год </w:t>
            </w:r>
            <w:r w:rsidR="00032F41" w:rsidRPr="00A312C5">
              <w:rPr>
                <w:rFonts w:ascii="Times New Roman" w:hAnsi="Times New Roman" w:cs="Times New Roman"/>
                <w:lang w:val="en-US"/>
              </w:rPr>
              <w:t>t</w:t>
            </w:r>
            <w:r w:rsidR="00032F41" w:rsidRPr="00A312C5">
              <w:rPr>
                <w:rFonts w:ascii="Times New Roman" w:hAnsi="Times New Roman" w:cs="Times New Roman"/>
              </w:rPr>
              <w:t xml:space="preserve"> (интенсивность НИОКР</w:t>
            </w:r>
            <w:r w:rsidR="001C7A15">
              <w:rPr>
                <w:rFonts w:ascii="Times New Roman" w:hAnsi="Times New Roman" w:cs="Times New Roman"/>
              </w:rPr>
              <w:t xml:space="preserve"> </w:t>
            </w:r>
            <w:r w:rsidR="001C7A15" w:rsidRPr="00A312C5">
              <w:rPr>
                <w:rFonts w:ascii="Times New Roman" w:hAnsi="Times New Roman" w:cs="Times New Roman"/>
              </w:rPr>
              <w:t>определяется как отношение затрат на научные разработки к выручке компании)</w:t>
            </w:r>
            <w:r w:rsidR="00032F41" w:rsidRPr="00A312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A15" w:rsidRPr="00A312C5" w14:paraId="7C821023" w14:textId="77777777" w:rsidTr="00641103">
        <w:tc>
          <w:tcPr>
            <w:tcW w:w="3114" w:type="dxa"/>
          </w:tcPr>
          <w:p w14:paraId="1B9D1F90" w14:textId="43DCFAA5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Маржа операционной прибыли</w:t>
            </w:r>
          </w:p>
        </w:tc>
        <w:tc>
          <w:tcPr>
            <w:tcW w:w="3115" w:type="dxa"/>
          </w:tcPr>
          <w:p w14:paraId="75D09D84" w14:textId="0F885B25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av_profit_margin</w:t>
            </w:r>
            <w:proofErr w:type="spellEnd"/>
          </w:p>
        </w:tc>
        <w:tc>
          <w:tcPr>
            <w:tcW w:w="3115" w:type="dxa"/>
          </w:tcPr>
          <w:p w14:paraId="5F37D8B9" w14:textId="7D1D4DB0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Средняя операционная маржа прибыли в отрасли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за год </w:t>
            </w:r>
            <w:r w:rsidRPr="00A312C5">
              <w:rPr>
                <w:rFonts w:ascii="Times New Roman" w:hAnsi="Times New Roman" w:cs="Times New Roman"/>
                <w:lang w:val="en-US"/>
              </w:rPr>
              <w:t>t</w:t>
            </w:r>
            <w:r w:rsidRPr="00A312C5">
              <w:rPr>
                <w:rFonts w:ascii="Times New Roman" w:hAnsi="Times New Roman" w:cs="Times New Roman"/>
              </w:rPr>
              <w:t xml:space="preserve"> (операционная маржа определяется как отношение операционной прибыли к выручке компании)</w:t>
            </w:r>
          </w:p>
        </w:tc>
      </w:tr>
      <w:tr w:rsidR="001C7A15" w:rsidRPr="00A312C5" w14:paraId="281A52D3" w14:textId="77777777" w:rsidTr="00641103">
        <w:tc>
          <w:tcPr>
            <w:tcW w:w="3114" w:type="dxa"/>
          </w:tcPr>
          <w:p w14:paraId="24DE5C57" w14:textId="14E8277C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Выручка в расчете на одного сотрудника</w:t>
            </w:r>
          </w:p>
        </w:tc>
        <w:tc>
          <w:tcPr>
            <w:tcW w:w="3115" w:type="dxa"/>
          </w:tcPr>
          <w:p w14:paraId="0189330D" w14:textId="293F6C12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av_sales_per_emp</w:t>
            </w:r>
            <w:proofErr w:type="spellEnd"/>
          </w:p>
        </w:tc>
        <w:tc>
          <w:tcPr>
            <w:tcW w:w="3115" w:type="dxa"/>
          </w:tcPr>
          <w:p w14:paraId="0121AA39" w14:textId="77777777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Среднее по отрасли отношения выручки к количеству сотрудников в отрасли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за год </w:t>
            </w:r>
            <w:r w:rsidRPr="00A312C5">
              <w:rPr>
                <w:rFonts w:ascii="Times New Roman" w:hAnsi="Times New Roman" w:cs="Times New Roman"/>
                <w:lang w:val="en-US"/>
              </w:rPr>
              <w:t>t</w:t>
            </w:r>
          </w:p>
          <w:p w14:paraId="07782B1B" w14:textId="77777777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</w:p>
        </w:tc>
      </w:tr>
      <w:tr w:rsidR="001C7A15" w:rsidRPr="00A312C5" w14:paraId="644EF174" w14:textId="77777777" w:rsidTr="00641103">
        <w:tc>
          <w:tcPr>
            <w:tcW w:w="3114" w:type="dxa"/>
          </w:tcPr>
          <w:p w14:paraId="0EFE5D04" w14:textId="4391E561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A312C5">
              <w:rPr>
                <w:rFonts w:ascii="Times New Roman" w:hAnsi="Times New Roman" w:cs="Times New Roman"/>
              </w:rPr>
              <w:t>Херфиндаля-Хиршмана</w:t>
            </w:r>
            <w:proofErr w:type="spellEnd"/>
          </w:p>
        </w:tc>
        <w:tc>
          <w:tcPr>
            <w:tcW w:w="3115" w:type="dxa"/>
          </w:tcPr>
          <w:p w14:paraId="4F430E96" w14:textId="4F1985D7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HHI</w:t>
            </w:r>
          </w:p>
        </w:tc>
        <w:tc>
          <w:tcPr>
            <w:tcW w:w="3115" w:type="dxa"/>
          </w:tcPr>
          <w:p w14:paraId="5A9369CE" w14:textId="21306D83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Индикатор, который используется для определения степени монополизации в отрасли. Рассчитывается данный показатель путем сложения квадратов долей </w:t>
            </w:r>
            <w:r w:rsidRPr="00A312C5">
              <w:rPr>
                <w:rFonts w:ascii="Times New Roman" w:hAnsi="Times New Roman" w:cs="Times New Roman"/>
              </w:rPr>
              <w:lastRenderedPageBreak/>
              <w:t xml:space="preserve">продаж компаний в отрасли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за год </w:t>
            </w:r>
            <w:r w:rsidRPr="00A312C5">
              <w:rPr>
                <w:rFonts w:ascii="Times New Roman" w:hAnsi="Times New Roman" w:cs="Times New Roman"/>
                <w:lang w:val="en-US"/>
              </w:rPr>
              <w:t>t</w:t>
            </w:r>
          </w:p>
        </w:tc>
      </w:tr>
      <w:tr w:rsidR="001C7A15" w:rsidRPr="00A312C5" w14:paraId="1413376B" w14:textId="77777777" w:rsidTr="00641103">
        <w:tc>
          <w:tcPr>
            <w:tcW w:w="3114" w:type="dxa"/>
          </w:tcPr>
          <w:p w14:paraId="5E7B134C" w14:textId="4041C01D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lastRenderedPageBreak/>
              <w:t>Стандартное отклонение ценности фирмы</w:t>
            </w:r>
          </w:p>
        </w:tc>
        <w:tc>
          <w:tcPr>
            <w:tcW w:w="3115" w:type="dxa"/>
          </w:tcPr>
          <w:p w14:paraId="32A020DA" w14:textId="3573F3E0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std_dev_in_firm_value</w:t>
            </w:r>
            <w:proofErr w:type="spellEnd"/>
          </w:p>
        </w:tc>
        <w:tc>
          <w:tcPr>
            <w:tcW w:w="3115" w:type="dxa"/>
          </w:tcPr>
          <w:p w14:paraId="441927A8" w14:textId="3C5F9BF6" w:rsidR="001C7A15" w:rsidRPr="00A312C5" w:rsidRDefault="001C7A15" w:rsidP="009B7D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Стандартное отклонение ценности компаний в отрасли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за год </w:t>
            </w:r>
            <w:r w:rsidRPr="00A312C5">
              <w:rPr>
                <w:rFonts w:ascii="Times New Roman" w:hAnsi="Times New Roman" w:cs="Times New Roman"/>
                <w:lang w:val="en-US"/>
              </w:rPr>
              <w:t>t</w:t>
            </w:r>
            <w:r w:rsidRPr="00A312C5">
              <w:rPr>
                <w:rFonts w:ascii="Times New Roman" w:hAnsi="Times New Roman" w:cs="Times New Roman"/>
              </w:rPr>
              <w:t xml:space="preserve"> по данным А. </w:t>
            </w:r>
            <w:proofErr w:type="spellStart"/>
            <w:r w:rsidRPr="00A312C5">
              <w:rPr>
                <w:rFonts w:ascii="Times New Roman" w:hAnsi="Times New Roman" w:cs="Times New Roman"/>
              </w:rPr>
              <w:t>Дамодарана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449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Damodaran</w:t>
            </w:r>
            <w:r w:rsidRPr="00C449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1621A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C7A15" w:rsidRPr="00A312C5" w14:paraId="1CABE0DA" w14:textId="77777777" w:rsidTr="00641103">
        <w:tc>
          <w:tcPr>
            <w:tcW w:w="3114" w:type="dxa"/>
          </w:tcPr>
          <w:p w14:paraId="44EF1215" w14:textId="08DDCEA2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Рентабельность собственного капитала</w:t>
            </w:r>
          </w:p>
        </w:tc>
        <w:tc>
          <w:tcPr>
            <w:tcW w:w="3115" w:type="dxa"/>
          </w:tcPr>
          <w:p w14:paraId="229596A8" w14:textId="404CE29C" w:rsidR="001C7A15" w:rsidRPr="00A312C5" w:rsidRDefault="001C7A15" w:rsidP="001C7A15">
            <w:pPr>
              <w:spacing w:line="360" w:lineRule="auto"/>
              <w:ind w:firstLine="29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ROE</w:t>
            </w:r>
          </w:p>
        </w:tc>
        <w:tc>
          <w:tcPr>
            <w:tcW w:w="3115" w:type="dxa"/>
          </w:tcPr>
          <w:p w14:paraId="5FC17B81" w14:textId="72C62D37" w:rsidR="001C7A15" w:rsidRPr="00A312C5" w:rsidRDefault="001C7A15" w:rsidP="009B7D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Рентабельность собственного капитала в отрасли </w:t>
            </w: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за год </w:t>
            </w:r>
            <w:r w:rsidRPr="00A312C5">
              <w:rPr>
                <w:rFonts w:ascii="Times New Roman" w:hAnsi="Times New Roman" w:cs="Times New Roman"/>
                <w:lang w:val="en-US"/>
              </w:rPr>
              <w:t>t</w:t>
            </w:r>
            <w:r w:rsidRPr="00A312C5">
              <w:rPr>
                <w:rFonts w:ascii="Times New Roman" w:hAnsi="Times New Roman" w:cs="Times New Roman"/>
              </w:rPr>
              <w:t xml:space="preserve"> по данным А. </w:t>
            </w:r>
            <w:proofErr w:type="spellStart"/>
            <w:r w:rsidRPr="00A312C5">
              <w:rPr>
                <w:rFonts w:ascii="Times New Roman" w:hAnsi="Times New Roman" w:cs="Times New Roman"/>
              </w:rPr>
              <w:t>Дамодарана</w:t>
            </w:r>
            <w:proofErr w:type="spellEnd"/>
            <w:r w:rsidR="009B7DCA">
              <w:rPr>
                <w:rFonts w:ascii="Times New Roman" w:hAnsi="Times New Roman" w:cs="Times New Roman"/>
              </w:rPr>
              <w:t xml:space="preserve"> </w:t>
            </w:r>
            <w:r w:rsidR="009B7DCA" w:rsidRPr="00C449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B7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Damodaran</w:t>
            </w:r>
            <w:r w:rsidR="009B7DCA" w:rsidRPr="00C449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9B7DCA" w:rsidRPr="001621A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28BA7C6B" w14:textId="5958425B" w:rsidR="00945BE7" w:rsidRPr="00945BE7" w:rsidRDefault="00945BE7" w:rsidP="00945BE7">
      <w:pPr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65C24117" w14:textId="77A24EEB" w:rsidR="00A32149" w:rsidRDefault="00A3214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Первоначальная выборка включала в себя данные о 2500 компаниях за 17 лет. После очищения данных от выбросов с помощью функции «</w:t>
      </w:r>
      <w:proofErr w:type="spellStart"/>
      <w:r w:rsidRPr="00A312C5">
        <w:rPr>
          <w:rFonts w:ascii="Times New Roman" w:hAnsi="Times New Roman" w:cs="Times New Roman"/>
          <w:sz w:val="24"/>
          <w:szCs w:val="24"/>
          <w:lang w:val="en-US"/>
        </w:rPr>
        <w:t>hadimvo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» количество наблюдений составило 2804</w:t>
      </w:r>
      <w:r w:rsidR="008109E5" w:rsidRPr="00A312C5">
        <w:rPr>
          <w:rFonts w:ascii="Times New Roman" w:hAnsi="Times New Roman" w:cs="Times New Roman"/>
          <w:sz w:val="24"/>
          <w:szCs w:val="24"/>
        </w:rPr>
        <w:t>7</w:t>
      </w:r>
      <w:r w:rsidRPr="00A312C5">
        <w:rPr>
          <w:rFonts w:ascii="Times New Roman" w:hAnsi="Times New Roman" w:cs="Times New Roman"/>
          <w:sz w:val="24"/>
          <w:szCs w:val="24"/>
        </w:rPr>
        <w:t xml:space="preserve">. Следующим шагом стало </w:t>
      </w:r>
      <w:bookmarkStart w:id="29" w:name="_Hlk69420059"/>
      <w:r w:rsidRPr="00A312C5">
        <w:rPr>
          <w:rFonts w:ascii="Times New Roman" w:hAnsi="Times New Roman" w:cs="Times New Roman"/>
          <w:sz w:val="24"/>
          <w:szCs w:val="24"/>
        </w:rPr>
        <w:t xml:space="preserve">усреднение и агрегирование соответствующих показателей по отраслевому признаку. Массив затем был организован в формате панельных данных. </w:t>
      </w:r>
      <w:bookmarkEnd w:id="29"/>
      <w:r w:rsidRPr="00A312C5">
        <w:rPr>
          <w:rFonts w:ascii="Times New Roman" w:hAnsi="Times New Roman" w:cs="Times New Roman"/>
          <w:sz w:val="24"/>
          <w:szCs w:val="24"/>
        </w:rPr>
        <w:t>Таким образом, регрессионная модель приняла вид:</w:t>
      </w:r>
    </w:p>
    <w:tbl>
      <w:tblPr>
        <w:tblStyle w:val="ab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496"/>
      </w:tblGrid>
      <w:tr w:rsidR="008B77BC" w14:paraId="38188006" w14:textId="77777777" w:rsidTr="008B77BC">
        <w:tc>
          <w:tcPr>
            <w:tcW w:w="8926" w:type="dxa"/>
          </w:tcPr>
          <w:p w14:paraId="0E2F83C6" w14:textId="1B4EE1A2" w:rsidR="008B77BC" w:rsidRDefault="001543FB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RDintensity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</w:rPr>
                        </m:ctrlPr>
                      </m:bar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sales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emp</m:t>
                            </m:r>
                          </m:den>
                        </m:f>
                      </m:e>
                    </m:ba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σ</m:t>
                        </m:r>
                      </m:e>
                    </m:ba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HHI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ROE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i=1,…, 22;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</w:rPr>
                  <m:t>=2003,…,2019</m:t>
                </m:r>
              </m:oMath>
            </m:oMathPara>
          </w:p>
        </w:tc>
        <w:tc>
          <w:tcPr>
            <w:tcW w:w="426" w:type="dxa"/>
          </w:tcPr>
          <w:p w14:paraId="4FDEF98D" w14:textId="3ABF0DC6" w:rsidR="008B77BC" w:rsidRDefault="008B77BC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</w:tbl>
    <w:p w14:paraId="4C5AED43" w14:textId="54D8E31F" w:rsidR="00CB0B3A" w:rsidRPr="00A312C5" w:rsidRDefault="00A3214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69420286"/>
      <w:r w:rsidRPr="00A312C5">
        <w:rPr>
          <w:rFonts w:ascii="Times New Roman" w:hAnsi="Times New Roman" w:cs="Times New Roman"/>
          <w:sz w:val="24"/>
          <w:szCs w:val="24"/>
        </w:rPr>
        <w:t xml:space="preserve">На следующем этапе была введена описательная статистика и проведена проверка на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. После этого была реализована оценка параметров многофакторной регрессионной модели по панельным данным. В рамках этого шага были построены регресси</w:t>
      </w:r>
      <w:r w:rsidR="008109E5" w:rsidRPr="00A312C5">
        <w:rPr>
          <w:rFonts w:ascii="Times New Roman" w:hAnsi="Times New Roman" w:cs="Times New Roman"/>
          <w:sz w:val="24"/>
          <w:szCs w:val="24"/>
        </w:rPr>
        <w:t>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со случайными эффектами, с детерминированными эффектами, а также сквозная. Заключительным этапом исследования стала идентификация модели, наилучшим образом описывающей данные</w:t>
      </w:r>
      <w:r w:rsidR="00A7360F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 помощью тестов Вальда,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Бреуша-Пагана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Хаусмана</w:t>
      </w:r>
      <w:proofErr w:type="spellEnd"/>
      <w:r w:rsidR="00A7360F" w:rsidRPr="00A312C5">
        <w:rPr>
          <w:rFonts w:ascii="Times New Roman" w:hAnsi="Times New Roman" w:cs="Times New Roman"/>
          <w:sz w:val="24"/>
          <w:szCs w:val="24"/>
        </w:rPr>
        <w:t xml:space="preserve"> и последующая интерпретация результатов. </w:t>
      </w:r>
    </w:p>
    <w:p w14:paraId="67872833" w14:textId="40AE49B2" w:rsidR="007564C1" w:rsidRPr="00A312C5" w:rsidRDefault="007564C1" w:rsidP="00A312C5">
      <w:pPr>
        <w:pStyle w:val="2"/>
        <w:numPr>
          <w:ilvl w:val="1"/>
          <w:numId w:val="14"/>
        </w:numPr>
        <w:ind w:left="1418" w:hanging="709"/>
        <w:rPr>
          <w:rFonts w:cs="Times New Roman"/>
        </w:rPr>
      </w:pPr>
      <w:bookmarkStart w:id="31" w:name="_Toc73538436"/>
      <w:bookmarkEnd w:id="30"/>
      <w:r w:rsidRPr="00A312C5">
        <w:rPr>
          <w:rFonts w:cs="Times New Roman"/>
        </w:rPr>
        <w:t>Описательная статистика переменных</w:t>
      </w:r>
      <w:bookmarkEnd w:id="31"/>
      <w:r w:rsidRPr="00A312C5">
        <w:rPr>
          <w:rFonts w:cs="Times New Roman"/>
        </w:rPr>
        <w:t xml:space="preserve"> </w:t>
      </w:r>
    </w:p>
    <w:p w14:paraId="38742974" w14:textId="6AD9531C" w:rsidR="004F3F30" w:rsidRPr="00A312C5" w:rsidRDefault="00A920C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 выборку вошли неоднородные по своим характеристикам и финансовым показателям </w:t>
      </w:r>
      <w:r w:rsidR="00D92DA0" w:rsidRPr="00A312C5">
        <w:rPr>
          <w:rFonts w:ascii="Times New Roman" w:hAnsi="Times New Roman" w:cs="Times New Roman"/>
          <w:sz w:val="24"/>
          <w:szCs w:val="24"/>
        </w:rPr>
        <w:t>отрасли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D92DA0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3679D" w:rsidRPr="00A312C5">
        <w:rPr>
          <w:rFonts w:ascii="Times New Roman" w:hAnsi="Times New Roman" w:cs="Times New Roman"/>
          <w:sz w:val="24"/>
          <w:szCs w:val="24"/>
        </w:rPr>
        <w:t>Проанализируем описательную статистику переменных</w:t>
      </w:r>
      <w:r w:rsidR="00155358">
        <w:rPr>
          <w:rFonts w:ascii="Times New Roman" w:hAnsi="Times New Roman" w:cs="Times New Roman"/>
          <w:sz w:val="24"/>
          <w:szCs w:val="24"/>
        </w:rPr>
        <w:t>, представленную в таблице 6</w:t>
      </w:r>
      <w:r w:rsidR="00F3679D" w:rsidRPr="00A312C5">
        <w:rPr>
          <w:rFonts w:ascii="Times New Roman" w:hAnsi="Times New Roman" w:cs="Times New Roman"/>
          <w:sz w:val="24"/>
          <w:szCs w:val="24"/>
        </w:rPr>
        <w:t>:</w:t>
      </w:r>
    </w:p>
    <w:p w14:paraId="32A6E091" w14:textId="1DBA0029" w:rsidR="008B77BC" w:rsidRPr="00080053" w:rsidRDefault="008B77BC" w:rsidP="00080053">
      <w:pPr>
        <w:pStyle w:val="af7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6</w:t>
      </w: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D266F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0800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Описательная статистика переменных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560"/>
        <w:gridCol w:w="1559"/>
        <w:gridCol w:w="1559"/>
      </w:tblGrid>
      <w:tr w:rsidR="001C7A15" w:rsidRPr="00392606" w14:paraId="4E378C8C" w14:textId="77777777" w:rsidTr="00C558E4">
        <w:tc>
          <w:tcPr>
            <w:tcW w:w="1696" w:type="dxa"/>
          </w:tcPr>
          <w:p w14:paraId="05AF5C9D" w14:textId="20C5ED38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Переменная</w:t>
            </w:r>
          </w:p>
        </w:tc>
        <w:tc>
          <w:tcPr>
            <w:tcW w:w="1701" w:type="dxa"/>
          </w:tcPr>
          <w:p w14:paraId="5BD69311" w14:textId="35849FA7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</w:t>
            </w:r>
            <w:r w:rsidR="001C7A15"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1D4D09C" w14:textId="7C6385E7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</w:t>
            </w:r>
          </w:p>
        </w:tc>
        <w:tc>
          <w:tcPr>
            <w:tcW w:w="1560" w:type="dxa"/>
          </w:tcPr>
          <w:p w14:paraId="6C53DDEA" w14:textId="01FCC41F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Стандартное отклонение</w:t>
            </w:r>
          </w:p>
        </w:tc>
        <w:tc>
          <w:tcPr>
            <w:tcW w:w="1559" w:type="dxa"/>
          </w:tcPr>
          <w:p w14:paraId="687553C4" w14:textId="3A27B56E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Минимальное значение</w:t>
            </w:r>
          </w:p>
        </w:tc>
        <w:tc>
          <w:tcPr>
            <w:tcW w:w="1559" w:type="dxa"/>
          </w:tcPr>
          <w:p w14:paraId="781B667C" w14:textId="0917CB05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значение</w:t>
            </w:r>
          </w:p>
        </w:tc>
      </w:tr>
      <w:tr w:rsidR="001C7A15" w:rsidRPr="00392606" w14:paraId="0716CE1A" w14:textId="77777777" w:rsidTr="00C558E4">
        <w:tc>
          <w:tcPr>
            <w:tcW w:w="1696" w:type="dxa"/>
          </w:tcPr>
          <w:p w14:paraId="67F6F2FA" w14:textId="733E5C10" w:rsidR="001C7A15" w:rsidRPr="00C558E4" w:rsidRDefault="00392606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Интенсивность НИОКР, %</w:t>
            </w:r>
          </w:p>
        </w:tc>
        <w:tc>
          <w:tcPr>
            <w:tcW w:w="1701" w:type="dxa"/>
          </w:tcPr>
          <w:p w14:paraId="0820B388" w14:textId="74D48F12" w:rsidR="00392606" w:rsidRPr="00C558E4" w:rsidRDefault="001C7A15" w:rsidP="0039260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5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5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intensity</w:t>
            </w: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AC797" w14:textId="4EB6AB80" w:rsidR="001C7A15" w:rsidRPr="00C558E4" w:rsidRDefault="001C7A15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37D799" w14:textId="7B9B4F07" w:rsidR="001C7A15" w:rsidRPr="00C558E4" w:rsidRDefault="001C7A15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8,817</w:t>
            </w:r>
          </w:p>
        </w:tc>
        <w:tc>
          <w:tcPr>
            <w:tcW w:w="1560" w:type="dxa"/>
            <w:shd w:val="clear" w:color="auto" w:fill="auto"/>
          </w:tcPr>
          <w:p w14:paraId="2857106E" w14:textId="01ECE1F1" w:rsidR="001C7A15" w:rsidRPr="00C558E4" w:rsidRDefault="001C7A15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13,168</w:t>
            </w:r>
          </w:p>
        </w:tc>
        <w:tc>
          <w:tcPr>
            <w:tcW w:w="1559" w:type="dxa"/>
            <w:shd w:val="clear" w:color="auto" w:fill="auto"/>
          </w:tcPr>
          <w:p w14:paraId="2F1E0B94" w14:textId="5C4F40D9" w:rsidR="001C7A15" w:rsidRPr="00C558E4" w:rsidRDefault="001C7A15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559" w:type="dxa"/>
            <w:shd w:val="clear" w:color="auto" w:fill="auto"/>
          </w:tcPr>
          <w:p w14:paraId="2EAEE869" w14:textId="67733DF7" w:rsidR="001C7A15" w:rsidRPr="00C558E4" w:rsidRDefault="001C7A15" w:rsidP="000800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E4">
              <w:rPr>
                <w:rFonts w:ascii="Times New Roman" w:hAnsi="Times New Roman" w:cs="Times New Roman"/>
                <w:sz w:val="20"/>
                <w:szCs w:val="20"/>
              </w:rPr>
              <w:t>85,767</w:t>
            </w:r>
          </w:p>
        </w:tc>
      </w:tr>
    </w:tbl>
    <w:p w14:paraId="278AA0B1" w14:textId="77777777" w:rsidR="00F21AB7" w:rsidRDefault="00F21AB7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0D7C042" w14:textId="42F4331A" w:rsidR="00F21AB7" w:rsidRPr="00F21AB7" w:rsidRDefault="00F21AB7" w:rsidP="00F21AB7">
      <w:pPr>
        <w:pStyle w:val="af7"/>
        <w:keepNext/>
        <w:ind w:right="142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F21AB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Продолжение таблицы 6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559"/>
        <w:gridCol w:w="1559"/>
      </w:tblGrid>
      <w:tr w:rsidR="00F21AB7" w:rsidRPr="00392606" w14:paraId="48D65F99" w14:textId="77777777" w:rsidTr="00C558E4">
        <w:tc>
          <w:tcPr>
            <w:tcW w:w="1838" w:type="dxa"/>
          </w:tcPr>
          <w:p w14:paraId="0F951601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Маржа операционной прибыли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701" w:type="dxa"/>
          </w:tcPr>
          <w:p w14:paraId="6579D298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av_profit_margin</w:t>
            </w:r>
            <w:proofErr w:type="spellEnd"/>
          </w:p>
        </w:tc>
        <w:tc>
          <w:tcPr>
            <w:tcW w:w="1276" w:type="dxa"/>
          </w:tcPr>
          <w:p w14:paraId="0D90EDD5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0,282</w:t>
            </w:r>
          </w:p>
        </w:tc>
        <w:tc>
          <w:tcPr>
            <w:tcW w:w="1276" w:type="dxa"/>
          </w:tcPr>
          <w:p w14:paraId="0C00CB57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2,189</w:t>
            </w:r>
          </w:p>
        </w:tc>
        <w:tc>
          <w:tcPr>
            <w:tcW w:w="1559" w:type="dxa"/>
          </w:tcPr>
          <w:p w14:paraId="15857C9C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-3,555</w:t>
            </w:r>
          </w:p>
        </w:tc>
        <w:tc>
          <w:tcPr>
            <w:tcW w:w="1559" w:type="dxa"/>
          </w:tcPr>
          <w:p w14:paraId="3D0A2265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26,468</w:t>
            </w:r>
          </w:p>
        </w:tc>
      </w:tr>
      <w:tr w:rsidR="00F21AB7" w:rsidRPr="00392606" w14:paraId="7EA1FA41" w14:textId="77777777" w:rsidTr="00C558E4">
        <w:tc>
          <w:tcPr>
            <w:tcW w:w="1838" w:type="dxa"/>
          </w:tcPr>
          <w:p w14:paraId="631E416E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Выручка в расчете на одного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тысяч евро</w:t>
            </w:r>
          </w:p>
        </w:tc>
        <w:tc>
          <w:tcPr>
            <w:tcW w:w="1701" w:type="dxa"/>
          </w:tcPr>
          <w:p w14:paraId="1AC0F26E" w14:textId="77777777" w:rsidR="00F21AB7" w:rsidRPr="00392606" w:rsidRDefault="00F21AB7" w:rsidP="00E43627">
            <w:pPr>
              <w:spacing w:line="360" w:lineRule="auto"/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av_sales_per_emp</w:t>
            </w:r>
            <w:proofErr w:type="spellEnd"/>
          </w:p>
        </w:tc>
        <w:tc>
          <w:tcPr>
            <w:tcW w:w="1276" w:type="dxa"/>
          </w:tcPr>
          <w:p w14:paraId="772114CA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0,701</w:t>
            </w:r>
          </w:p>
        </w:tc>
        <w:tc>
          <w:tcPr>
            <w:tcW w:w="1276" w:type="dxa"/>
          </w:tcPr>
          <w:p w14:paraId="4B277761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559" w:type="dxa"/>
          </w:tcPr>
          <w:p w14:paraId="441B9097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59" w:type="dxa"/>
          </w:tcPr>
          <w:p w14:paraId="7086CE37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14,677</w:t>
            </w:r>
          </w:p>
        </w:tc>
      </w:tr>
      <w:tr w:rsidR="00F21AB7" w:rsidRPr="00392606" w14:paraId="3041A201" w14:textId="77777777" w:rsidTr="00C558E4">
        <w:tc>
          <w:tcPr>
            <w:tcW w:w="1838" w:type="dxa"/>
          </w:tcPr>
          <w:p w14:paraId="270A8D92" w14:textId="4453C7B8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Херфиндаля-Хиршмана</w:t>
            </w:r>
            <w:proofErr w:type="spellEnd"/>
            <w:r w:rsidR="00C558E4">
              <w:rPr>
                <w:rFonts w:ascii="Times New Roman" w:hAnsi="Times New Roman" w:cs="Times New Roman"/>
                <w:sz w:val="20"/>
                <w:szCs w:val="20"/>
              </w:rPr>
              <w:t>, относительные единицы</w:t>
            </w:r>
          </w:p>
        </w:tc>
        <w:tc>
          <w:tcPr>
            <w:tcW w:w="1701" w:type="dxa"/>
          </w:tcPr>
          <w:p w14:paraId="5AE5DA8D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HHI</w:t>
            </w:r>
          </w:p>
        </w:tc>
        <w:tc>
          <w:tcPr>
            <w:tcW w:w="1276" w:type="dxa"/>
          </w:tcPr>
          <w:p w14:paraId="3EFE3C1F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0,157</w:t>
            </w:r>
          </w:p>
        </w:tc>
        <w:tc>
          <w:tcPr>
            <w:tcW w:w="1276" w:type="dxa"/>
          </w:tcPr>
          <w:p w14:paraId="3A55567E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  <w:tc>
          <w:tcPr>
            <w:tcW w:w="1559" w:type="dxa"/>
          </w:tcPr>
          <w:p w14:paraId="76E3E275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1559" w:type="dxa"/>
          </w:tcPr>
          <w:p w14:paraId="1F7395AC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1AB7" w:rsidRPr="00392606" w14:paraId="6D2BB63F" w14:textId="77777777" w:rsidTr="00C558E4">
        <w:tc>
          <w:tcPr>
            <w:tcW w:w="1838" w:type="dxa"/>
          </w:tcPr>
          <w:p w14:paraId="60F0D4E1" w14:textId="77777777" w:rsidR="00F21AB7" w:rsidRPr="00F21AB7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Стандартное отклонение ценности фирмы</w:t>
            </w:r>
            <w:r w:rsidRPr="00182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относительные единицы</w:t>
            </w:r>
          </w:p>
        </w:tc>
        <w:tc>
          <w:tcPr>
            <w:tcW w:w="1701" w:type="dxa"/>
          </w:tcPr>
          <w:p w14:paraId="1223B7BF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std_dev_in_firm_value</w:t>
            </w:r>
            <w:proofErr w:type="spellEnd"/>
          </w:p>
        </w:tc>
        <w:tc>
          <w:tcPr>
            <w:tcW w:w="1276" w:type="dxa"/>
          </w:tcPr>
          <w:p w14:paraId="7F4CE576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1276" w:type="dxa"/>
          </w:tcPr>
          <w:p w14:paraId="440BE038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0,209</w:t>
            </w:r>
          </w:p>
        </w:tc>
        <w:tc>
          <w:tcPr>
            <w:tcW w:w="1559" w:type="dxa"/>
          </w:tcPr>
          <w:p w14:paraId="16A5A408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</w:p>
        </w:tc>
        <w:tc>
          <w:tcPr>
            <w:tcW w:w="1559" w:type="dxa"/>
          </w:tcPr>
          <w:p w14:paraId="6B9278A8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1,276</w:t>
            </w:r>
          </w:p>
        </w:tc>
      </w:tr>
      <w:tr w:rsidR="00F21AB7" w:rsidRPr="00392606" w14:paraId="29A0C9C5" w14:textId="77777777" w:rsidTr="00C558E4">
        <w:tc>
          <w:tcPr>
            <w:tcW w:w="1838" w:type="dxa"/>
          </w:tcPr>
          <w:p w14:paraId="40FB7A69" w14:textId="77777777" w:rsidR="00F21AB7" w:rsidRPr="002E1A8C" w:rsidRDefault="00F21AB7" w:rsidP="00E43627">
            <w:pPr>
              <w:spacing w:line="360" w:lineRule="auto"/>
              <w:ind w:hanging="11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Рентабельность собственного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701" w:type="dxa"/>
          </w:tcPr>
          <w:p w14:paraId="0A93DACD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ROE</w:t>
            </w:r>
          </w:p>
        </w:tc>
        <w:tc>
          <w:tcPr>
            <w:tcW w:w="1276" w:type="dxa"/>
          </w:tcPr>
          <w:p w14:paraId="653D96FA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0,206</w:t>
            </w:r>
          </w:p>
        </w:tc>
        <w:tc>
          <w:tcPr>
            <w:tcW w:w="1276" w:type="dxa"/>
          </w:tcPr>
          <w:p w14:paraId="06D5F0FB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1559" w:type="dxa"/>
          </w:tcPr>
          <w:p w14:paraId="588A7FD5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-0,541</w:t>
            </w:r>
          </w:p>
        </w:tc>
        <w:tc>
          <w:tcPr>
            <w:tcW w:w="1559" w:type="dxa"/>
          </w:tcPr>
          <w:p w14:paraId="5457067D" w14:textId="77777777" w:rsidR="00F21AB7" w:rsidRPr="00392606" w:rsidRDefault="00F21AB7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06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</w:tbl>
    <w:p w14:paraId="184AB6C9" w14:textId="0C43708F" w:rsidR="00F3679D" w:rsidRPr="00EF1049" w:rsidRDefault="00EF104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F1049">
        <w:rPr>
          <w:rFonts w:ascii="Times New Roman" w:hAnsi="Times New Roman" w:cs="Times New Roman"/>
        </w:rPr>
        <w:t xml:space="preserve">Источник: </w:t>
      </w:r>
      <w:r w:rsidRPr="00EF1049">
        <w:rPr>
          <w:rFonts w:ascii="Times New Roman" w:hAnsi="Times New Roman" w:cs="Times New Roman"/>
          <w:lang w:val="en-US"/>
        </w:rPr>
        <w:t>[</w:t>
      </w:r>
      <w:r w:rsidRPr="00EF1049">
        <w:rPr>
          <w:rFonts w:ascii="Times New Roman" w:hAnsi="Times New Roman" w:cs="Times New Roman"/>
        </w:rPr>
        <w:t>расчеты автора</w:t>
      </w:r>
      <w:r w:rsidRPr="00EF1049">
        <w:rPr>
          <w:rFonts w:ascii="Times New Roman" w:hAnsi="Times New Roman" w:cs="Times New Roman"/>
          <w:lang w:val="en-US"/>
        </w:rPr>
        <w:t>]</w:t>
      </w:r>
    </w:p>
    <w:p w14:paraId="2771BB74" w14:textId="66193D92" w:rsidR="001B0A98" w:rsidRPr="00720114" w:rsidRDefault="00DF1C77" w:rsidP="00FA4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Средняя интенсивность НИКОР составляет </w:t>
      </w:r>
      <w:r w:rsidR="00FB3BB6" w:rsidRPr="00A312C5">
        <w:rPr>
          <w:rFonts w:ascii="Times New Roman" w:hAnsi="Times New Roman" w:cs="Times New Roman"/>
          <w:sz w:val="24"/>
          <w:szCs w:val="24"/>
        </w:rPr>
        <w:t>8,817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При этом существует отрасль, в которой в определенном периоде интенсивность НИОКР превысила среднее значение более чем в </w:t>
      </w:r>
      <w:r w:rsidR="00FB3BB6" w:rsidRPr="00A312C5">
        <w:rPr>
          <w:rFonts w:ascii="Times New Roman" w:hAnsi="Times New Roman" w:cs="Times New Roman"/>
          <w:sz w:val="24"/>
          <w:szCs w:val="24"/>
        </w:rPr>
        <w:t>10</w:t>
      </w:r>
      <w:r w:rsidRPr="00A312C5">
        <w:rPr>
          <w:rFonts w:ascii="Times New Roman" w:hAnsi="Times New Roman" w:cs="Times New Roman"/>
          <w:sz w:val="24"/>
          <w:szCs w:val="24"/>
        </w:rPr>
        <w:t xml:space="preserve"> раз и составила </w:t>
      </w:r>
      <w:r w:rsidR="00FB3BB6" w:rsidRPr="00A312C5">
        <w:rPr>
          <w:rFonts w:ascii="Times New Roman" w:hAnsi="Times New Roman" w:cs="Times New Roman"/>
          <w:sz w:val="24"/>
          <w:szCs w:val="24"/>
        </w:rPr>
        <w:t>85,76</w:t>
      </w:r>
      <w:r w:rsidR="003C1845">
        <w:rPr>
          <w:rFonts w:ascii="Times New Roman" w:hAnsi="Times New Roman" w:cs="Times New Roman"/>
          <w:sz w:val="24"/>
          <w:szCs w:val="24"/>
        </w:rPr>
        <w:t>7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A35874" w:rsidRPr="00A312C5">
        <w:rPr>
          <w:rFonts w:ascii="Times New Roman" w:hAnsi="Times New Roman" w:cs="Times New Roman"/>
          <w:sz w:val="24"/>
          <w:szCs w:val="24"/>
        </w:rPr>
        <w:t xml:space="preserve"> Маржа операционной прибыли</w:t>
      </w:r>
      <w:r w:rsidR="00FB3BB6" w:rsidRPr="00A312C5">
        <w:rPr>
          <w:rFonts w:ascii="Times New Roman" w:hAnsi="Times New Roman" w:cs="Times New Roman"/>
          <w:sz w:val="24"/>
          <w:szCs w:val="24"/>
        </w:rPr>
        <w:t xml:space="preserve"> и рентабельность собственного капитала, в отличие от других факторов, принимают как отрицательные, так и положительные значения</w:t>
      </w:r>
      <w:r w:rsidR="00A35874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2401DD" w:rsidRPr="00A312C5">
        <w:rPr>
          <w:rFonts w:ascii="Times New Roman" w:hAnsi="Times New Roman" w:cs="Times New Roman"/>
          <w:sz w:val="24"/>
          <w:szCs w:val="24"/>
        </w:rPr>
        <w:t>Среднее значение и</w:t>
      </w:r>
      <w:r w:rsidR="009E3928" w:rsidRPr="00A312C5">
        <w:rPr>
          <w:rFonts w:ascii="Times New Roman" w:hAnsi="Times New Roman" w:cs="Times New Roman"/>
          <w:sz w:val="24"/>
          <w:szCs w:val="24"/>
        </w:rPr>
        <w:t>ндекс</w:t>
      </w:r>
      <w:r w:rsidR="002401DD" w:rsidRPr="00A312C5">
        <w:rPr>
          <w:rFonts w:ascii="Times New Roman" w:hAnsi="Times New Roman" w:cs="Times New Roman"/>
          <w:sz w:val="24"/>
          <w:szCs w:val="24"/>
        </w:rPr>
        <w:t>а</w:t>
      </w:r>
      <w:r w:rsidR="009E3928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928" w:rsidRPr="00A312C5">
        <w:rPr>
          <w:rFonts w:ascii="Times New Roman" w:hAnsi="Times New Roman" w:cs="Times New Roman"/>
          <w:sz w:val="24"/>
          <w:szCs w:val="24"/>
        </w:rPr>
        <w:t>Херфиндаля-Хиршмана</w:t>
      </w:r>
      <w:proofErr w:type="spellEnd"/>
      <w:r w:rsidR="009E3928" w:rsidRPr="00A312C5">
        <w:rPr>
          <w:rFonts w:ascii="Times New Roman" w:hAnsi="Times New Roman" w:cs="Times New Roman"/>
          <w:sz w:val="24"/>
          <w:szCs w:val="24"/>
        </w:rPr>
        <w:t xml:space="preserve"> составляет 0,15</w:t>
      </w:r>
      <w:r w:rsidR="00FB3BB6" w:rsidRPr="00A312C5">
        <w:rPr>
          <w:rFonts w:ascii="Times New Roman" w:hAnsi="Times New Roman" w:cs="Times New Roman"/>
          <w:sz w:val="24"/>
          <w:szCs w:val="24"/>
        </w:rPr>
        <w:t>7</w:t>
      </w:r>
      <w:r w:rsidR="009E3928" w:rsidRPr="00A312C5">
        <w:rPr>
          <w:rFonts w:ascii="Times New Roman" w:hAnsi="Times New Roman" w:cs="Times New Roman"/>
          <w:sz w:val="24"/>
          <w:szCs w:val="24"/>
        </w:rPr>
        <w:t>, что свидетельствует о преобладании умеренно-концентрированных рынков в выборке. При этом в нескольких периодах отрасль вспомогательных услуг характеризовалась чистой монополией (HHI=1).</w:t>
      </w:r>
      <w:r w:rsidR="002401DD"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D0D58" w14:textId="662D15E0" w:rsidR="005B6962" w:rsidRPr="00A312C5" w:rsidRDefault="005B6962" w:rsidP="00A312C5">
      <w:pPr>
        <w:pStyle w:val="2"/>
        <w:numPr>
          <w:ilvl w:val="1"/>
          <w:numId w:val="14"/>
        </w:numPr>
        <w:ind w:left="1418" w:hanging="709"/>
        <w:rPr>
          <w:rFonts w:cs="Times New Roman"/>
        </w:rPr>
      </w:pPr>
      <w:bookmarkStart w:id="32" w:name="_Toc73538437"/>
      <w:r w:rsidRPr="00A312C5">
        <w:rPr>
          <w:rFonts w:cs="Times New Roman"/>
        </w:rPr>
        <w:t xml:space="preserve">Проверка на </w:t>
      </w:r>
      <w:proofErr w:type="spellStart"/>
      <w:r w:rsidRPr="00A312C5">
        <w:rPr>
          <w:rFonts w:cs="Times New Roman"/>
        </w:rPr>
        <w:t>мультиколлинеарность</w:t>
      </w:r>
      <w:bookmarkEnd w:id="32"/>
      <w:proofErr w:type="spellEnd"/>
    </w:p>
    <w:p w14:paraId="114B88FC" w14:textId="166CFC38" w:rsidR="005B6962" w:rsidRPr="00A312C5" w:rsidRDefault="0014407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Следующим шагом исследования стала проверка переменных на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. Для этой цели была построена корреляционная матрица, приведенная в </w:t>
      </w:r>
      <w:hyperlink w:anchor="_Приложение_4._Корреляционная" w:history="1">
        <w:r w:rsidR="00F05DED" w:rsidRPr="00F05DED">
          <w:rPr>
            <w:rStyle w:val="a7"/>
            <w:rFonts w:ascii="Times New Roman" w:hAnsi="Times New Roman" w:cs="Times New Roman"/>
            <w:sz w:val="24"/>
            <w:szCs w:val="24"/>
          </w:rPr>
          <w:t>приложении 4</w:t>
        </w:r>
      </w:hyperlink>
      <w:r w:rsidR="00F05DED">
        <w:rPr>
          <w:rFonts w:ascii="Times New Roman" w:hAnsi="Times New Roman" w:cs="Times New Roman"/>
          <w:sz w:val="24"/>
          <w:szCs w:val="24"/>
        </w:rPr>
        <w:t>.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C2723" w:rsidRPr="00A312C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05DED">
        <w:rPr>
          <w:rFonts w:ascii="Times New Roman" w:hAnsi="Times New Roman" w:cs="Times New Roman"/>
          <w:sz w:val="24"/>
          <w:szCs w:val="24"/>
        </w:rPr>
        <w:t>данной</w:t>
      </w:r>
      <w:r w:rsidR="00BC2723" w:rsidRPr="00A312C5">
        <w:rPr>
          <w:rFonts w:ascii="Times New Roman" w:hAnsi="Times New Roman" w:cs="Times New Roman"/>
          <w:sz w:val="24"/>
          <w:szCs w:val="24"/>
        </w:rPr>
        <w:t xml:space="preserve"> корреляционной матрице, между переменными нет сильной взаимосвязи, так как значения по модулю не превышают 70%. Обозначение «*» соответствует уровню значимости p </w:t>
      </w:r>
      <w:proofErr w:type="gramStart"/>
      <w:r w:rsidR="00BC2723" w:rsidRPr="00A312C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BC2723" w:rsidRPr="00A312C5">
        <w:rPr>
          <w:rFonts w:ascii="Times New Roman" w:hAnsi="Times New Roman" w:cs="Times New Roman"/>
          <w:sz w:val="24"/>
          <w:szCs w:val="24"/>
        </w:rPr>
        <w:t>,</w:t>
      </w:r>
      <w:r w:rsidR="007A78C4" w:rsidRPr="00A312C5">
        <w:rPr>
          <w:rFonts w:ascii="Times New Roman" w:hAnsi="Times New Roman" w:cs="Times New Roman"/>
          <w:sz w:val="24"/>
          <w:szCs w:val="24"/>
        </w:rPr>
        <w:t>1</w:t>
      </w:r>
      <w:r w:rsidR="00BC2723" w:rsidRPr="00A312C5">
        <w:rPr>
          <w:rFonts w:ascii="Times New Roman" w:hAnsi="Times New Roman" w:cs="Times New Roman"/>
          <w:sz w:val="24"/>
          <w:szCs w:val="24"/>
        </w:rPr>
        <w:t>.</w:t>
      </w:r>
      <w:r w:rsidR="00E716F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Также было реализовано дополнительное тестирование на </w:t>
      </w:r>
      <w:proofErr w:type="spellStart"/>
      <w:r w:rsidR="005B6962" w:rsidRPr="00A312C5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="005B6962" w:rsidRPr="00A312C5">
        <w:rPr>
          <w:rFonts w:ascii="Times New Roman" w:hAnsi="Times New Roman" w:cs="Times New Roman"/>
          <w:sz w:val="24"/>
          <w:szCs w:val="24"/>
        </w:rPr>
        <w:t xml:space="preserve"> в </w:t>
      </w:r>
      <w:r w:rsidR="005B6962" w:rsidRPr="00A312C5">
        <w:rPr>
          <w:rFonts w:ascii="Times New Roman" w:hAnsi="Times New Roman" w:cs="Times New Roman"/>
          <w:sz w:val="24"/>
          <w:szCs w:val="24"/>
          <w:lang w:val="en-US"/>
        </w:rPr>
        <w:t>STATA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 с помощью встроенной </w:t>
      </w:r>
      <w:r w:rsidR="005B6962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функции </w:t>
      </w:r>
      <w:r w:rsidR="005B6962" w:rsidRPr="00A312C5">
        <w:rPr>
          <w:rFonts w:ascii="Times New Roman" w:hAnsi="Times New Roman" w:cs="Times New Roman"/>
          <w:sz w:val="24"/>
          <w:szCs w:val="24"/>
          <w:lang w:val="en-US"/>
        </w:rPr>
        <w:t>VIF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. Результаты представлены в </w:t>
      </w:r>
      <w:hyperlink w:anchor="_Приложение_5._Проверка" w:history="1">
        <w:r w:rsidR="00F05DED" w:rsidRPr="00F05DED">
          <w:rPr>
            <w:rStyle w:val="a7"/>
            <w:rFonts w:ascii="Times New Roman" w:hAnsi="Times New Roman" w:cs="Times New Roman"/>
            <w:sz w:val="24"/>
            <w:szCs w:val="24"/>
          </w:rPr>
          <w:t>приложении 5</w:t>
        </w:r>
      </w:hyperlink>
      <w:r w:rsidR="00F05DED">
        <w:rPr>
          <w:rFonts w:ascii="Times New Roman" w:hAnsi="Times New Roman" w:cs="Times New Roman"/>
          <w:sz w:val="24"/>
          <w:szCs w:val="24"/>
        </w:rPr>
        <w:t xml:space="preserve">. 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Поскольку полученные значения </w:t>
      </w:r>
      <w:r w:rsidR="005B6962" w:rsidRPr="00A312C5">
        <w:rPr>
          <w:rFonts w:ascii="Times New Roman" w:hAnsi="Times New Roman" w:cs="Times New Roman"/>
          <w:sz w:val="24"/>
          <w:szCs w:val="24"/>
          <w:lang w:val="en-US"/>
        </w:rPr>
        <w:t>VIF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 не превышают 8, мы можем сделать вывод об отсутствии </w:t>
      </w:r>
      <w:proofErr w:type="spellStart"/>
      <w:r w:rsidR="005B6962" w:rsidRPr="00A312C5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="003C1845">
        <w:rPr>
          <w:rFonts w:ascii="Times New Roman" w:hAnsi="Times New Roman" w:cs="Times New Roman"/>
          <w:sz w:val="24"/>
          <w:szCs w:val="24"/>
        </w:rPr>
        <w:t xml:space="preserve"> между переменными </w:t>
      </w:r>
      <w:r w:rsidR="008A3D2C">
        <w:rPr>
          <w:rFonts w:ascii="Times New Roman" w:hAnsi="Times New Roman" w:cs="Times New Roman"/>
          <w:sz w:val="24"/>
          <w:szCs w:val="24"/>
        </w:rPr>
        <w:t xml:space="preserve">в </w:t>
      </w:r>
      <w:r w:rsidR="003C1845">
        <w:rPr>
          <w:rFonts w:ascii="Times New Roman" w:hAnsi="Times New Roman" w:cs="Times New Roman"/>
          <w:sz w:val="24"/>
          <w:szCs w:val="24"/>
        </w:rPr>
        <w:t>модели</w:t>
      </w:r>
      <w:r w:rsidR="005B6962"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46F53" w14:textId="4044CC8B" w:rsidR="005B6962" w:rsidRPr="00A312C5" w:rsidRDefault="005B6962" w:rsidP="00A312C5">
      <w:pPr>
        <w:pStyle w:val="2"/>
        <w:numPr>
          <w:ilvl w:val="1"/>
          <w:numId w:val="14"/>
        </w:numPr>
        <w:ind w:left="1418" w:hanging="709"/>
        <w:rPr>
          <w:rFonts w:cs="Times New Roman"/>
        </w:rPr>
      </w:pPr>
      <w:bookmarkStart w:id="33" w:name="_Toc73538438"/>
      <w:r w:rsidRPr="00A312C5">
        <w:rPr>
          <w:rFonts w:cs="Times New Roman"/>
        </w:rPr>
        <w:t>Выбор многофакторной регрессионной модели</w:t>
      </w:r>
      <w:bookmarkEnd w:id="33"/>
    </w:p>
    <w:p w14:paraId="43F29D78" w14:textId="6B98EB2D" w:rsidR="00144072" w:rsidRDefault="00B87AC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На следующем этапе</w:t>
      </w:r>
      <w:r w:rsidR="0014407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B6962" w:rsidRPr="00A312C5">
        <w:rPr>
          <w:rFonts w:ascii="Times New Roman" w:hAnsi="Times New Roman" w:cs="Times New Roman"/>
          <w:sz w:val="24"/>
          <w:szCs w:val="24"/>
        </w:rPr>
        <w:t>была проведена оценка</w:t>
      </w:r>
      <w:r w:rsidR="0014407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параметров регрессионной модели по панельным данным. Использование панельных данных </w:t>
      </w:r>
      <w:r w:rsidRPr="00A312C5">
        <w:rPr>
          <w:rFonts w:ascii="Times New Roman" w:hAnsi="Times New Roman" w:cs="Times New Roman"/>
          <w:sz w:val="24"/>
          <w:szCs w:val="24"/>
        </w:rPr>
        <w:t>дает возможность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 учесть неоднородность</w:t>
      </w:r>
      <w:r w:rsidR="00817830">
        <w:rPr>
          <w:rFonts w:ascii="Times New Roman" w:hAnsi="Times New Roman" w:cs="Times New Roman"/>
          <w:sz w:val="24"/>
          <w:szCs w:val="24"/>
        </w:rPr>
        <w:t xml:space="preserve"> выборки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 в исследовании. Такие модели ввиду большого числа наблюдений позволяют увеличить количество степеней свободы и ослабить зависимость между объясняющими переменными в модели. Это</w:t>
      </w:r>
      <w:r w:rsidR="003C1845">
        <w:rPr>
          <w:rFonts w:ascii="Times New Roman" w:hAnsi="Times New Roman" w:cs="Times New Roman"/>
          <w:sz w:val="24"/>
          <w:szCs w:val="24"/>
        </w:rPr>
        <w:t>,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3C1845">
        <w:rPr>
          <w:rFonts w:ascii="Times New Roman" w:hAnsi="Times New Roman" w:cs="Times New Roman"/>
          <w:sz w:val="24"/>
          <w:szCs w:val="24"/>
        </w:rPr>
        <w:t>,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 уменьшает величину стандартных ошибок. Кроме того, панельные данные являются отличным инструментом для наблюдения индивидуальных характеристик изучаемых объектов и их изменения во времени.   Поскольку в модели все объекты наблюдаются одинаковое число временных периодов, она является сбалансированной и </w:t>
      </w:r>
      <w:r w:rsidR="003E5959" w:rsidRPr="00A312C5">
        <w:rPr>
          <w:rFonts w:ascii="Times New Roman" w:hAnsi="Times New Roman" w:cs="Times New Roman"/>
          <w:sz w:val="24"/>
          <w:szCs w:val="24"/>
        </w:rPr>
        <w:t>имеет</w:t>
      </w:r>
      <w:r w:rsidR="00777E55" w:rsidRPr="00A312C5">
        <w:rPr>
          <w:rFonts w:ascii="Times New Roman" w:hAnsi="Times New Roman" w:cs="Times New Roman"/>
          <w:sz w:val="24"/>
          <w:szCs w:val="24"/>
        </w:rPr>
        <w:t xml:space="preserve"> вид:</w:t>
      </w:r>
    </w:p>
    <w:tbl>
      <w:tblPr>
        <w:tblStyle w:val="ab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710"/>
      </w:tblGrid>
      <w:tr w:rsidR="00B55D54" w14:paraId="40F07C99" w14:textId="77777777" w:rsidTr="00B55D54">
        <w:tc>
          <w:tcPr>
            <w:tcW w:w="8784" w:type="dxa"/>
          </w:tcPr>
          <w:p w14:paraId="38EEEFDF" w14:textId="3F9E3025" w:rsidR="00B55D54" w:rsidRDefault="001543FB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α+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 xml:space="preserve">β+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 i=1,…,N;</m:t>
                </m:r>
                <m:r>
                  <w:rPr>
                    <w:rFonts w:ascii="Cambria Math" w:hAnsi="Cambria Math" w:cs="Times New Roman"/>
                    <w:lang w:val="en-US"/>
                  </w:rPr>
                  <m:t>t=1,…,T</m:t>
                </m:r>
              </m:oMath>
            </m:oMathPara>
          </w:p>
        </w:tc>
        <w:tc>
          <w:tcPr>
            <w:tcW w:w="710" w:type="dxa"/>
          </w:tcPr>
          <w:p w14:paraId="41750292" w14:textId="438FE017" w:rsidR="00B55D54" w:rsidRDefault="00B55D54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</w:tbl>
    <w:p w14:paraId="02B11560" w14:textId="21579A27" w:rsidR="00777E55" w:rsidRPr="00A312C5" w:rsidRDefault="00777E55" w:rsidP="00B55D54">
      <w:pPr>
        <w:rPr>
          <w:rFonts w:ascii="Times New Roman" w:eastAsiaTheme="minorEastAsia" w:hAnsi="Times New Roman" w:cs="Times New Roman"/>
          <w:bCs/>
          <w:i/>
          <w:lang w:val="en-US"/>
        </w:rPr>
      </w:pPr>
    </w:p>
    <w:p w14:paraId="5E8DAC1C" w14:textId="77777777" w:rsidR="00777E55" w:rsidRPr="003C1845" w:rsidRDefault="00777E55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1845">
        <w:rPr>
          <w:rFonts w:ascii="Times New Roman" w:hAnsi="Times New Roman" w:cs="Times New Roman"/>
          <w:sz w:val="24"/>
          <w:szCs w:val="24"/>
        </w:rPr>
        <w:t>где i- номер отрасли;</w:t>
      </w:r>
    </w:p>
    <w:p w14:paraId="7C109CC4" w14:textId="77777777" w:rsidR="00777E55" w:rsidRPr="003C1845" w:rsidRDefault="00777E55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1845">
        <w:rPr>
          <w:rFonts w:ascii="Times New Roman" w:hAnsi="Times New Roman" w:cs="Times New Roman"/>
          <w:sz w:val="24"/>
          <w:szCs w:val="24"/>
        </w:rPr>
        <w:t>t-время;</w:t>
      </w:r>
    </w:p>
    <w:p w14:paraId="245AFFF2" w14:textId="77777777" w:rsidR="00777E55" w:rsidRPr="003C1845" w:rsidRDefault="00777E55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1845">
        <w:rPr>
          <w:rFonts w:ascii="Times New Roman" w:hAnsi="Times New Roman" w:cs="Times New Roman"/>
          <w:sz w:val="24"/>
          <w:szCs w:val="24"/>
        </w:rPr>
        <w:t>α - свободный член,</w:t>
      </w:r>
    </w:p>
    <w:p w14:paraId="52199A64" w14:textId="77777777" w:rsidR="00777E55" w:rsidRPr="003C1845" w:rsidRDefault="00777E55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1845">
        <w:rPr>
          <w:rFonts w:ascii="Times New Roman" w:hAnsi="Times New Roman" w:cs="Times New Roman"/>
          <w:sz w:val="24"/>
          <w:szCs w:val="24"/>
        </w:rPr>
        <w:t>β - вектор коэффициентов размерности K×1;</w:t>
      </w:r>
    </w:p>
    <w:p w14:paraId="3B44C000" w14:textId="24856C36" w:rsidR="00777E55" w:rsidRPr="003C1845" w:rsidRDefault="001543FB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777E55" w:rsidRPr="003C1845">
        <w:rPr>
          <w:rFonts w:ascii="Times New Roman" w:hAnsi="Times New Roman" w:cs="Times New Roman"/>
          <w:sz w:val="24"/>
          <w:szCs w:val="24"/>
        </w:rPr>
        <w:t xml:space="preserve"> - вектор-строка матрицы K объясняющих переменных. </w:t>
      </w:r>
    </w:p>
    <w:p w14:paraId="47C08F2A" w14:textId="6EA8ACB8" w:rsidR="00777E55" w:rsidRDefault="003E595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 нашем случае многофакторная регрессионная модель приняла вид: </w:t>
      </w:r>
    </w:p>
    <w:tbl>
      <w:tblPr>
        <w:tblStyle w:val="ab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850"/>
      </w:tblGrid>
      <w:tr w:rsidR="00B55D54" w14:paraId="1FD5F949" w14:textId="77777777" w:rsidTr="00B55D54">
        <w:tc>
          <w:tcPr>
            <w:tcW w:w="8359" w:type="dxa"/>
          </w:tcPr>
          <w:p w14:paraId="2F38DAA0" w14:textId="66C6EE66" w:rsidR="00B55D54" w:rsidRDefault="001543FB" w:rsidP="002376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RDintensity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</w:rPr>
                        </m:ctrlPr>
                      </m:bar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sales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emp</m:t>
                            </m:r>
                          </m:den>
                        </m:f>
                      </m:e>
                    </m:ba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σ</m:t>
                        </m:r>
                      </m:e>
                    </m:ba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HHI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ROE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i=1,…, 22;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</w:rPr>
                  <m:t>=2003,…,2019</m:t>
                </m:r>
              </m:oMath>
            </m:oMathPara>
          </w:p>
        </w:tc>
        <w:tc>
          <w:tcPr>
            <w:tcW w:w="850" w:type="dxa"/>
          </w:tcPr>
          <w:p w14:paraId="3327FB07" w14:textId="76A1A0EA" w:rsidR="00B55D54" w:rsidRDefault="00B55D54" w:rsidP="00B55D5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14:paraId="57F6F08D" w14:textId="77777777" w:rsidR="00B55D54" w:rsidRPr="00A312C5" w:rsidRDefault="00B55D5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F43F8" w14:textId="2A151217" w:rsidR="003E5959" w:rsidRPr="00A312C5" w:rsidRDefault="003E595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Для корректной спецификации модели необходимо провести попарное сравнение модели сквозной регрессии, модели с детерминированными и со случайными индивидуальными эффектами. </w:t>
      </w:r>
    </w:p>
    <w:p w14:paraId="0563D2E7" w14:textId="48E95C45" w:rsidR="00840139" w:rsidRPr="00A312C5" w:rsidRDefault="0084013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На первом этапе была реализована оценка сквозной регрессии. Модель </w:t>
      </w:r>
      <w:r w:rsidR="003C1845">
        <w:rPr>
          <w:rFonts w:ascii="Times New Roman" w:hAnsi="Times New Roman" w:cs="Times New Roman"/>
          <w:sz w:val="24"/>
          <w:szCs w:val="24"/>
        </w:rPr>
        <w:t>является значимой</w:t>
      </w:r>
      <w:r w:rsidR="00A57785" w:rsidRPr="00A312C5">
        <w:rPr>
          <w:rFonts w:ascii="Times New Roman" w:hAnsi="Times New Roman" w:cs="Times New Roman"/>
          <w:sz w:val="24"/>
          <w:szCs w:val="24"/>
        </w:rPr>
        <w:t xml:space="preserve"> (</w:t>
      </w:r>
      <w:r w:rsidR="00A57785" w:rsidRPr="00A312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57785" w:rsidRPr="00A312C5">
        <w:rPr>
          <w:rFonts w:ascii="Times New Roman" w:hAnsi="Times New Roman" w:cs="Times New Roman"/>
          <w:sz w:val="24"/>
          <w:szCs w:val="24"/>
        </w:rPr>
        <w:t>-</w:t>
      </w:r>
      <w:r w:rsidR="00A57785" w:rsidRPr="00A312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57785" w:rsidRPr="00A312C5">
        <w:rPr>
          <w:rFonts w:ascii="Times New Roman" w:hAnsi="Times New Roman" w:cs="Times New Roman"/>
          <w:sz w:val="24"/>
          <w:szCs w:val="24"/>
        </w:rPr>
        <w:t xml:space="preserve"> = 0 &lt;0,05). R-</w:t>
      </w:r>
      <w:proofErr w:type="spellStart"/>
      <w:r w:rsidR="00A57785" w:rsidRPr="00A312C5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A57785" w:rsidRPr="00A312C5">
        <w:rPr>
          <w:rFonts w:ascii="Times New Roman" w:hAnsi="Times New Roman" w:cs="Times New Roman"/>
          <w:sz w:val="24"/>
          <w:szCs w:val="24"/>
        </w:rPr>
        <w:t xml:space="preserve"> при этом характеризуется достаточно маленьким значением (0,</w:t>
      </w:r>
      <w:r w:rsidR="007A78C4" w:rsidRPr="00A312C5">
        <w:rPr>
          <w:rFonts w:ascii="Times New Roman" w:hAnsi="Times New Roman" w:cs="Times New Roman"/>
          <w:sz w:val="24"/>
          <w:szCs w:val="24"/>
        </w:rPr>
        <w:t>2</w:t>
      </w:r>
      <w:r w:rsidR="003C1845">
        <w:rPr>
          <w:rFonts w:ascii="Times New Roman" w:hAnsi="Times New Roman" w:cs="Times New Roman"/>
          <w:sz w:val="24"/>
          <w:szCs w:val="24"/>
        </w:rPr>
        <w:t>6</w:t>
      </w:r>
      <w:r w:rsidR="00A57785" w:rsidRPr="00A312C5">
        <w:rPr>
          <w:rFonts w:ascii="Times New Roman" w:hAnsi="Times New Roman" w:cs="Times New Roman"/>
          <w:sz w:val="24"/>
          <w:szCs w:val="24"/>
        </w:rPr>
        <w:t>). Это говорит о</w:t>
      </w:r>
      <w:r w:rsidR="007A78C4" w:rsidRPr="00A312C5">
        <w:rPr>
          <w:rFonts w:ascii="Times New Roman" w:hAnsi="Times New Roman" w:cs="Times New Roman"/>
          <w:sz w:val="24"/>
          <w:szCs w:val="24"/>
        </w:rPr>
        <w:t>б относительно</w:t>
      </w:r>
      <w:r w:rsidR="00A57785" w:rsidRPr="00A312C5">
        <w:rPr>
          <w:rFonts w:ascii="Times New Roman" w:hAnsi="Times New Roman" w:cs="Times New Roman"/>
          <w:sz w:val="24"/>
          <w:szCs w:val="24"/>
        </w:rPr>
        <w:t xml:space="preserve"> низкой объясняющей силе модели.</w:t>
      </w:r>
    </w:p>
    <w:p w14:paraId="7D8A654A" w14:textId="08FD45F4" w:rsidR="000E5491" w:rsidRPr="00A312C5" w:rsidRDefault="0084013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Оценим</w:t>
      </w:r>
      <w:r w:rsidR="003E5959" w:rsidRPr="00A312C5">
        <w:rPr>
          <w:rFonts w:ascii="Times New Roman" w:hAnsi="Times New Roman" w:cs="Times New Roman"/>
          <w:sz w:val="24"/>
          <w:szCs w:val="24"/>
        </w:rPr>
        <w:t xml:space="preserve"> регрессию «</w:t>
      </w:r>
      <w:proofErr w:type="spellStart"/>
      <w:r w:rsidR="003E5959" w:rsidRPr="00A312C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3E5959" w:rsidRPr="00A312C5">
        <w:rPr>
          <w:rFonts w:ascii="Times New Roman" w:hAnsi="Times New Roman" w:cs="Times New Roman"/>
          <w:sz w:val="24"/>
          <w:szCs w:val="24"/>
        </w:rPr>
        <w:t xml:space="preserve">», описанную с помощью усредненных по времени значений переменных. </w:t>
      </w:r>
      <w:r w:rsidR="00FE0EF8" w:rsidRPr="00A312C5">
        <w:rPr>
          <w:rFonts w:ascii="Times New Roman" w:hAnsi="Times New Roman" w:cs="Times New Roman"/>
          <w:sz w:val="24"/>
          <w:szCs w:val="24"/>
        </w:rPr>
        <w:t xml:space="preserve">Оценка такой регрессии производится при помощи метода наименьших квадратов. </w:t>
      </w:r>
      <w:r w:rsidR="008A4B6D" w:rsidRPr="00A312C5">
        <w:rPr>
          <w:rFonts w:ascii="Times New Roman" w:hAnsi="Times New Roman" w:cs="Times New Roman"/>
          <w:sz w:val="24"/>
          <w:szCs w:val="24"/>
        </w:rPr>
        <w:t>Выбран уровень значимости, равный 0,05.</w:t>
      </w:r>
      <w:r w:rsidR="000E5491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E0EF8" w:rsidRPr="00A312C5">
        <w:rPr>
          <w:rFonts w:ascii="Times New Roman" w:hAnsi="Times New Roman" w:cs="Times New Roman"/>
          <w:sz w:val="24"/>
          <w:szCs w:val="24"/>
        </w:rPr>
        <w:t>В</w:t>
      </w:r>
      <w:r w:rsidR="000E5491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FE0EF8" w:rsidRPr="00A312C5">
        <w:rPr>
          <w:rFonts w:ascii="Times New Roman" w:hAnsi="Times New Roman" w:cs="Times New Roman"/>
          <w:sz w:val="24"/>
          <w:szCs w:val="24"/>
        </w:rPr>
        <w:t>нашем случае модель явилась значимой</w:t>
      </w:r>
      <w:r w:rsidR="000E5491" w:rsidRPr="00A312C5">
        <w:rPr>
          <w:rFonts w:ascii="Times New Roman" w:hAnsi="Times New Roman" w:cs="Times New Roman"/>
          <w:sz w:val="24"/>
          <w:szCs w:val="24"/>
        </w:rPr>
        <w:t xml:space="preserve"> с p-</w:t>
      </w:r>
      <w:proofErr w:type="spellStart"/>
      <w:r w:rsidR="000E5491" w:rsidRPr="00A312C5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0E5491" w:rsidRPr="00A312C5">
        <w:rPr>
          <w:rFonts w:ascii="Times New Roman" w:hAnsi="Times New Roman" w:cs="Times New Roman"/>
          <w:sz w:val="24"/>
          <w:szCs w:val="24"/>
        </w:rPr>
        <w:t>, равной 0,000</w:t>
      </w:r>
      <w:r w:rsidR="002516B6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0E5491" w:rsidRPr="00A312C5">
        <w:rPr>
          <w:rFonts w:ascii="Times New Roman" w:hAnsi="Times New Roman" w:cs="Times New Roman"/>
          <w:sz w:val="24"/>
          <w:szCs w:val="24"/>
        </w:rPr>
        <w:t>Через R-</w:t>
      </w:r>
      <w:proofErr w:type="spellStart"/>
      <w:r w:rsidR="000E5491" w:rsidRPr="00A312C5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0E5491" w:rsidRPr="00A312C5">
        <w:rPr>
          <w:rFonts w:ascii="Times New Roman" w:hAnsi="Times New Roman" w:cs="Times New Roman"/>
          <w:sz w:val="24"/>
          <w:szCs w:val="24"/>
        </w:rPr>
        <w:t xml:space="preserve"> обозначают возведенные в квадрат </w:t>
      </w:r>
      <w:r w:rsidR="000E5491" w:rsidRPr="00A312C5">
        <w:rPr>
          <w:rFonts w:ascii="Times New Roman" w:hAnsi="Times New Roman" w:cs="Times New Roman"/>
          <w:sz w:val="24"/>
          <w:szCs w:val="24"/>
        </w:rPr>
        <w:lastRenderedPageBreak/>
        <w:t>коэффициенты корреляции между оцененными и наблюдаемыми значениями зависимой переменной, заданные для каждой i-той отрасли в форме усредненных по времени значений. R-</w:t>
      </w:r>
      <w:proofErr w:type="spellStart"/>
      <w:r w:rsidR="000E5491" w:rsidRPr="00A312C5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0E5491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91" w:rsidRPr="00A312C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0E5491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1E60C2" w:rsidRPr="00A312C5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070582" w:rsidRPr="00A312C5">
        <w:rPr>
          <w:rFonts w:ascii="Times New Roman" w:hAnsi="Times New Roman" w:cs="Times New Roman"/>
          <w:sz w:val="24"/>
          <w:szCs w:val="24"/>
        </w:rPr>
        <w:t xml:space="preserve">объясняющую силу модели. </w:t>
      </w:r>
      <w:r w:rsidR="001E60C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070582" w:rsidRPr="00A312C5">
        <w:rPr>
          <w:rFonts w:ascii="Times New Roman" w:hAnsi="Times New Roman" w:cs="Times New Roman"/>
          <w:sz w:val="24"/>
          <w:szCs w:val="24"/>
        </w:rPr>
        <w:t>Величина R-</w:t>
      </w:r>
      <w:proofErr w:type="spellStart"/>
      <w:r w:rsidR="00070582" w:rsidRPr="00A312C5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070582"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82" w:rsidRPr="00A312C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070582" w:rsidRPr="00A312C5">
        <w:rPr>
          <w:rFonts w:ascii="Times New Roman" w:hAnsi="Times New Roman" w:cs="Times New Roman"/>
          <w:sz w:val="24"/>
          <w:szCs w:val="24"/>
        </w:rPr>
        <w:t xml:space="preserve"> достаточно велика (0,</w:t>
      </w:r>
      <w:r w:rsidR="007A78C4" w:rsidRPr="00A312C5">
        <w:rPr>
          <w:rFonts w:ascii="Times New Roman" w:hAnsi="Times New Roman" w:cs="Times New Roman"/>
          <w:sz w:val="24"/>
          <w:szCs w:val="24"/>
        </w:rPr>
        <w:t>8</w:t>
      </w:r>
      <w:r w:rsidR="00070582" w:rsidRPr="00A312C5">
        <w:rPr>
          <w:rFonts w:ascii="Times New Roman" w:hAnsi="Times New Roman" w:cs="Times New Roman"/>
          <w:sz w:val="24"/>
          <w:szCs w:val="24"/>
        </w:rPr>
        <w:t xml:space="preserve">). </w:t>
      </w:r>
      <w:r w:rsidR="0051132C" w:rsidRPr="00A312C5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7A78C4" w:rsidRPr="00A312C5">
        <w:rPr>
          <w:rFonts w:ascii="Times New Roman" w:hAnsi="Times New Roman" w:cs="Times New Roman"/>
          <w:sz w:val="24"/>
          <w:szCs w:val="24"/>
        </w:rPr>
        <w:t>80</w:t>
      </w:r>
      <w:r w:rsidR="0051132C" w:rsidRPr="00A312C5">
        <w:rPr>
          <w:rFonts w:ascii="Times New Roman" w:hAnsi="Times New Roman" w:cs="Times New Roman"/>
          <w:sz w:val="24"/>
          <w:szCs w:val="24"/>
        </w:rPr>
        <w:t xml:space="preserve">% изменения зависимой переменной может быть объяснено с помощью выбранной линейной регрессионной модели. </w:t>
      </w:r>
      <w:r w:rsidR="00070582" w:rsidRPr="00A312C5">
        <w:rPr>
          <w:rFonts w:ascii="Times New Roman" w:hAnsi="Times New Roman" w:cs="Times New Roman"/>
          <w:sz w:val="24"/>
          <w:szCs w:val="24"/>
        </w:rPr>
        <w:t xml:space="preserve">Это дает нам основания предположить, что модель выбрана «удачно». </w:t>
      </w:r>
      <w:r w:rsidR="0051132C" w:rsidRPr="00A312C5">
        <w:rPr>
          <w:rFonts w:ascii="Times New Roman" w:hAnsi="Times New Roman" w:cs="Times New Roman"/>
          <w:sz w:val="24"/>
          <w:szCs w:val="24"/>
        </w:rPr>
        <w:t xml:space="preserve"> Изменение усредненных по времени показателей для каждой отрасли оказывает более значительное влияние на переменные, чем их колебания с течением времени относительно средних значений. </w:t>
      </w:r>
    </w:p>
    <w:p w14:paraId="22931898" w14:textId="56769F7A" w:rsidR="00210E33" w:rsidRPr="00A312C5" w:rsidRDefault="0051132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Следующим шагом была произведена оценка регрессии «</w:t>
      </w:r>
      <w:r w:rsidRPr="00A312C5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A312C5">
        <w:rPr>
          <w:rFonts w:ascii="Times New Roman" w:hAnsi="Times New Roman" w:cs="Times New Roman"/>
          <w:sz w:val="24"/>
          <w:szCs w:val="24"/>
        </w:rPr>
        <w:t xml:space="preserve">». Она </w:t>
      </w:r>
      <w:r w:rsidR="0059576C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исходную модель многофакторной регрессии, переписанную с использованием отклонений от средних по времени значений</w:t>
      </w:r>
      <w:r w:rsidR="0013755B" w:rsidRPr="00A312C5">
        <w:rPr>
          <w:rFonts w:ascii="Times New Roman" w:hAnsi="Times New Roman" w:cs="Times New Roman"/>
          <w:sz w:val="24"/>
          <w:szCs w:val="24"/>
        </w:rPr>
        <w:t>. Регрессия «</w:t>
      </w:r>
      <w:r w:rsidR="0013755B" w:rsidRPr="00A312C5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13755B" w:rsidRPr="00A312C5">
        <w:rPr>
          <w:rFonts w:ascii="Times New Roman" w:hAnsi="Times New Roman" w:cs="Times New Roman"/>
          <w:sz w:val="24"/>
          <w:szCs w:val="24"/>
        </w:rPr>
        <w:t>» дает возможность избавиться от ненаблюдаемых индивидуальных эффектов в модели. Оценка модели производится при помощи метода наименьших квадратов. Построенная модель с детерминированными индивидуальными эффектами является значимой</w:t>
      </w:r>
      <w:r w:rsidR="0034265C" w:rsidRPr="00A312C5">
        <w:rPr>
          <w:rFonts w:ascii="Times New Roman" w:hAnsi="Times New Roman" w:cs="Times New Roman"/>
          <w:sz w:val="24"/>
          <w:szCs w:val="24"/>
        </w:rPr>
        <w:t xml:space="preserve">, </w:t>
      </w:r>
      <w:r w:rsidR="002516B6" w:rsidRPr="00A312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516B6" w:rsidRPr="00A312C5">
        <w:rPr>
          <w:rFonts w:ascii="Times New Roman" w:hAnsi="Times New Roman" w:cs="Times New Roman"/>
          <w:sz w:val="24"/>
          <w:szCs w:val="24"/>
        </w:rPr>
        <w:t>-</w:t>
      </w:r>
      <w:r w:rsidR="002516B6" w:rsidRPr="00A312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2516B6" w:rsidRPr="00A312C5">
        <w:rPr>
          <w:rFonts w:ascii="Times New Roman" w:hAnsi="Times New Roman" w:cs="Times New Roman"/>
          <w:sz w:val="24"/>
          <w:szCs w:val="24"/>
        </w:rPr>
        <w:t xml:space="preserve"> = 0,000 </w:t>
      </w:r>
      <w:proofErr w:type="gramStart"/>
      <w:r w:rsidR="002516B6" w:rsidRPr="00A312C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2516B6" w:rsidRPr="00A312C5">
        <w:rPr>
          <w:rFonts w:ascii="Times New Roman" w:hAnsi="Times New Roman" w:cs="Times New Roman"/>
          <w:sz w:val="24"/>
          <w:szCs w:val="24"/>
        </w:rPr>
        <w:t>,05</w:t>
      </w:r>
      <w:r w:rsidR="0034265C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174370">
        <w:rPr>
          <w:rFonts w:ascii="Times New Roman" w:hAnsi="Times New Roman" w:cs="Times New Roman"/>
          <w:sz w:val="24"/>
          <w:szCs w:val="24"/>
        </w:rPr>
        <w:t>(таблица 9).</w:t>
      </w:r>
      <w:r w:rsidR="002516B6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8E6B21" w:rsidRPr="00A312C5">
        <w:rPr>
          <w:rFonts w:ascii="Times New Roman" w:hAnsi="Times New Roman" w:cs="Times New Roman"/>
          <w:sz w:val="24"/>
          <w:szCs w:val="24"/>
        </w:rPr>
        <w:t xml:space="preserve">О величине объясняющей силы данной модели следует судить </w:t>
      </w:r>
      <w:r w:rsidR="00574783" w:rsidRPr="00A312C5">
        <w:rPr>
          <w:rFonts w:ascii="Times New Roman" w:hAnsi="Times New Roman" w:cs="Times New Roman"/>
          <w:sz w:val="24"/>
          <w:szCs w:val="24"/>
        </w:rPr>
        <w:t>по значению коэффициента детерминации</w:t>
      </w:r>
      <w:r w:rsidR="00CC45E9">
        <w:rPr>
          <w:rFonts w:ascii="Times New Roman" w:hAnsi="Times New Roman" w:cs="Times New Roman"/>
          <w:sz w:val="24"/>
          <w:szCs w:val="24"/>
        </w:rPr>
        <w:t xml:space="preserve">. </w:t>
      </w:r>
      <w:r w:rsidR="00574783" w:rsidRPr="00A312C5">
        <w:rPr>
          <w:rFonts w:ascii="Times New Roman" w:hAnsi="Times New Roman" w:cs="Times New Roman"/>
          <w:sz w:val="24"/>
          <w:szCs w:val="24"/>
        </w:rPr>
        <w:t>В данном случае он равен 0,</w:t>
      </w:r>
      <w:r w:rsidR="007A78C4" w:rsidRPr="00A312C5">
        <w:rPr>
          <w:rFonts w:ascii="Times New Roman" w:hAnsi="Times New Roman" w:cs="Times New Roman"/>
          <w:sz w:val="24"/>
          <w:szCs w:val="24"/>
        </w:rPr>
        <w:t>256</w:t>
      </w:r>
      <w:r w:rsidR="00574783" w:rsidRPr="00A312C5">
        <w:rPr>
          <w:rFonts w:ascii="Times New Roman" w:hAnsi="Times New Roman" w:cs="Times New Roman"/>
          <w:sz w:val="24"/>
          <w:szCs w:val="24"/>
        </w:rPr>
        <w:t xml:space="preserve">, что ниже соответствующего показателя по предыдущей регрессии. Отсюда можно сделать вывод, что в рамках нашей модели индивидуальные различия выражены сильнее, чем динамические.  Теоретически это говорит о необходимости учета индивидуальных эффектов в модели, но данное предположение необходимо проверить </w:t>
      </w:r>
      <w:r w:rsidR="00210E33" w:rsidRPr="00A312C5">
        <w:rPr>
          <w:rFonts w:ascii="Times New Roman" w:hAnsi="Times New Roman" w:cs="Times New Roman"/>
          <w:sz w:val="24"/>
          <w:szCs w:val="24"/>
        </w:rPr>
        <w:t xml:space="preserve">с помощью статистических тестов. </w:t>
      </w:r>
    </w:p>
    <w:p w14:paraId="21D4ADE2" w14:textId="368AFCAC" w:rsidR="00C01FB0" w:rsidRPr="00A312C5" w:rsidRDefault="00210E3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Своего рода компромиссом между моделью с детерминированными эффектами и моделью сквозной регрессии является модель со случайными эффектами, поскольку она дает возможность ввести свою константу для каждого объекта выборки и учесть гетерогенность. </w:t>
      </w:r>
      <w:r w:rsidR="00EC784C" w:rsidRPr="00A312C5">
        <w:rPr>
          <w:rFonts w:ascii="Times New Roman" w:hAnsi="Times New Roman" w:cs="Times New Roman"/>
          <w:sz w:val="24"/>
          <w:szCs w:val="24"/>
        </w:rPr>
        <w:t xml:space="preserve"> Многофакторная модель регрессии со случайными эффектами также является значимой</w:t>
      </w:r>
      <w:r w:rsidR="007A78C4" w:rsidRPr="00A312C5">
        <w:rPr>
          <w:rFonts w:ascii="Times New Roman" w:hAnsi="Times New Roman" w:cs="Times New Roman"/>
          <w:sz w:val="24"/>
          <w:szCs w:val="24"/>
        </w:rPr>
        <w:t>.</w:t>
      </w:r>
      <w:r w:rsidR="0034265C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EC784C" w:rsidRPr="00A312C5">
        <w:rPr>
          <w:rFonts w:ascii="Times New Roman" w:hAnsi="Times New Roman" w:cs="Times New Roman"/>
          <w:sz w:val="24"/>
          <w:szCs w:val="24"/>
        </w:rPr>
        <w:t>При интерпретации оценки такой регрессионной модели не стоит опираться на показатель R-</w:t>
      </w:r>
      <w:proofErr w:type="spellStart"/>
      <w:r w:rsidR="00EC784C" w:rsidRPr="00A312C5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EC784C" w:rsidRPr="00A312C5">
        <w:rPr>
          <w:rFonts w:ascii="Times New Roman" w:hAnsi="Times New Roman" w:cs="Times New Roman"/>
          <w:sz w:val="24"/>
          <w:szCs w:val="24"/>
        </w:rPr>
        <w:t xml:space="preserve">.  О величине объясняющей силы модели можно судить по достаточно высокому значению </w:t>
      </w:r>
      <w:r w:rsidR="00EC784C" w:rsidRPr="00CC45E9">
        <w:rPr>
          <w:rFonts w:ascii="Times New Roman" w:hAnsi="Times New Roman" w:cs="Times New Roman"/>
          <w:sz w:val="24"/>
          <w:szCs w:val="24"/>
        </w:rPr>
        <w:t>статистики Вальда</w:t>
      </w:r>
      <w:r w:rsidR="00EC784C" w:rsidRPr="00A312C5">
        <w:rPr>
          <w:rFonts w:ascii="Times New Roman" w:hAnsi="Times New Roman" w:cs="Times New Roman"/>
          <w:sz w:val="24"/>
          <w:szCs w:val="24"/>
        </w:rPr>
        <w:t xml:space="preserve"> (</w:t>
      </w:r>
      <w:r w:rsidR="007A78C4" w:rsidRPr="00A312C5">
        <w:rPr>
          <w:rFonts w:ascii="Times New Roman" w:hAnsi="Times New Roman" w:cs="Times New Roman"/>
          <w:sz w:val="24"/>
          <w:szCs w:val="24"/>
        </w:rPr>
        <w:t>125</w:t>
      </w:r>
      <w:r w:rsidR="0034265C" w:rsidRPr="00A312C5">
        <w:rPr>
          <w:rFonts w:ascii="Times New Roman" w:hAnsi="Times New Roman" w:cs="Times New Roman"/>
          <w:sz w:val="24"/>
          <w:szCs w:val="24"/>
        </w:rPr>
        <w:t>,</w:t>
      </w:r>
      <w:r w:rsidR="007A78C4" w:rsidRPr="00A312C5">
        <w:rPr>
          <w:rFonts w:ascii="Times New Roman" w:hAnsi="Times New Roman" w:cs="Times New Roman"/>
          <w:sz w:val="24"/>
          <w:szCs w:val="24"/>
        </w:rPr>
        <w:t>83</w:t>
      </w:r>
      <w:r w:rsidR="00EC784C" w:rsidRPr="00A312C5">
        <w:rPr>
          <w:rFonts w:ascii="Times New Roman" w:hAnsi="Times New Roman" w:cs="Times New Roman"/>
          <w:sz w:val="24"/>
          <w:szCs w:val="24"/>
        </w:rPr>
        <w:t xml:space="preserve">).  </w:t>
      </w:r>
      <w:r w:rsidR="00C01FB0" w:rsidRPr="00A312C5">
        <w:rPr>
          <w:rFonts w:ascii="Times New Roman" w:hAnsi="Times New Roman" w:cs="Times New Roman"/>
          <w:sz w:val="24"/>
          <w:szCs w:val="24"/>
        </w:rPr>
        <w:t xml:space="preserve"> Выражение </w:t>
      </w:r>
      <w:proofErr w:type="spellStart"/>
      <w:r w:rsidR="00C01FB0" w:rsidRPr="00A312C5">
        <w:rPr>
          <w:rFonts w:ascii="Times New Roman" w:hAnsi="Times New Roman" w:cs="Times New Roman"/>
          <w:sz w:val="24"/>
          <w:szCs w:val="24"/>
        </w:rPr>
        <w:t>corr</w:t>
      </w:r>
      <w:proofErr w:type="spellEnd"/>
      <w:r w:rsidR="00C01FB0" w:rsidRPr="00A312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1FB0" w:rsidRPr="00A312C5">
        <w:rPr>
          <w:rFonts w:ascii="Times New Roman" w:hAnsi="Times New Roman" w:cs="Times New Roman"/>
          <w:sz w:val="24"/>
          <w:szCs w:val="24"/>
        </w:rPr>
        <w:t>u_</w:t>
      </w:r>
      <w:proofErr w:type="gramStart"/>
      <w:r w:rsidR="00C01FB0" w:rsidRPr="00A312C5">
        <w:rPr>
          <w:rFonts w:ascii="Times New Roman" w:hAnsi="Times New Roman" w:cs="Times New Roman"/>
          <w:sz w:val="24"/>
          <w:szCs w:val="24"/>
        </w:rPr>
        <w:t>i,X</w:t>
      </w:r>
      <w:proofErr w:type="spellEnd"/>
      <w:proofErr w:type="gramEnd"/>
      <w:r w:rsidR="00C01FB0" w:rsidRPr="00A312C5">
        <w:rPr>
          <w:rFonts w:ascii="Times New Roman" w:hAnsi="Times New Roman" w:cs="Times New Roman"/>
          <w:sz w:val="24"/>
          <w:szCs w:val="24"/>
        </w:rPr>
        <w:t>)= 0</w:t>
      </w:r>
      <w:r w:rsidR="001216C9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C01FB0" w:rsidRPr="00A312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1FB0" w:rsidRPr="00A312C5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="00C01FB0" w:rsidRPr="00A312C5">
        <w:rPr>
          <w:rFonts w:ascii="Times New Roman" w:hAnsi="Times New Roman" w:cs="Times New Roman"/>
          <w:sz w:val="24"/>
          <w:szCs w:val="24"/>
        </w:rPr>
        <w:t>),</w:t>
      </w:r>
      <w:r w:rsidR="00CC45E9">
        <w:rPr>
          <w:rFonts w:ascii="Times New Roman" w:hAnsi="Times New Roman" w:cs="Times New Roman"/>
          <w:sz w:val="24"/>
          <w:szCs w:val="24"/>
        </w:rPr>
        <w:t xml:space="preserve"> </w:t>
      </w:r>
      <w:r w:rsidR="00C01FB0" w:rsidRPr="00A312C5">
        <w:rPr>
          <w:rFonts w:ascii="Times New Roman" w:hAnsi="Times New Roman" w:cs="Times New Roman"/>
          <w:sz w:val="24"/>
          <w:szCs w:val="24"/>
        </w:rPr>
        <w:t xml:space="preserve">расположенное вверху таблицы, указывает на важную гипотезу, которая лежит в основе модели. Ненаблюдаемые случайные эффекты не должны быть </w:t>
      </w:r>
      <w:proofErr w:type="spellStart"/>
      <w:r w:rsidR="00C01FB0" w:rsidRPr="00A312C5">
        <w:rPr>
          <w:rFonts w:ascii="Times New Roman" w:hAnsi="Times New Roman" w:cs="Times New Roman"/>
          <w:sz w:val="24"/>
          <w:szCs w:val="24"/>
        </w:rPr>
        <w:t>коррелированны</w:t>
      </w:r>
      <w:proofErr w:type="spellEnd"/>
      <w:r w:rsidR="00C01FB0" w:rsidRPr="00A312C5">
        <w:rPr>
          <w:rFonts w:ascii="Times New Roman" w:hAnsi="Times New Roman" w:cs="Times New Roman"/>
          <w:sz w:val="24"/>
          <w:szCs w:val="24"/>
        </w:rPr>
        <w:t xml:space="preserve"> с регрессорами</w:t>
      </w:r>
      <w:r w:rsidR="0059576C">
        <w:rPr>
          <w:rFonts w:ascii="Times New Roman" w:hAnsi="Times New Roman" w:cs="Times New Roman"/>
          <w:sz w:val="24"/>
          <w:szCs w:val="24"/>
        </w:rPr>
        <w:t xml:space="preserve">, иначе </w:t>
      </w:r>
      <w:r w:rsidR="00C01FB0" w:rsidRPr="00A312C5">
        <w:rPr>
          <w:rFonts w:ascii="Times New Roman" w:hAnsi="Times New Roman" w:cs="Times New Roman"/>
          <w:sz w:val="24"/>
          <w:szCs w:val="24"/>
        </w:rPr>
        <w:t xml:space="preserve">полученные оценки будут несостоятельными. </w:t>
      </w:r>
    </w:p>
    <w:p w14:paraId="4D65DDC5" w14:textId="73D373CD" w:rsidR="00AD3082" w:rsidRPr="00A312C5" w:rsidRDefault="00C01FB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Перейдем к выбору </w:t>
      </w:r>
      <w:r w:rsidR="0059576C">
        <w:rPr>
          <w:rFonts w:ascii="Times New Roman" w:hAnsi="Times New Roman" w:cs="Times New Roman"/>
          <w:sz w:val="24"/>
          <w:szCs w:val="24"/>
        </w:rPr>
        <w:t>наилучшей спецификации</w:t>
      </w:r>
      <w:r w:rsidR="0056646A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модели</w:t>
      </w:r>
      <w:r w:rsidR="0056646A" w:rsidRPr="00A312C5">
        <w:rPr>
          <w:rFonts w:ascii="Times New Roman" w:hAnsi="Times New Roman" w:cs="Times New Roman"/>
          <w:sz w:val="24"/>
          <w:szCs w:val="24"/>
        </w:rPr>
        <w:t xml:space="preserve"> по панельным данным</w:t>
      </w:r>
      <w:r w:rsidRPr="00A312C5">
        <w:rPr>
          <w:rFonts w:ascii="Times New Roman" w:hAnsi="Times New Roman" w:cs="Times New Roman"/>
          <w:sz w:val="24"/>
          <w:szCs w:val="24"/>
        </w:rPr>
        <w:t>. Для этого проведем серию тест</w:t>
      </w:r>
      <w:r w:rsidR="0056646A" w:rsidRPr="00A312C5">
        <w:rPr>
          <w:rFonts w:ascii="Times New Roman" w:hAnsi="Times New Roman" w:cs="Times New Roman"/>
          <w:sz w:val="24"/>
          <w:szCs w:val="24"/>
        </w:rPr>
        <w:t>ов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попарного сравнения. Тест Вальда позволяет </w:t>
      </w:r>
      <w:r w:rsidR="0056646A" w:rsidRPr="00A312C5">
        <w:rPr>
          <w:rFonts w:ascii="Times New Roman" w:hAnsi="Times New Roman" w:cs="Times New Roman"/>
          <w:sz w:val="24"/>
          <w:szCs w:val="24"/>
        </w:rPr>
        <w:t>проверить</w:t>
      </w:r>
      <w:r w:rsidRPr="00A312C5">
        <w:rPr>
          <w:rFonts w:ascii="Times New Roman" w:hAnsi="Times New Roman" w:cs="Times New Roman"/>
          <w:sz w:val="24"/>
          <w:szCs w:val="24"/>
        </w:rPr>
        <w:t xml:space="preserve"> гипотезу о том, что все индивидуальные эффекты равны нулю.</w:t>
      </w:r>
      <w:r w:rsidR="0056646A" w:rsidRPr="00A312C5">
        <w:rPr>
          <w:rFonts w:ascii="Times New Roman" w:hAnsi="Times New Roman" w:cs="Times New Roman"/>
          <w:sz w:val="24"/>
          <w:szCs w:val="24"/>
        </w:rPr>
        <w:t xml:space="preserve"> Другими словами, основная гипотеза говорит о наличии индивидуальных детерминированных эффектов для всех объектов наблюдения. 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56646A" w:rsidRPr="00A312C5">
        <w:rPr>
          <w:rFonts w:ascii="Times New Roman" w:hAnsi="Times New Roman" w:cs="Times New Roman"/>
          <w:sz w:val="24"/>
          <w:szCs w:val="24"/>
        </w:rPr>
        <w:t xml:space="preserve">В рамках этого теста сквозную регрессию сравнивают с моделью с </w:t>
      </w:r>
      <w:r w:rsidR="0056646A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детерминированными эффектами. </w:t>
      </w:r>
      <w:r w:rsidR="001216C9" w:rsidRPr="00A312C5">
        <w:rPr>
          <w:rFonts w:ascii="Times New Roman" w:hAnsi="Times New Roman" w:cs="Times New Roman"/>
          <w:sz w:val="24"/>
          <w:szCs w:val="24"/>
        </w:rPr>
        <w:t xml:space="preserve">Согласно результатам теста Вальда </w:t>
      </w:r>
      <w:r w:rsidR="001216C9" w:rsidRPr="00A312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216C9" w:rsidRPr="00A312C5">
        <w:rPr>
          <w:rFonts w:ascii="Times New Roman" w:hAnsi="Times New Roman" w:cs="Times New Roman"/>
          <w:sz w:val="24"/>
          <w:szCs w:val="24"/>
        </w:rPr>
        <w:t>-</w:t>
      </w:r>
      <w:r w:rsidR="001216C9" w:rsidRPr="00A312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1216C9" w:rsidRPr="00A312C5">
        <w:rPr>
          <w:rFonts w:ascii="Times New Roman" w:hAnsi="Times New Roman" w:cs="Times New Roman"/>
          <w:sz w:val="24"/>
          <w:szCs w:val="24"/>
        </w:rPr>
        <w:t xml:space="preserve"> принимает значение меньше 0,05</w:t>
      </w:r>
      <w:r w:rsidR="007A78C4" w:rsidRPr="00A312C5">
        <w:rPr>
          <w:rFonts w:ascii="Times New Roman" w:hAnsi="Times New Roman" w:cs="Times New Roman"/>
          <w:sz w:val="24"/>
          <w:szCs w:val="24"/>
        </w:rPr>
        <w:t>.</w:t>
      </w:r>
      <w:r w:rsidR="001216C9" w:rsidRPr="00A312C5">
        <w:rPr>
          <w:rFonts w:ascii="Times New Roman" w:hAnsi="Times New Roman" w:cs="Times New Roman"/>
          <w:sz w:val="24"/>
          <w:szCs w:val="24"/>
        </w:rPr>
        <w:t xml:space="preserve"> Основная гипотеза в таком случае отвергается</w:t>
      </w:r>
      <w:r w:rsidR="007452C3" w:rsidRPr="00A312C5">
        <w:rPr>
          <w:rFonts w:ascii="Times New Roman" w:hAnsi="Times New Roman" w:cs="Times New Roman"/>
          <w:sz w:val="24"/>
          <w:szCs w:val="24"/>
        </w:rPr>
        <w:t>,</w:t>
      </w:r>
      <w:r w:rsidR="001216C9" w:rsidRPr="00A312C5">
        <w:rPr>
          <w:rFonts w:ascii="Times New Roman" w:hAnsi="Times New Roman" w:cs="Times New Roman"/>
          <w:sz w:val="24"/>
          <w:szCs w:val="24"/>
        </w:rPr>
        <w:t xml:space="preserve"> и мы делаем вывод о том, что модель с детерминированными эффектами лучше описывает данные, чем сквозная регрессия. </w:t>
      </w:r>
    </w:p>
    <w:p w14:paraId="3219351C" w14:textId="34A5293E" w:rsidR="00C01FB0" w:rsidRPr="00A312C5" w:rsidRDefault="001216C9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Бр</w:t>
      </w:r>
      <w:r w:rsidR="00AD3082" w:rsidRPr="00A312C5">
        <w:rPr>
          <w:rFonts w:ascii="Times New Roman" w:hAnsi="Times New Roman" w:cs="Times New Roman"/>
          <w:sz w:val="24"/>
          <w:szCs w:val="24"/>
        </w:rPr>
        <w:t>еу</w:t>
      </w:r>
      <w:r w:rsidRPr="00A312C5">
        <w:rPr>
          <w:rFonts w:ascii="Times New Roman" w:hAnsi="Times New Roman" w:cs="Times New Roman"/>
          <w:sz w:val="24"/>
          <w:szCs w:val="24"/>
        </w:rPr>
        <w:t>ша-Пагана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помогает проверить наличие </w:t>
      </w:r>
      <w:r w:rsidR="00AD3082" w:rsidRPr="00A312C5">
        <w:rPr>
          <w:rFonts w:ascii="Times New Roman" w:hAnsi="Times New Roman" w:cs="Times New Roman"/>
          <w:sz w:val="24"/>
          <w:szCs w:val="24"/>
        </w:rPr>
        <w:t xml:space="preserve">случайных индивидуальных эффектов в модели. Он применяется для принятия решения о выборе между сквозной регрессией и моделью со случайными эффектами. </w:t>
      </w:r>
      <w:r w:rsidR="00AD3082" w:rsidRPr="00A312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D3082" w:rsidRPr="00A312C5">
        <w:rPr>
          <w:rFonts w:ascii="Times New Roman" w:hAnsi="Times New Roman" w:cs="Times New Roman"/>
          <w:sz w:val="24"/>
          <w:szCs w:val="24"/>
        </w:rPr>
        <w:t>-</w:t>
      </w:r>
      <w:r w:rsidR="00AD3082" w:rsidRPr="00A312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D3082" w:rsidRPr="00A312C5">
        <w:rPr>
          <w:rFonts w:ascii="Times New Roman" w:hAnsi="Times New Roman" w:cs="Times New Roman"/>
          <w:sz w:val="24"/>
          <w:szCs w:val="24"/>
        </w:rPr>
        <w:t xml:space="preserve"> меньше 0,05, основная гипотеза отвергается</w:t>
      </w:r>
      <w:r w:rsidR="00E36BC2">
        <w:rPr>
          <w:rFonts w:ascii="Times New Roman" w:hAnsi="Times New Roman" w:cs="Times New Roman"/>
          <w:sz w:val="24"/>
          <w:szCs w:val="24"/>
        </w:rPr>
        <w:t xml:space="preserve"> (</w:t>
      </w:r>
      <w:hyperlink w:anchor="_Приложение_6._Результаты" w:history="1">
        <w:r w:rsidR="00E36BC2" w:rsidRPr="00E36BC2">
          <w:rPr>
            <w:rStyle w:val="a7"/>
            <w:rFonts w:ascii="Times New Roman" w:hAnsi="Times New Roman" w:cs="Times New Roman"/>
            <w:sz w:val="24"/>
            <w:szCs w:val="24"/>
          </w:rPr>
          <w:t>приложение 6</w:t>
        </w:r>
      </w:hyperlink>
      <w:r w:rsidR="00E36BC2">
        <w:rPr>
          <w:rFonts w:ascii="Times New Roman" w:hAnsi="Times New Roman" w:cs="Times New Roman"/>
          <w:sz w:val="24"/>
          <w:szCs w:val="24"/>
        </w:rPr>
        <w:t>)</w:t>
      </w:r>
      <w:r w:rsidR="00AD3082" w:rsidRPr="00A312C5">
        <w:rPr>
          <w:rFonts w:ascii="Times New Roman" w:hAnsi="Times New Roman" w:cs="Times New Roman"/>
          <w:sz w:val="24"/>
          <w:szCs w:val="24"/>
        </w:rPr>
        <w:t xml:space="preserve">. Модель со случайными эффектами предпочтительнее для работы с панельными данными, чем сквозная регрессия. </w:t>
      </w:r>
    </w:p>
    <w:p w14:paraId="1E657EF9" w14:textId="712D60AE" w:rsidR="00AD3082" w:rsidRPr="00A312C5" w:rsidRDefault="00AD308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Завершающим шагом процесса выбора модели стало проведение теста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Хаусмана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, позволяющего сделать выбор между моделями со случайными и фиксированными эффектами. </w:t>
      </w:r>
      <w:r w:rsidR="00AE0365" w:rsidRPr="00A312C5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AE0365" w:rsidRPr="00A312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E0365" w:rsidRPr="00A312C5">
        <w:rPr>
          <w:rFonts w:ascii="Times New Roman" w:hAnsi="Times New Roman" w:cs="Times New Roman"/>
          <w:sz w:val="24"/>
          <w:szCs w:val="24"/>
        </w:rPr>
        <w:t>-</w:t>
      </w:r>
      <w:r w:rsidR="00AE0365" w:rsidRPr="00A312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E0365" w:rsidRPr="00A312C5">
        <w:rPr>
          <w:rFonts w:ascii="Times New Roman" w:hAnsi="Times New Roman" w:cs="Times New Roman"/>
          <w:sz w:val="24"/>
          <w:szCs w:val="24"/>
        </w:rPr>
        <w:t xml:space="preserve"> меньше 0,05, принимаем альтернативную гипотезу: модель с фиксированными эффектами лучше подходит для работы с панельными данными, чем модель со случайными эффектами</w:t>
      </w:r>
      <w:r w:rsidR="00E36BC2">
        <w:rPr>
          <w:rFonts w:ascii="Times New Roman" w:hAnsi="Times New Roman" w:cs="Times New Roman"/>
          <w:sz w:val="24"/>
          <w:szCs w:val="24"/>
        </w:rPr>
        <w:t xml:space="preserve"> (</w:t>
      </w:r>
      <w:hyperlink w:anchor="_Приложение_7._Результаты" w:history="1">
        <w:r w:rsidR="00E36BC2" w:rsidRPr="00E36BC2">
          <w:rPr>
            <w:rStyle w:val="a7"/>
            <w:rFonts w:ascii="Times New Roman" w:hAnsi="Times New Roman" w:cs="Times New Roman"/>
            <w:sz w:val="24"/>
            <w:szCs w:val="24"/>
          </w:rPr>
          <w:t>приложение 7</w:t>
        </w:r>
      </w:hyperlink>
      <w:r w:rsidR="00E36BC2">
        <w:rPr>
          <w:rFonts w:ascii="Times New Roman" w:hAnsi="Times New Roman" w:cs="Times New Roman"/>
          <w:sz w:val="24"/>
          <w:szCs w:val="24"/>
        </w:rPr>
        <w:t>)</w:t>
      </w:r>
      <w:r w:rsidR="007A78C4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20836605" w14:textId="38B521CE" w:rsidR="00AE0365" w:rsidRPr="00A312C5" w:rsidRDefault="00AE036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Последовательное попарное сравнение трех вышеописанных моделей показало, что наиболее походящей для дальнейшего анализа является модель с детерминированными эффектами. </w:t>
      </w:r>
    </w:p>
    <w:p w14:paraId="0F8AE111" w14:textId="5B4CAF3D" w:rsidR="007452C3" w:rsidRPr="00A312C5" w:rsidRDefault="007452C3" w:rsidP="00A312C5">
      <w:pPr>
        <w:pStyle w:val="2"/>
        <w:numPr>
          <w:ilvl w:val="1"/>
          <w:numId w:val="14"/>
        </w:numPr>
        <w:ind w:left="1418" w:hanging="709"/>
        <w:rPr>
          <w:rFonts w:cs="Times New Roman"/>
        </w:rPr>
      </w:pPr>
      <w:bookmarkStart w:id="34" w:name="_Toc73538439"/>
      <w:r w:rsidRPr="00A312C5">
        <w:rPr>
          <w:rFonts w:cs="Times New Roman"/>
        </w:rPr>
        <w:t>Результаты эмпирического исследования</w:t>
      </w:r>
      <w:bookmarkEnd w:id="34"/>
    </w:p>
    <w:p w14:paraId="39228988" w14:textId="5A8C35E5" w:rsidR="005901D3" w:rsidRPr="00A312C5" w:rsidRDefault="007452C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D0">
        <w:rPr>
          <w:rFonts w:ascii="Times New Roman" w:hAnsi="Times New Roman" w:cs="Times New Roman"/>
          <w:sz w:val="24"/>
          <w:szCs w:val="24"/>
        </w:rPr>
        <w:t xml:space="preserve">Многофакторная регрессионная модель с детерминированными эффектами является значимой. </w:t>
      </w:r>
      <w:r w:rsidR="00DD1BD0" w:rsidRPr="00DD1BD0">
        <w:rPr>
          <w:rFonts w:ascii="Times New Roman" w:hAnsi="Times New Roman" w:cs="Times New Roman"/>
          <w:sz w:val="24"/>
          <w:szCs w:val="24"/>
        </w:rPr>
        <w:t xml:space="preserve"> </w:t>
      </w:r>
      <w:r w:rsidR="00DD1BD0">
        <w:rPr>
          <w:rFonts w:ascii="Times New Roman" w:hAnsi="Times New Roman" w:cs="Times New Roman"/>
          <w:sz w:val="24"/>
          <w:szCs w:val="24"/>
        </w:rPr>
        <w:t xml:space="preserve">Результаты проведенного регрессионного анализа представлены в таблице 9. </w:t>
      </w:r>
      <w:r w:rsidRPr="00DD1BD0">
        <w:rPr>
          <w:rFonts w:ascii="Times New Roman" w:hAnsi="Times New Roman" w:cs="Times New Roman"/>
          <w:sz w:val="24"/>
          <w:szCs w:val="24"/>
        </w:rPr>
        <w:t>Объясняющая сила модели, выраженная через коэффициент детерминации</w:t>
      </w:r>
      <w:r w:rsidR="00DD1BD0" w:rsidRPr="00DD1BD0">
        <w:rPr>
          <w:rFonts w:ascii="Times New Roman" w:hAnsi="Times New Roman" w:cs="Times New Roman"/>
          <w:sz w:val="24"/>
          <w:szCs w:val="24"/>
        </w:rPr>
        <w:t xml:space="preserve"> R-</w:t>
      </w:r>
      <w:proofErr w:type="spellStart"/>
      <w:r w:rsidR="00DD1BD0" w:rsidRPr="00DD1BD0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DD1BD0" w:rsidRPr="00D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BD0" w:rsidRPr="00DD1BD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D1BD0">
        <w:rPr>
          <w:rFonts w:ascii="Times New Roman" w:hAnsi="Times New Roman" w:cs="Times New Roman"/>
          <w:sz w:val="24"/>
          <w:szCs w:val="24"/>
        </w:rPr>
        <w:t>, равна 0,</w:t>
      </w:r>
      <w:r w:rsidR="003915B2" w:rsidRPr="00DD1BD0">
        <w:rPr>
          <w:rFonts w:ascii="Times New Roman" w:hAnsi="Times New Roman" w:cs="Times New Roman"/>
          <w:sz w:val="24"/>
          <w:szCs w:val="24"/>
        </w:rPr>
        <w:t>5612</w:t>
      </w:r>
      <w:r w:rsidRPr="00DD1BD0">
        <w:rPr>
          <w:rFonts w:ascii="Times New Roman" w:hAnsi="Times New Roman" w:cs="Times New Roman"/>
          <w:sz w:val="24"/>
          <w:szCs w:val="24"/>
        </w:rPr>
        <w:t>.</w:t>
      </w:r>
      <w:r w:rsidR="00A4429E" w:rsidRPr="00DD1BD0">
        <w:rPr>
          <w:rFonts w:ascii="Times New Roman" w:hAnsi="Times New Roman" w:cs="Times New Roman"/>
          <w:sz w:val="24"/>
          <w:szCs w:val="24"/>
        </w:rPr>
        <w:t xml:space="preserve"> Отметим, что наиболее сильно интенсивность НИОКР зависит от стандартного отклонения ценности фирмы</w:t>
      </w:r>
      <w:r w:rsidR="00DD1BD0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="00A4429E" w:rsidRPr="00DD1BD0">
        <w:rPr>
          <w:rFonts w:ascii="Times New Roman" w:hAnsi="Times New Roman" w:cs="Times New Roman"/>
          <w:sz w:val="24"/>
          <w:szCs w:val="24"/>
        </w:rPr>
        <w:t>рост этого показателя приведет к падению интенсивности НИОКР.</w:t>
      </w:r>
      <w:r w:rsidR="00A4429E"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AFA43" w14:textId="36FDE209" w:rsidR="003948DB" w:rsidRPr="001E3D83" w:rsidRDefault="003948DB" w:rsidP="00237685">
      <w:pPr>
        <w:pStyle w:val="af7"/>
        <w:keepNext/>
        <w:ind w:firstLine="709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="005B0E30"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5B0E30"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="005B0E30"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B55D54" w:rsidRPr="001E3D83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9</w:t>
      </w:r>
      <w:r w:rsidR="005B0E30"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Результаты регрессионного анализа</w:t>
      </w:r>
      <w:r w:rsidRPr="001E3D83">
        <w:rPr>
          <w:rStyle w:val="a6"/>
          <w:rFonts w:ascii="Times New Roman" w:hAnsi="Times New Roman" w:cs="Times New Roman"/>
          <w:i w:val="0"/>
          <w:iCs w:val="0"/>
          <w:color w:val="auto"/>
          <w:sz w:val="22"/>
          <w:szCs w:val="22"/>
        </w:rPr>
        <w:footnoteReference w:id="1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01D3" w:rsidRPr="00A312C5" w14:paraId="3FE657ED" w14:textId="77777777" w:rsidTr="005901D3">
        <w:trPr>
          <w:gridAfter w:val="2"/>
          <w:wAfter w:w="6230" w:type="dxa"/>
        </w:trPr>
        <w:tc>
          <w:tcPr>
            <w:tcW w:w="3114" w:type="dxa"/>
          </w:tcPr>
          <w:p w14:paraId="26590375" w14:textId="00CD333A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5901D3" w:rsidRPr="00A312C5" w14:paraId="49D09EFE" w14:textId="77777777" w:rsidTr="005901D3">
        <w:trPr>
          <w:gridAfter w:val="2"/>
          <w:wAfter w:w="6230" w:type="dxa"/>
        </w:trPr>
        <w:tc>
          <w:tcPr>
            <w:tcW w:w="3114" w:type="dxa"/>
          </w:tcPr>
          <w:p w14:paraId="7C364A62" w14:textId="4AC57411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 &gt; F = 0,000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1D3" w:rsidRPr="00A312C5" w14:paraId="410010DA" w14:textId="77777777" w:rsidTr="005901D3">
        <w:trPr>
          <w:gridAfter w:val="2"/>
          <w:wAfter w:w="6230" w:type="dxa"/>
        </w:trPr>
        <w:tc>
          <w:tcPr>
            <w:tcW w:w="3114" w:type="dxa"/>
          </w:tcPr>
          <w:p w14:paraId="1F23F1CD" w14:textId="1DB0F62F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R-sq = 0,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</w:tr>
      <w:tr w:rsidR="00CC45E9" w:rsidRPr="00A312C5" w14:paraId="3DC2BDB1" w14:textId="77777777" w:rsidTr="005901D3">
        <w:trPr>
          <w:gridAfter w:val="2"/>
          <w:wAfter w:w="6230" w:type="dxa"/>
        </w:trPr>
        <w:tc>
          <w:tcPr>
            <w:tcW w:w="3114" w:type="dxa"/>
          </w:tcPr>
          <w:p w14:paraId="36B0F564" w14:textId="3527537E" w:rsidR="00CC45E9" w:rsidRPr="00A312C5" w:rsidRDefault="00CC45E9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R-sq within = 0,5612</w:t>
            </w:r>
          </w:p>
        </w:tc>
      </w:tr>
      <w:tr w:rsidR="005901D3" w:rsidRPr="00A312C5" w14:paraId="52D70B7F" w14:textId="77777777" w:rsidTr="005901D3">
        <w:tc>
          <w:tcPr>
            <w:tcW w:w="3114" w:type="dxa"/>
          </w:tcPr>
          <w:p w14:paraId="27C3AA80" w14:textId="486EAAE9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2C5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</w:tc>
        <w:tc>
          <w:tcPr>
            <w:tcW w:w="3115" w:type="dxa"/>
          </w:tcPr>
          <w:p w14:paraId="1870B224" w14:textId="03FC7B99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3115" w:type="dxa"/>
          </w:tcPr>
          <w:p w14:paraId="366EC70D" w14:textId="11FDDBF3" w:rsidR="005901D3" w:rsidRPr="000B2E5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4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 </w:t>
            </w:r>
            <w:r w:rsidR="000B2E55" w:rsidRPr="00CC4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</w:tr>
      <w:tr w:rsidR="005901D3" w:rsidRPr="00A312C5" w14:paraId="50C4B0CB" w14:textId="77777777" w:rsidTr="005901D3">
        <w:tc>
          <w:tcPr>
            <w:tcW w:w="3114" w:type="dxa"/>
          </w:tcPr>
          <w:p w14:paraId="3A934AB2" w14:textId="038E19E6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av_profit_margin</w:t>
            </w:r>
            <w:proofErr w:type="spellEnd"/>
          </w:p>
        </w:tc>
        <w:tc>
          <w:tcPr>
            <w:tcW w:w="3115" w:type="dxa"/>
          </w:tcPr>
          <w:p w14:paraId="3FA55DCA" w14:textId="77AC77A8" w:rsidR="005901D3" w:rsidRPr="00A312C5" w:rsidRDefault="00233D77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2,533</w:t>
            </w:r>
          </w:p>
        </w:tc>
        <w:tc>
          <w:tcPr>
            <w:tcW w:w="3115" w:type="dxa"/>
          </w:tcPr>
          <w:p w14:paraId="460BE107" w14:textId="25AB250B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901D3" w:rsidRPr="00A312C5" w14:paraId="1E50B6C2" w14:textId="77777777" w:rsidTr="005901D3">
        <w:tc>
          <w:tcPr>
            <w:tcW w:w="3114" w:type="dxa"/>
          </w:tcPr>
          <w:p w14:paraId="24BF4120" w14:textId="56C5CCBD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5" w:name="_Hlk68457333"/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av_sales_per_emp</w:t>
            </w:r>
            <w:proofErr w:type="spellEnd"/>
          </w:p>
        </w:tc>
        <w:tc>
          <w:tcPr>
            <w:tcW w:w="3115" w:type="dxa"/>
          </w:tcPr>
          <w:p w14:paraId="5832393F" w14:textId="66285046" w:rsidR="005901D3" w:rsidRPr="00A312C5" w:rsidRDefault="00233D77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2,065</w:t>
            </w:r>
          </w:p>
        </w:tc>
        <w:tc>
          <w:tcPr>
            <w:tcW w:w="3115" w:type="dxa"/>
          </w:tcPr>
          <w:p w14:paraId="19CB10D0" w14:textId="5F6F2970" w:rsidR="005901D3" w:rsidRPr="00A312C5" w:rsidRDefault="00B76C8A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35"/>
      <w:tr w:rsidR="005901D3" w:rsidRPr="00A312C5" w14:paraId="5796E2DE" w14:textId="77777777" w:rsidTr="005901D3">
        <w:tc>
          <w:tcPr>
            <w:tcW w:w="3114" w:type="dxa"/>
          </w:tcPr>
          <w:p w14:paraId="197FF6FD" w14:textId="130ACA47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HHI</w:t>
            </w:r>
          </w:p>
        </w:tc>
        <w:tc>
          <w:tcPr>
            <w:tcW w:w="3115" w:type="dxa"/>
          </w:tcPr>
          <w:p w14:paraId="5D32F876" w14:textId="651DCEEA" w:rsidR="005901D3" w:rsidRPr="00A312C5" w:rsidRDefault="00233D77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3,032</w:t>
            </w:r>
            <w:r w:rsidR="00B55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0772BBAF" w14:textId="6180DA9F" w:rsidR="005901D3" w:rsidRPr="00A312C5" w:rsidRDefault="005901D3" w:rsidP="00B55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B76C8A" w:rsidRPr="00A312C5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</w:tbl>
    <w:p w14:paraId="7AAAA4E5" w14:textId="1826B0B9" w:rsidR="001E3D83" w:rsidRPr="001E3D83" w:rsidRDefault="001E3D83" w:rsidP="001E3D83">
      <w:pPr>
        <w:pStyle w:val="af7"/>
        <w:keepNext/>
        <w:ind w:firstLine="709"/>
        <w:jc w:val="right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1E3D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Продолжение таблицы 9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3D83" w:rsidRPr="00A312C5" w14:paraId="04893A92" w14:textId="77777777" w:rsidTr="00E43627">
        <w:tc>
          <w:tcPr>
            <w:tcW w:w="3114" w:type="dxa"/>
          </w:tcPr>
          <w:p w14:paraId="6492E24A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std_dev_in_firm_value</w:t>
            </w:r>
            <w:proofErr w:type="spellEnd"/>
          </w:p>
        </w:tc>
        <w:tc>
          <w:tcPr>
            <w:tcW w:w="3115" w:type="dxa"/>
          </w:tcPr>
          <w:p w14:paraId="720010A3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-6,97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078B42AA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1E3D83" w:rsidRPr="00A312C5" w14:paraId="56AF87E2" w14:textId="77777777" w:rsidTr="00E43627">
        <w:tc>
          <w:tcPr>
            <w:tcW w:w="3114" w:type="dxa"/>
          </w:tcPr>
          <w:p w14:paraId="1F98991B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ROE</w:t>
            </w:r>
          </w:p>
        </w:tc>
        <w:tc>
          <w:tcPr>
            <w:tcW w:w="3115" w:type="dxa"/>
          </w:tcPr>
          <w:p w14:paraId="3C365EC6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-0,36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0CDEB417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1E3D83" w:rsidRPr="00A312C5" w14:paraId="76E2A8FF" w14:textId="77777777" w:rsidTr="00E43627">
        <w:tc>
          <w:tcPr>
            <w:tcW w:w="3114" w:type="dxa"/>
          </w:tcPr>
          <w:p w14:paraId="26FCC56A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_cons</w:t>
            </w:r>
          </w:p>
        </w:tc>
        <w:tc>
          <w:tcPr>
            <w:tcW w:w="3115" w:type="dxa"/>
          </w:tcPr>
          <w:p w14:paraId="4A2E44F4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9,358</w:t>
            </w:r>
          </w:p>
        </w:tc>
        <w:tc>
          <w:tcPr>
            <w:tcW w:w="3115" w:type="dxa"/>
          </w:tcPr>
          <w:p w14:paraId="6C182F7C" w14:textId="77777777" w:rsidR="001E3D83" w:rsidRPr="00A312C5" w:rsidRDefault="001E3D83" w:rsidP="00E43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0,000***</w:t>
            </w:r>
          </w:p>
        </w:tc>
      </w:tr>
    </w:tbl>
    <w:p w14:paraId="380CE963" w14:textId="219205D2" w:rsidR="00B55D54" w:rsidRPr="00B55D54" w:rsidRDefault="00B55D5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55D54">
        <w:rPr>
          <w:rFonts w:ascii="Times New Roman" w:hAnsi="Times New Roman" w:cs="Times New Roman"/>
        </w:rPr>
        <w:t xml:space="preserve">Источник: </w:t>
      </w:r>
      <w:r w:rsidRPr="00B55D54">
        <w:rPr>
          <w:rFonts w:ascii="Times New Roman" w:hAnsi="Times New Roman" w:cs="Times New Roman"/>
          <w:lang w:val="en-US"/>
        </w:rPr>
        <w:t>[</w:t>
      </w:r>
      <w:r w:rsidRPr="00B55D54">
        <w:rPr>
          <w:rFonts w:ascii="Times New Roman" w:hAnsi="Times New Roman" w:cs="Times New Roman"/>
        </w:rPr>
        <w:t>расчеты автора</w:t>
      </w:r>
      <w:r w:rsidRPr="00B55D54">
        <w:rPr>
          <w:rFonts w:ascii="Times New Roman" w:hAnsi="Times New Roman" w:cs="Times New Roman"/>
          <w:lang w:val="en-US"/>
        </w:rPr>
        <w:t>]</w:t>
      </w:r>
    </w:p>
    <w:p w14:paraId="1AF0F495" w14:textId="37C2560C" w:rsidR="007A5768" w:rsidRPr="00A312C5" w:rsidRDefault="00815FC7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Переменные</w:t>
      </w:r>
      <w:r w:rsidR="00C43A82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445CC3" w:rsidRPr="00A312C5">
        <w:rPr>
          <w:rFonts w:ascii="Times New Roman" w:hAnsi="Times New Roman" w:cs="Times New Roman"/>
          <w:sz w:val="24"/>
          <w:szCs w:val="24"/>
        </w:rPr>
        <w:t>HHI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 ROE</w:t>
      </w:r>
      <w:r w:rsidR="00445CC3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7A5768" w:rsidRPr="00A312C5">
        <w:rPr>
          <w:rFonts w:ascii="Times New Roman" w:hAnsi="Times New Roman" w:cs="Times New Roman"/>
          <w:sz w:val="24"/>
          <w:szCs w:val="24"/>
        </w:rPr>
        <w:t>явля</w:t>
      </w:r>
      <w:r w:rsidRPr="00A312C5">
        <w:rPr>
          <w:rFonts w:ascii="Times New Roman" w:hAnsi="Times New Roman" w:cs="Times New Roman"/>
          <w:sz w:val="24"/>
          <w:szCs w:val="24"/>
        </w:rPr>
        <w:t>ю</w:t>
      </w:r>
      <w:r w:rsidR="007A5768" w:rsidRPr="00A312C5">
        <w:rPr>
          <w:rFonts w:ascii="Times New Roman" w:hAnsi="Times New Roman" w:cs="Times New Roman"/>
          <w:sz w:val="24"/>
          <w:szCs w:val="24"/>
        </w:rPr>
        <w:t>тся</w:t>
      </w:r>
      <w:r w:rsidR="00445CC3" w:rsidRPr="00A312C5">
        <w:rPr>
          <w:rFonts w:ascii="Times New Roman" w:hAnsi="Times New Roman" w:cs="Times New Roman"/>
          <w:sz w:val="24"/>
          <w:szCs w:val="24"/>
        </w:rPr>
        <w:t xml:space="preserve"> незначимым</w:t>
      </w:r>
      <w:r w:rsidRPr="00A312C5">
        <w:rPr>
          <w:rFonts w:ascii="Times New Roman" w:hAnsi="Times New Roman" w:cs="Times New Roman"/>
          <w:sz w:val="24"/>
          <w:szCs w:val="24"/>
        </w:rPr>
        <w:t>и</w:t>
      </w:r>
      <w:r w:rsidR="007A5768" w:rsidRPr="00A312C5">
        <w:rPr>
          <w:rFonts w:ascii="Times New Roman" w:hAnsi="Times New Roman" w:cs="Times New Roman"/>
          <w:sz w:val="24"/>
          <w:szCs w:val="24"/>
        </w:rPr>
        <w:t>,</w:t>
      </w:r>
      <w:r w:rsidR="00445CC3" w:rsidRPr="00A312C5">
        <w:rPr>
          <w:rFonts w:ascii="Times New Roman" w:hAnsi="Times New Roman" w:cs="Times New Roman"/>
          <w:sz w:val="24"/>
          <w:szCs w:val="24"/>
        </w:rPr>
        <w:t xml:space="preserve"> так как p-</w:t>
      </w:r>
      <w:proofErr w:type="spellStart"/>
      <w:r w:rsidR="00445CC3" w:rsidRPr="00A312C5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445CC3" w:rsidRPr="00A312C5">
        <w:rPr>
          <w:rFonts w:ascii="Times New Roman" w:hAnsi="Times New Roman" w:cs="Times New Roman"/>
          <w:sz w:val="24"/>
          <w:szCs w:val="24"/>
        </w:rPr>
        <w:t xml:space="preserve"> превышает пороговое значение 0,05. Незначимость коэффициент</w:t>
      </w:r>
      <w:r w:rsidR="007A5768" w:rsidRPr="00A312C5">
        <w:rPr>
          <w:rFonts w:ascii="Times New Roman" w:hAnsi="Times New Roman" w:cs="Times New Roman"/>
          <w:sz w:val="24"/>
          <w:szCs w:val="24"/>
        </w:rPr>
        <w:t>а</w:t>
      </w:r>
      <w:r w:rsidR="00445CC3" w:rsidRPr="00A312C5">
        <w:rPr>
          <w:rFonts w:ascii="Times New Roman" w:hAnsi="Times New Roman" w:cs="Times New Roman"/>
          <w:sz w:val="24"/>
          <w:szCs w:val="24"/>
        </w:rPr>
        <w:t xml:space="preserve"> интерпретируется как </w:t>
      </w:r>
      <w:r w:rsidRPr="00A312C5">
        <w:rPr>
          <w:rFonts w:ascii="Times New Roman" w:hAnsi="Times New Roman" w:cs="Times New Roman"/>
          <w:sz w:val="24"/>
          <w:szCs w:val="24"/>
        </w:rPr>
        <w:t>отсутствие статистически значимого влияния</w:t>
      </w:r>
      <w:r w:rsidR="00445CC3" w:rsidRPr="00A312C5">
        <w:rPr>
          <w:rFonts w:ascii="Times New Roman" w:hAnsi="Times New Roman" w:cs="Times New Roman"/>
          <w:sz w:val="24"/>
          <w:szCs w:val="24"/>
        </w:rPr>
        <w:t xml:space="preserve"> индекса рыночной концентрации </w:t>
      </w:r>
      <w:r w:rsidRPr="00A312C5">
        <w:rPr>
          <w:rFonts w:ascii="Times New Roman" w:hAnsi="Times New Roman" w:cs="Times New Roman"/>
          <w:sz w:val="24"/>
          <w:szCs w:val="24"/>
        </w:rPr>
        <w:t xml:space="preserve">и рентабельности </w:t>
      </w:r>
      <w:r w:rsidRPr="001E3D83">
        <w:rPr>
          <w:rFonts w:ascii="Times New Roman" w:hAnsi="Times New Roman" w:cs="Times New Roman"/>
          <w:sz w:val="24"/>
          <w:szCs w:val="24"/>
        </w:rPr>
        <w:t xml:space="preserve">собственного капитала </w:t>
      </w:r>
      <w:r w:rsidR="00445CC3" w:rsidRPr="001E3D83">
        <w:rPr>
          <w:rFonts w:ascii="Times New Roman" w:hAnsi="Times New Roman" w:cs="Times New Roman"/>
          <w:sz w:val="24"/>
          <w:szCs w:val="24"/>
        </w:rPr>
        <w:t xml:space="preserve">на интенсивность НИОКР. </w:t>
      </w:r>
      <w:r w:rsidR="00A204BC" w:rsidRPr="001E3D83">
        <w:rPr>
          <w:rFonts w:ascii="Times New Roman" w:hAnsi="Times New Roman" w:cs="Times New Roman"/>
          <w:sz w:val="24"/>
          <w:szCs w:val="24"/>
        </w:rPr>
        <w:t xml:space="preserve">В поддержку этого утверждения можно привести </w:t>
      </w:r>
      <w:r w:rsidR="001E3D83" w:rsidRPr="001E3D83">
        <w:rPr>
          <w:rFonts w:ascii="Times New Roman" w:hAnsi="Times New Roman" w:cs="Times New Roman"/>
          <w:sz w:val="24"/>
          <w:szCs w:val="24"/>
        </w:rPr>
        <w:t>утверждение</w:t>
      </w:r>
      <w:r w:rsidR="00A204BC" w:rsidRPr="001E3D83">
        <w:rPr>
          <w:rFonts w:ascii="Times New Roman" w:hAnsi="Times New Roman" w:cs="Times New Roman"/>
          <w:sz w:val="24"/>
          <w:szCs w:val="24"/>
        </w:rPr>
        <w:t xml:space="preserve"> Маркса, раскрывающ</w:t>
      </w:r>
      <w:r w:rsidR="001E3D83" w:rsidRPr="001E3D83">
        <w:rPr>
          <w:rFonts w:ascii="Times New Roman" w:hAnsi="Times New Roman" w:cs="Times New Roman"/>
          <w:sz w:val="24"/>
          <w:szCs w:val="24"/>
        </w:rPr>
        <w:t>ее</w:t>
      </w:r>
      <w:r w:rsidR="00A204BC" w:rsidRPr="001E3D83">
        <w:rPr>
          <w:rFonts w:ascii="Times New Roman" w:hAnsi="Times New Roman" w:cs="Times New Roman"/>
          <w:sz w:val="24"/>
          <w:szCs w:val="24"/>
        </w:rPr>
        <w:t xml:space="preserve"> противоречивую природу монополизма и конкуренции</w:t>
      </w:r>
      <w:r w:rsidR="001E3D83" w:rsidRPr="001E3D83">
        <w:rPr>
          <w:rFonts w:ascii="Times New Roman" w:hAnsi="Times New Roman" w:cs="Times New Roman"/>
          <w:sz w:val="24"/>
          <w:szCs w:val="24"/>
        </w:rPr>
        <w:t>. Автор говори</w:t>
      </w:r>
      <w:r w:rsidR="001E3D83">
        <w:rPr>
          <w:rFonts w:ascii="Times New Roman" w:hAnsi="Times New Roman" w:cs="Times New Roman"/>
          <w:sz w:val="24"/>
          <w:szCs w:val="24"/>
        </w:rPr>
        <w:t>т</w:t>
      </w:r>
      <w:r w:rsidR="001E3D83" w:rsidRPr="001E3D83">
        <w:rPr>
          <w:rFonts w:ascii="Times New Roman" w:hAnsi="Times New Roman" w:cs="Times New Roman"/>
          <w:sz w:val="24"/>
          <w:szCs w:val="24"/>
        </w:rPr>
        <w:t xml:space="preserve"> о том, что в реальной жизни мы встречаемся не только с монополией и конкуренцией, но также с их синтезом. </w:t>
      </w:r>
      <w:r w:rsidR="00A204BC" w:rsidRPr="001E3D83">
        <w:rPr>
          <w:rFonts w:ascii="Times New Roman" w:hAnsi="Times New Roman" w:cs="Times New Roman"/>
          <w:sz w:val="24"/>
          <w:szCs w:val="24"/>
        </w:rPr>
        <w:t xml:space="preserve">Монополия </w:t>
      </w:r>
      <w:r w:rsidR="001E3D83" w:rsidRPr="001E3D83">
        <w:rPr>
          <w:rFonts w:ascii="Times New Roman" w:hAnsi="Times New Roman" w:cs="Times New Roman"/>
          <w:sz w:val="24"/>
          <w:szCs w:val="24"/>
        </w:rPr>
        <w:t>порождает</w:t>
      </w:r>
      <w:r w:rsidR="00A204BC" w:rsidRPr="001E3D83">
        <w:rPr>
          <w:rFonts w:ascii="Times New Roman" w:hAnsi="Times New Roman" w:cs="Times New Roman"/>
          <w:sz w:val="24"/>
          <w:szCs w:val="24"/>
        </w:rPr>
        <w:t xml:space="preserve"> конкуренцию</w:t>
      </w:r>
      <w:r w:rsidR="001E3D83" w:rsidRPr="001E3D83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9D4F1F">
        <w:rPr>
          <w:rFonts w:ascii="Times New Roman" w:hAnsi="Times New Roman" w:cs="Times New Roman"/>
          <w:sz w:val="24"/>
          <w:szCs w:val="24"/>
        </w:rPr>
        <w:t xml:space="preserve"> </w:t>
      </w:r>
      <w:r w:rsidR="00954424" w:rsidRPr="001E3D83">
        <w:rPr>
          <w:rFonts w:ascii="Times New Roman" w:hAnsi="Times New Roman" w:cs="Times New Roman"/>
          <w:sz w:val="24"/>
          <w:szCs w:val="24"/>
        </w:rPr>
        <w:t>[Маркс, 19</w:t>
      </w:r>
      <w:r w:rsidR="001E3D83" w:rsidRPr="001E3D83">
        <w:rPr>
          <w:rFonts w:ascii="Times New Roman" w:hAnsi="Times New Roman" w:cs="Times New Roman"/>
          <w:sz w:val="24"/>
          <w:szCs w:val="24"/>
        </w:rPr>
        <w:t>60</w:t>
      </w:r>
      <w:r w:rsidR="00954424" w:rsidRPr="001E3D83">
        <w:rPr>
          <w:rFonts w:ascii="Times New Roman" w:hAnsi="Times New Roman" w:cs="Times New Roman"/>
          <w:sz w:val="24"/>
          <w:szCs w:val="24"/>
        </w:rPr>
        <w:t>].</w:t>
      </w:r>
      <w:r w:rsidR="003915B2" w:rsidRPr="00A312C5">
        <w:rPr>
          <w:rFonts w:ascii="Times New Roman" w:hAnsi="Times New Roman" w:cs="Times New Roman"/>
          <w:sz w:val="24"/>
          <w:szCs w:val="24"/>
        </w:rPr>
        <w:t xml:space="preserve"> Инвести</w:t>
      </w:r>
      <w:r w:rsidRPr="00A312C5">
        <w:rPr>
          <w:rFonts w:ascii="Times New Roman" w:hAnsi="Times New Roman" w:cs="Times New Roman"/>
          <w:sz w:val="24"/>
          <w:szCs w:val="24"/>
        </w:rPr>
        <w:t>ции</w:t>
      </w:r>
      <w:r w:rsidR="003915B2" w:rsidRPr="00A312C5">
        <w:rPr>
          <w:rFonts w:ascii="Times New Roman" w:hAnsi="Times New Roman" w:cs="Times New Roman"/>
          <w:sz w:val="24"/>
          <w:szCs w:val="24"/>
        </w:rPr>
        <w:t xml:space="preserve"> в НИОКР мо</w:t>
      </w:r>
      <w:r w:rsidRPr="00A312C5">
        <w:rPr>
          <w:rFonts w:ascii="Times New Roman" w:hAnsi="Times New Roman" w:cs="Times New Roman"/>
          <w:sz w:val="24"/>
          <w:szCs w:val="24"/>
        </w:rPr>
        <w:t>гут</w:t>
      </w:r>
      <w:r w:rsidR="003915B2" w:rsidRPr="00A312C5">
        <w:rPr>
          <w:rFonts w:ascii="Times New Roman" w:hAnsi="Times New Roman" w:cs="Times New Roman"/>
          <w:sz w:val="24"/>
          <w:szCs w:val="24"/>
        </w:rPr>
        <w:t xml:space="preserve"> быть инструментом удержания и развития </w:t>
      </w:r>
      <w:r w:rsidR="00641278" w:rsidRPr="00A312C5">
        <w:rPr>
          <w:rFonts w:ascii="Times New Roman" w:hAnsi="Times New Roman" w:cs="Times New Roman"/>
          <w:sz w:val="24"/>
          <w:szCs w:val="24"/>
        </w:rPr>
        <w:t>монополии на низко</w:t>
      </w:r>
      <w:r w:rsidR="00DD1BD0">
        <w:rPr>
          <w:rFonts w:ascii="Times New Roman" w:hAnsi="Times New Roman" w:cs="Times New Roman"/>
          <w:sz w:val="24"/>
          <w:szCs w:val="24"/>
        </w:rPr>
        <w:t>-</w:t>
      </w:r>
      <w:r w:rsidR="00641278" w:rsidRPr="00A312C5">
        <w:rPr>
          <w:rFonts w:ascii="Times New Roman" w:hAnsi="Times New Roman" w:cs="Times New Roman"/>
          <w:sz w:val="24"/>
          <w:szCs w:val="24"/>
        </w:rPr>
        <w:t xml:space="preserve">конкурентном рынке, а также помогать компаниям увеличивать долю на растущих рынках с большим числом игроков. </w:t>
      </w:r>
    </w:p>
    <w:p w14:paraId="0164E7AD" w14:textId="3A539A3F" w:rsidR="00121F38" w:rsidRPr="00A312C5" w:rsidRDefault="00121F3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Переменная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av_profit_margin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>, характеризующая операционную рентабельность в отрасли, является значимой (P&gt; |t| = 0,00</w:t>
      </w:r>
      <w:r w:rsidR="00DD1BD0">
        <w:rPr>
          <w:rFonts w:ascii="Times New Roman" w:hAnsi="Times New Roman" w:cs="Times New Roman"/>
          <w:sz w:val="24"/>
          <w:szCs w:val="24"/>
        </w:rPr>
        <w:t>0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2C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A312C5">
        <w:rPr>
          <w:rFonts w:ascii="Times New Roman" w:hAnsi="Times New Roman" w:cs="Times New Roman"/>
          <w:sz w:val="24"/>
          <w:szCs w:val="24"/>
        </w:rPr>
        <w:t xml:space="preserve">,05). Коэффициент перед данной переменной положителен, таким образом, мы можем сделать вывод о наличии прямой взаимосвязи между операционной рентабельностью и интенсивностью НИОКР. </w:t>
      </w:r>
      <w:r w:rsidR="003112D5" w:rsidRPr="00A312C5">
        <w:rPr>
          <w:rFonts w:ascii="Times New Roman" w:hAnsi="Times New Roman" w:cs="Times New Roman"/>
          <w:sz w:val="24"/>
          <w:szCs w:val="24"/>
        </w:rPr>
        <w:t xml:space="preserve">Данный результат подтвердился во всех спецификациях модели. </w:t>
      </w:r>
      <w:r w:rsidRPr="00A312C5">
        <w:rPr>
          <w:rFonts w:ascii="Times New Roman" w:hAnsi="Times New Roman" w:cs="Times New Roman"/>
          <w:sz w:val="24"/>
          <w:szCs w:val="24"/>
        </w:rPr>
        <w:t xml:space="preserve">Повышение операционной рентабельности на 1 единицу в среднем при прочих равных приводит к увеличению интенсивности НИОКР на </w:t>
      </w:r>
      <w:r w:rsidR="00815FC7" w:rsidRPr="00A312C5">
        <w:rPr>
          <w:rFonts w:ascii="Times New Roman" w:hAnsi="Times New Roman" w:cs="Times New Roman"/>
          <w:sz w:val="24"/>
          <w:szCs w:val="24"/>
        </w:rPr>
        <w:t>2,53</w:t>
      </w:r>
      <w:r w:rsidRPr="00A312C5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11467FBC" w14:textId="24C40110" w:rsidR="007A5768" w:rsidRPr="00A312C5" w:rsidRDefault="007A576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Переменная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av_sales_per_emp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оказалась значимой на уровне </w:t>
      </w:r>
      <w:r w:rsidR="00815FC7" w:rsidRPr="00A312C5">
        <w:rPr>
          <w:rFonts w:ascii="Times New Roman" w:hAnsi="Times New Roman" w:cs="Times New Roman"/>
          <w:sz w:val="24"/>
          <w:szCs w:val="24"/>
        </w:rPr>
        <w:t>1</w:t>
      </w:r>
      <w:r w:rsidRPr="00A312C5">
        <w:rPr>
          <w:rFonts w:ascii="Times New Roman" w:hAnsi="Times New Roman" w:cs="Times New Roman"/>
          <w:sz w:val="24"/>
          <w:szCs w:val="24"/>
        </w:rPr>
        <w:t xml:space="preserve">%. Коэффициент перед этой переменной </w:t>
      </w:r>
      <w:r w:rsidR="00815FC7" w:rsidRPr="00A312C5">
        <w:rPr>
          <w:rFonts w:ascii="Times New Roman" w:hAnsi="Times New Roman" w:cs="Times New Roman"/>
          <w:sz w:val="24"/>
          <w:szCs w:val="24"/>
        </w:rPr>
        <w:t>положителен (2,065),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соответственно в среднем при прочих равных</w:t>
      </w:r>
      <w:r w:rsidR="002A7BC4" w:rsidRPr="00A312C5">
        <w:rPr>
          <w:rFonts w:ascii="Times New Roman" w:hAnsi="Times New Roman" w:cs="Times New Roman"/>
          <w:sz w:val="24"/>
          <w:szCs w:val="24"/>
        </w:rPr>
        <w:t xml:space="preserve"> при увеличении выручки в расчете на 1 сотрудника на </w:t>
      </w:r>
      <w:r w:rsidR="00AB63C9">
        <w:rPr>
          <w:rFonts w:ascii="Times New Roman" w:hAnsi="Times New Roman" w:cs="Times New Roman"/>
          <w:sz w:val="24"/>
          <w:szCs w:val="24"/>
        </w:rPr>
        <w:t>тысячу евро</w:t>
      </w:r>
      <w:r w:rsidR="002A7BC4" w:rsidRPr="00A312C5">
        <w:rPr>
          <w:rFonts w:ascii="Times New Roman" w:hAnsi="Times New Roman" w:cs="Times New Roman"/>
          <w:sz w:val="24"/>
          <w:szCs w:val="24"/>
        </w:rPr>
        <w:t xml:space="preserve"> интенсивность НИОКР </w:t>
      </w:r>
      <w:r w:rsidR="00815FC7" w:rsidRPr="00A312C5">
        <w:rPr>
          <w:rFonts w:ascii="Times New Roman" w:hAnsi="Times New Roman" w:cs="Times New Roman"/>
          <w:sz w:val="24"/>
          <w:szCs w:val="24"/>
        </w:rPr>
        <w:t>увеличивается</w:t>
      </w:r>
      <w:r w:rsidR="002A7BC4" w:rsidRPr="00A312C5">
        <w:rPr>
          <w:rFonts w:ascii="Times New Roman" w:hAnsi="Times New Roman" w:cs="Times New Roman"/>
          <w:sz w:val="24"/>
          <w:szCs w:val="24"/>
        </w:rPr>
        <w:t xml:space="preserve"> на </w:t>
      </w:r>
      <w:r w:rsidR="00815FC7" w:rsidRPr="00A312C5">
        <w:rPr>
          <w:rFonts w:ascii="Times New Roman" w:hAnsi="Times New Roman" w:cs="Times New Roman"/>
          <w:sz w:val="24"/>
          <w:szCs w:val="24"/>
        </w:rPr>
        <w:t>2,065</w:t>
      </w:r>
      <w:r w:rsidR="002A7BC4" w:rsidRPr="00A312C5">
        <w:rPr>
          <w:rFonts w:ascii="Times New Roman" w:hAnsi="Times New Roman" w:cs="Times New Roman"/>
          <w:sz w:val="24"/>
          <w:szCs w:val="24"/>
        </w:rPr>
        <w:t xml:space="preserve"> единицы.</w:t>
      </w:r>
    </w:p>
    <w:p w14:paraId="1FEE81C2" w14:textId="705FA26B" w:rsidR="002A7BC4" w:rsidRPr="00A312C5" w:rsidRDefault="002A7BC4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Переменная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std_dev_in_firm_value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значима на уровне 5% (P&gt; |t| = 0,001 </w:t>
      </w:r>
      <w:proofErr w:type="gramStart"/>
      <w:r w:rsidRPr="00A312C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A312C5">
        <w:rPr>
          <w:rFonts w:ascii="Times New Roman" w:hAnsi="Times New Roman" w:cs="Times New Roman"/>
          <w:sz w:val="24"/>
          <w:szCs w:val="24"/>
        </w:rPr>
        <w:t xml:space="preserve">,05). Коэффициент перед ней равен </w:t>
      </w:r>
      <w:r w:rsidR="00815FC7" w:rsidRPr="00A312C5">
        <w:rPr>
          <w:rFonts w:ascii="Times New Roman" w:hAnsi="Times New Roman" w:cs="Times New Roman"/>
          <w:sz w:val="24"/>
          <w:szCs w:val="24"/>
        </w:rPr>
        <w:t>-6,97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Мы можем сделать вывод о наличии обратной взаимосвязи между </w:t>
      </w:r>
      <w:r w:rsidR="00314B1E" w:rsidRPr="00A312C5">
        <w:rPr>
          <w:rFonts w:ascii="Times New Roman" w:hAnsi="Times New Roman" w:cs="Times New Roman"/>
          <w:sz w:val="24"/>
          <w:szCs w:val="24"/>
        </w:rPr>
        <w:t>стандартным отклонением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ценности компаний и интенсивностью НИОКР. Соответственно, в среднем при прочих равных</w:t>
      </w:r>
      <w:r w:rsidR="00314B1E" w:rsidRPr="00A312C5">
        <w:rPr>
          <w:rFonts w:ascii="Times New Roman" w:hAnsi="Times New Roman" w:cs="Times New Roman"/>
          <w:sz w:val="24"/>
          <w:szCs w:val="24"/>
        </w:rPr>
        <w:t xml:space="preserve"> при увеличении стандартного отклонения интенсивность НИОКР снижается. </w:t>
      </w:r>
    </w:p>
    <w:p w14:paraId="26B79162" w14:textId="42A1BDAD" w:rsidR="00595B9A" w:rsidRPr="00A312C5" w:rsidRDefault="00595B9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Проанализируем выдвинутые ранее исследовательские гипотезы:</w:t>
      </w:r>
    </w:p>
    <w:p w14:paraId="73B4E0CD" w14:textId="61005FB2" w:rsidR="0029321B" w:rsidRPr="00A312C5" w:rsidRDefault="00F6385F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Н1: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29321B" w:rsidRPr="00A312C5">
        <w:rPr>
          <w:rFonts w:ascii="Times New Roman" w:hAnsi="Times New Roman" w:cs="Times New Roman"/>
          <w:sz w:val="24"/>
          <w:szCs w:val="24"/>
        </w:rPr>
        <w:t>существует прямая взаимосвязь между операционной рентабельностью в отрасли и объемами инвестиций компаний в НИОКР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46331" w14:textId="6C9F7092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Предполагаемая взаимосвязь между операционной рентабельностью и интенсивностью НИОКР подтвердилась. Оценка параметра перед соответствующей переменной оказалась положительной. Можно заключить, что прямая взаимосвязь между операционной рентабельностью в отрасли и объемами инвестиций компаний в НИОКР существует. </w:t>
      </w:r>
    </w:p>
    <w:p w14:paraId="7D2101E5" w14:textId="6B4C28A2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Н2: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среднем при прочих равных с ростом выручки в отрасли увеличивается интенсивность НИОКР</w:t>
      </w:r>
      <w:r w:rsidR="00F6385F">
        <w:rPr>
          <w:rFonts w:ascii="Times New Roman" w:hAnsi="Times New Roman" w:cs="Times New Roman"/>
          <w:sz w:val="24"/>
          <w:szCs w:val="24"/>
        </w:rPr>
        <w:t>.</w:t>
      </w:r>
    </w:p>
    <w:p w14:paraId="30A8447C" w14:textId="64AF1257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Данная гипотеза </w:t>
      </w:r>
      <w:r w:rsidR="00AE5ACA" w:rsidRPr="00A312C5">
        <w:rPr>
          <w:rFonts w:ascii="Times New Roman" w:hAnsi="Times New Roman" w:cs="Times New Roman"/>
          <w:sz w:val="24"/>
          <w:szCs w:val="24"/>
        </w:rPr>
        <w:t xml:space="preserve">была </w:t>
      </w:r>
      <w:r w:rsidR="008938A3" w:rsidRPr="00A312C5">
        <w:rPr>
          <w:rFonts w:ascii="Times New Roman" w:hAnsi="Times New Roman" w:cs="Times New Roman"/>
          <w:sz w:val="24"/>
          <w:szCs w:val="24"/>
        </w:rPr>
        <w:t>подтверждена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Коэффициент перед переменной, описывающей среднюю выручку в расчете на одного сотрудника, </w:t>
      </w:r>
      <w:r w:rsidR="008938A3" w:rsidRPr="00A312C5">
        <w:rPr>
          <w:rFonts w:ascii="Times New Roman" w:hAnsi="Times New Roman" w:cs="Times New Roman"/>
          <w:sz w:val="24"/>
          <w:szCs w:val="24"/>
        </w:rPr>
        <w:t>положителен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Делаем вывод, что существует </w:t>
      </w:r>
      <w:r w:rsidR="008938A3" w:rsidRPr="00A312C5">
        <w:rPr>
          <w:rFonts w:ascii="Times New Roman" w:hAnsi="Times New Roman" w:cs="Times New Roman"/>
          <w:sz w:val="24"/>
          <w:szCs w:val="24"/>
        </w:rPr>
        <w:t>прямая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взаимосвязь между выручкой, отнесенной к количеству работников в отрасли, и интенсивностью НИОКР. </w:t>
      </w:r>
    </w:p>
    <w:p w14:paraId="76529DE8" w14:textId="4B053C88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Н3: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существует прямая взаимосвязь между рыночной концентрацией в отрасли и объемами инвестиций в НИОКР</w:t>
      </w:r>
      <w:r w:rsidR="00F6385F">
        <w:rPr>
          <w:rFonts w:ascii="Times New Roman" w:hAnsi="Times New Roman" w:cs="Times New Roman"/>
          <w:sz w:val="24"/>
          <w:szCs w:val="24"/>
        </w:rPr>
        <w:t>.</w:t>
      </w:r>
    </w:p>
    <w:p w14:paraId="5288CFC9" w14:textId="13024AA3" w:rsidR="00004FD1" w:rsidRPr="00A312C5" w:rsidRDefault="00004FD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Рассматриваемая гипотеза не подтвердилась. Соответствующая переменная оказалась незначима; можно сделать </w:t>
      </w:r>
      <w:r w:rsidR="00817830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A312C5">
        <w:rPr>
          <w:rFonts w:ascii="Times New Roman" w:hAnsi="Times New Roman" w:cs="Times New Roman"/>
          <w:sz w:val="24"/>
          <w:szCs w:val="24"/>
        </w:rPr>
        <w:t>о том, что концентрация отрасли не оказывает</w:t>
      </w:r>
      <w:r w:rsidR="008938A3" w:rsidRPr="00A312C5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Pr="00A312C5">
        <w:rPr>
          <w:rFonts w:ascii="Times New Roman" w:hAnsi="Times New Roman" w:cs="Times New Roman"/>
          <w:sz w:val="24"/>
          <w:szCs w:val="24"/>
        </w:rPr>
        <w:t xml:space="preserve"> значимого влияни</w:t>
      </w:r>
      <w:r w:rsidR="008938A3" w:rsidRPr="00A312C5">
        <w:rPr>
          <w:rFonts w:ascii="Times New Roman" w:hAnsi="Times New Roman" w:cs="Times New Roman"/>
          <w:sz w:val="24"/>
          <w:szCs w:val="24"/>
        </w:rPr>
        <w:t>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 характер инвестиций в НИОКР. </w:t>
      </w:r>
    </w:p>
    <w:p w14:paraId="5A80C6E3" w14:textId="22F01350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>Н4:</w:t>
      </w:r>
      <w:r w:rsidRPr="00A312C5">
        <w:rPr>
          <w:rFonts w:ascii="Times New Roman" w:hAnsi="Times New Roman" w:cs="Times New Roman"/>
          <w:sz w:val="24"/>
          <w:szCs w:val="24"/>
        </w:rPr>
        <w:t xml:space="preserve"> между стандартным отклонением ценности фирмы и интенсивностью НИОКР есть прямая взаимосвязь</w:t>
      </w:r>
      <w:r w:rsidR="00F6385F">
        <w:rPr>
          <w:rFonts w:ascii="Times New Roman" w:hAnsi="Times New Roman" w:cs="Times New Roman"/>
          <w:sz w:val="24"/>
          <w:szCs w:val="24"/>
        </w:rPr>
        <w:t>.</w:t>
      </w:r>
    </w:p>
    <w:p w14:paraId="6527CB8B" w14:textId="5CE502D0" w:rsidR="00BF3042" w:rsidRPr="00A312C5" w:rsidRDefault="00BF3042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Данная гипотеза не подтвердилась. Переменная оказалась значима, однако знак коэффициента отрицателен. Из этого следует вывод о наличии обратной взаимосвязи между стандартным отклонением и интенсивностью НИОКР. Возможно, это связано с тем, что компании зачастую не </w:t>
      </w:r>
      <w:r w:rsidR="00AB63C9">
        <w:rPr>
          <w:rFonts w:ascii="Times New Roman" w:hAnsi="Times New Roman" w:cs="Times New Roman"/>
          <w:sz w:val="24"/>
          <w:szCs w:val="24"/>
        </w:rPr>
        <w:t>оценивают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проекты в сфере НИОКР как реальные опционы. Напротив, высокая волатильность ценности фирмы и, соответственно, высокий риск может восприниматься как обстоятельство, препятствующее совершению новых инвестиций в разработки. Компании стремятся снизить риски и поддержать стабильность собственного бизнеса.</w:t>
      </w:r>
      <w:r w:rsidR="00AB63C9">
        <w:rPr>
          <w:rFonts w:ascii="Times New Roman" w:hAnsi="Times New Roman" w:cs="Times New Roman"/>
          <w:sz w:val="24"/>
          <w:szCs w:val="24"/>
        </w:rPr>
        <w:t xml:space="preserve"> Более низкая интенсивность НИОКР в отраслях с высокой волатильностью ценности фирм может быть связана с долгосрочным характером инвестиций в исследования и разработки. Компании из отраслей, подверженных постоянным переменам, могут испытывать трудности в процессе бюджетного планирования на более длительные сроки и выбирать краткосрочные проекты с предсказуемым результатом инвестирования. 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AEB2D" w14:textId="4B58AE78" w:rsidR="0029321B" w:rsidRPr="00A312C5" w:rsidRDefault="0029321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Н5: </w:t>
      </w:r>
      <w:r w:rsidRPr="00A312C5">
        <w:rPr>
          <w:rFonts w:ascii="Times New Roman" w:hAnsi="Times New Roman" w:cs="Times New Roman"/>
          <w:sz w:val="24"/>
          <w:szCs w:val="24"/>
        </w:rPr>
        <w:t>рост рентабельности собственного капитала положительно влияет на интенсивность НИОКР</w:t>
      </w:r>
      <w:r w:rsidR="00F6385F">
        <w:rPr>
          <w:rFonts w:ascii="Times New Roman" w:hAnsi="Times New Roman" w:cs="Times New Roman"/>
          <w:sz w:val="24"/>
          <w:szCs w:val="24"/>
        </w:rPr>
        <w:t>.</w:t>
      </w:r>
      <w:r w:rsidRPr="00A31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839BAA" w14:textId="200059F9" w:rsidR="009D78D5" w:rsidRPr="000C2BC9" w:rsidRDefault="00367FF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 результатам проведенного исследования эта гипотеза </w:t>
      </w:r>
      <w:r w:rsidR="008938A3" w:rsidRPr="00A312C5">
        <w:rPr>
          <w:rFonts w:ascii="Times New Roman" w:hAnsi="Times New Roman" w:cs="Times New Roman"/>
          <w:sz w:val="24"/>
          <w:szCs w:val="24"/>
        </w:rPr>
        <w:t>не подтвердилась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8938A3" w:rsidRPr="00A312C5">
        <w:rPr>
          <w:rFonts w:ascii="Times New Roman" w:hAnsi="Times New Roman" w:cs="Times New Roman"/>
          <w:sz w:val="24"/>
          <w:szCs w:val="24"/>
        </w:rPr>
        <w:t>ввиду незначимости соответствующей переменной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8938A3" w:rsidRPr="00A312C5">
        <w:rPr>
          <w:rFonts w:ascii="Times New Roman" w:hAnsi="Times New Roman" w:cs="Times New Roman"/>
          <w:sz w:val="24"/>
          <w:szCs w:val="24"/>
        </w:rPr>
        <w:t>Мы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 можем сделать вывод о том, что </w:t>
      </w:r>
      <w:r w:rsidR="008938A3" w:rsidRPr="00A312C5">
        <w:rPr>
          <w:rFonts w:ascii="Times New Roman" w:hAnsi="Times New Roman" w:cs="Times New Roman"/>
          <w:sz w:val="24"/>
          <w:szCs w:val="24"/>
        </w:rPr>
        <w:t>рентабельность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 собственного капитала </w:t>
      </w:r>
      <w:r w:rsidR="008938A3" w:rsidRPr="00A312C5">
        <w:rPr>
          <w:rFonts w:ascii="Times New Roman" w:hAnsi="Times New Roman" w:cs="Times New Roman"/>
          <w:sz w:val="24"/>
          <w:szCs w:val="24"/>
        </w:rPr>
        <w:t xml:space="preserve">не оказывает статистически значимого влияния на </w:t>
      </w:r>
      <w:r w:rsidR="008938A3" w:rsidRPr="00A312C5">
        <w:rPr>
          <w:rFonts w:ascii="Times New Roman" w:hAnsi="Times New Roman" w:cs="Times New Roman"/>
          <w:sz w:val="24"/>
          <w:szCs w:val="24"/>
        </w:rPr>
        <w:lastRenderedPageBreak/>
        <w:t>интенсивность НИОКР</w:t>
      </w:r>
      <w:r w:rsidR="009D78D5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0C2BC9">
        <w:rPr>
          <w:rFonts w:ascii="Times New Roman" w:hAnsi="Times New Roman" w:cs="Times New Roman"/>
          <w:sz w:val="24"/>
          <w:szCs w:val="24"/>
        </w:rPr>
        <w:t xml:space="preserve">Возможно, целесообразно изучить влияние затрат на НИОКР на финансовые показатели в отрасли. Инвестиции в НИОКР отражают возможности роста, которые сами по себе представляют некую ценность. Это может сказываться на рентабельности собственного капитала. Таким образом, проведенный анализ показывает, что </w:t>
      </w:r>
      <w:r w:rsidR="000C2BC9">
        <w:rPr>
          <w:rFonts w:ascii="Times New Roman" w:hAnsi="Times New Roman" w:cs="Times New Roman"/>
          <w:sz w:val="24"/>
          <w:szCs w:val="24"/>
          <w:lang w:val="en-US"/>
        </w:rPr>
        <w:t>ROE</w:t>
      </w:r>
      <w:r w:rsidR="000C2BC9" w:rsidRPr="000C2BC9">
        <w:rPr>
          <w:rFonts w:ascii="Times New Roman" w:hAnsi="Times New Roman" w:cs="Times New Roman"/>
          <w:sz w:val="24"/>
          <w:szCs w:val="24"/>
        </w:rPr>
        <w:t xml:space="preserve"> </w:t>
      </w:r>
      <w:r w:rsidR="000C2BC9">
        <w:rPr>
          <w:rFonts w:ascii="Times New Roman" w:hAnsi="Times New Roman" w:cs="Times New Roman"/>
          <w:sz w:val="24"/>
          <w:szCs w:val="24"/>
        </w:rPr>
        <w:t xml:space="preserve">не влияет на интенсивность НИОКР в отрасли, но, возможно, регрессор и регрессант были выбраны некорректно. </w:t>
      </w:r>
    </w:p>
    <w:p w14:paraId="6C5618B4" w14:textId="56521D03" w:rsidR="00351665" w:rsidRPr="00A312C5" w:rsidRDefault="00351665" w:rsidP="00A312C5">
      <w:pPr>
        <w:pStyle w:val="2"/>
        <w:numPr>
          <w:ilvl w:val="1"/>
          <w:numId w:val="14"/>
        </w:numPr>
        <w:ind w:left="1276" w:hanging="567"/>
        <w:rPr>
          <w:rFonts w:cs="Times New Roman"/>
        </w:rPr>
      </w:pPr>
      <w:bookmarkStart w:id="36" w:name="_Toc73538440"/>
      <w:r w:rsidRPr="00A312C5">
        <w:rPr>
          <w:rFonts w:cs="Times New Roman"/>
        </w:rPr>
        <w:t>Анализ отраслевых различий и драйверов инвестиций компаний в НИОКР</w:t>
      </w:r>
      <w:bookmarkEnd w:id="36"/>
    </w:p>
    <w:p w14:paraId="272FDB8D" w14:textId="755D8D23" w:rsidR="00351665" w:rsidRPr="00A312C5" w:rsidRDefault="0035166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69420643"/>
      <w:r w:rsidRPr="00D266F5">
        <w:rPr>
          <w:rFonts w:ascii="Times New Roman" w:hAnsi="Times New Roman" w:cs="Times New Roman"/>
          <w:sz w:val="24"/>
          <w:szCs w:val="24"/>
        </w:rPr>
        <w:t>Вторым масштабным этапом исследования стала идентификация и сравнение драйверов инвестиций в НИОКР на</w:t>
      </w:r>
      <w:r w:rsidR="002A5E1D" w:rsidRPr="00D266F5">
        <w:rPr>
          <w:rFonts w:ascii="Times New Roman" w:hAnsi="Times New Roman" w:cs="Times New Roman"/>
          <w:sz w:val="24"/>
          <w:szCs w:val="24"/>
        </w:rPr>
        <w:t xml:space="preserve"> отраслевом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уровне. Так же, как и в первой части для проведения анализа были использованы данные из отчета </w:t>
      </w:r>
      <w:r w:rsidRPr="00F6385F">
        <w:rPr>
          <w:rFonts w:ascii="Times New Roman" w:hAnsi="Times New Roman" w:cs="Times New Roman"/>
          <w:sz w:val="24"/>
          <w:szCs w:val="24"/>
        </w:rPr>
        <w:t>Европейского Союза об отраслевых инвестициях в НИОКР за период с 2004 по 2020 год.</w:t>
      </w:r>
      <w:r w:rsidR="006A0C4C" w:rsidRPr="00F6385F">
        <w:rPr>
          <w:rFonts w:ascii="Times New Roman" w:hAnsi="Times New Roman" w:cs="Times New Roman"/>
          <w:sz w:val="24"/>
          <w:szCs w:val="24"/>
        </w:rPr>
        <w:t xml:space="preserve"> Для построения регрессионных моделей выбраны </w:t>
      </w:r>
      <w:r w:rsidR="00B47FE2" w:rsidRPr="00F6385F">
        <w:rPr>
          <w:rFonts w:ascii="Times New Roman" w:hAnsi="Times New Roman" w:cs="Times New Roman"/>
          <w:sz w:val="24"/>
          <w:szCs w:val="24"/>
        </w:rPr>
        <w:t>4</w:t>
      </w:r>
      <w:r w:rsidR="006A0C4C" w:rsidRPr="00F6385F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B47FE2" w:rsidRPr="00F6385F">
        <w:rPr>
          <w:rFonts w:ascii="Times New Roman" w:hAnsi="Times New Roman" w:cs="Times New Roman"/>
          <w:sz w:val="24"/>
          <w:szCs w:val="24"/>
        </w:rPr>
        <w:t>и</w:t>
      </w:r>
      <w:r w:rsidR="00116CC8" w:rsidRPr="00F6385F">
        <w:rPr>
          <w:rFonts w:ascii="Times New Roman" w:hAnsi="Times New Roman" w:cs="Times New Roman"/>
          <w:sz w:val="24"/>
          <w:szCs w:val="24"/>
        </w:rPr>
        <w:t>, которые характеризуются различной капиталоемкостью и спецификой ведения бизнеса:</w:t>
      </w:r>
      <w:r w:rsidR="00EC3CAC" w:rsidRPr="00F6385F">
        <w:rPr>
          <w:rFonts w:ascii="Times New Roman" w:hAnsi="Times New Roman" w:cs="Times New Roman"/>
          <w:sz w:val="24"/>
          <w:szCs w:val="24"/>
        </w:rPr>
        <w:t xml:space="preserve"> ави</w:t>
      </w:r>
      <w:r w:rsidR="00480DB6" w:rsidRPr="00F6385F">
        <w:rPr>
          <w:rFonts w:ascii="Times New Roman" w:hAnsi="Times New Roman" w:cs="Times New Roman"/>
          <w:sz w:val="24"/>
          <w:szCs w:val="24"/>
        </w:rPr>
        <w:t>а</w:t>
      </w:r>
      <w:r w:rsidR="00EC3CAC" w:rsidRPr="00F6385F">
        <w:rPr>
          <w:rFonts w:ascii="Times New Roman" w:hAnsi="Times New Roman" w:cs="Times New Roman"/>
          <w:sz w:val="24"/>
          <w:szCs w:val="24"/>
        </w:rPr>
        <w:t>космическая промышленность и оборона, информационные технологии</w:t>
      </w:r>
      <w:r w:rsidR="00116CC8" w:rsidRPr="00F6385F">
        <w:rPr>
          <w:rFonts w:ascii="Times New Roman" w:hAnsi="Times New Roman" w:cs="Times New Roman"/>
          <w:sz w:val="24"/>
          <w:szCs w:val="24"/>
        </w:rPr>
        <w:t xml:space="preserve">, фармацевтика и </w:t>
      </w:r>
      <w:r w:rsidR="00B47FE2" w:rsidRPr="00F6385F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 w:rsidR="00EC3CAC" w:rsidRPr="00F6385F">
        <w:rPr>
          <w:rFonts w:ascii="Times New Roman" w:hAnsi="Times New Roman" w:cs="Times New Roman"/>
          <w:sz w:val="24"/>
          <w:szCs w:val="24"/>
        </w:rPr>
        <w:t>, производство продуктов питания</w:t>
      </w:r>
      <w:r w:rsidR="00116CC8" w:rsidRPr="00F6385F">
        <w:rPr>
          <w:rFonts w:ascii="Times New Roman" w:hAnsi="Times New Roman" w:cs="Times New Roman"/>
          <w:sz w:val="24"/>
          <w:szCs w:val="24"/>
        </w:rPr>
        <w:t>.</w:t>
      </w:r>
      <w:r w:rsidR="00A1099C" w:rsidRPr="00F6385F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F6385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7"/>
    <w:p w14:paraId="64BAB13B" w14:textId="7808EB4A" w:rsidR="00EC3CAC" w:rsidRPr="00A312C5" w:rsidRDefault="00EC3CA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F5">
        <w:rPr>
          <w:rFonts w:ascii="Times New Roman" w:hAnsi="Times New Roman" w:cs="Times New Roman"/>
          <w:sz w:val="24"/>
          <w:szCs w:val="24"/>
        </w:rPr>
        <w:t xml:space="preserve">В качестве объясняющих переменных были </w:t>
      </w:r>
      <w:r w:rsidR="00D266F5" w:rsidRPr="00D266F5">
        <w:rPr>
          <w:rFonts w:ascii="Times New Roman" w:hAnsi="Times New Roman" w:cs="Times New Roman"/>
          <w:sz w:val="24"/>
          <w:szCs w:val="24"/>
        </w:rPr>
        <w:t>установлены</w:t>
      </w:r>
      <w:r w:rsidRPr="00D266F5">
        <w:rPr>
          <w:rFonts w:ascii="Times New Roman" w:hAnsi="Times New Roman" w:cs="Times New Roman"/>
          <w:sz w:val="24"/>
          <w:szCs w:val="24"/>
        </w:rPr>
        <w:t xml:space="preserve"> такие показатели, как </w:t>
      </w:r>
      <w:r w:rsidR="00B47FE2" w:rsidRPr="00D266F5">
        <w:rPr>
          <w:rFonts w:ascii="Times New Roman" w:hAnsi="Times New Roman" w:cs="Times New Roman"/>
          <w:sz w:val="24"/>
          <w:szCs w:val="24"/>
        </w:rPr>
        <w:t>маржа операционной прибыли</w:t>
      </w:r>
      <w:r w:rsidRPr="00D266F5">
        <w:rPr>
          <w:rFonts w:ascii="Times New Roman" w:hAnsi="Times New Roman" w:cs="Times New Roman"/>
          <w:sz w:val="24"/>
          <w:szCs w:val="24"/>
        </w:rPr>
        <w:t xml:space="preserve">, </w:t>
      </w:r>
      <w:r w:rsidR="00B47FE2" w:rsidRPr="00D266F5">
        <w:rPr>
          <w:rFonts w:ascii="Times New Roman" w:hAnsi="Times New Roman" w:cs="Times New Roman"/>
          <w:sz w:val="24"/>
          <w:szCs w:val="24"/>
        </w:rPr>
        <w:t>капитальные затраты</w:t>
      </w:r>
      <w:r w:rsidR="00D266F5" w:rsidRPr="00D266F5">
        <w:rPr>
          <w:rFonts w:ascii="Times New Roman" w:hAnsi="Times New Roman" w:cs="Times New Roman"/>
          <w:sz w:val="24"/>
          <w:szCs w:val="24"/>
        </w:rPr>
        <w:t>, отнесенные к выручке</w:t>
      </w:r>
      <w:r w:rsidRPr="00D266F5">
        <w:rPr>
          <w:rFonts w:ascii="Times New Roman" w:hAnsi="Times New Roman" w:cs="Times New Roman"/>
          <w:sz w:val="24"/>
          <w:szCs w:val="24"/>
        </w:rPr>
        <w:t xml:space="preserve">, </w:t>
      </w:r>
      <w:r w:rsidR="00B47FE2" w:rsidRPr="00D266F5">
        <w:rPr>
          <w:rFonts w:ascii="Times New Roman" w:hAnsi="Times New Roman" w:cs="Times New Roman"/>
          <w:sz w:val="24"/>
          <w:szCs w:val="24"/>
        </w:rPr>
        <w:t>рыночная капитализация</w:t>
      </w:r>
      <w:r w:rsidR="00D266F5" w:rsidRPr="00D266F5">
        <w:rPr>
          <w:rFonts w:ascii="Times New Roman" w:hAnsi="Times New Roman" w:cs="Times New Roman"/>
          <w:sz w:val="24"/>
          <w:szCs w:val="24"/>
        </w:rPr>
        <w:t>, отнесенная к выручке</w:t>
      </w:r>
      <w:r w:rsidRPr="00D266F5">
        <w:rPr>
          <w:rFonts w:ascii="Times New Roman" w:hAnsi="Times New Roman" w:cs="Times New Roman"/>
          <w:sz w:val="24"/>
          <w:szCs w:val="24"/>
        </w:rPr>
        <w:t xml:space="preserve">. </w:t>
      </w:r>
      <w:r w:rsidR="00772C0D" w:rsidRPr="00D266F5">
        <w:rPr>
          <w:rFonts w:ascii="Times New Roman" w:hAnsi="Times New Roman" w:cs="Times New Roman"/>
          <w:sz w:val="24"/>
          <w:szCs w:val="24"/>
        </w:rPr>
        <w:t>Подробное описание переменных представлено в таблице</w:t>
      </w:r>
      <w:r w:rsidR="00B55D54" w:rsidRPr="00D266F5">
        <w:rPr>
          <w:rFonts w:ascii="Times New Roman" w:hAnsi="Times New Roman" w:cs="Times New Roman"/>
          <w:sz w:val="24"/>
          <w:szCs w:val="24"/>
        </w:rPr>
        <w:t xml:space="preserve"> 10</w:t>
      </w:r>
      <w:r w:rsidR="00772C0D" w:rsidRPr="00D266F5">
        <w:rPr>
          <w:rFonts w:ascii="Times New Roman" w:hAnsi="Times New Roman" w:cs="Times New Roman"/>
          <w:sz w:val="24"/>
          <w:szCs w:val="24"/>
        </w:rPr>
        <w:t>:</w:t>
      </w:r>
    </w:p>
    <w:p w14:paraId="7A7E0B2B" w14:textId="547C1022" w:rsidR="00B55D54" w:rsidRPr="00B55D54" w:rsidRDefault="00B55D54" w:rsidP="00B55D54">
      <w:pPr>
        <w:pStyle w:val="af7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10</w: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Описание переменных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679"/>
      </w:tblGrid>
      <w:tr w:rsidR="00EC3CAC" w:rsidRPr="00A312C5" w14:paraId="0256F004" w14:textId="77777777" w:rsidTr="00EB4190">
        <w:tc>
          <w:tcPr>
            <w:tcW w:w="2830" w:type="dxa"/>
          </w:tcPr>
          <w:p w14:paraId="16DEDCB0" w14:textId="558839CC" w:rsidR="00EC3CAC" w:rsidRPr="00092890" w:rsidRDefault="00092890" w:rsidP="00B55D54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</w:tc>
        <w:tc>
          <w:tcPr>
            <w:tcW w:w="2835" w:type="dxa"/>
          </w:tcPr>
          <w:p w14:paraId="7EC50B40" w14:textId="2ABEE6BF" w:rsidR="00EC3CAC" w:rsidRPr="00F6385F" w:rsidRDefault="00F6385F" w:rsidP="00B55D54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3679" w:type="dxa"/>
          </w:tcPr>
          <w:p w14:paraId="684D8E3F" w14:textId="3F731D8B" w:rsidR="00EC3CAC" w:rsidRPr="00092890" w:rsidRDefault="00092890" w:rsidP="00B55D54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Пояснение</w:t>
            </w:r>
          </w:p>
        </w:tc>
      </w:tr>
      <w:tr w:rsidR="00F34657" w:rsidRPr="00A312C5" w14:paraId="2515F78B" w14:textId="77777777" w:rsidTr="00EB4190">
        <w:tc>
          <w:tcPr>
            <w:tcW w:w="2830" w:type="dxa"/>
          </w:tcPr>
          <w:p w14:paraId="279B1806" w14:textId="66AB2E5B" w:rsidR="00F34657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Интенсивность</w:t>
            </w:r>
            <w:r w:rsidR="00F34657" w:rsidRPr="00A312C5">
              <w:rPr>
                <w:rFonts w:ascii="Times New Roman" w:hAnsi="Times New Roman" w:cs="Times New Roman"/>
              </w:rPr>
              <w:t xml:space="preserve"> в НИОКР</w:t>
            </w:r>
          </w:p>
        </w:tc>
        <w:tc>
          <w:tcPr>
            <w:tcW w:w="2835" w:type="dxa"/>
          </w:tcPr>
          <w:p w14:paraId="43B35C82" w14:textId="2FC190F8" w:rsidR="00B47FE2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</w:rPr>
              <w:t>RD_Intensity</w:t>
            </w:r>
            <w:proofErr w:type="spellEnd"/>
            <w:r w:rsidRPr="00A312C5">
              <w:rPr>
                <w:rFonts w:ascii="Times New Roman" w:hAnsi="Times New Roman" w:cs="Times New Roman"/>
              </w:rPr>
              <w:t xml:space="preserve"> </w:t>
            </w:r>
          </w:p>
          <w:p w14:paraId="03F563A4" w14:textId="2BD5CA01" w:rsidR="00F34657" w:rsidRPr="00A312C5" w:rsidRDefault="00F34657" w:rsidP="00B55D54">
            <w:pPr>
              <w:spacing w:line="36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79" w:type="dxa"/>
          </w:tcPr>
          <w:p w14:paraId="77FC4CA9" w14:textId="1473CA55" w:rsidR="00F34657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Зависимой</w:t>
            </w:r>
            <w:r w:rsidR="00F34657" w:rsidRPr="00A312C5">
              <w:rPr>
                <w:rFonts w:ascii="Times New Roman" w:hAnsi="Times New Roman" w:cs="Times New Roman"/>
              </w:rPr>
              <w:t xml:space="preserve"> переменной является </w:t>
            </w:r>
            <w:r w:rsidRPr="00A312C5">
              <w:rPr>
                <w:rFonts w:ascii="Times New Roman" w:hAnsi="Times New Roman" w:cs="Times New Roman"/>
              </w:rPr>
              <w:t>интенсивность</w:t>
            </w:r>
            <w:r w:rsidR="00F34657" w:rsidRPr="00A312C5">
              <w:rPr>
                <w:rFonts w:ascii="Times New Roman" w:hAnsi="Times New Roman" w:cs="Times New Roman"/>
              </w:rPr>
              <w:t xml:space="preserve"> НИОКР</w:t>
            </w:r>
            <w:r w:rsidRPr="00A312C5">
              <w:rPr>
                <w:rFonts w:ascii="Times New Roman" w:hAnsi="Times New Roman" w:cs="Times New Roman"/>
              </w:rPr>
              <w:t>, которая рассчитывается как отношение затрат на НИОКР к выручке компании</w:t>
            </w:r>
            <w:r w:rsidR="00EB4190">
              <w:rPr>
                <w:rFonts w:ascii="Times New Roman" w:hAnsi="Times New Roman" w:cs="Times New Roman"/>
              </w:rPr>
              <w:t>. Переменная выражена в относительных единицах</w:t>
            </w:r>
          </w:p>
        </w:tc>
      </w:tr>
      <w:tr w:rsidR="00EC3CAC" w:rsidRPr="00A312C5" w14:paraId="2D8AB433" w14:textId="77777777" w:rsidTr="00EB4190">
        <w:tc>
          <w:tcPr>
            <w:tcW w:w="2830" w:type="dxa"/>
          </w:tcPr>
          <w:p w14:paraId="5C4276DC" w14:textId="47675A10" w:rsidR="00EC3CAC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Маржа операционной прибыли</w:t>
            </w:r>
          </w:p>
        </w:tc>
        <w:tc>
          <w:tcPr>
            <w:tcW w:w="2835" w:type="dxa"/>
          </w:tcPr>
          <w:p w14:paraId="7CD6B29B" w14:textId="3B883242" w:rsidR="00EC3CAC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</w:rPr>
              <w:t>Operating_Profit_margin</w:t>
            </w:r>
            <w:proofErr w:type="spellEnd"/>
          </w:p>
        </w:tc>
        <w:tc>
          <w:tcPr>
            <w:tcW w:w="3679" w:type="dxa"/>
          </w:tcPr>
          <w:p w14:paraId="538EEF99" w14:textId="65CFF01B" w:rsidR="00EC3CAC" w:rsidRPr="00A312C5" w:rsidRDefault="00B47FE2" w:rsidP="00B55D54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Маржа операционной прибыли вычисляется как отношение операционной прибыли к выручке, ожидается прямая взаимосвязь между данным показателем и интенсивностью НИОКР</w:t>
            </w:r>
            <w:r w:rsidR="00EB4190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5A05F9F" w14:textId="77777777" w:rsidR="00EB4190" w:rsidRDefault="00EB4190" w:rsidP="00F638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325544" w14:textId="77777777" w:rsidR="00EB4190" w:rsidRDefault="00EB4190" w:rsidP="00EB4190">
      <w:pPr>
        <w:spacing w:after="0" w:line="360" w:lineRule="auto"/>
        <w:ind w:firstLine="709"/>
        <w:jc w:val="right"/>
      </w:pPr>
    </w:p>
    <w:p w14:paraId="26E0CE2A" w14:textId="5D976609" w:rsidR="00EB4190" w:rsidRDefault="00EB4190" w:rsidP="00EB4190">
      <w:pPr>
        <w:spacing w:after="0" w:line="360" w:lineRule="auto"/>
        <w:ind w:firstLine="709"/>
        <w:jc w:val="right"/>
      </w:pPr>
      <w:r>
        <w:lastRenderedPageBreak/>
        <w:t xml:space="preserve">Продолжение таблицы 10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679"/>
      </w:tblGrid>
      <w:tr w:rsidR="00EB4190" w:rsidRPr="00A312C5" w14:paraId="41F39644" w14:textId="77777777" w:rsidTr="00EB4190">
        <w:tc>
          <w:tcPr>
            <w:tcW w:w="2830" w:type="dxa"/>
          </w:tcPr>
          <w:p w14:paraId="6256FB21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ECFCED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47AFE511" w14:textId="753B2CA6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Переменная выражена в относительных единицах</w:t>
            </w:r>
          </w:p>
        </w:tc>
      </w:tr>
      <w:tr w:rsidR="00EB4190" w:rsidRPr="00A312C5" w14:paraId="25772205" w14:textId="77777777" w:rsidTr="00EB4190">
        <w:tc>
          <w:tcPr>
            <w:tcW w:w="2830" w:type="dxa"/>
          </w:tcPr>
          <w:p w14:paraId="23A6DFB2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Рыночная капитализация</w:t>
            </w:r>
            <w:r>
              <w:rPr>
                <w:rFonts w:ascii="Times New Roman" w:hAnsi="Times New Roman" w:cs="Times New Roman"/>
              </w:rPr>
              <w:t>, отнесенная к выручке</w:t>
            </w:r>
          </w:p>
        </w:tc>
        <w:tc>
          <w:tcPr>
            <w:tcW w:w="2835" w:type="dxa"/>
          </w:tcPr>
          <w:p w14:paraId="53E06756" w14:textId="77777777" w:rsidR="00EB4190" w:rsidRPr="0055519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</w:rPr>
              <w:t>Market_value</w:t>
            </w:r>
            <w:proofErr w:type="spellEnd"/>
            <w:r w:rsidRPr="00A312C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</w:tc>
        <w:tc>
          <w:tcPr>
            <w:tcW w:w="3679" w:type="dxa"/>
          </w:tcPr>
          <w:p w14:paraId="62E92682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Показатель представляет отношение рыночной капитализации компании к </w:t>
            </w:r>
            <w:r>
              <w:rPr>
                <w:rFonts w:ascii="Times New Roman" w:hAnsi="Times New Roman" w:cs="Times New Roman"/>
              </w:rPr>
              <w:t>выручке</w:t>
            </w:r>
            <w:r w:rsidRPr="00A312C5">
              <w:rPr>
                <w:rFonts w:ascii="Times New Roman" w:hAnsi="Times New Roman" w:cs="Times New Roman"/>
              </w:rPr>
              <w:t>, ожидается прямая взаимосвязь между показателем и интенсивностью НИОКР</w:t>
            </w:r>
            <w:r>
              <w:rPr>
                <w:rFonts w:ascii="Times New Roman" w:hAnsi="Times New Roman" w:cs="Times New Roman"/>
              </w:rPr>
              <w:t>. Переменная выражена в относительных единицах</w:t>
            </w:r>
          </w:p>
        </w:tc>
      </w:tr>
      <w:tr w:rsidR="00EB4190" w:rsidRPr="00A312C5" w14:paraId="3B5E3F0E" w14:textId="77777777" w:rsidTr="00EB4190">
        <w:tc>
          <w:tcPr>
            <w:tcW w:w="2830" w:type="dxa"/>
          </w:tcPr>
          <w:p w14:paraId="6660D6A8" w14:textId="77777777" w:rsidR="00EB4190" w:rsidRPr="00A312C5" w:rsidRDefault="00EB4190" w:rsidP="00E43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Капитальные затраты</w:t>
            </w:r>
            <w:r>
              <w:rPr>
                <w:rFonts w:ascii="Times New Roman" w:hAnsi="Times New Roman" w:cs="Times New Roman"/>
              </w:rPr>
              <w:t>, отнесенные к выручке</w:t>
            </w:r>
          </w:p>
        </w:tc>
        <w:tc>
          <w:tcPr>
            <w:tcW w:w="2835" w:type="dxa"/>
          </w:tcPr>
          <w:p w14:paraId="2C17D7C1" w14:textId="77777777" w:rsidR="00EB4190" w:rsidRPr="0055519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</w:rPr>
              <w:t>Capex</w:t>
            </w:r>
            <w:proofErr w:type="spellEnd"/>
            <w:r w:rsidRPr="00A312C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  <w:p w14:paraId="29BCD018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79" w:type="dxa"/>
          </w:tcPr>
          <w:p w14:paraId="4B87FF69" w14:textId="77777777" w:rsidR="00EB4190" w:rsidRPr="00A312C5" w:rsidRDefault="00EB4190" w:rsidP="00E43627">
            <w:pPr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 xml:space="preserve">Показатель рассчитан как отношение капитальных затрат к </w:t>
            </w:r>
            <w:r>
              <w:rPr>
                <w:rFonts w:ascii="Times New Roman" w:hAnsi="Times New Roman" w:cs="Times New Roman"/>
              </w:rPr>
              <w:t>выручке</w:t>
            </w:r>
            <w:r w:rsidRPr="00A312C5">
              <w:rPr>
                <w:rFonts w:ascii="Times New Roman" w:hAnsi="Times New Roman" w:cs="Times New Roman"/>
              </w:rPr>
              <w:t xml:space="preserve"> компании. Капиталоемкие компании зачастую принадлежат к более зрелым отраслям. Ожидается, что исследования и разработки в таких отраслях играют значимую роль и взаимосвязь между интенсивностью НИОКР и соответствующей объясняющей переменной будет </w:t>
            </w:r>
            <w:r>
              <w:rPr>
                <w:rFonts w:ascii="Times New Roman" w:hAnsi="Times New Roman" w:cs="Times New Roman"/>
              </w:rPr>
              <w:t>прямой. Переменная выражена в относительных единицах</w:t>
            </w:r>
          </w:p>
        </w:tc>
      </w:tr>
    </w:tbl>
    <w:p w14:paraId="010779F8" w14:textId="7480FA93" w:rsidR="00EC3CAC" w:rsidRPr="000E5F85" w:rsidRDefault="00D266F5" w:rsidP="00F63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54">
        <w:rPr>
          <w:rFonts w:ascii="Times New Roman" w:hAnsi="Times New Roman" w:cs="Times New Roman"/>
        </w:rPr>
        <w:t xml:space="preserve">Источник: </w:t>
      </w:r>
      <w:r w:rsidRPr="000E5F85">
        <w:rPr>
          <w:rFonts w:ascii="Times New Roman" w:hAnsi="Times New Roman" w:cs="Times New Roman"/>
        </w:rPr>
        <w:t>[</w:t>
      </w:r>
      <w:r w:rsidRPr="00B55D54">
        <w:rPr>
          <w:rFonts w:ascii="Times New Roman" w:hAnsi="Times New Roman" w:cs="Times New Roman"/>
        </w:rPr>
        <w:t>расчеты автора</w:t>
      </w:r>
      <w:r w:rsidRPr="000E5F85">
        <w:rPr>
          <w:rFonts w:ascii="Times New Roman" w:hAnsi="Times New Roman" w:cs="Times New Roman"/>
        </w:rPr>
        <w:t>]</w:t>
      </w:r>
    </w:p>
    <w:p w14:paraId="5AAB6B93" w14:textId="735DA2F1" w:rsidR="0064675B" w:rsidRDefault="0064675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После формирования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подвыборок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и идентификации переменных была реализована очистка данных от аномальных значений с помощью встроенной команды “</w:t>
      </w:r>
      <w:proofErr w:type="spellStart"/>
      <w:r w:rsidRPr="00A312C5">
        <w:rPr>
          <w:rFonts w:ascii="Times New Roman" w:hAnsi="Times New Roman" w:cs="Times New Roman"/>
          <w:sz w:val="24"/>
          <w:szCs w:val="24"/>
          <w:lang w:val="en-US"/>
        </w:rPr>
        <w:t>hadimvo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”. Также были удалены все пропущенные значения, в результате чего в итоговые </w:t>
      </w:r>
      <w:proofErr w:type="spellStart"/>
      <w:r w:rsidRPr="00A312C5"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 w:rsidRPr="00A312C5">
        <w:rPr>
          <w:rFonts w:ascii="Times New Roman" w:hAnsi="Times New Roman" w:cs="Times New Roman"/>
          <w:sz w:val="24"/>
          <w:szCs w:val="24"/>
        </w:rPr>
        <w:t xml:space="preserve"> вошло 1</w:t>
      </w:r>
      <w:r w:rsidR="00F02A9A" w:rsidRPr="00A312C5">
        <w:rPr>
          <w:rFonts w:ascii="Times New Roman" w:hAnsi="Times New Roman" w:cs="Times New Roman"/>
          <w:sz w:val="24"/>
          <w:szCs w:val="24"/>
        </w:rPr>
        <w:t>94</w:t>
      </w:r>
      <w:r w:rsidRPr="00A312C5">
        <w:rPr>
          <w:rFonts w:ascii="Times New Roman" w:hAnsi="Times New Roman" w:cs="Times New Roman"/>
          <w:sz w:val="24"/>
          <w:szCs w:val="24"/>
        </w:rPr>
        <w:t xml:space="preserve"> (ави</w:t>
      </w:r>
      <w:r w:rsidR="00480DB6" w:rsidRPr="00A312C5">
        <w:rPr>
          <w:rFonts w:ascii="Times New Roman" w:hAnsi="Times New Roman" w:cs="Times New Roman"/>
          <w:sz w:val="24"/>
          <w:szCs w:val="24"/>
        </w:rPr>
        <w:t>а</w:t>
      </w:r>
      <w:r w:rsidRPr="00A312C5">
        <w:rPr>
          <w:rFonts w:ascii="Times New Roman" w:hAnsi="Times New Roman" w:cs="Times New Roman"/>
          <w:sz w:val="24"/>
          <w:szCs w:val="24"/>
        </w:rPr>
        <w:t xml:space="preserve">космическая промышленность и оборона), </w:t>
      </w:r>
      <w:r w:rsidR="00F02A9A" w:rsidRPr="00A312C5">
        <w:rPr>
          <w:rFonts w:ascii="Times New Roman" w:hAnsi="Times New Roman" w:cs="Times New Roman"/>
          <w:sz w:val="24"/>
          <w:szCs w:val="24"/>
        </w:rPr>
        <w:t>728</w:t>
      </w:r>
      <w:r w:rsidRPr="00A312C5">
        <w:rPr>
          <w:rFonts w:ascii="Times New Roman" w:hAnsi="Times New Roman" w:cs="Times New Roman"/>
          <w:sz w:val="24"/>
          <w:szCs w:val="24"/>
        </w:rPr>
        <w:t xml:space="preserve"> (информационные технологии), </w:t>
      </w:r>
      <w:r w:rsidR="00F02A9A" w:rsidRPr="00A312C5">
        <w:rPr>
          <w:rFonts w:ascii="Times New Roman" w:hAnsi="Times New Roman" w:cs="Times New Roman"/>
          <w:sz w:val="24"/>
          <w:szCs w:val="24"/>
        </w:rPr>
        <w:t>377</w:t>
      </w:r>
      <w:r w:rsidRPr="00A312C5">
        <w:rPr>
          <w:rFonts w:ascii="Times New Roman" w:hAnsi="Times New Roman" w:cs="Times New Roman"/>
          <w:sz w:val="24"/>
          <w:szCs w:val="24"/>
        </w:rPr>
        <w:t xml:space="preserve"> (фармацевтика и </w:t>
      </w:r>
      <w:r w:rsidR="00F02A9A" w:rsidRPr="00A312C5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 w:rsidRPr="00A312C5">
        <w:rPr>
          <w:rFonts w:ascii="Times New Roman" w:hAnsi="Times New Roman" w:cs="Times New Roman"/>
          <w:sz w:val="24"/>
          <w:szCs w:val="24"/>
        </w:rPr>
        <w:t xml:space="preserve">), и </w:t>
      </w:r>
      <w:r w:rsidR="00F02A9A" w:rsidRPr="00A312C5">
        <w:rPr>
          <w:rFonts w:ascii="Times New Roman" w:hAnsi="Times New Roman" w:cs="Times New Roman"/>
          <w:sz w:val="24"/>
          <w:szCs w:val="24"/>
        </w:rPr>
        <w:t>126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наблюдений (производство продуктов питания).</w:t>
      </w:r>
      <w:r w:rsidR="002E68E2" w:rsidRPr="00A312C5">
        <w:rPr>
          <w:rFonts w:ascii="Times New Roman" w:hAnsi="Times New Roman" w:cs="Times New Roman"/>
          <w:sz w:val="24"/>
          <w:szCs w:val="24"/>
        </w:rPr>
        <w:t xml:space="preserve"> После проверки на </w:t>
      </w:r>
      <w:proofErr w:type="spellStart"/>
      <w:r w:rsidR="002E68E2" w:rsidRPr="00A312C5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="002E68E2" w:rsidRPr="00A312C5">
        <w:rPr>
          <w:rFonts w:ascii="Times New Roman" w:hAnsi="Times New Roman" w:cs="Times New Roman"/>
          <w:sz w:val="24"/>
          <w:szCs w:val="24"/>
        </w:rPr>
        <w:t xml:space="preserve"> была реализована оценка параметров </w:t>
      </w:r>
      <w:r w:rsidR="00F02A9A" w:rsidRPr="00A312C5">
        <w:rPr>
          <w:rFonts w:ascii="Times New Roman" w:hAnsi="Times New Roman" w:cs="Times New Roman"/>
          <w:sz w:val="24"/>
          <w:szCs w:val="24"/>
        </w:rPr>
        <w:t>четырех</w:t>
      </w:r>
      <w:r w:rsidR="002E68E2" w:rsidRPr="00A312C5">
        <w:rPr>
          <w:rFonts w:ascii="Times New Roman" w:hAnsi="Times New Roman" w:cs="Times New Roman"/>
          <w:sz w:val="24"/>
          <w:szCs w:val="24"/>
        </w:rPr>
        <w:t xml:space="preserve"> отраслевых регрессионных моделей. Также произведена проверка каждой модели на непостоянство дисперсий в ошибках (</w:t>
      </w:r>
      <w:proofErr w:type="spellStart"/>
      <w:r w:rsidR="002E68E2" w:rsidRPr="00A312C5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="002E68E2" w:rsidRPr="00A312C5">
        <w:rPr>
          <w:rFonts w:ascii="Times New Roman" w:hAnsi="Times New Roman" w:cs="Times New Roman"/>
          <w:sz w:val="24"/>
          <w:szCs w:val="24"/>
        </w:rPr>
        <w:t>)</w:t>
      </w:r>
      <w:r w:rsidR="00A918E7" w:rsidRPr="00A918E7">
        <w:rPr>
          <w:rFonts w:ascii="Times New Roman" w:hAnsi="Times New Roman" w:cs="Times New Roman"/>
          <w:sz w:val="24"/>
          <w:szCs w:val="24"/>
        </w:rPr>
        <w:t>,</w:t>
      </w:r>
      <w:r w:rsidR="002E68E2" w:rsidRPr="00A312C5">
        <w:rPr>
          <w:rFonts w:ascii="Times New Roman" w:hAnsi="Times New Roman" w:cs="Times New Roman"/>
          <w:sz w:val="24"/>
          <w:szCs w:val="24"/>
        </w:rPr>
        <w:t xml:space="preserve"> и при необходимости вычислены робастные стандартные ошибки для получения состоятельных оценок параметров. </w:t>
      </w:r>
      <w:r w:rsidR="00174370">
        <w:rPr>
          <w:rFonts w:ascii="Times New Roman" w:hAnsi="Times New Roman" w:cs="Times New Roman"/>
          <w:sz w:val="24"/>
          <w:szCs w:val="24"/>
        </w:rPr>
        <w:t>Описательная статистика переменных представлена в</w:t>
      </w:r>
      <w:r w:rsidR="00E36BC2" w:rsidRPr="00E36BC2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8._Описательная" w:history="1">
        <w:r w:rsidR="00E36BC2" w:rsidRPr="00E36BC2">
          <w:rPr>
            <w:rStyle w:val="a7"/>
            <w:rFonts w:ascii="Times New Roman" w:hAnsi="Times New Roman" w:cs="Times New Roman"/>
            <w:sz w:val="24"/>
            <w:szCs w:val="24"/>
          </w:rPr>
          <w:t>приложении 8</w:t>
        </w:r>
      </w:hyperlink>
      <w:r w:rsidR="001743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ECEBA" w14:textId="77777777" w:rsidR="00EB4190" w:rsidRDefault="00EB419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F1091" w14:textId="2AF8D645" w:rsidR="00BC7B9F" w:rsidRDefault="00BC7B9F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Отраслевые регрессионные модели приняли вид:</w:t>
      </w:r>
    </w:p>
    <w:tbl>
      <w:tblPr>
        <w:tblStyle w:val="ab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16"/>
      </w:tblGrid>
      <w:tr w:rsidR="00BC7B9F" w14:paraId="3424E7BD" w14:textId="77777777" w:rsidTr="00BC7B9F">
        <w:tc>
          <w:tcPr>
            <w:tcW w:w="8931" w:type="dxa"/>
          </w:tcPr>
          <w:p w14:paraId="004DF524" w14:textId="5CDE4754" w:rsidR="00BC7B9F" w:rsidRDefault="00BC7B9F" w:rsidP="00BC7B9F">
            <w:pPr>
              <w:spacing w:line="360" w:lineRule="auto"/>
              <w:ind w:left="-25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RD_intensity=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Operating_Profit_margin</m:t>
                </m:r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market value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sales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Capex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Sales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 ε</m:t>
                </m:r>
              </m:oMath>
            </m:oMathPara>
          </w:p>
        </w:tc>
        <w:tc>
          <w:tcPr>
            <w:tcW w:w="616" w:type="dxa"/>
          </w:tcPr>
          <w:p w14:paraId="49C20ACB" w14:textId="0DF2BF60" w:rsidR="00BC7B9F" w:rsidRDefault="00BC7B9F" w:rsidP="007201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</w:tbl>
    <w:p w14:paraId="686E8DFB" w14:textId="5CE4394A" w:rsidR="00116CC8" w:rsidRPr="00A312C5" w:rsidRDefault="00E074E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69420667"/>
      <w:r w:rsidRPr="00A312C5">
        <w:rPr>
          <w:rFonts w:ascii="Times New Roman" w:hAnsi="Times New Roman" w:cs="Times New Roman"/>
          <w:sz w:val="24"/>
          <w:szCs w:val="24"/>
        </w:rPr>
        <w:t xml:space="preserve">Результаты оценки параметров многофакторных регрессий по </w:t>
      </w:r>
      <w:r w:rsidR="00D1216E">
        <w:rPr>
          <w:rFonts w:ascii="Times New Roman" w:hAnsi="Times New Roman" w:cs="Times New Roman"/>
          <w:sz w:val="24"/>
          <w:szCs w:val="24"/>
        </w:rPr>
        <w:t>четырем</w:t>
      </w:r>
      <w:r w:rsidRPr="00A312C5">
        <w:rPr>
          <w:rFonts w:ascii="Times New Roman" w:hAnsi="Times New Roman" w:cs="Times New Roman"/>
          <w:sz w:val="24"/>
          <w:szCs w:val="24"/>
        </w:rPr>
        <w:t xml:space="preserve"> различным отраслям представлены в таблице</w:t>
      </w:r>
      <w:r w:rsidR="00B55D54">
        <w:rPr>
          <w:rFonts w:ascii="Times New Roman" w:hAnsi="Times New Roman" w:cs="Times New Roman"/>
          <w:sz w:val="24"/>
          <w:szCs w:val="24"/>
        </w:rPr>
        <w:t xml:space="preserve"> </w:t>
      </w:r>
      <w:bookmarkEnd w:id="38"/>
      <w:r w:rsidR="00B55D54">
        <w:rPr>
          <w:rFonts w:ascii="Times New Roman" w:hAnsi="Times New Roman" w:cs="Times New Roman"/>
          <w:sz w:val="24"/>
          <w:szCs w:val="24"/>
        </w:rPr>
        <w:t>11</w:t>
      </w:r>
      <w:r w:rsidRPr="00A312C5">
        <w:rPr>
          <w:rFonts w:ascii="Times New Roman" w:hAnsi="Times New Roman" w:cs="Times New Roman"/>
          <w:sz w:val="24"/>
          <w:szCs w:val="24"/>
        </w:rPr>
        <w:t>:</w:t>
      </w:r>
    </w:p>
    <w:p w14:paraId="7D9287A7" w14:textId="44A32FD9" w:rsidR="00B55D54" w:rsidRPr="00B55D54" w:rsidRDefault="00B55D54" w:rsidP="00B55D54">
      <w:pPr>
        <w:pStyle w:val="af7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Таблица </w: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55D5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11</w:t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55D5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результаты оценки параметров отраслевых регрессионных моделей</w:t>
      </w:r>
    </w:p>
    <w:tbl>
      <w:tblPr>
        <w:tblStyle w:val="ab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92"/>
        <w:gridCol w:w="1893"/>
        <w:gridCol w:w="947"/>
        <w:gridCol w:w="946"/>
        <w:gridCol w:w="1893"/>
        <w:gridCol w:w="1893"/>
      </w:tblGrid>
      <w:tr w:rsidR="00B47FE2" w:rsidRPr="00A312C5" w14:paraId="18796459" w14:textId="77777777" w:rsidTr="001852BA">
        <w:trPr>
          <w:trHeight w:val="676"/>
        </w:trPr>
        <w:tc>
          <w:tcPr>
            <w:tcW w:w="1892" w:type="dxa"/>
          </w:tcPr>
          <w:p w14:paraId="0370E4ED" w14:textId="77777777" w:rsidR="00B47FE2" w:rsidRPr="00B55D54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D0B0535" w14:textId="77777777" w:rsidR="00B47FE2" w:rsidRPr="00B55D54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Operating_Profit_margin</w:t>
            </w:r>
            <w:proofErr w:type="spellEnd"/>
          </w:p>
        </w:tc>
        <w:tc>
          <w:tcPr>
            <w:tcW w:w="1893" w:type="dxa"/>
            <w:gridSpan w:val="2"/>
          </w:tcPr>
          <w:p w14:paraId="4AD38311" w14:textId="55F1A91D" w:rsidR="00B47FE2" w:rsidRPr="00B55D54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Market_value_</w:t>
            </w:r>
            <w:r w:rsidR="0019623F"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</w:tc>
        <w:tc>
          <w:tcPr>
            <w:tcW w:w="1893" w:type="dxa"/>
          </w:tcPr>
          <w:p w14:paraId="2F580196" w14:textId="34521A97" w:rsidR="00B47FE2" w:rsidRPr="00B55D54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Capex_</w:t>
            </w:r>
            <w:r w:rsidR="0019623F"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</w:tc>
        <w:tc>
          <w:tcPr>
            <w:tcW w:w="1893" w:type="dxa"/>
          </w:tcPr>
          <w:p w14:paraId="5E41AC3C" w14:textId="77777777" w:rsidR="00B47FE2" w:rsidRPr="00B55D54" w:rsidRDefault="00B47FE2" w:rsidP="005441A1">
            <w:pPr>
              <w:spacing w:line="360" w:lineRule="auto"/>
              <w:ind w:left="-198"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cons</w:t>
            </w:r>
          </w:p>
        </w:tc>
      </w:tr>
      <w:tr w:rsidR="00B47FE2" w:rsidRPr="00A312C5" w14:paraId="44C9CC79" w14:textId="77777777" w:rsidTr="001852BA">
        <w:trPr>
          <w:trHeight w:val="573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14:paraId="040B690D" w14:textId="77777777" w:rsidR="00B47FE2" w:rsidRPr="00B55D54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</w:rPr>
              <w:t>Авиакосмическая промышленность и оборона</w:t>
            </w:r>
          </w:p>
        </w:tc>
      </w:tr>
      <w:tr w:rsidR="00B47FE2" w:rsidRPr="00A312C5" w14:paraId="6BF85F0A" w14:textId="77777777" w:rsidTr="001852BA">
        <w:trPr>
          <w:trHeight w:val="553"/>
        </w:trPr>
        <w:tc>
          <w:tcPr>
            <w:tcW w:w="4732" w:type="dxa"/>
            <w:gridSpan w:val="3"/>
          </w:tcPr>
          <w:p w14:paraId="0CB61301" w14:textId="2EC884F7" w:rsidR="00B47FE2" w:rsidRPr="003E7542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R-squared</w:t>
            </w:r>
            <w:r w:rsidRPr="00B55D54">
              <w:rPr>
                <w:rFonts w:ascii="Times New Roman" w:hAnsi="Times New Roman" w:cs="Times New Roman"/>
              </w:rPr>
              <w:t xml:space="preserve"> 0,2</w:t>
            </w:r>
            <w:r w:rsidR="003E7542">
              <w:rPr>
                <w:rFonts w:ascii="Times New Roman" w:hAnsi="Times New Roman" w:cs="Times New Roman"/>
                <w:lang w:val="en-US"/>
              </w:rPr>
              <w:t>037</w:t>
            </w:r>
          </w:p>
        </w:tc>
        <w:tc>
          <w:tcPr>
            <w:tcW w:w="4732" w:type="dxa"/>
            <w:gridSpan w:val="3"/>
            <w:tcBorders>
              <w:right w:val="single" w:sz="4" w:space="0" w:color="auto"/>
            </w:tcBorders>
          </w:tcPr>
          <w:p w14:paraId="4003C70F" w14:textId="22289447" w:rsidR="00B47FE2" w:rsidRPr="003E7542" w:rsidRDefault="00B47FE2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Prob&gt;F</w:t>
            </w:r>
            <w:r w:rsidRPr="00B55D54">
              <w:rPr>
                <w:rFonts w:ascii="Times New Roman" w:hAnsi="Times New Roman" w:cs="Times New Roman"/>
              </w:rPr>
              <w:t xml:space="preserve"> 0,00</w:t>
            </w:r>
            <w:r w:rsidR="003E754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893"/>
        <w:gridCol w:w="947"/>
        <w:gridCol w:w="946"/>
        <w:gridCol w:w="1893"/>
        <w:gridCol w:w="1893"/>
      </w:tblGrid>
      <w:tr w:rsidR="005441A1" w:rsidRPr="00B55D54" w14:paraId="6104E93A" w14:textId="77777777" w:rsidTr="00E43627">
        <w:trPr>
          <w:trHeight w:val="419"/>
        </w:trPr>
        <w:tc>
          <w:tcPr>
            <w:tcW w:w="1892" w:type="dxa"/>
          </w:tcPr>
          <w:p w14:paraId="1CA5A573" w14:textId="1474354F" w:rsidR="005441A1" w:rsidRPr="00B55D54" w:rsidRDefault="005441A1" w:rsidP="005441A1">
            <w:pPr>
              <w:spacing w:line="360" w:lineRule="auto"/>
              <w:ind w:right="111" w:hanging="86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Coef</w:t>
            </w:r>
            <w:proofErr w:type="spellEnd"/>
          </w:p>
        </w:tc>
        <w:tc>
          <w:tcPr>
            <w:tcW w:w="1893" w:type="dxa"/>
          </w:tcPr>
          <w:p w14:paraId="19C8F370" w14:textId="492DC601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77</w:t>
            </w:r>
            <w:r w:rsidRPr="00B55D54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893" w:type="dxa"/>
            <w:gridSpan w:val="2"/>
          </w:tcPr>
          <w:p w14:paraId="4D2FCE2D" w14:textId="7C11F7F1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893" w:type="dxa"/>
          </w:tcPr>
          <w:p w14:paraId="3E0580EB" w14:textId="5861C1C0" w:rsidR="005441A1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0,221</w:t>
            </w:r>
            <w:r w:rsidRPr="00B55D5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893" w:type="dxa"/>
          </w:tcPr>
          <w:p w14:paraId="742F98C6" w14:textId="3952BD7D" w:rsidR="005441A1" w:rsidRPr="00B55D54" w:rsidRDefault="005441A1" w:rsidP="005441A1">
            <w:pPr>
              <w:spacing w:line="360" w:lineRule="auto"/>
              <w:ind w:left="-56"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029</w:t>
            </w:r>
            <w:r w:rsidRPr="00B55D54">
              <w:rPr>
                <w:rFonts w:ascii="Times New Roman" w:hAnsi="Times New Roman" w:cs="Times New Roman"/>
              </w:rPr>
              <w:t>**</w:t>
            </w:r>
            <w:r w:rsidRPr="00B55D54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5441A1" w:rsidRPr="00B55D54" w14:paraId="4429A4FC" w14:textId="77777777" w:rsidTr="00E43627">
        <w:trPr>
          <w:trHeight w:val="554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14:paraId="3FFC111F" w14:textId="0CAB1F68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B55D54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</w:tr>
      <w:tr w:rsidR="005441A1" w:rsidRPr="00B55D54" w14:paraId="2488A81D" w14:textId="77777777" w:rsidTr="00E43627">
        <w:trPr>
          <w:trHeight w:val="561"/>
        </w:trPr>
        <w:tc>
          <w:tcPr>
            <w:tcW w:w="4732" w:type="dxa"/>
            <w:gridSpan w:val="3"/>
          </w:tcPr>
          <w:p w14:paraId="152859DF" w14:textId="29A625D8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R-squared</w:t>
            </w:r>
            <w:r w:rsidRPr="00B55D54">
              <w:rPr>
                <w:rFonts w:ascii="Times New Roman" w:hAnsi="Times New Roman" w:cs="Times New Roman"/>
              </w:rPr>
              <w:t xml:space="preserve"> 0,</w:t>
            </w: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4732" w:type="dxa"/>
            <w:gridSpan w:val="3"/>
            <w:tcBorders>
              <w:right w:val="single" w:sz="4" w:space="0" w:color="auto"/>
            </w:tcBorders>
          </w:tcPr>
          <w:p w14:paraId="480C8CF7" w14:textId="6606A9FB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Prob&gt;F</w:t>
            </w:r>
            <w:r w:rsidRPr="00B55D54">
              <w:rPr>
                <w:rFonts w:ascii="Times New Roman" w:hAnsi="Times New Roman" w:cs="Times New Roman"/>
              </w:rPr>
              <w:t xml:space="preserve"> 0,000</w:t>
            </w:r>
          </w:p>
        </w:tc>
      </w:tr>
      <w:tr w:rsidR="005441A1" w:rsidRPr="00B55D54" w14:paraId="4928347F" w14:textId="77777777" w:rsidTr="00E43627">
        <w:trPr>
          <w:trHeight w:val="556"/>
        </w:trPr>
        <w:tc>
          <w:tcPr>
            <w:tcW w:w="1892" w:type="dxa"/>
          </w:tcPr>
          <w:p w14:paraId="49CF825A" w14:textId="2672B8A4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Coef</w:t>
            </w:r>
            <w:proofErr w:type="spellEnd"/>
          </w:p>
        </w:tc>
        <w:tc>
          <w:tcPr>
            <w:tcW w:w="1893" w:type="dxa"/>
          </w:tcPr>
          <w:p w14:paraId="38C88632" w14:textId="1A223084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  <w:r w:rsidRPr="00B55D54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893" w:type="dxa"/>
            <w:gridSpan w:val="2"/>
          </w:tcPr>
          <w:p w14:paraId="7FD0FB49" w14:textId="2CABEFA0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0,0</w:t>
            </w:r>
            <w:r w:rsidRPr="00B55D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7***</w:t>
            </w:r>
          </w:p>
        </w:tc>
        <w:tc>
          <w:tcPr>
            <w:tcW w:w="1893" w:type="dxa"/>
          </w:tcPr>
          <w:p w14:paraId="0F451888" w14:textId="5B14A564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098</w:t>
            </w:r>
          </w:p>
        </w:tc>
        <w:tc>
          <w:tcPr>
            <w:tcW w:w="1893" w:type="dxa"/>
          </w:tcPr>
          <w:p w14:paraId="68CADA5E" w14:textId="4219C61E" w:rsidR="005441A1" w:rsidRPr="00B55D54" w:rsidRDefault="005441A1" w:rsidP="005441A1">
            <w:pPr>
              <w:spacing w:line="360" w:lineRule="auto"/>
              <w:ind w:right="111" w:hanging="7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Pr="00B55D5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5441A1" w:rsidRPr="00B55D54" w14:paraId="428C54AD" w14:textId="77777777" w:rsidTr="00E43627">
        <w:trPr>
          <w:trHeight w:val="550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14:paraId="2C57E22B" w14:textId="1C994E83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B55D54">
              <w:rPr>
                <w:rFonts w:ascii="Times New Roman" w:hAnsi="Times New Roman" w:cs="Times New Roman"/>
              </w:rPr>
              <w:t>Фармацевтика и химическая промышленность</w:t>
            </w:r>
          </w:p>
        </w:tc>
      </w:tr>
      <w:tr w:rsidR="005441A1" w:rsidRPr="00B55D54" w14:paraId="4A1EAE2C" w14:textId="77777777" w:rsidTr="00E43627">
        <w:trPr>
          <w:trHeight w:val="571"/>
        </w:trPr>
        <w:tc>
          <w:tcPr>
            <w:tcW w:w="4732" w:type="dxa"/>
            <w:gridSpan w:val="3"/>
          </w:tcPr>
          <w:p w14:paraId="1EC92B62" w14:textId="160C9B50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R-squared</w:t>
            </w:r>
            <w:r w:rsidRPr="00B55D54">
              <w:rPr>
                <w:rFonts w:ascii="Times New Roman" w:hAnsi="Times New Roman" w:cs="Times New Roman"/>
              </w:rPr>
              <w:t xml:space="preserve"> 0,</w:t>
            </w:r>
            <w:r>
              <w:rPr>
                <w:rFonts w:ascii="Times New Roman" w:hAnsi="Times New Roman" w:cs="Times New Roman"/>
                <w:lang w:val="en-US"/>
              </w:rPr>
              <w:t>1594</w:t>
            </w:r>
          </w:p>
        </w:tc>
        <w:tc>
          <w:tcPr>
            <w:tcW w:w="4732" w:type="dxa"/>
            <w:gridSpan w:val="3"/>
            <w:tcBorders>
              <w:right w:val="single" w:sz="4" w:space="0" w:color="auto"/>
            </w:tcBorders>
          </w:tcPr>
          <w:p w14:paraId="26920035" w14:textId="7CAF10EB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Prob&gt;F</w:t>
            </w:r>
            <w:r w:rsidRPr="00B55D54">
              <w:rPr>
                <w:rFonts w:ascii="Times New Roman" w:hAnsi="Times New Roman" w:cs="Times New Roman"/>
              </w:rPr>
              <w:t xml:space="preserve"> 0,000</w:t>
            </w:r>
          </w:p>
        </w:tc>
      </w:tr>
      <w:tr w:rsidR="005441A1" w:rsidRPr="00B55D54" w14:paraId="2C3BAADB" w14:textId="77777777" w:rsidTr="00E43627">
        <w:trPr>
          <w:trHeight w:val="551"/>
        </w:trPr>
        <w:tc>
          <w:tcPr>
            <w:tcW w:w="1892" w:type="dxa"/>
          </w:tcPr>
          <w:p w14:paraId="5B4BEF4B" w14:textId="081655E0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Coef</w:t>
            </w:r>
            <w:proofErr w:type="spellEnd"/>
          </w:p>
        </w:tc>
        <w:tc>
          <w:tcPr>
            <w:tcW w:w="1893" w:type="dxa"/>
          </w:tcPr>
          <w:p w14:paraId="0B27F5B4" w14:textId="5BE91C55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B55D5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 w:rsidRPr="00B55D54"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893" w:type="dxa"/>
            <w:gridSpan w:val="2"/>
          </w:tcPr>
          <w:p w14:paraId="1709AB9F" w14:textId="18F0DE4B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  <w:r w:rsidRPr="00B55D5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93" w:type="dxa"/>
          </w:tcPr>
          <w:p w14:paraId="6909B333" w14:textId="6B8CAEEC" w:rsidR="005441A1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0,001</w:t>
            </w:r>
          </w:p>
        </w:tc>
        <w:tc>
          <w:tcPr>
            <w:tcW w:w="1893" w:type="dxa"/>
          </w:tcPr>
          <w:p w14:paraId="342C8D76" w14:textId="0F1F7F1C" w:rsidR="005441A1" w:rsidRPr="00B55D54" w:rsidRDefault="005441A1" w:rsidP="005441A1">
            <w:pPr>
              <w:spacing w:line="360" w:lineRule="auto"/>
              <w:ind w:right="111" w:hanging="91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027</w:t>
            </w:r>
            <w:r w:rsidRPr="00B55D5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5441A1" w:rsidRPr="00B55D54" w14:paraId="5595F0CF" w14:textId="77777777" w:rsidTr="00E43627">
        <w:trPr>
          <w:trHeight w:val="559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14:paraId="5573C694" w14:textId="74441541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B55D54">
              <w:rPr>
                <w:rFonts w:ascii="Times New Roman" w:hAnsi="Times New Roman" w:cs="Times New Roman"/>
              </w:rPr>
              <w:t>Производство продуктов питания</w:t>
            </w:r>
          </w:p>
        </w:tc>
      </w:tr>
      <w:tr w:rsidR="005441A1" w:rsidRPr="00B55D54" w14:paraId="28EFA498" w14:textId="77777777" w:rsidTr="00E43627">
        <w:trPr>
          <w:trHeight w:val="553"/>
        </w:trPr>
        <w:tc>
          <w:tcPr>
            <w:tcW w:w="4732" w:type="dxa"/>
            <w:gridSpan w:val="3"/>
          </w:tcPr>
          <w:p w14:paraId="36403792" w14:textId="0C8A149E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R-squared</w:t>
            </w:r>
            <w:r w:rsidRPr="00B55D54">
              <w:rPr>
                <w:rFonts w:ascii="Times New Roman" w:hAnsi="Times New Roman" w:cs="Times New Roman"/>
              </w:rPr>
              <w:t xml:space="preserve"> 0,30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4732" w:type="dxa"/>
            <w:gridSpan w:val="3"/>
            <w:tcBorders>
              <w:right w:val="single" w:sz="4" w:space="0" w:color="auto"/>
            </w:tcBorders>
          </w:tcPr>
          <w:p w14:paraId="58A0B940" w14:textId="2845AA1F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Prob&gt;F</w:t>
            </w:r>
            <w:r w:rsidRPr="00B55D54">
              <w:rPr>
                <w:rFonts w:ascii="Times New Roman" w:hAnsi="Times New Roman" w:cs="Times New Roman"/>
              </w:rPr>
              <w:t xml:space="preserve"> 0,000</w:t>
            </w:r>
          </w:p>
        </w:tc>
      </w:tr>
      <w:tr w:rsidR="005441A1" w:rsidRPr="007C2867" w14:paraId="2F7220FD" w14:textId="77777777" w:rsidTr="00E43627">
        <w:trPr>
          <w:trHeight w:val="561"/>
        </w:trPr>
        <w:tc>
          <w:tcPr>
            <w:tcW w:w="1892" w:type="dxa"/>
          </w:tcPr>
          <w:p w14:paraId="00A2ACF0" w14:textId="486859A2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D54">
              <w:rPr>
                <w:rFonts w:ascii="Times New Roman" w:hAnsi="Times New Roman" w:cs="Times New Roman"/>
                <w:lang w:val="en-US"/>
              </w:rPr>
              <w:t>Coef</w:t>
            </w:r>
            <w:proofErr w:type="spellEnd"/>
          </w:p>
        </w:tc>
        <w:tc>
          <w:tcPr>
            <w:tcW w:w="1893" w:type="dxa"/>
          </w:tcPr>
          <w:p w14:paraId="7BD11C65" w14:textId="66437FE1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B55D54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893" w:type="dxa"/>
            <w:gridSpan w:val="2"/>
          </w:tcPr>
          <w:p w14:paraId="203B4B27" w14:textId="468DC762" w:rsidR="005441A1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0,003</w:t>
            </w:r>
          </w:p>
        </w:tc>
        <w:tc>
          <w:tcPr>
            <w:tcW w:w="1893" w:type="dxa"/>
          </w:tcPr>
          <w:p w14:paraId="1DBECAF2" w14:textId="4826E2FA" w:rsidR="005441A1" w:rsidRPr="00B55D54" w:rsidRDefault="005441A1" w:rsidP="005441A1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3" w:type="dxa"/>
          </w:tcPr>
          <w:p w14:paraId="3B7C6D19" w14:textId="16DE6BA3" w:rsidR="005441A1" w:rsidRPr="00B55D54" w:rsidRDefault="005441A1" w:rsidP="005441A1">
            <w:pPr>
              <w:spacing w:line="360" w:lineRule="auto"/>
              <w:ind w:right="111" w:hanging="91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D54">
              <w:rPr>
                <w:rFonts w:ascii="Times New Roman" w:hAnsi="Times New Roman" w:cs="Times New Roman"/>
                <w:lang w:val="en-US"/>
              </w:rPr>
              <w:t>0,</w:t>
            </w:r>
            <w:r w:rsidRPr="00B55D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50F1EE76" w14:textId="66FFFFAA" w:rsidR="00351665" w:rsidRPr="00D1216E" w:rsidRDefault="00D1216E" w:rsidP="005441A1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55D54">
        <w:rPr>
          <w:rFonts w:ascii="Times New Roman" w:hAnsi="Times New Roman" w:cs="Times New Roman"/>
        </w:rPr>
        <w:t xml:space="preserve">Источник: </w:t>
      </w:r>
      <w:r w:rsidRPr="00B55D54">
        <w:rPr>
          <w:rFonts w:ascii="Times New Roman" w:hAnsi="Times New Roman" w:cs="Times New Roman"/>
          <w:lang w:val="en-US"/>
        </w:rPr>
        <w:t>[</w:t>
      </w:r>
      <w:r w:rsidRPr="00B55D54">
        <w:rPr>
          <w:rFonts w:ascii="Times New Roman" w:hAnsi="Times New Roman" w:cs="Times New Roman"/>
        </w:rPr>
        <w:t>расчеты автора</w:t>
      </w:r>
      <w:r w:rsidRPr="00B55D54">
        <w:rPr>
          <w:rFonts w:ascii="Times New Roman" w:hAnsi="Times New Roman" w:cs="Times New Roman"/>
          <w:lang w:val="en-US"/>
        </w:rPr>
        <w:t>]</w:t>
      </w:r>
    </w:p>
    <w:p w14:paraId="2656D2F7" w14:textId="238B879F" w:rsidR="00DC0AAC" w:rsidRPr="00A312C5" w:rsidRDefault="00E074E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69420697"/>
      <w:r w:rsidRPr="00A312C5">
        <w:rPr>
          <w:rFonts w:ascii="Times New Roman" w:hAnsi="Times New Roman" w:cs="Times New Roman"/>
          <w:sz w:val="24"/>
          <w:szCs w:val="24"/>
        </w:rPr>
        <w:t xml:space="preserve">Все модели </w:t>
      </w:r>
      <w:r w:rsidR="004A2CF0" w:rsidRPr="00A312C5">
        <w:rPr>
          <w:rFonts w:ascii="Times New Roman" w:hAnsi="Times New Roman" w:cs="Times New Roman"/>
          <w:sz w:val="24"/>
          <w:szCs w:val="24"/>
        </w:rPr>
        <w:t>з</w:t>
      </w:r>
      <w:r w:rsidRPr="00A312C5">
        <w:rPr>
          <w:rFonts w:ascii="Times New Roman" w:hAnsi="Times New Roman" w:cs="Times New Roman"/>
          <w:sz w:val="24"/>
          <w:szCs w:val="24"/>
        </w:rPr>
        <w:t>начимы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 на уровне 1%</w:t>
      </w:r>
      <w:r w:rsidR="00492E47" w:rsidRPr="00A312C5">
        <w:rPr>
          <w:rFonts w:ascii="Times New Roman" w:hAnsi="Times New Roman" w:cs="Times New Roman"/>
          <w:sz w:val="24"/>
          <w:szCs w:val="24"/>
        </w:rPr>
        <w:t xml:space="preserve">. </w:t>
      </w:r>
      <w:bookmarkEnd w:id="39"/>
      <w:r w:rsidRPr="00A312C5">
        <w:rPr>
          <w:rFonts w:ascii="Times New Roman" w:hAnsi="Times New Roman" w:cs="Times New Roman"/>
          <w:sz w:val="24"/>
          <w:szCs w:val="24"/>
        </w:rPr>
        <w:t>Проанализируем результаты</w:t>
      </w:r>
      <w:r w:rsidR="00D1216E">
        <w:rPr>
          <w:rFonts w:ascii="Times New Roman" w:hAnsi="Times New Roman" w:cs="Times New Roman"/>
          <w:sz w:val="24"/>
          <w:szCs w:val="24"/>
        </w:rPr>
        <w:t xml:space="preserve"> регрессионного анализа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 каждой отрасли </w:t>
      </w:r>
      <w:r w:rsidR="002B6D76">
        <w:rPr>
          <w:rFonts w:ascii="Times New Roman" w:hAnsi="Times New Roman" w:cs="Times New Roman"/>
          <w:sz w:val="24"/>
          <w:szCs w:val="24"/>
        </w:rPr>
        <w:t>в отдельности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Для авиакосмической промышленности и обороны </w:t>
      </w:r>
      <w:r w:rsidR="00A918E7">
        <w:rPr>
          <w:rFonts w:ascii="Times New Roman" w:hAnsi="Times New Roman" w:cs="Times New Roman"/>
          <w:sz w:val="24"/>
          <w:szCs w:val="24"/>
        </w:rPr>
        <w:t>все переменные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 оказались значимыми</w:t>
      </w:r>
      <w:r w:rsidR="00F620C7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D1216E">
        <w:rPr>
          <w:rFonts w:ascii="Times New Roman" w:hAnsi="Times New Roman" w:cs="Times New Roman"/>
          <w:sz w:val="24"/>
          <w:szCs w:val="24"/>
        </w:rPr>
        <w:t>П</w:t>
      </w:r>
      <w:r w:rsidR="00F620C7" w:rsidRPr="00A312C5">
        <w:rPr>
          <w:rFonts w:ascii="Times New Roman" w:hAnsi="Times New Roman" w:cs="Times New Roman"/>
          <w:sz w:val="24"/>
          <w:szCs w:val="24"/>
        </w:rPr>
        <w:t xml:space="preserve">редположения относительно 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знака коэффициента перед переменной </w:t>
      </w:r>
      <w:proofErr w:type="spellStart"/>
      <w:r w:rsidR="004A2CF0" w:rsidRPr="00A312C5">
        <w:rPr>
          <w:rFonts w:ascii="Times New Roman" w:hAnsi="Times New Roman" w:cs="Times New Roman"/>
          <w:sz w:val="24"/>
          <w:szCs w:val="24"/>
        </w:rPr>
        <w:t>Operating_Profit_margin</w:t>
      </w:r>
      <w:proofErr w:type="spellEnd"/>
      <w:r w:rsidR="00F620C7" w:rsidRPr="00A312C5">
        <w:rPr>
          <w:rFonts w:ascii="Times New Roman" w:hAnsi="Times New Roman" w:cs="Times New Roman"/>
          <w:sz w:val="24"/>
          <w:szCs w:val="24"/>
        </w:rPr>
        <w:t xml:space="preserve"> подтвердились: </w:t>
      </w:r>
      <w:r w:rsidR="004A2CF0" w:rsidRPr="00A312C5">
        <w:rPr>
          <w:rFonts w:ascii="Times New Roman" w:hAnsi="Times New Roman" w:cs="Times New Roman"/>
          <w:sz w:val="24"/>
          <w:szCs w:val="24"/>
        </w:rPr>
        <w:t>с увеличением маржи операционной прибыли интенсивность НИОКР в компании растет</w:t>
      </w:r>
      <w:r w:rsidR="00F620C7" w:rsidRPr="00A312C5">
        <w:rPr>
          <w:rFonts w:ascii="Times New Roman" w:hAnsi="Times New Roman" w:cs="Times New Roman"/>
          <w:sz w:val="24"/>
          <w:szCs w:val="24"/>
        </w:rPr>
        <w:t xml:space="preserve">. При этом по модулю наибольшим оказался коэффициент перед переменной </w:t>
      </w:r>
      <w:proofErr w:type="spellStart"/>
      <w:r w:rsidR="004A2CF0" w:rsidRPr="00A312C5">
        <w:rPr>
          <w:rFonts w:ascii="Times New Roman" w:hAnsi="Times New Roman" w:cs="Times New Roman"/>
          <w:sz w:val="24"/>
          <w:szCs w:val="24"/>
        </w:rPr>
        <w:t>Capex_peremp</w:t>
      </w:r>
      <w:proofErr w:type="spellEnd"/>
      <w:r w:rsidR="00DC0AAC" w:rsidRPr="00A312C5">
        <w:rPr>
          <w:rFonts w:ascii="Times New Roman" w:hAnsi="Times New Roman" w:cs="Times New Roman"/>
          <w:sz w:val="24"/>
          <w:szCs w:val="24"/>
        </w:rPr>
        <w:t>.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 В среднем при прочих равных с ростом капитальных затрат, отнесенных к </w:t>
      </w:r>
      <w:r w:rsidR="00A918E7">
        <w:rPr>
          <w:rFonts w:ascii="Times New Roman" w:hAnsi="Times New Roman" w:cs="Times New Roman"/>
          <w:sz w:val="24"/>
          <w:szCs w:val="24"/>
        </w:rPr>
        <w:t>выручке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, на единицу интенсивность НИОКР в компании увеличивается на </w:t>
      </w:r>
      <w:r w:rsidR="00A918E7">
        <w:rPr>
          <w:rFonts w:ascii="Times New Roman" w:hAnsi="Times New Roman" w:cs="Times New Roman"/>
          <w:sz w:val="24"/>
          <w:szCs w:val="24"/>
        </w:rPr>
        <w:t>0,221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 единиц. Таким образом, наша </w:t>
      </w:r>
      <w:r w:rsidR="004A2CF0"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гипотеза </w:t>
      </w:r>
      <w:r w:rsidR="00D1216E">
        <w:rPr>
          <w:rFonts w:ascii="Times New Roman" w:hAnsi="Times New Roman" w:cs="Times New Roman"/>
          <w:sz w:val="24"/>
          <w:szCs w:val="24"/>
        </w:rPr>
        <w:t>подтвердилась</w:t>
      </w:r>
      <w:r w:rsidR="004A2CF0" w:rsidRPr="00A312C5">
        <w:rPr>
          <w:rFonts w:ascii="Times New Roman" w:hAnsi="Times New Roman" w:cs="Times New Roman"/>
          <w:sz w:val="24"/>
          <w:szCs w:val="24"/>
        </w:rPr>
        <w:t>: в отрасли авиакосмиче</w:t>
      </w:r>
      <w:r w:rsidR="00D1216E">
        <w:rPr>
          <w:rFonts w:ascii="Times New Roman" w:hAnsi="Times New Roman" w:cs="Times New Roman"/>
          <w:sz w:val="24"/>
          <w:szCs w:val="24"/>
        </w:rPr>
        <w:t>с</w:t>
      </w:r>
      <w:r w:rsidR="004A2CF0" w:rsidRPr="00A312C5">
        <w:rPr>
          <w:rFonts w:ascii="Times New Roman" w:hAnsi="Times New Roman" w:cs="Times New Roman"/>
          <w:sz w:val="24"/>
          <w:szCs w:val="24"/>
        </w:rPr>
        <w:t xml:space="preserve">кой промышленности и обороны капиталоемкие компании более активно инвестируют в проекты НИОКР. </w:t>
      </w:r>
    </w:p>
    <w:p w14:paraId="3F76669E" w14:textId="72446B75" w:rsidR="00BB2438" w:rsidRDefault="00DC0AA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отрасли информационных технологий наибольшее значение</w:t>
      </w:r>
      <w:r w:rsidR="00593701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согласно результатам анализа</w:t>
      </w:r>
      <w:r w:rsidR="00593701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им</w:t>
      </w:r>
      <w:r w:rsidR="00CC2063" w:rsidRPr="00A312C5">
        <w:rPr>
          <w:rFonts w:ascii="Times New Roman" w:hAnsi="Times New Roman" w:cs="Times New Roman"/>
          <w:sz w:val="24"/>
          <w:szCs w:val="24"/>
        </w:rPr>
        <w:t>е</w:t>
      </w:r>
      <w:r w:rsidRPr="00A312C5">
        <w:rPr>
          <w:rFonts w:ascii="Times New Roman" w:hAnsi="Times New Roman" w:cs="Times New Roman"/>
          <w:sz w:val="24"/>
          <w:szCs w:val="24"/>
        </w:rPr>
        <w:t>е</w:t>
      </w:r>
      <w:r w:rsidR="00CC2063" w:rsidRPr="00A312C5">
        <w:rPr>
          <w:rFonts w:ascii="Times New Roman" w:hAnsi="Times New Roman" w:cs="Times New Roman"/>
          <w:sz w:val="24"/>
          <w:szCs w:val="24"/>
        </w:rPr>
        <w:t>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A918E7">
        <w:rPr>
          <w:rFonts w:ascii="Times New Roman" w:hAnsi="Times New Roman" w:cs="Times New Roman"/>
          <w:sz w:val="24"/>
          <w:szCs w:val="24"/>
        </w:rPr>
        <w:t>операционная рентабельность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предприятия. Эт</w:t>
      </w:r>
      <w:r w:rsidR="00CC2063" w:rsidRPr="00A312C5">
        <w:rPr>
          <w:rFonts w:ascii="Times New Roman" w:hAnsi="Times New Roman" w:cs="Times New Roman"/>
          <w:sz w:val="24"/>
          <w:szCs w:val="24"/>
        </w:rPr>
        <w:t>от</w:t>
      </w:r>
      <w:r w:rsidRPr="00A312C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C2063" w:rsidRPr="00A312C5">
        <w:rPr>
          <w:rFonts w:ascii="Times New Roman" w:hAnsi="Times New Roman" w:cs="Times New Roman"/>
          <w:sz w:val="24"/>
          <w:szCs w:val="24"/>
        </w:rPr>
        <w:t>ь, как и предполагалось,</w:t>
      </w:r>
      <w:r w:rsidRPr="00A312C5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CC2063" w:rsidRPr="00A312C5">
        <w:rPr>
          <w:rFonts w:ascii="Times New Roman" w:hAnsi="Times New Roman" w:cs="Times New Roman"/>
          <w:sz w:val="24"/>
          <w:szCs w:val="24"/>
        </w:rPr>
        <w:t>е</w:t>
      </w:r>
      <w:r w:rsidRPr="00A312C5">
        <w:rPr>
          <w:rFonts w:ascii="Times New Roman" w:hAnsi="Times New Roman" w:cs="Times New Roman"/>
          <w:sz w:val="24"/>
          <w:szCs w:val="24"/>
        </w:rPr>
        <w:t xml:space="preserve">тся </w:t>
      </w:r>
      <w:r w:rsidR="00A918E7">
        <w:rPr>
          <w:rFonts w:ascii="Times New Roman" w:hAnsi="Times New Roman" w:cs="Times New Roman"/>
          <w:sz w:val="24"/>
          <w:szCs w:val="24"/>
        </w:rPr>
        <w:t>прямой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взаимосвязью с </w:t>
      </w:r>
      <w:r w:rsidR="00CC2063" w:rsidRPr="00A312C5">
        <w:rPr>
          <w:rFonts w:ascii="Times New Roman" w:hAnsi="Times New Roman" w:cs="Times New Roman"/>
          <w:sz w:val="24"/>
          <w:szCs w:val="24"/>
        </w:rPr>
        <w:t>интенсивностью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НИОКР. Переменн</w:t>
      </w:r>
      <w:r w:rsidR="00CC2063" w:rsidRPr="00A312C5">
        <w:rPr>
          <w:rFonts w:ascii="Times New Roman" w:hAnsi="Times New Roman" w:cs="Times New Roman"/>
          <w:sz w:val="24"/>
          <w:szCs w:val="24"/>
        </w:rPr>
        <w:t>ая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8E7" w:rsidRPr="00A918E7">
        <w:rPr>
          <w:rFonts w:ascii="Times New Roman" w:hAnsi="Times New Roman" w:cs="Times New Roman"/>
          <w:sz w:val="24"/>
          <w:szCs w:val="24"/>
        </w:rPr>
        <w:t>Capex_to_sales</w:t>
      </w:r>
      <w:proofErr w:type="spellEnd"/>
      <w:r w:rsidR="00A918E7" w:rsidRPr="00A918E7">
        <w:rPr>
          <w:rFonts w:ascii="Times New Roman" w:hAnsi="Times New Roman" w:cs="Times New Roman"/>
          <w:sz w:val="24"/>
          <w:szCs w:val="24"/>
        </w:rPr>
        <w:t xml:space="preserve"> </w:t>
      </w:r>
      <w:r w:rsidR="00BB2438" w:rsidRPr="00A312C5">
        <w:rPr>
          <w:rFonts w:ascii="Times New Roman" w:hAnsi="Times New Roman" w:cs="Times New Roman"/>
          <w:sz w:val="24"/>
          <w:szCs w:val="24"/>
        </w:rPr>
        <w:t>оказал</w:t>
      </w:r>
      <w:r w:rsidR="00CC2063" w:rsidRPr="00A312C5">
        <w:rPr>
          <w:rFonts w:ascii="Times New Roman" w:hAnsi="Times New Roman" w:cs="Times New Roman"/>
          <w:sz w:val="24"/>
          <w:szCs w:val="24"/>
        </w:rPr>
        <w:t>а</w:t>
      </w:r>
      <w:r w:rsidR="00BB2438" w:rsidRPr="00A312C5">
        <w:rPr>
          <w:rFonts w:ascii="Times New Roman" w:hAnsi="Times New Roman" w:cs="Times New Roman"/>
          <w:sz w:val="24"/>
          <w:szCs w:val="24"/>
        </w:rPr>
        <w:t>сь незначим</w:t>
      </w:r>
      <w:r w:rsidR="00CC2063" w:rsidRPr="00A312C5">
        <w:rPr>
          <w:rFonts w:ascii="Times New Roman" w:hAnsi="Times New Roman" w:cs="Times New Roman"/>
          <w:sz w:val="24"/>
          <w:szCs w:val="24"/>
        </w:rPr>
        <w:t>ой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, что не позволяет нам сделать вывод о характере влияния </w:t>
      </w:r>
      <w:r w:rsidR="00A918E7">
        <w:rPr>
          <w:rFonts w:ascii="Times New Roman" w:hAnsi="Times New Roman" w:cs="Times New Roman"/>
          <w:sz w:val="24"/>
          <w:szCs w:val="24"/>
        </w:rPr>
        <w:t>капиталоемкости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 компании на </w:t>
      </w:r>
      <w:r w:rsidR="00CC2063" w:rsidRPr="00A312C5">
        <w:rPr>
          <w:rFonts w:ascii="Times New Roman" w:hAnsi="Times New Roman" w:cs="Times New Roman"/>
          <w:sz w:val="24"/>
          <w:szCs w:val="24"/>
        </w:rPr>
        <w:t>интенсивность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 НИОКР в отрасли информационных технологий.</w:t>
      </w:r>
      <w:r w:rsidR="00827C0C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="00BE2B05" w:rsidRPr="00A312C5">
        <w:rPr>
          <w:rFonts w:ascii="Times New Roman" w:hAnsi="Times New Roman" w:cs="Times New Roman"/>
          <w:sz w:val="24"/>
          <w:szCs w:val="24"/>
        </w:rPr>
        <w:t xml:space="preserve">Переменная, характеризующая </w:t>
      </w:r>
      <w:r w:rsidR="00A918E7">
        <w:rPr>
          <w:rFonts w:ascii="Times New Roman" w:hAnsi="Times New Roman" w:cs="Times New Roman"/>
          <w:sz w:val="24"/>
          <w:szCs w:val="24"/>
        </w:rPr>
        <w:t>рыночную капитализацию</w:t>
      </w:r>
      <w:r w:rsidR="00BE2B05" w:rsidRPr="00A312C5">
        <w:rPr>
          <w:rFonts w:ascii="Times New Roman" w:hAnsi="Times New Roman" w:cs="Times New Roman"/>
          <w:sz w:val="24"/>
          <w:szCs w:val="24"/>
        </w:rPr>
        <w:t xml:space="preserve"> значима на уровне 1%: с ростом </w:t>
      </w:r>
      <w:r w:rsidR="00A918E7">
        <w:rPr>
          <w:rFonts w:ascii="Times New Roman" w:hAnsi="Times New Roman" w:cs="Times New Roman"/>
          <w:sz w:val="24"/>
          <w:szCs w:val="24"/>
        </w:rPr>
        <w:t>рыночной ценности</w:t>
      </w:r>
      <w:r w:rsidR="00BE2B05" w:rsidRPr="00A312C5">
        <w:rPr>
          <w:rFonts w:ascii="Times New Roman" w:hAnsi="Times New Roman" w:cs="Times New Roman"/>
          <w:sz w:val="24"/>
          <w:szCs w:val="24"/>
        </w:rPr>
        <w:t xml:space="preserve"> затраты компаний на НИОКР в отрасли информационных технологий увеличиваются.</w:t>
      </w:r>
      <w:r w:rsidR="002B6D76">
        <w:rPr>
          <w:rFonts w:ascii="Times New Roman" w:hAnsi="Times New Roman" w:cs="Times New Roman"/>
          <w:sz w:val="24"/>
          <w:szCs w:val="24"/>
        </w:rPr>
        <w:t xml:space="preserve"> </w:t>
      </w:r>
      <w:r w:rsidR="000A6244">
        <w:rPr>
          <w:rFonts w:ascii="Times New Roman" w:hAnsi="Times New Roman" w:cs="Times New Roman"/>
          <w:sz w:val="24"/>
          <w:szCs w:val="24"/>
        </w:rPr>
        <w:t xml:space="preserve">Рост рыночной капитализации </w:t>
      </w:r>
      <w:r w:rsidR="00593701">
        <w:rPr>
          <w:rFonts w:ascii="Times New Roman" w:hAnsi="Times New Roman" w:cs="Times New Roman"/>
          <w:sz w:val="24"/>
          <w:szCs w:val="24"/>
        </w:rPr>
        <w:t xml:space="preserve">дает сигнал о надежности компании кредиторам и потенциальным инвесторам. Процесс привлечения средств для финансирования новых проектов, в том числе в сфере НИОКР, становится легче. Устойчивое финансовое положение позволяет выделять средства на долгосрочные исследовательские проекты. </w:t>
      </w:r>
    </w:p>
    <w:p w14:paraId="724D03E9" w14:textId="00384771" w:rsidR="00BB2438" w:rsidRPr="00A312C5" w:rsidRDefault="001C26B9" w:rsidP="005937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Значимой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 детерминантой инвестиционной деятельности в сфере НИОКР в отрасли фармацевтики оказалась рыночная капитализация. </w:t>
      </w:r>
      <w:r w:rsidR="00387E2A" w:rsidRPr="00A312C5">
        <w:rPr>
          <w:rFonts w:ascii="Times New Roman" w:hAnsi="Times New Roman" w:cs="Times New Roman"/>
          <w:sz w:val="24"/>
          <w:szCs w:val="24"/>
        </w:rPr>
        <w:t>Общеизвестно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, что </w:t>
      </w:r>
      <w:r w:rsidR="00387E2A" w:rsidRPr="00A312C5">
        <w:rPr>
          <w:rFonts w:ascii="Times New Roman" w:hAnsi="Times New Roman" w:cs="Times New Roman"/>
          <w:sz w:val="24"/>
          <w:szCs w:val="24"/>
        </w:rPr>
        <w:t xml:space="preserve">фармацевтические </w:t>
      </w:r>
      <w:r w:rsidR="00BB2438" w:rsidRPr="00A312C5">
        <w:rPr>
          <w:rFonts w:ascii="Times New Roman" w:hAnsi="Times New Roman" w:cs="Times New Roman"/>
          <w:sz w:val="24"/>
          <w:szCs w:val="24"/>
        </w:rPr>
        <w:t xml:space="preserve">компании, активно вовлеченные в исследовательскую деятельность, оцениваются рынком выше, чем конкуренты. </w:t>
      </w:r>
      <w:r w:rsidR="00387E2A" w:rsidRPr="00A312C5">
        <w:rPr>
          <w:rFonts w:ascii="Times New Roman" w:hAnsi="Times New Roman" w:cs="Times New Roman"/>
          <w:sz w:val="24"/>
          <w:szCs w:val="24"/>
        </w:rPr>
        <w:t xml:space="preserve">Однако причины влияния рыночной капитализации на интенсивность НИОКР не столь очевидны. </w:t>
      </w:r>
      <w:r w:rsidR="00794406" w:rsidRPr="00A312C5">
        <w:rPr>
          <w:rFonts w:ascii="Times New Roman" w:hAnsi="Times New Roman" w:cs="Times New Roman"/>
          <w:sz w:val="24"/>
          <w:szCs w:val="24"/>
        </w:rPr>
        <w:t>Фармацевтика является одной из самых наукоемких и быстроразвивающихся отраслей.</w:t>
      </w:r>
      <w:r w:rsidR="006C155B" w:rsidRPr="00A312C5">
        <w:rPr>
          <w:rFonts w:ascii="Times New Roman" w:hAnsi="Times New Roman" w:cs="Times New Roman"/>
          <w:sz w:val="24"/>
          <w:szCs w:val="24"/>
        </w:rPr>
        <w:t xml:space="preserve"> Средняя длительность проекта НИОКР в фармацевтической отрасли занимает от 10 до 13 лет</w:t>
      </w:r>
      <w:r w:rsidR="00954424" w:rsidRPr="00A312C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54424" w:rsidRPr="00A312C5">
        <w:rPr>
          <w:rFonts w:ascii="Times New Roman" w:hAnsi="Times New Roman" w:cs="Times New Roman"/>
          <w:sz w:val="24"/>
          <w:szCs w:val="24"/>
        </w:rPr>
        <w:t>Mestre-Ferrandiz</w:t>
      </w:r>
      <w:proofErr w:type="spellEnd"/>
      <w:r w:rsidR="00954424" w:rsidRPr="00A3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424" w:rsidRPr="00A312C5">
        <w:rPr>
          <w:rFonts w:ascii="Times New Roman" w:hAnsi="Times New Roman" w:cs="Times New Roman"/>
          <w:sz w:val="24"/>
          <w:szCs w:val="24"/>
        </w:rPr>
        <w:t>Sussex</w:t>
      </w:r>
      <w:proofErr w:type="spellEnd"/>
      <w:r w:rsidR="00954424" w:rsidRPr="00A312C5">
        <w:rPr>
          <w:rFonts w:ascii="Times New Roman" w:hAnsi="Times New Roman" w:cs="Times New Roman"/>
          <w:sz w:val="24"/>
          <w:szCs w:val="24"/>
        </w:rPr>
        <w:t>, 2012]</w:t>
      </w:r>
      <w:r w:rsidR="006C155B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794406" w:rsidRPr="00A312C5">
        <w:rPr>
          <w:rFonts w:ascii="Times New Roman" w:hAnsi="Times New Roman" w:cs="Times New Roman"/>
          <w:sz w:val="24"/>
          <w:szCs w:val="24"/>
        </w:rPr>
        <w:t xml:space="preserve">Научная деятельность в этой отрасли является обязательной компонентой ведения бизнеса, таким образом независимо от размеров выручки компании инвестируют в НИОКР. </w:t>
      </w:r>
      <w:r w:rsidR="00E107F0" w:rsidRPr="00A312C5">
        <w:rPr>
          <w:rFonts w:ascii="Times New Roman" w:hAnsi="Times New Roman" w:cs="Times New Roman"/>
          <w:sz w:val="24"/>
          <w:szCs w:val="24"/>
        </w:rPr>
        <w:t xml:space="preserve">Можно предположить, что прямая взаимосвязь рыночной капитализации фармацевтических компаний и интенсивности НИОКР обусловлена более низкой ценой заемного капитала, доступной для компаний, высоко оцененных рынком. С увеличением операционной рентабельности при прочих равных интенсивность НИОКР в фармацевтической отрасли возрастает. </w:t>
      </w:r>
      <w:r>
        <w:rPr>
          <w:rFonts w:ascii="Times New Roman" w:hAnsi="Times New Roman" w:cs="Times New Roman"/>
          <w:sz w:val="24"/>
          <w:szCs w:val="24"/>
        </w:rPr>
        <w:t>Переменная, характеризующая капиталоемкость компаний для этой отрасли незначима</w:t>
      </w:r>
      <w:r w:rsidR="00E107F0" w:rsidRPr="00A312C5">
        <w:rPr>
          <w:rFonts w:ascii="Times New Roman" w:hAnsi="Times New Roman" w:cs="Times New Roman"/>
          <w:sz w:val="24"/>
          <w:szCs w:val="24"/>
        </w:rPr>
        <w:t>.</w:t>
      </w:r>
    </w:p>
    <w:p w14:paraId="61710DDA" w14:textId="58D6C67B" w:rsidR="001E7B33" w:rsidRPr="00A312C5" w:rsidRDefault="001E7B33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В отрасли производства продуктов питания статистически значимыми оказал</w:t>
      </w:r>
      <w:r w:rsidR="003C1270" w:rsidRPr="00A312C5">
        <w:rPr>
          <w:rFonts w:ascii="Times New Roman" w:hAnsi="Times New Roman" w:cs="Times New Roman"/>
          <w:sz w:val="24"/>
          <w:szCs w:val="24"/>
        </w:rPr>
        <w:t>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т</w:t>
      </w:r>
      <w:r w:rsidR="003C1270" w:rsidRPr="00A312C5">
        <w:rPr>
          <w:rFonts w:ascii="Times New Roman" w:hAnsi="Times New Roman" w:cs="Times New Roman"/>
          <w:sz w:val="24"/>
          <w:szCs w:val="24"/>
        </w:rPr>
        <w:t xml:space="preserve">олько фактор </w:t>
      </w:r>
      <w:r w:rsidR="00267ECF">
        <w:rPr>
          <w:rFonts w:ascii="Times New Roman" w:hAnsi="Times New Roman" w:cs="Times New Roman"/>
          <w:sz w:val="24"/>
          <w:szCs w:val="24"/>
        </w:rPr>
        <w:t>операционной маржи прибыли</w:t>
      </w:r>
      <w:r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3C1270" w:rsidRPr="00A312C5">
        <w:rPr>
          <w:rFonts w:ascii="Times New Roman" w:hAnsi="Times New Roman" w:cs="Times New Roman"/>
          <w:sz w:val="24"/>
          <w:szCs w:val="24"/>
        </w:rPr>
        <w:t>В среднем при прочих равных увеличение операционной рентабельности компании на единицу приводит к росту интенсивности НИОКР на 0,52</w:t>
      </w:r>
      <w:r w:rsidR="00305DCC">
        <w:rPr>
          <w:rFonts w:ascii="Times New Roman" w:hAnsi="Times New Roman" w:cs="Times New Roman"/>
          <w:sz w:val="24"/>
          <w:szCs w:val="24"/>
        </w:rPr>
        <w:t>9</w:t>
      </w:r>
      <w:r w:rsidR="003C1270" w:rsidRPr="00A312C5">
        <w:rPr>
          <w:rFonts w:ascii="Times New Roman" w:hAnsi="Times New Roman" w:cs="Times New Roman"/>
          <w:sz w:val="24"/>
          <w:szCs w:val="24"/>
        </w:rPr>
        <w:t xml:space="preserve"> единиц в компаниях из отрасли производства продуктов питания</w:t>
      </w:r>
      <w:r w:rsidRPr="00A312C5">
        <w:rPr>
          <w:rFonts w:ascii="Times New Roman" w:hAnsi="Times New Roman" w:cs="Times New Roman"/>
          <w:sz w:val="24"/>
          <w:szCs w:val="24"/>
        </w:rPr>
        <w:t>.</w:t>
      </w:r>
      <w:r w:rsidR="009A56B0">
        <w:rPr>
          <w:rFonts w:ascii="Times New Roman" w:hAnsi="Times New Roman" w:cs="Times New Roman"/>
          <w:sz w:val="24"/>
          <w:szCs w:val="24"/>
        </w:rPr>
        <w:t xml:space="preserve"> Интересно, что из четырех рассмотренных отраслей операционная рентабельность играет наиболее важную роль в производстве продуктов питания. Возможно, это связано с тем, что </w:t>
      </w:r>
      <w:r w:rsidR="009A56B0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исследовательские проекты в этой отрасли более короткие и масштабные, чем, например, в оборонной промышленности. Компании располагают ресурсами, чтобы финансировать НИОКР из операционной прибыли. </w:t>
      </w:r>
    </w:p>
    <w:p w14:paraId="56A8032F" w14:textId="225C346A" w:rsidR="00485500" w:rsidRPr="00A312C5" w:rsidRDefault="00485500" w:rsidP="003D4B4B">
      <w:pPr>
        <w:pStyle w:val="3"/>
        <w:numPr>
          <w:ilvl w:val="0"/>
          <w:numId w:val="0"/>
        </w:numPr>
        <w:ind w:left="1019"/>
      </w:pPr>
      <w:bookmarkStart w:id="40" w:name="_Toc73538441"/>
      <w:r w:rsidRPr="00A312C5">
        <w:t xml:space="preserve">Выводы по главе </w:t>
      </w:r>
      <w:r w:rsidR="003D4B4B">
        <w:t>2</w:t>
      </w:r>
      <w:bookmarkEnd w:id="40"/>
    </w:p>
    <w:p w14:paraId="7C3A1FCD" w14:textId="360A9BCE" w:rsidR="002D4F01" w:rsidRPr="00A312C5" w:rsidRDefault="002D4F01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Вторая глава </w:t>
      </w:r>
      <w:r w:rsidR="005A6F68">
        <w:rPr>
          <w:rFonts w:ascii="Times New Roman" w:hAnsi="Times New Roman" w:cs="Times New Roman"/>
          <w:sz w:val="24"/>
          <w:szCs w:val="24"/>
        </w:rPr>
        <w:t>работы</w:t>
      </w:r>
      <w:r w:rsidRPr="00A312C5">
        <w:rPr>
          <w:rFonts w:ascii="Times New Roman" w:hAnsi="Times New Roman" w:cs="Times New Roman"/>
          <w:sz w:val="24"/>
          <w:szCs w:val="24"/>
        </w:rPr>
        <w:t xml:space="preserve"> была посвящена практической </w:t>
      </w:r>
      <w:r w:rsidR="00267ECF">
        <w:rPr>
          <w:rFonts w:ascii="Times New Roman" w:hAnsi="Times New Roman" w:cs="Times New Roman"/>
          <w:sz w:val="24"/>
          <w:szCs w:val="24"/>
        </w:rPr>
        <w:t>ее</w:t>
      </w:r>
      <w:r w:rsidRPr="00A312C5">
        <w:rPr>
          <w:rFonts w:ascii="Times New Roman" w:hAnsi="Times New Roman" w:cs="Times New Roman"/>
          <w:sz w:val="24"/>
          <w:szCs w:val="24"/>
        </w:rPr>
        <w:t xml:space="preserve"> части. На этом этапе было реализовано эмпирическое исследование взаимосвязи операционной рентабельности, выручки, отнесенной к числу сотрудников, уровня </w:t>
      </w:r>
      <w:r w:rsidR="00267ECF">
        <w:rPr>
          <w:rFonts w:ascii="Times New Roman" w:hAnsi="Times New Roman" w:cs="Times New Roman"/>
          <w:sz w:val="24"/>
          <w:szCs w:val="24"/>
        </w:rPr>
        <w:t>конкуренции в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отрасли, стандартного отклонения ценности фирмы, рентабельности собственного капитала и интенсивности НИОКР. Инструментом реализации поставленных задач стал регрессионный анализ на основе сбалансированных панельных данных. </w:t>
      </w:r>
      <w:r w:rsidR="00FB054E" w:rsidRPr="00A312C5">
        <w:rPr>
          <w:rFonts w:ascii="Times New Roman" w:hAnsi="Times New Roman" w:cs="Times New Roman"/>
          <w:sz w:val="24"/>
          <w:szCs w:val="24"/>
        </w:rPr>
        <w:t xml:space="preserve">Исследование было </w:t>
      </w:r>
      <w:r w:rsidR="001852BA" w:rsidRPr="00A312C5">
        <w:rPr>
          <w:rFonts w:ascii="Times New Roman" w:hAnsi="Times New Roman" w:cs="Times New Roman"/>
          <w:sz w:val="24"/>
          <w:szCs w:val="24"/>
        </w:rPr>
        <w:t>проведено</w:t>
      </w:r>
      <w:r w:rsidR="00FB054E" w:rsidRPr="00A312C5">
        <w:rPr>
          <w:rFonts w:ascii="Times New Roman" w:hAnsi="Times New Roman" w:cs="Times New Roman"/>
          <w:sz w:val="24"/>
          <w:szCs w:val="24"/>
        </w:rPr>
        <w:t xml:space="preserve"> на </w:t>
      </w:r>
      <w:r w:rsidR="005A6F68">
        <w:rPr>
          <w:rFonts w:ascii="Times New Roman" w:hAnsi="Times New Roman" w:cs="Times New Roman"/>
          <w:sz w:val="24"/>
          <w:szCs w:val="24"/>
        </w:rPr>
        <w:t>базе</w:t>
      </w:r>
      <w:r w:rsidR="00FB054E" w:rsidRPr="00A312C5">
        <w:rPr>
          <w:rFonts w:ascii="Times New Roman" w:hAnsi="Times New Roman" w:cs="Times New Roman"/>
          <w:sz w:val="24"/>
          <w:szCs w:val="24"/>
        </w:rPr>
        <w:t xml:space="preserve"> выборки, сформированной по данным отчета Европейского Союза об отраслевых инвестициях в НИОКР за 17 последовательных периодов: с 2004 по 2020 год. </w:t>
      </w:r>
    </w:p>
    <w:p w14:paraId="51F65F5A" w14:textId="643F59CE" w:rsidR="0029321B" w:rsidRPr="00A312C5" w:rsidRDefault="0048550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Проведенное эмпирическое исследование имеет ряд существенных ограничений. Так как отчет Европейского Союза об отраслевых инвестициях в НИОКР включает только компании, которые наиболее активно инвестируют в новые исследования, сформированная выборка </w:t>
      </w:r>
      <w:r w:rsidR="005A6F68">
        <w:rPr>
          <w:rFonts w:ascii="Times New Roman" w:hAnsi="Times New Roman" w:cs="Times New Roman"/>
          <w:sz w:val="24"/>
          <w:szCs w:val="24"/>
        </w:rPr>
        <w:t>является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смещенной относительно передовых компаний в сфере разработок. Поэтому реализованное исследование сфокусировано главным образом на крупных компаниях, которые уделяют особое внимание инвестициям в НИОКР. Таким образом</w:t>
      </w:r>
      <w:r w:rsidR="002D4F01" w:rsidRPr="00A312C5">
        <w:rPr>
          <w:rFonts w:ascii="Times New Roman" w:hAnsi="Times New Roman" w:cs="Times New Roman"/>
          <w:sz w:val="24"/>
          <w:szCs w:val="24"/>
        </w:rPr>
        <w:t>,</w:t>
      </w:r>
      <w:r w:rsidRPr="00A312C5">
        <w:rPr>
          <w:rFonts w:ascii="Times New Roman" w:hAnsi="Times New Roman" w:cs="Times New Roman"/>
          <w:sz w:val="24"/>
          <w:szCs w:val="24"/>
        </w:rPr>
        <w:t xml:space="preserve"> невозможно распространить полученные в рамках анализа выводы на всю генеральную совокупность, а при реализации описанной методологии на иных выборках могут возникнуть другие взаимосвязи между изученными переменными. </w:t>
      </w:r>
      <w:r w:rsidR="0060156B" w:rsidRPr="00A312C5">
        <w:rPr>
          <w:rFonts w:ascii="Times New Roman" w:hAnsi="Times New Roman" w:cs="Times New Roman"/>
          <w:sz w:val="24"/>
          <w:szCs w:val="24"/>
        </w:rPr>
        <w:t xml:space="preserve"> Конечно, не только заявленные факторы оказывают влияние на интенсивность НИОКР в отрасли. Проблематика поиска и учета других значимых факторов и тем самым увеличения объясняющей силы модели остается актуальной. </w:t>
      </w:r>
    </w:p>
    <w:p w14:paraId="5DC8FF57" w14:textId="5007EE93" w:rsidR="00022355" w:rsidRPr="00A312C5" w:rsidRDefault="0060156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69420768"/>
      <w:r w:rsidRPr="00A312C5">
        <w:rPr>
          <w:rFonts w:ascii="Times New Roman" w:hAnsi="Times New Roman" w:cs="Times New Roman"/>
          <w:sz w:val="24"/>
          <w:szCs w:val="24"/>
        </w:rPr>
        <w:t>Выявленные в ходе проведенного анализа эффекты частично доказывают выдвинутые исследовательские гипотезы. Так, например, подтвердил</w:t>
      </w:r>
      <w:r w:rsidR="001852BA" w:rsidRPr="00A312C5">
        <w:rPr>
          <w:rFonts w:ascii="Times New Roman" w:hAnsi="Times New Roman" w:cs="Times New Roman"/>
          <w:sz w:val="24"/>
          <w:szCs w:val="24"/>
        </w:rPr>
        <w:t>а</w:t>
      </w:r>
      <w:r w:rsidRPr="00A312C5">
        <w:rPr>
          <w:rFonts w:ascii="Times New Roman" w:hAnsi="Times New Roman" w:cs="Times New Roman"/>
          <w:sz w:val="24"/>
          <w:szCs w:val="24"/>
        </w:rPr>
        <w:t>сь гипотез</w:t>
      </w:r>
      <w:r w:rsidR="001852BA" w:rsidRPr="00A312C5">
        <w:rPr>
          <w:rFonts w:ascii="Times New Roman" w:hAnsi="Times New Roman" w:cs="Times New Roman"/>
          <w:sz w:val="24"/>
          <w:szCs w:val="24"/>
        </w:rPr>
        <w:t>а</w:t>
      </w:r>
      <w:r w:rsidRPr="00A312C5">
        <w:rPr>
          <w:rFonts w:ascii="Times New Roman" w:hAnsi="Times New Roman" w:cs="Times New Roman"/>
          <w:sz w:val="24"/>
          <w:szCs w:val="24"/>
        </w:rPr>
        <w:t xml:space="preserve"> о</w:t>
      </w:r>
      <w:r w:rsidR="001852BA" w:rsidRPr="00A312C5">
        <w:rPr>
          <w:rFonts w:ascii="Times New Roman" w:hAnsi="Times New Roman" w:cs="Times New Roman"/>
          <w:sz w:val="24"/>
          <w:szCs w:val="24"/>
        </w:rPr>
        <w:t xml:space="preserve"> прямой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взаимосвязи маржи операционной прибыли и интенсивности НИОКР</w:t>
      </w:r>
      <w:r w:rsidR="0079528C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1852BA" w:rsidRPr="00A312C5">
        <w:rPr>
          <w:rFonts w:ascii="Times New Roman" w:hAnsi="Times New Roman" w:cs="Times New Roman"/>
          <w:sz w:val="24"/>
          <w:szCs w:val="24"/>
        </w:rPr>
        <w:t xml:space="preserve"> Также статистическое подтверждение нашла исследовательская гипотеза о прямой взаимосвязи выручки компании, отнесенной к числу сотрудников</w:t>
      </w:r>
      <w:r w:rsidR="00267ECF">
        <w:rPr>
          <w:rFonts w:ascii="Times New Roman" w:hAnsi="Times New Roman" w:cs="Times New Roman"/>
          <w:sz w:val="24"/>
          <w:szCs w:val="24"/>
        </w:rPr>
        <w:t>,</w:t>
      </w:r>
      <w:r w:rsidR="001852BA" w:rsidRPr="00A312C5">
        <w:rPr>
          <w:rFonts w:ascii="Times New Roman" w:hAnsi="Times New Roman" w:cs="Times New Roman"/>
          <w:sz w:val="24"/>
          <w:szCs w:val="24"/>
        </w:rPr>
        <w:t xml:space="preserve"> и интенсивности НИОКР. </w:t>
      </w:r>
      <w:r w:rsidR="0079528C" w:rsidRPr="00A312C5">
        <w:rPr>
          <w:rFonts w:ascii="Times New Roman" w:hAnsi="Times New Roman" w:cs="Times New Roman"/>
          <w:sz w:val="24"/>
          <w:szCs w:val="24"/>
        </w:rPr>
        <w:t xml:space="preserve">Три другие гипотезы, однако, были опровергнуты в силу незначимости соответствующих переменных или противоположных ожидаемым знаков коэффициентов. </w:t>
      </w:r>
    </w:p>
    <w:bookmarkEnd w:id="41"/>
    <w:p w14:paraId="1FF2D74D" w14:textId="6C9486EF" w:rsidR="001852BA" w:rsidRPr="00A312C5" w:rsidRDefault="001852B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Завершающим этапом анализа стало определение драйверов инвестиций компаний в НИОКР в четырех различных отраслях: авиакосмическая промышленность и оборона, информационные технологии, фармацевтика и химическая промышленность, производство продуктов питания</w:t>
      </w:r>
      <w:bookmarkStart w:id="42" w:name="_Hlk69420817"/>
      <w:r w:rsidRPr="00A312C5">
        <w:rPr>
          <w:rFonts w:ascii="Times New Roman" w:hAnsi="Times New Roman" w:cs="Times New Roman"/>
          <w:sz w:val="24"/>
          <w:szCs w:val="24"/>
        </w:rPr>
        <w:t>. Оценка параметров соотве</w:t>
      </w:r>
      <w:r w:rsidR="00EB46C1" w:rsidRPr="00A312C5">
        <w:rPr>
          <w:rFonts w:ascii="Times New Roman" w:hAnsi="Times New Roman" w:cs="Times New Roman"/>
          <w:sz w:val="24"/>
          <w:szCs w:val="24"/>
        </w:rPr>
        <w:t>т</w:t>
      </w:r>
      <w:r w:rsidRPr="00A312C5">
        <w:rPr>
          <w:rFonts w:ascii="Times New Roman" w:hAnsi="Times New Roman" w:cs="Times New Roman"/>
          <w:sz w:val="24"/>
          <w:szCs w:val="24"/>
        </w:rPr>
        <w:t xml:space="preserve">ствующих многофакторных регрессионных </w:t>
      </w:r>
      <w:r w:rsidRPr="00A312C5">
        <w:rPr>
          <w:rFonts w:ascii="Times New Roman" w:hAnsi="Times New Roman" w:cs="Times New Roman"/>
          <w:sz w:val="24"/>
          <w:szCs w:val="24"/>
        </w:rPr>
        <w:lastRenderedPageBreak/>
        <w:t xml:space="preserve">моделей </w:t>
      </w:r>
      <w:r w:rsidR="00EB46C1" w:rsidRPr="00A312C5">
        <w:rPr>
          <w:rFonts w:ascii="Times New Roman" w:hAnsi="Times New Roman" w:cs="Times New Roman"/>
          <w:sz w:val="24"/>
          <w:szCs w:val="24"/>
        </w:rPr>
        <w:t>показала</w:t>
      </w:r>
      <w:r w:rsidR="00305DCC">
        <w:rPr>
          <w:rFonts w:ascii="Times New Roman" w:hAnsi="Times New Roman" w:cs="Times New Roman"/>
          <w:sz w:val="24"/>
          <w:szCs w:val="24"/>
        </w:rPr>
        <w:t xml:space="preserve"> устойчивую прямую взаимосвязь операционной рентабельности и интенсивности НИОКР во всех четырех отраслях</w:t>
      </w:r>
      <w:r w:rsidR="00EB46C1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305DCC">
        <w:rPr>
          <w:rFonts w:ascii="Times New Roman" w:hAnsi="Times New Roman" w:cs="Times New Roman"/>
          <w:sz w:val="24"/>
          <w:szCs w:val="24"/>
        </w:rPr>
        <w:t xml:space="preserve">Капиталоемкость оказалась значимой только для одной отрасли – авиакосмической. </w:t>
      </w:r>
      <w:r w:rsidR="005A6F68">
        <w:rPr>
          <w:rFonts w:ascii="Times New Roman" w:hAnsi="Times New Roman" w:cs="Times New Roman"/>
          <w:sz w:val="24"/>
          <w:szCs w:val="24"/>
        </w:rPr>
        <w:t>Предположительно, это связано с порядком бухгалтерского учета НИОКР в данной отрасли.</w:t>
      </w:r>
      <w:r w:rsidR="00EB46C1" w:rsidRPr="00A312C5">
        <w:rPr>
          <w:rFonts w:ascii="Times New Roman" w:hAnsi="Times New Roman" w:cs="Times New Roman"/>
          <w:sz w:val="24"/>
          <w:szCs w:val="24"/>
        </w:rPr>
        <w:t xml:space="preserve"> В отраслях, связанных с информационными технологиями, фармацевтикой и химической промышленностью, </w:t>
      </w:r>
      <w:r w:rsidR="00305DCC">
        <w:rPr>
          <w:rFonts w:ascii="Times New Roman" w:hAnsi="Times New Roman" w:cs="Times New Roman"/>
          <w:sz w:val="24"/>
          <w:szCs w:val="24"/>
        </w:rPr>
        <w:t>статистически значимой взаимосвязи между</w:t>
      </w:r>
      <w:r w:rsidR="00EB46C1" w:rsidRPr="00A312C5">
        <w:rPr>
          <w:rFonts w:ascii="Times New Roman" w:hAnsi="Times New Roman" w:cs="Times New Roman"/>
          <w:sz w:val="24"/>
          <w:szCs w:val="24"/>
        </w:rPr>
        <w:t xml:space="preserve"> капиталоемкостью компании и интенсивностью НИОКР</w:t>
      </w:r>
      <w:r w:rsidR="00305DCC">
        <w:rPr>
          <w:rFonts w:ascii="Times New Roman" w:hAnsi="Times New Roman" w:cs="Times New Roman"/>
          <w:sz w:val="24"/>
          <w:szCs w:val="24"/>
        </w:rPr>
        <w:t xml:space="preserve"> не наблюдается</w:t>
      </w:r>
      <w:r w:rsidR="00EB46C1" w:rsidRPr="00A312C5">
        <w:rPr>
          <w:rFonts w:ascii="Times New Roman" w:hAnsi="Times New Roman" w:cs="Times New Roman"/>
          <w:sz w:val="24"/>
          <w:szCs w:val="24"/>
        </w:rPr>
        <w:t xml:space="preserve">.  Единственным статистически значимым фактором из изученных нами в отрасли производства продуктов питания является операционная рентабельность компании. </w:t>
      </w:r>
      <w:r w:rsidR="005A6F68">
        <w:rPr>
          <w:rFonts w:ascii="Times New Roman" w:hAnsi="Times New Roman" w:cs="Times New Roman"/>
          <w:sz w:val="24"/>
          <w:szCs w:val="24"/>
        </w:rPr>
        <w:t xml:space="preserve">Коэффициент перед соответствующей переменной также имеет наибольшее значение по модулю. Возможно, это связано с характером проектов НИОКР в данной отрасли: они менее долгосрочны и масштабны, чем исследования в оборонной и фармацевтической отраслях. </w:t>
      </w:r>
    </w:p>
    <w:p w14:paraId="3AE7A6F6" w14:textId="423A64A9" w:rsidR="001852BA" w:rsidRPr="00A312C5" w:rsidRDefault="001852B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2"/>
    <w:p w14:paraId="037CDF77" w14:textId="77777777" w:rsidR="00022355" w:rsidRPr="00A312C5" w:rsidRDefault="00022355" w:rsidP="002376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br w:type="page"/>
      </w:r>
    </w:p>
    <w:p w14:paraId="5AF93AE6" w14:textId="7B10F379" w:rsidR="00022355" w:rsidRPr="00A312C5" w:rsidRDefault="00022355" w:rsidP="00237685">
      <w:pPr>
        <w:pStyle w:val="1"/>
        <w:spacing w:before="0" w:beforeAutospacing="0" w:after="0" w:afterAutospacing="0"/>
        <w:ind w:firstLine="709"/>
        <w:rPr>
          <w:szCs w:val="24"/>
        </w:rPr>
      </w:pPr>
      <w:bookmarkStart w:id="43" w:name="_Toc73538442"/>
      <w:r w:rsidRPr="00A312C5">
        <w:rPr>
          <w:szCs w:val="24"/>
        </w:rPr>
        <w:lastRenderedPageBreak/>
        <w:t>ЗАКЛЮЧЕНИЕ</w:t>
      </w:r>
      <w:bookmarkEnd w:id="43"/>
    </w:p>
    <w:p w14:paraId="6E3D6283" w14:textId="6F723500" w:rsidR="00920510" w:rsidRPr="00A312C5" w:rsidRDefault="0002235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Обратимся к цели, </w:t>
      </w:r>
      <w:r w:rsidR="005A6F68">
        <w:rPr>
          <w:rFonts w:ascii="Times New Roman" w:hAnsi="Times New Roman" w:cs="Times New Roman"/>
          <w:sz w:val="24"/>
          <w:szCs w:val="24"/>
        </w:rPr>
        <w:t>сформулированной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 начале работы над исследованием: выявление факторов, определяющих уровень затрат на НИОКР в компаниях разных отраслей. Для достижения поставленной цели было проведено эмпирическое исследование на основе данных отчета Европейского Союза об отраслевых инвестициях в НИОКР, включающее 28047 наблюдений</w:t>
      </w:r>
      <w:r w:rsidR="00AD542A" w:rsidRPr="00A312C5">
        <w:rPr>
          <w:rFonts w:ascii="Times New Roman" w:hAnsi="Times New Roman" w:cs="Times New Roman"/>
          <w:sz w:val="24"/>
          <w:szCs w:val="24"/>
        </w:rPr>
        <w:t xml:space="preserve">, а также построены четыре многофакторные регрессионные модели по отраслевым </w:t>
      </w:r>
      <w:proofErr w:type="spellStart"/>
      <w:r w:rsidR="00AD542A" w:rsidRPr="00A312C5">
        <w:rPr>
          <w:rFonts w:ascii="Times New Roman" w:hAnsi="Times New Roman" w:cs="Times New Roman"/>
          <w:sz w:val="24"/>
          <w:szCs w:val="24"/>
        </w:rPr>
        <w:t>подвыборкам</w:t>
      </w:r>
      <w:proofErr w:type="spellEnd"/>
      <w:r w:rsidR="00AD542A" w:rsidRPr="00A3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B709D" w14:textId="3D7F96A5" w:rsidR="007D17DF" w:rsidRPr="00A312C5" w:rsidRDefault="0002235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Результаты оценки многофакторной регрессионной модели по панельным данным показали несколько важных взаимосвязей. Была установлена прямая связь между операционной рентабельностью компаний и интенсивностью НИОКР. Это может быть связано с распространенной практикой финансирования научных разработок из операционной прибыли. НИОКР до сих пор</w:t>
      </w:r>
      <w:r w:rsidR="00920510" w:rsidRPr="00A312C5">
        <w:rPr>
          <w:rFonts w:ascii="Times New Roman" w:hAnsi="Times New Roman" w:cs="Times New Roman"/>
          <w:sz w:val="24"/>
          <w:szCs w:val="24"/>
        </w:rPr>
        <w:t xml:space="preserve"> во многих компаниях</w:t>
      </w:r>
      <w:r w:rsidRPr="00A312C5">
        <w:rPr>
          <w:rFonts w:ascii="Times New Roman" w:hAnsi="Times New Roman" w:cs="Times New Roman"/>
          <w:sz w:val="24"/>
          <w:szCs w:val="24"/>
        </w:rPr>
        <w:t xml:space="preserve"> кла</w:t>
      </w:r>
      <w:r w:rsidR="00920510" w:rsidRPr="00A312C5">
        <w:rPr>
          <w:rFonts w:ascii="Times New Roman" w:hAnsi="Times New Roman" w:cs="Times New Roman"/>
          <w:sz w:val="24"/>
          <w:szCs w:val="24"/>
        </w:rPr>
        <w:t>ссифицируются как дискреционные расходы, которые можно исключить из формирования бюджета в случае снижения прибыли, что объясняет характер выявленной взаимосвязи.</w:t>
      </w:r>
      <w:r w:rsidR="007D17DF" w:rsidRPr="00A312C5">
        <w:rPr>
          <w:rFonts w:ascii="Times New Roman" w:hAnsi="Times New Roman" w:cs="Times New Roman"/>
          <w:sz w:val="24"/>
          <w:szCs w:val="24"/>
        </w:rPr>
        <w:t xml:space="preserve"> Однако, в рамках данной работы не было затронуто долговое финансирование научных </w:t>
      </w:r>
      <w:r w:rsidR="00267ECF">
        <w:rPr>
          <w:rFonts w:ascii="Times New Roman" w:hAnsi="Times New Roman" w:cs="Times New Roman"/>
          <w:sz w:val="24"/>
          <w:szCs w:val="24"/>
        </w:rPr>
        <w:t>разработок</w:t>
      </w:r>
      <w:r w:rsidR="007D17DF" w:rsidRPr="00A312C5">
        <w:rPr>
          <w:rFonts w:ascii="Times New Roman" w:hAnsi="Times New Roman" w:cs="Times New Roman"/>
          <w:sz w:val="24"/>
          <w:szCs w:val="24"/>
        </w:rPr>
        <w:t xml:space="preserve">, что может стать задачей для будущих исследований. </w:t>
      </w:r>
    </w:p>
    <w:p w14:paraId="143CD980" w14:textId="7003FD88" w:rsidR="00022355" w:rsidRPr="00A312C5" w:rsidRDefault="00920510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 Кроме того, была установлена </w:t>
      </w:r>
      <w:r w:rsidR="00AD542A" w:rsidRPr="00A312C5">
        <w:rPr>
          <w:rFonts w:ascii="Times New Roman" w:hAnsi="Times New Roman" w:cs="Times New Roman"/>
          <w:sz w:val="24"/>
          <w:szCs w:val="24"/>
        </w:rPr>
        <w:t>прямая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взаимосвязь между переменной, описывающей отношение выручки к числу работников в отрасли, и интенсивностью НИОКР. </w:t>
      </w:r>
      <w:r w:rsidR="00AE785A" w:rsidRPr="00A312C5">
        <w:rPr>
          <w:rFonts w:ascii="Times New Roman" w:hAnsi="Times New Roman" w:cs="Times New Roman"/>
          <w:sz w:val="24"/>
          <w:szCs w:val="24"/>
        </w:rPr>
        <w:t xml:space="preserve">Рост продаж </w:t>
      </w:r>
      <w:r w:rsidR="0015578A" w:rsidRPr="00A312C5">
        <w:rPr>
          <w:rFonts w:ascii="Times New Roman" w:hAnsi="Times New Roman" w:cs="Times New Roman"/>
          <w:sz w:val="24"/>
          <w:szCs w:val="24"/>
        </w:rPr>
        <w:t>является индикатором результативности компании и</w:t>
      </w:r>
      <w:r w:rsidR="00267ECF">
        <w:rPr>
          <w:rFonts w:ascii="Times New Roman" w:hAnsi="Times New Roman" w:cs="Times New Roman"/>
          <w:sz w:val="24"/>
          <w:szCs w:val="24"/>
        </w:rPr>
        <w:t>,</w:t>
      </w:r>
      <w:r w:rsidR="0015578A" w:rsidRPr="00A312C5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267ECF">
        <w:rPr>
          <w:rFonts w:ascii="Times New Roman" w:hAnsi="Times New Roman" w:cs="Times New Roman"/>
          <w:sz w:val="24"/>
          <w:szCs w:val="24"/>
        </w:rPr>
        <w:t>,</w:t>
      </w:r>
      <w:r w:rsidR="0015578A" w:rsidRPr="00A312C5">
        <w:rPr>
          <w:rFonts w:ascii="Times New Roman" w:hAnsi="Times New Roman" w:cs="Times New Roman"/>
          <w:sz w:val="24"/>
          <w:szCs w:val="24"/>
        </w:rPr>
        <w:t xml:space="preserve"> подталкивает менеджмент больше инвестировать в НИОКР, чтобы сохранить положительную тенденцию.</w:t>
      </w:r>
    </w:p>
    <w:p w14:paraId="3692B8F6" w14:textId="7B4AEC64" w:rsidR="009246A8" w:rsidRPr="00A312C5" w:rsidRDefault="009246A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Также важным результатом проведенного исследования является выявленная обратная взаимосвязь между стандартным отклонением ценности фирмы и интенсивностью НИОКР. Это может быть косвенным свидетельством того, что даже в самых развитых с технологической точки зрения компаниях </w:t>
      </w:r>
      <w:r w:rsidR="00B900EA">
        <w:rPr>
          <w:rFonts w:ascii="Times New Roman" w:hAnsi="Times New Roman" w:cs="Times New Roman"/>
          <w:sz w:val="24"/>
          <w:szCs w:val="24"/>
        </w:rPr>
        <w:t>инвестиции в НИОКР не оцениваются как реальные опционы</w:t>
      </w:r>
      <w:r w:rsidRPr="00A312C5">
        <w:rPr>
          <w:rFonts w:ascii="Times New Roman" w:hAnsi="Times New Roman" w:cs="Times New Roman"/>
          <w:sz w:val="24"/>
          <w:szCs w:val="24"/>
        </w:rPr>
        <w:t xml:space="preserve">. Высокая волатильность воспринимается как угроза, а не дополнительная возможность извлечь выгоду. </w:t>
      </w:r>
      <w:r w:rsidR="00B900EA">
        <w:rPr>
          <w:rFonts w:ascii="Times New Roman" w:hAnsi="Times New Roman" w:cs="Times New Roman"/>
          <w:sz w:val="24"/>
          <w:szCs w:val="24"/>
        </w:rPr>
        <w:t xml:space="preserve">Компании, оперирующие в изменчивых и нестабильных отраслях экономики, менее охотно инвестируют в проекты в сфере НИОКР, так как подобные инвестиции носят долгосрочный характер и связаны с дополнительными рисками. </w:t>
      </w:r>
    </w:p>
    <w:p w14:paraId="031B70DF" w14:textId="41B1A7FF" w:rsidR="007D17DF" w:rsidRPr="00A312C5" w:rsidRDefault="0007198B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>Гипотеза о наличии п</w:t>
      </w:r>
      <w:r w:rsidR="007D17DF" w:rsidRPr="00A312C5">
        <w:rPr>
          <w:rFonts w:ascii="Times New Roman" w:hAnsi="Times New Roman" w:cs="Times New Roman"/>
          <w:sz w:val="24"/>
          <w:szCs w:val="24"/>
        </w:rPr>
        <w:t>рям</w:t>
      </w:r>
      <w:r w:rsidRPr="00A312C5">
        <w:rPr>
          <w:rFonts w:ascii="Times New Roman" w:hAnsi="Times New Roman" w:cs="Times New Roman"/>
          <w:sz w:val="24"/>
          <w:szCs w:val="24"/>
        </w:rPr>
        <w:t>ой</w:t>
      </w:r>
      <w:r w:rsidR="007D17DF" w:rsidRPr="00A312C5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Pr="00A312C5">
        <w:rPr>
          <w:rFonts w:ascii="Times New Roman" w:hAnsi="Times New Roman" w:cs="Times New Roman"/>
          <w:sz w:val="24"/>
          <w:szCs w:val="24"/>
        </w:rPr>
        <w:t>и</w:t>
      </w:r>
      <w:r w:rsidR="007D17DF" w:rsidRPr="00A312C5">
        <w:rPr>
          <w:rFonts w:ascii="Times New Roman" w:hAnsi="Times New Roman" w:cs="Times New Roman"/>
          <w:sz w:val="24"/>
          <w:szCs w:val="24"/>
        </w:rPr>
        <w:t xml:space="preserve"> между рентабельностью собственных активов и интенсивностью НИОКР</w:t>
      </w:r>
      <w:r w:rsidR="00AD542A" w:rsidRPr="00A312C5">
        <w:rPr>
          <w:rFonts w:ascii="Times New Roman" w:hAnsi="Times New Roman" w:cs="Times New Roman"/>
          <w:sz w:val="24"/>
          <w:szCs w:val="24"/>
        </w:rPr>
        <w:t xml:space="preserve"> не</w:t>
      </w:r>
      <w:r w:rsidR="007D17DF" w:rsidRPr="00A312C5">
        <w:rPr>
          <w:rFonts w:ascii="Times New Roman" w:hAnsi="Times New Roman" w:cs="Times New Roman"/>
          <w:sz w:val="24"/>
          <w:szCs w:val="24"/>
        </w:rPr>
        <w:t xml:space="preserve"> </w:t>
      </w:r>
      <w:r w:rsidRPr="00A312C5">
        <w:rPr>
          <w:rFonts w:ascii="Times New Roman" w:hAnsi="Times New Roman" w:cs="Times New Roman"/>
          <w:sz w:val="24"/>
          <w:szCs w:val="24"/>
        </w:rPr>
        <w:t>подтвердилась</w:t>
      </w:r>
      <w:r w:rsidR="00AD542A" w:rsidRPr="00A312C5">
        <w:rPr>
          <w:rFonts w:ascii="Times New Roman" w:hAnsi="Times New Roman" w:cs="Times New Roman"/>
          <w:sz w:val="24"/>
          <w:szCs w:val="24"/>
        </w:rPr>
        <w:t>.</w:t>
      </w:r>
      <w:r w:rsidRPr="00A312C5">
        <w:rPr>
          <w:rFonts w:ascii="Times New Roman" w:hAnsi="Times New Roman" w:cs="Times New Roman"/>
          <w:sz w:val="24"/>
          <w:szCs w:val="24"/>
        </w:rPr>
        <w:t xml:space="preserve"> Для поиска </w:t>
      </w:r>
      <w:r w:rsidR="00AD542A" w:rsidRPr="00A312C5">
        <w:rPr>
          <w:rFonts w:ascii="Times New Roman" w:hAnsi="Times New Roman" w:cs="Times New Roman"/>
          <w:sz w:val="24"/>
          <w:szCs w:val="24"/>
        </w:rPr>
        <w:t>статистически значимой</w:t>
      </w:r>
      <w:r w:rsidRPr="00A312C5">
        <w:rPr>
          <w:rFonts w:ascii="Times New Roman" w:hAnsi="Times New Roman" w:cs="Times New Roman"/>
          <w:sz w:val="24"/>
          <w:szCs w:val="24"/>
        </w:rPr>
        <w:t xml:space="preserve"> взаимосвязи может потребоваться рассмотреть иную выборку, более объемную и несмещенную относительно компаний, активно инвестирующих в НИОКР.</w:t>
      </w:r>
    </w:p>
    <w:p w14:paraId="22BCB9BC" w14:textId="3184514B" w:rsidR="00BC638D" w:rsidRPr="00A312C5" w:rsidRDefault="00AD542A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lastRenderedPageBreak/>
        <w:t>Заключительным этапом исследования стало выявление драйверов роста интенсивности НИОКР в четырех отраслях</w:t>
      </w:r>
      <w:r w:rsidR="00BC638D" w:rsidRPr="00A312C5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975C09">
        <w:rPr>
          <w:rFonts w:ascii="Times New Roman" w:hAnsi="Times New Roman" w:cs="Times New Roman"/>
          <w:sz w:val="24"/>
          <w:szCs w:val="24"/>
        </w:rPr>
        <w:t>:</w:t>
      </w:r>
      <w:r w:rsidR="00BC638D" w:rsidRPr="00A312C5">
        <w:rPr>
          <w:rFonts w:ascii="Times New Roman" w:hAnsi="Times New Roman" w:cs="Times New Roman"/>
          <w:sz w:val="24"/>
          <w:szCs w:val="24"/>
        </w:rPr>
        <w:t xml:space="preserve"> авиакосмическая промышленность и оборона, информационные технологии, фармацевтика и химическая промышленность, производство продуктов питания. </w:t>
      </w:r>
      <w:r w:rsidR="0054008F" w:rsidRPr="00A312C5">
        <w:rPr>
          <w:rFonts w:ascii="Times New Roman" w:hAnsi="Times New Roman" w:cs="Times New Roman"/>
          <w:sz w:val="24"/>
          <w:szCs w:val="24"/>
        </w:rPr>
        <w:t xml:space="preserve">Операционная рентабельность компании и интенсивность НИОКР показали устойчивую прямую взаимосвязь во всех четырех </w:t>
      </w:r>
      <w:proofErr w:type="spellStart"/>
      <w:r w:rsidR="0054008F" w:rsidRPr="00A312C5">
        <w:rPr>
          <w:rFonts w:ascii="Times New Roman" w:hAnsi="Times New Roman" w:cs="Times New Roman"/>
          <w:sz w:val="24"/>
          <w:szCs w:val="24"/>
        </w:rPr>
        <w:t>подвыбоках</w:t>
      </w:r>
      <w:proofErr w:type="spellEnd"/>
      <w:r w:rsidR="0054008F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2B439F" w:rsidRPr="00A312C5">
        <w:rPr>
          <w:rFonts w:ascii="Times New Roman" w:hAnsi="Times New Roman" w:cs="Times New Roman"/>
          <w:sz w:val="24"/>
          <w:szCs w:val="24"/>
        </w:rPr>
        <w:t>Капиталоемкость компании является драйвером роста интенсивности НИОКР в оборонной отрасли, в отличии от отраслей, связанных с информационными технологиями</w:t>
      </w:r>
      <w:r w:rsidR="00975C09">
        <w:rPr>
          <w:rFonts w:ascii="Times New Roman" w:hAnsi="Times New Roman" w:cs="Times New Roman"/>
          <w:sz w:val="24"/>
          <w:szCs w:val="24"/>
        </w:rPr>
        <w:t>, производством продуктов питания</w:t>
      </w:r>
      <w:r w:rsidR="002B439F" w:rsidRPr="00A312C5">
        <w:rPr>
          <w:rFonts w:ascii="Times New Roman" w:hAnsi="Times New Roman" w:cs="Times New Roman"/>
          <w:sz w:val="24"/>
          <w:szCs w:val="24"/>
        </w:rPr>
        <w:t xml:space="preserve"> и фармацевтикой, где </w:t>
      </w:r>
      <w:r w:rsidR="00305DCC">
        <w:rPr>
          <w:rFonts w:ascii="Times New Roman" w:hAnsi="Times New Roman" w:cs="Times New Roman"/>
          <w:sz w:val="24"/>
          <w:szCs w:val="24"/>
        </w:rPr>
        <w:t>не наблюдается статистически значимой взаимосвязи</w:t>
      </w:r>
      <w:r w:rsidR="002B439F" w:rsidRPr="00A312C5">
        <w:rPr>
          <w:rFonts w:ascii="Times New Roman" w:hAnsi="Times New Roman" w:cs="Times New Roman"/>
          <w:sz w:val="24"/>
          <w:szCs w:val="24"/>
        </w:rPr>
        <w:t xml:space="preserve">. </w:t>
      </w:r>
      <w:r w:rsidR="00B900EA">
        <w:rPr>
          <w:rFonts w:ascii="Times New Roman" w:hAnsi="Times New Roman" w:cs="Times New Roman"/>
          <w:sz w:val="24"/>
          <w:szCs w:val="24"/>
        </w:rPr>
        <w:t xml:space="preserve">Можно предположить, что компании оборонной отрасли чаще капитализируют затраты на НИОКР, ввиду масштаба и длительного периода реализации таких проектов. </w:t>
      </w:r>
    </w:p>
    <w:p w14:paraId="52D03628" w14:textId="0EA56BE3" w:rsidR="00022355" w:rsidRPr="00A312C5" w:rsidRDefault="009246A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t xml:space="preserve">Таким образом цель исследования была достигнута, а задачи успешно реализованы. </w:t>
      </w:r>
      <w:r w:rsidR="00022355" w:rsidRPr="00A312C5">
        <w:rPr>
          <w:rFonts w:ascii="Times New Roman" w:hAnsi="Times New Roman" w:cs="Times New Roman"/>
          <w:sz w:val="24"/>
          <w:szCs w:val="24"/>
        </w:rPr>
        <w:t>Данное исследование может быть полезно для менеджеров</w:t>
      </w:r>
      <w:r w:rsidR="00B900EA">
        <w:rPr>
          <w:rFonts w:ascii="Times New Roman" w:hAnsi="Times New Roman" w:cs="Times New Roman"/>
          <w:sz w:val="24"/>
          <w:szCs w:val="24"/>
        </w:rPr>
        <w:t xml:space="preserve"> диверсифицированных</w:t>
      </w:r>
      <w:r w:rsidR="00022355" w:rsidRPr="00A312C5">
        <w:rPr>
          <w:rFonts w:ascii="Times New Roman" w:hAnsi="Times New Roman" w:cs="Times New Roman"/>
          <w:sz w:val="24"/>
          <w:szCs w:val="24"/>
        </w:rPr>
        <w:t xml:space="preserve"> компаний, оперирующих в разных отраслях экономики и реализующих научно-исследовательские проекты. Также результаты проведенного анализа могут помочь в формировании некого бенчмарка</w:t>
      </w:r>
      <w:r w:rsidR="00B900EA">
        <w:rPr>
          <w:rFonts w:ascii="Times New Roman" w:hAnsi="Times New Roman" w:cs="Times New Roman"/>
          <w:sz w:val="24"/>
          <w:szCs w:val="24"/>
        </w:rPr>
        <w:t xml:space="preserve"> в сфере НИОКР</w:t>
      </w:r>
      <w:r w:rsidR="00022355" w:rsidRPr="00A312C5">
        <w:rPr>
          <w:rFonts w:ascii="Times New Roman" w:hAnsi="Times New Roman" w:cs="Times New Roman"/>
          <w:sz w:val="24"/>
          <w:szCs w:val="24"/>
        </w:rPr>
        <w:t xml:space="preserve">, так как для исследования были выбраны организации, вошедшие в топ 2500 инвесторов в сфере НИОКР в разные периоды. </w:t>
      </w:r>
    </w:p>
    <w:p w14:paraId="54595DB2" w14:textId="77777777" w:rsidR="00022355" w:rsidRPr="00A312C5" w:rsidRDefault="00022355" w:rsidP="00237685">
      <w:pPr>
        <w:ind w:firstLine="709"/>
        <w:rPr>
          <w:rFonts w:ascii="Times New Roman" w:hAnsi="Times New Roman" w:cs="Times New Roman"/>
          <w:lang w:eastAsia="ru-RU"/>
        </w:rPr>
      </w:pPr>
    </w:p>
    <w:p w14:paraId="03C96701" w14:textId="77777777" w:rsidR="00314B1E" w:rsidRPr="00A312C5" w:rsidRDefault="00314B1E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90E66" w14:textId="45297C29" w:rsidR="007A5768" w:rsidRPr="00A312C5" w:rsidRDefault="007A5768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3E2B8" w14:textId="3EAD1180" w:rsidR="00EC784C" w:rsidRPr="00A312C5" w:rsidRDefault="00EC784C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sz w:val="24"/>
          <w:szCs w:val="24"/>
        </w:rPr>
        <w:br w:type="page"/>
      </w:r>
    </w:p>
    <w:p w14:paraId="02C91440" w14:textId="27CE86F4" w:rsidR="00983350" w:rsidRPr="005D19E4" w:rsidRDefault="00DC2958" w:rsidP="000255E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44" w:name="_Toc73538443"/>
      <w:r w:rsidRPr="00A312C5">
        <w:rPr>
          <w:rStyle w:val="10"/>
          <w:rFonts w:eastAsiaTheme="minorHAnsi"/>
        </w:rPr>
        <w:lastRenderedPageBreak/>
        <w:t>СПИСОК</w:t>
      </w:r>
      <w:r w:rsidRPr="005D19E4">
        <w:rPr>
          <w:rStyle w:val="10"/>
          <w:rFonts w:eastAsiaTheme="minorHAnsi"/>
          <w:lang w:val="en-US"/>
        </w:rPr>
        <w:t xml:space="preserve"> </w:t>
      </w:r>
      <w:r w:rsidRPr="00A312C5">
        <w:rPr>
          <w:rStyle w:val="10"/>
          <w:rFonts w:eastAsiaTheme="minorHAnsi"/>
        </w:rPr>
        <w:t>ИСПОЛЬЗОВАННОЙ</w:t>
      </w:r>
      <w:r w:rsidRPr="005D19E4">
        <w:rPr>
          <w:rStyle w:val="10"/>
          <w:rFonts w:eastAsiaTheme="minorHAnsi"/>
          <w:lang w:val="en-US"/>
        </w:rPr>
        <w:t xml:space="preserve"> </w:t>
      </w:r>
      <w:r w:rsidRPr="00A312C5">
        <w:rPr>
          <w:rStyle w:val="10"/>
          <w:rFonts w:eastAsiaTheme="minorHAnsi"/>
        </w:rPr>
        <w:t>ЛИТЕРАТУРЫ</w:t>
      </w:r>
      <w:bookmarkEnd w:id="44"/>
      <w:r w:rsidRPr="005D19E4">
        <w:rPr>
          <w:rStyle w:val="10"/>
          <w:rFonts w:eastAsiaTheme="minorHAnsi"/>
          <w:lang w:val="en-US"/>
        </w:rPr>
        <w:t xml:space="preserve"> </w:t>
      </w:r>
    </w:p>
    <w:p w14:paraId="573D887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Блейман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Н. НИОКР нашего времени / Н.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Блейман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// РБК+ Устойчивые инновации. – 2017. – № 1. – С.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2-3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A8918B" w14:textId="0E261E56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Брейли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Р. Принципы корпоративных финансов. Базовый курс: пер. с англ. / Р.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Брейли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С. Майерс, Ф. Аллен. ─ 2-е изд. ─ М.: ООО «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И.Д.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Вильямс», 2018. ─ </w:t>
      </w:r>
      <w:r w:rsidR="00A106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576</w:t>
      </w:r>
      <w:r w:rsidR="00A106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E485AB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Бухвалов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В. Реальные опционы в менеджменте: введение в проблему //Российский журнал менеджмента. – 2004. – Т. 2. – №. 1.</w:t>
      </w:r>
    </w:p>
    <w:p w14:paraId="00E8DAD9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Дамодаран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Инвестиционная оценка: инструменты и методы оценки любых активов //М.: Альпина бизнес букс. – 2005. – Т. 1. – С. 341.</w:t>
      </w:r>
    </w:p>
    <w:p w14:paraId="002075A0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Маркс К., Энгельс Ф., Сочинения М. Государственное издательство политической литературы //Т. – 1955. – Т. 3. – С. 612.</w:t>
      </w:r>
    </w:p>
    <w:p w14:paraId="784D36D7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Смит А. Исследование о природе и причинах богатства народов. –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Litres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2019.</w:t>
      </w:r>
    </w:p>
    <w:p w14:paraId="453DD8E4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Шумпетер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Й. Теория экономического развития: Исследования предпринимательской прибыли, капитала, кредита и цикла конъюнктуры. – М.: Прогресс, 1982.</w:t>
      </w:r>
    </w:p>
    <w:p w14:paraId="256F3EB0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2019 global R&amp;D funding forecast, Supplement.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Mar.,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2019 // R&amp;D Magazine. – 2019. – № 1.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21-30.</w:t>
      </w:r>
    </w:p>
    <w:p w14:paraId="37C4A4A7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Alam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A., Uddin M.,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Yazdifar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H. Institutional determinants of R&amp;D investment: Evidence from emerging markets //Technological Forecasting and Social Change. – 2019.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138.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34-44.</w:t>
      </w:r>
    </w:p>
    <w:p w14:paraId="0DED75C9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Amore M. D. Companies learning to innovate in recessions //Research Policy. – 2015.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44. – №. 8.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1574-1583.</w:t>
      </w:r>
    </w:p>
    <w:p w14:paraId="69CC4EB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Ashraful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Alam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Moshfique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Uddin, Hassan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Yazdifar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 Institutional determinants of R&amp;D investment: Evidence from emerging markets</w:t>
      </w:r>
    </w:p>
    <w:p w14:paraId="5DF40915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Brennan, T., Ernst. P. Building an R&amp;D strategy for modern times. Nov. 3, 2020 //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bookmarkStart w:id="45" w:name="_Hlk69291646"/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McKinsey&amp;Company</w:t>
      </w:r>
      <w:bookmarkEnd w:id="45"/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McKinsey&amp;Company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2021. ─ URL: </w:t>
      </w:r>
      <w:hyperlink r:id="rId16" w:history="1">
        <w:r w:rsidRPr="005441A1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Building an R&amp;D strategy for modern times | McKinsey</w:t>
        </w:r>
      </w:hyperlink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: 17.03.2021). </w:t>
      </w:r>
    </w:p>
    <w:p w14:paraId="760D6595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Brouwer E.,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Kleinknecht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 Determinants of innovation: a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microeconometric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analysis of three alternative innovation output indicators //Determinants of innovation. – Palgrave Macmillan, London, 1996.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99-124.</w:t>
      </w:r>
    </w:p>
    <w:p w14:paraId="7AFF081A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Bukhvalov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 V. A real options model for analysis of industrial R&amp;D expenditures /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Bukhvalov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A. V.,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Loukianova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A. E.,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Nikulin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E. D., &amp;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Okulov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 V. L. //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Российский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менеджмента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– 2018.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16. – №. 3.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393–406-393–406.</w:t>
      </w:r>
    </w:p>
    <w:p w14:paraId="24E6BAC5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Chen H. L. Board capital, CEO power and R&amp;D investment in electronics firms //Corporate Governance: An International Review. – 2014.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22. – №. 5.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422-436.</w:t>
      </w:r>
    </w:p>
    <w:p w14:paraId="4297CBA4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Chen H. L. Board capital, CEO power and R&amp;D investment in electronics firms //Corporate Governance: An International Review. – 2014. – Т. 22. – №. 5. – С. 422-436.</w:t>
      </w:r>
    </w:p>
    <w:p w14:paraId="546C35A2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Chen H. L., Hsu W. T. Family ownership, board independence, and R&amp;D investment //Family business review. – 2009.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22. – №. 4.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347-362.</w:t>
      </w:r>
    </w:p>
    <w:p w14:paraId="565266A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eastAsiaTheme="minorEastAsia"/>
          <w:szCs w:val="24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Damodaran A. 2021. Standard Deviations by Sector (US).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[Электронный ресурс]. </w:t>
      </w:r>
      <w:hyperlink r:id="rId17" w:history="1"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://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pages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stern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nyu</w:t>
        </w:r>
        <w:proofErr w:type="spellEnd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/~</w:t>
        </w:r>
        <w:proofErr w:type="spellStart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adamodar</w:t>
        </w:r>
        <w:proofErr w:type="spellEnd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New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_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Home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_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Page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datafile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optvar</w:t>
        </w:r>
        <w:proofErr w:type="spellEnd"/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 w:rsidRPr="005441A1">
          <w:rPr>
            <w:rStyle w:val="a7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html</w:t>
        </w:r>
      </w:hyperlink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accessed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17.03.2021).</w:t>
      </w:r>
    </w:p>
    <w:p w14:paraId="32384C70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Damodaran A., «Research and Development Expenses: Implications for Profitability Measurement and Valuation», Stern School of Business. – 1999. – С. 1-9.</w:t>
      </w:r>
    </w:p>
    <w:p w14:paraId="34D93AA2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Damodaran, A. Firm Value and Equity Standard Deviations (for use in real option pricing models).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Jan.,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2021 / A. Damodaran //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NYU Stern. – NYU Stern 2021. ─ URL: </w:t>
      </w:r>
      <w:hyperlink r:id="rId18" w:history="1">
        <w:r w:rsidRPr="005441A1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Standard Deviations in Equity and Firm Value (nyu.edu)</w:t>
        </w:r>
      </w:hyperlink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 10.03.2021).</w:t>
      </w:r>
    </w:p>
    <w:p w14:paraId="0CAB1971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Dosi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G. Sources, procedures, and microeconomic effects of innovation //Journal of economic literature. – 1988.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1120-1171.</w:t>
      </w:r>
    </w:p>
    <w:p w14:paraId="1AFBCD8F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Fagerberg J. et al. (ed.). The Oxford handbook of innovation. – Oxford university press, 2005.</w:t>
      </w:r>
    </w:p>
    <w:p w14:paraId="4909A1B1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Fisher F. M., Temin P. Returns to scale in research and development: What does the Schumpeterian hypothesis imply? //Journal of Political Economy. – 1973.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81. – №. 1.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56-70.</w:t>
      </w:r>
    </w:p>
    <w:p w14:paraId="118CECBA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Flammer C.,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Ioannou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I. The dog that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didn’t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bark: Long-term strategies in times of recession //Available at SSRN. – 2015.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2621247.</w:t>
      </w:r>
    </w:p>
    <w:p w14:paraId="666264D9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Govindarajan V.,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Time to Stop Treating R&amp;D as a Discretionary Expenditure/ S.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Rajgopal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A. Srivastava // Harvard Business Review. – 2019. – Vol. 1, N 1.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92-99.  </w:t>
      </w:r>
    </w:p>
    <w:p w14:paraId="67C3CB65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Grabowski H. G. The determinants of industrial research and development: A study of the chemical, drug, and petroleum industries //Journal of political economy. – 1968. – Т. 76. – №. 2. – С. 292-306.</w:t>
      </w:r>
    </w:p>
    <w:p w14:paraId="5D5ED77A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Greer, Douglas F., and Stephen A. Rhoades, "Concentration and Productivity Changes in the Long and Short Run." Southern Economic Journal, October 1976, 1031-44.</w:t>
      </w:r>
    </w:p>
    <w:p w14:paraId="1A7D51D8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Hirsch‐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Kreinsen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H., Jacobson D., Robertson P. L. ‘Low‐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tech’Industries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: Innovativeness and Development Perspectives—A Summary of a European Research Project //Prometheus. – 2006.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24. – №. 1.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3-21.</w:t>
      </w:r>
    </w:p>
    <w:p w14:paraId="54B97BDF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International Accounting Standards Board. International Accounting Standards IAS 36, Impairment of Assets, and IAS 38, Intangible Assets. – International Accounting Standards Board, 2004.</w:t>
      </w:r>
    </w:p>
    <w:p w14:paraId="6AD200E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J.A. Schumpeter, “Capitalism, Socialism and Democracy,” Harper, New York, 1942, p. 106.</w:t>
      </w:r>
    </w:p>
    <w:p w14:paraId="1578ED5E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Kayal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 A. R&amp;D Intensity: An empirical analysis of its relation to the structure of the manufacturing sector in OECD countries //International Journal of Technology Management &amp; Sustainable Development. – 2016.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15. – №. 1.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61-81.</w:t>
      </w:r>
    </w:p>
    <w:p w14:paraId="5B36EE0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Ker D. 2013. Service Lives of R&amp;D Assets: Questionnaire Approach, Office for National Statistic UK. – URL: http:// </w:t>
      </w:r>
      <w:hyperlink r:id="rId19" w:history="1">
        <w:r w:rsidRPr="005441A1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www.ons.gov.uk/ons/dcp171766_304418</w:t>
        </w:r>
      </w:hyperlink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 01.02.2021).</w:t>
      </w:r>
    </w:p>
    <w:p w14:paraId="6555D223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Kleinknecht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A., Van Montfort K., Brouwer E. The non-trivial choice between innovation indicators //Economics of Innovation and new technology. – 2002.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11. – №. 2.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109-121.</w:t>
      </w:r>
    </w:p>
    <w:p w14:paraId="286B7BE2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Laursen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K., Salter A. Open for innovation: the role of openness in explaining innovation performance among UK manufacturing firms //Strategic management journal. – 2006.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27. – №. 2.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131-150.</w:t>
      </w:r>
    </w:p>
    <w:p w14:paraId="3E7C478C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Manual F. Frascati Manual 2015: Guidelines for Collecting and Reporting Data on Research and Experimental Development.</w:t>
      </w:r>
    </w:p>
    <w:p w14:paraId="40D19369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Mestre-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Ferrandiz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J. et al. The R&amp;D cost of a new medicine //Monographs. – 2012.</w:t>
      </w:r>
    </w:p>
    <w:p w14:paraId="4310FCE9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Pavitt K. Sectoral patterns of technical change: towards a taxonomy and a theory //Research policy. – 1984.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13. – №. 6.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343-373.</w:t>
      </w:r>
    </w:p>
    <w:p w14:paraId="7DC34158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Porter M. E. Competitive Strategy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Free Press: New York //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PorterCompetitive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Strategy1980. – 1980.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324-425.</w:t>
      </w:r>
    </w:p>
    <w:p w14:paraId="46AED0D8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Rhaiem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K., Amara N. Learning from innovation failures: A systematic review of the literature and research agenda //Review of Managerial Science. – 2019.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1-46.</w:t>
      </w:r>
    </w:p>
    <w:p w14:paraId="3B8EBC52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Russell F. Industry classification benchmark (ICB) //London: FTSE International Limited and Frank Russell Company. – 2018. – С. 1-22.</w:t>
      </w:r>
    </w:p>
    <w:p w14:paraId="6DDB6510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Scherer F. M. Concentration, R&amp;D, and productivity change //Southern Economic Journal. – 1983.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221-225.</w:t>
      </w:r>
    </w:p>
    <w:p w14:paraId="14C0F766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Scherer F. M. Concentration, R&amp;D, and productivity change //Southern Economic Journal. – 1983. – С. 221-225.</w:t>
      </w:r>
    </w:p>
    <w:p w14:paraId="49DFBCC6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Shefer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D., Frenkel A. R&amp;D, firm </w:t>
      </w:r>
      <w:proofErr w:type="gram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size</w:t>
      </w:r>
      <w:proofErr w:type="gram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and innovation: an empirical analysis //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Technovation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– 2005. – Т. 25. – №. 1. – С. 25-32.</w:t>
      </w:r>
    </w:p>
    <w:p w14:paraId="2759E507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Spescha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A., </w:t>
      </w:r>
      <w:proofErr w:type="spellStart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Woerter</w:t>
      </w:r>
      <w:proofErr w:type="spellEnd"/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M. Innovation and firm growth over the business cycle //Industry and Innovation. – 2019.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26. – №. 3. –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 321-347.</w:t>
      </w:r>
    </w:p>
    <w:p w14:paraId="3EB40300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 xml:space="preserve">The 2020 EU Industrial R&amp;D Investment Scoreboard. Publications Office of the European Union: Luxembourg. – URL: </w:t>
      </w:r>
      <w:hyperlink r:id="rId20" w:history="1">
        <w:r w:rsidRPr="005441A1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https://iri.jrc.ec.europa.eu/scoreboard/2020-eu-industrial-rd-investment-scoreboard</w:t>
        </w:r>
      </w:hyperlink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544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</w:t>
      </w: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 01.02.2021).</w:t>
      </w:r>
    </w:p>
    <w:p w14:paraId="1AE3FF74" w14:textId="77777777" w:rsidR="005441A1" w:rsidRPr="005441A1" w:rsidRDefault="005441A1" w:rsidP="005441A1">
      <w:pPr>
        <w:pStyle w:val="a3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441A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Wang E. C. Determinants of R&amp;D investment: The Extreme-Bounds-Analysis approach applied to 26 OECD countries //Research Policy. – 2010. – Т. 39. – №. 1. – С. 103-116.</w:t>
      </w:r>
    </w:p>
    <w:p w14:paraId="1A773FE0" w14:textId="77777777" w:rsidR="005C2F18" w:rsidRPr="005441A1" w:rsidRDefault="005C2F18" w:rsidP="005C2F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A81F8F" w14:textId="4C57A795" w:rsidR="005D19E4" w:rsidRDefault="005D19E4">
      <w:pPr>
        <w:rPr>
          <w:rStyle w:val="10"/>
          <w:rFonts w:eastAsiaTheme="minorHAnsi"/>
        </w:rPr>
      </w:pPr>
      <w:r>
        <w:rPr>
          <w:rStyle w:val="10"/>
          <w:rFonts w:eastAsiaTheme="minorHAnsi"/>
        </w:rPr>
        <w:br w:type="page"/>
      </w:r>
    </w:p>
    <w:p w14:paraId="13895387" w14:textId="05E92411" w:rsidR="003B78ED" w:rsidRDefault="00A312C5" w:rsidP="00237685">
      <w:pPr>
        <w:spacing w:after="0" w:line="360" w:lineRule="auto"/>
        <w:ind w:firstLine="709"/>
        <w:jc w:val="both"/>
        <w:rPr>
          <w:rStyle w:val="10"/>
          <w:rFonts w:eastAsiaTheme="minorHAnsi"/>
        </w:rPr>
      </w:pPr>
      <w:bookmarkStart w:id="46" w:name="_Toc73538444"/>
      <w:r w:rsidRPr="00A312C5">
        <w:rPr>
          <w:rStyle w:val="10"/>
          <w:rFonts w:eastAsiaTheme="minorHAnsi"/>
        </w:rPr>
        <w:lastRenderedPageBreak/>
        <w:t>ПРИЛОЖЕНИЯ</w:t>
      </w:r>
      <w:bookmarkEnd w:id="46"/>
    </w:p>
    <w:p w14:paraId="49ABF282" w14:textId="4AFEC2C0" w:rsidR="00174370" w:rsidRPr="00A312C5" w:rsidRDefault="00174370" w:rsidP="00174370">
      <w:pPr>
        <w:pStyle w:val="2"/>
        <w:ind w:firstLine="708"/>
        <w:rPr>
          <w:rStyle w:val="10"/>
          <w:rFonts w:eastAsiaTheme="minorHAnsi"/>
          <w:b/>
          <w:bCs w:val="0"/>
          <w:kern w:val="0"/>
          <w:sz w:val="22"/>
          <w:szCs w:val="22"/>
          <w:lang w:eastAsia="en-US"/>
        </w:rPr>
      </w:pPr>
      <w:bookmarkStart w:id="47" w:name="_Приложение_1._Отраслевая"/>
      <w:bookmarkStart w:id="48" w:name="_Toc73538445"/>
      <w:bookmarkEnd w:id="47"/>
      <w:r>
        <w:rPr>
          <w:rStyle w:val="10"/>
          <w:rFonts w:eastAsiaTheme="minorHAnsi"/>
          <w:b/>
          <w:bCs w:val="0"/>
          <w:kern w:val="0"/>
          <w:sz w:val="22"/>
          <w:szCs w:val="22"/>
          <w:lang w:eastAsia="en-US"/>
        </w:rPr>
        <w:t>Приложение 1. Отраслевая структура выборки</w:t>
      </w:r>
      <w:bookmarkEnd w:id="48"/>
    </w:p>
    <w:p w14:paraId="42D51D2F" w14:textId="06239E9C" w:rsidR="008C15E6" w:rsidRDefault="00D81D65" w:rsidP="0023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50A70" wp14:editId="479D53BE">
            <wp:extent cx="4985385" cy="8054035"/>
            <wp:effectExtent l="0" t="0" r="5715" b="44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F888145" w14:textId="26A5CE53" w:rsidR="00174370" w:rsidRPr="00174370" w:rsidRDefault="00174370" w:rsidP="00174370">
      <w:pPr>
        <w:ind w:firstLine="708"/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6A6056FD" w14:textId="65CFBF28" w:rsidR="00174370" w:rsidRDefault="00174370" w:rsidP="00174370">
      <w:pPr>
        <w:pStyle w:val="2"/>
        <w:ind w:firstLine="708"/>
      </w:pPr>
      <w:bookmarkStart w:id="49" w:name="_Приложение_2._Географическая"/>
      <w:bookmarkStart w:id="50" w:name="_Toc73538446"/>
      <w:bookmarkEnd w:id="49"/>
      <w:r>
        <w:lastRenderedPageBreak/>
        <w:t>Приложение 2. Географическая структура выборки</w:t>
      </w:r>
      <w:bookmarkEnd w:id="50"/>
    </w:p>
    <w:p w14:paraId="6B0DC25E" w14:textId="5AE01872" w:rsidR="00E26CE4" w:rsidRDefault="00D91FA1" w:rsidP="00237685">
      <w:pPr>
        <w:pStyle w:val="af7"/>
        <w:keepNext/>
        <w:ind w:firstLine="709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A312C5">
        <w:rPr>
          <w:rFonts w:ascii="Times New Roman" w:hAnsi="Times New Roman" w:cs="Times New Roman"/>
          <w:noProof/>
        </w:rPr>
        <w:drawing>
          <wp:inline distT="0" distB="0" distL="0" distR="0" wp14:anchorId="173AB1EE" wp14:editId="63915E6B">
            <wp:extent cx="5563870" cy="7486650"/>
            <wp:effectExtent l="0" t="0" r="1778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B69ED0" w14:textId="77777777" w:rsidR="00174370" w:rsidRDefault="00174370" w:rsidP="00174370">
      <w:pPr>
        <w:ind w:firstLine="708"/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6216A4A1" w14:textId="77777777" w:rsidR="00174370" w:rsidRPr="00174370" w:rsidRDefault="00174370" w:rsidP="00174370"/>
    <w:p w14:paraId="737B4EEF" w14:textId="17B9918E" w:rsidR="00174370" w:rsidRPr="00174370" w:rsidRDefault="00174370" w:rsidP="00174370">
      <w:pPr>
        <w:pStyle w:val="2"/>
      </w:pPr>
      <w:bookmarkStart w:id="51" w:name="_Приложение_3_Отраслевые"/>
      <w:bookmarkStart w:id="52" w:name="_Toc73538447"/>
      <w:bookmarkEnd w:id="51"/>
      <w:r w:rsidRPr="00174370">
        <w:lastRenderedPageBreak/>
        <w:t xml:space="preserve">Приложение </w:t>
      </w:r>
      <w:r w:rsidR="005D3B8C">
        <w:fldChar w:fldCharType="begin"/>
      </w:r>
      <w:r w:rsidR="005D3B8C">
        <w:instrText xml:space="preserve"> SEQ Приложение \* ARABIC </w:instrText>
      </w:r>
      <w:r w:rsidR="005D3B8C">
        <w:fldChar w:fldCharType="separate"/>
      </w:r>
      <w:r>
        <w:rPr>
          <w:noProof/>
        </w:rPr>
        <w:t>3</w:t>
      </w:r>
      <w:r w:rsidR="005D3B8C">
        <w:rPr>
          <w:noProof/>
        </w:rPr>
        <w:fldChar w:fldCharType="end"/>
      </w:r>
      <w:r w:rsidR="00F21AB7">
        <w:rPr>
          <w:noProof/>
        </w:rPr>
        <w:t>.</w:t>
      </w:r>
      <w:r w:rsidRPr="00174370">
        <w:t xml:space="preserve"> Отраслевые инвестиции в НИОКР, 2019 год</w:t>
      </w:r>
      <w:bookmarkEnd w:id="52"/>
    </w:p>
    <w:p w14:paraId="0AA90817" w14:textId="77777777" w:rsidR="00C77210" w:rsidRDefault="00C77210" w:rsidP="00C77210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1B499" wp14:editId="549A1072">
            <wp:extent cx="5961888" cy="5237480"/>
            <wp:effectExtent l="0" t="0" r="1270" b="127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B19B5A" w14:textId="2B735266" w:rsidR="00F21AB7" w:rsidRDefault="00C77210" w:rsidP="00C77210">
      <w:pPr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022CDA2A" w14:textId="77777777" w:rsidR="00F21AB7" w:rsidRDefault="00F21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1E5756" w14:textId="68D52A8C" w:rsidR="00F21AB7" w:rsidRPr="00F21AB7" w:rsidRDefault="00F21AB7" w:rsidP="00F21AB7">
      <w:pPr>
        <w:pStyle w:val="2"/>
      </w:pPr>
      <w:bookmarkStart w:id="53" w:name="_Приложение_4._Корреляционная"/>
      <w:bookmarkStart w:id="54" w:name="_Toc73538448"/>
      <w:bookmarkEnd w:id="53"/>
      <w:r w:rsidRPr="00F21AB7">
        <w:lastRenderedPageBreak/>
        <w:t>Приложение 4. Корреляционная матрица</w:t>
      </w:r>
      <w:bookmarkEnd w:id="54"/>
      <w:r w:rsidRPr="00F21AB7">
        <w:t xml:space="preserve"> </w:t>
      </w:r>
    </w:p>
    <w:tbl>
      <w:tblPr>
        <w:tblStyle w:val="ab"/>
        <w:tblW w:w="934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F21AB7" w:rsidRPr="00A312C5" w14:paraId="5689B90F" w14:textId="77777777" w:rsidTr="00E43627">
        <w:trPr>
          <w:trHeight w:val="506"/>
        </w:trPr>
        <w:tc>
          <w:tcPr>
            <w:tcW w:w="1334" w:type="dxa"/>
          </w:tcPr>
          <w:p w14:paraId="3D17350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E598862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av_RD_intensity</w:t>
            </w:r>
            <w:proofErr w:type="spellEnd"/>
          </w:p>
        </w:tc>
        <w:tc>
          <w:tcPr>
            <w:tcW w:w="1335" w:type="dxa"/>
          </w:tcPr>
          <w:p w14:paraId="0BD1FEB5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av_profit_margin</w:t>
            </w:r>
            <w:proofErr w:type="spellEnd"/>
          </w:p>
        </w:tc>
        <w:tc>
          <w:tcPr>
            <w:tcW w:w="1335" w:type="dxa"/>
          </w:tcPr>
          <w:p w14:paraId="122516D6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av_sales_per_emp</w:t>
            </w:r>
            <w:proofErr w:type="spellEnd"/>
          </w:p>
        </w:tc>
        <w:tc>
          <w:tcPr>
            <w:tcW w:w="1335" w:type="dxa"/>
          </w:tcPr>
          <w:p w14:paraId="33E9C23F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HHI</w:t>
            </w:r>
          </w:p>
        </w:tc>
        <w:tc>
          <w:tcPr>
            <w:tcW w:w="1335" w:type="dxa"/>
          </w:tcPr>
          <w:p w14:paraId="29CDAEB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std_dev_in_firm_value</w:t>
            </w:r>
            <w:proofErr w:type="spellEnd"/>
          </w:p>
        </w:tc>
        <w:tc>
          <w:tcPr>
            <w:tcW w:w="1335" w:type="dxa"/>
          </w:tcPr>
          <w:p w14:paraId="52B3CB4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ROE</w:t>
            </w:r>
          </w:p>
        </w:tc>
      </w:tr>
      <w:tr w:rsidR="00F21AB7" w:rsidRPr="00A312C5" w14:paraId="5BA3943A" w14:textId="77777777" w:rsidTr="00E43627">
        <w:trPr>
          <w:trHeight w:val="506"/>
        </w:trPr>
        <w:tc>
          <w:tcPr>
            <w:tcW w:w="1334" w:type="dxa"/>
          </w:tcPr>
          <w:p w14:paraId="7C8D479E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av_RD_intensity</w:t>
            </w:r>
            <w:proofErr w:type="spellEnd"/>
          </w:p>
        </w:tc>
        <w:tc>
          <w:tcPr>
            <w:tcW w:w="1335" w:type="dxa"/>
          </w:tcPr>
          <w:p w14:paraId="53016A10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5" w:type="dxa"/>
          </w:tcPr>
          <w:p w14:paraId="784ED6C7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039290E0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8CC892A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9B6D50B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0617D719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B7" w:rsidRPr="00A312C5" w14:paraId="7DA0CCB7" w14:textId="77777777" w:rsidTr="00E43627">
        <w:trPr>
          <w:trHeight w:val="506"/>
        </w:trPr>
        <w:tc>
          <w:tcPr>
            <w:tcW w:w="1334" w:type="dxa"/>
          </w:tcPr>
          <w:p w14:paraId="2D7A4D1D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av_profit_margin</w:t>
            </w:r>
            <w:proofErr w:type="spellEnd"/>
          </w:p>
        </w:tc>
        <w:tc>
          <w:tcPr>
            <w:tcW w:w="1335" w:type="dxa"/>
          </w:tcPr>
          <w:p w14:paraId="47ED156C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</w:rPr>
              <w:t>4556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6D5B9970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5" w:type="dxa"/>
          </w:tcPr>
          <w:p w14:paraId="6E1A4948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017A4912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B51D908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DFFE92B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B7" w:rsidRPr="00A312C5" w14:paraId="3428213A" w14:textId="77777777" w:rsidTr="00E43627">
        <w:trPr>
          <w:trHeight w:val="506"/>
        </w:trPr>
        <w:tc>
          <w:tcPr>
            <w:tcW w:w="1334" w:type="dxa"/>
          </w:tcPr>
          <w:p w14:paraId="1CDA8E3B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av_sales_per_emp</w:t>
            </w:r>
            <w:proofErr w:type="spellEnd"/>
          </w:p>
        </w:tc>
        <w:tc>
          <w:tcPr>
            <w:tcW w:w="1335" w:type="dxa"/>
          </w:tcPr>
          <w:p w14:paraId="078F29C1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</w:rPr>
              <w:t>2326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1A418D0F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</w:rPr>
              <w:t>0995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5FCD37E9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5" w:type="dxa"/>
          </w:tcPr>
          <w:p w14:paraId="5EE6E01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5" w:type="dxa"/>
          </w:tcPr>
          <w:p w14:paraId="5A2F3176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5" w:type="dxa"/>
          </w:tcPr>
          <w:p w14:paraId="5F895FAC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1AB7" w:rsidRPr="00A312C5" w14:paraId="24F19175" w14:textId="77777777" w:rsidTr="00E43627">
        <w:trPr>
          <w:trHeight w:val="506"/>
        </w:trPr>
        <w:tc>
          <w:tcPr>
            <w:tcW w:w="1334" w:type="dxa"/>
          </w:tcPr>
          <w:p w14:paraId="028F7C7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HHI</w:t>
            </w:r>
          </w:p>
        </w:tc>
        <w:tc>
          <w:tcPr>
            <w:tcW w:w="1335" w:type="dxa"/>
          </w:tcPr>
          <w:p w14:paraId="55A5FB1A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1783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5B9EFE8B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0802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7D981321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1051*</w:t>
            </w:r>
          </w:p>
        </w:tc>
        <w:tc>
          <w:tcPr>
            <w:tcW w:w="1335" w:type="dxa"/>
          </w:tcPr>
          <w:p w14:paraId="4E22C3C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5" w:type="dxa"/>
          </w:tcPr>
          <w:p w14:paraId="26BCE389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771D47D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B7" w:rsidRPr="00A312C5" w14:paraId="24CFAA93" w14:textId="77777777" w:rsidTr="00E43627">
        <w:trPr>
          <w:trHeight w:val="506"/>
        </w:trPr>
        <w:tc>
          <w:tcPr>
            <w:tcW w:w="1334" w:type="dxa"/>
          </w:tcPr>
          <w:p w14:paraId="62660B5F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std_dev_in_firm_value</w:t>
            </w:r>
            <w:proofErr w:type="spellEnd"/>
          </w:p>
        </w:tc>
        <w:tc>
          <w:tcPr>
            <w:tcW w:w="1335" w:type="dxa"/>
          </w:tcPr>
          <w:p w14:paraId="7FCF1B7E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0,0103</w:t>
            </w:r>
          </w:p>
        </w:tc>
        <w:tc>
          <w:tcPr>
            <w:tcW w:w="1335" w:type="dxa"/>
          </w:tcPr>
          <w:p w14:paraId="475EA4C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</w:rPr>
              <w:t>0,0847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14E3AD93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0212</w:t>
            </w:r>
          </w:p>
        </w:tc>
        <w:tc>
          <w:tcPr>
            <w:tcW w:w="1335" w:type="dxa"/>
          </w:tcPr>
          <w:p w14:paraId="7D86A6FB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-0,1</w:t>
            </w:r>
            <w:r w:rsidRPr="00A312C5">
              <w:rPr>
                <w:rFonts w:ascii="Times New Roman" w:hAnsi="Times New Roman" w:cs="Times New Roman"/>
              </w:rPr>
              <w:t>180</w:t>
            </w:r>
            <w:r w:rsidRPr="00A312C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335" w:type="dxa"/>
          </w:tcPr>
          <w:p w14:paraId="31C0EF6F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5" w:type="dxa"/>
          </w:tcPr>
          <w:p w14:paraId="51AE3FBA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1AB7" w:rsidRPr="00A312C5" w14:paraId="54AB6240" w14:textId="77777777" w:rsidTr="00E43627">
        <w:trPr>
          <w:trHeight w:val="506"/>
        </w:trPr>
        <w:tc>
          <w:tcPr>
            <w:tcW w:w="1334" w:type="dxa"/>
          </w:tcPr>
          <w:p w14:paraId="4DCF8160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ROE</w:t>
            </w:r>
          </w:p>
        </w:tc>
        <w:tc>
          <w:tcPr>
            <w:tcW w:w="1335" w:type="dxa"/>
          </w:tcPr>
          <w:p w14:paraId="2CA30DA7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0034</w:t>
            </w:r>
          </w:p>
        </w:tc>
        <w:tc>
          <w:tcPr>
            <w:tcW w:w="1335" w:type="dxa"/>
          </w:tcPr>
          <w:p w14:paraId="064F87FA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</w:rPr>
              <w:t>-</w:t>
            </w:r>
            <w:r w:rsidRPr="00A312C5">
              <w:rPr>
                <w:rFonts w:ascii="Times New Roman" w:hAnsi="Times New Roman" w:cs="Times New Roman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</w:rPr>
              <w:t>0054</w:t>
            </w:r>
          </w:p>
        </w:tc>
        <w:tc>
          <w:tcPr>
            <w:tcW w:w="1335" w:type="dxa"/>
          </w:tcPr>
          <w:p w14:paraId="34204029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0252</w:t>
            </w:r>
          </w:p>
        </w:tc>
        <w:tc>
          <w:tcPr>
            <w:tcW w:w="1335" w:type="dxa"/>
          </w:tcPr>
          <w:p w14:paraId="544A4387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</w:rPr>
              <w:t>0315</w:t>
            </w:r>
          </w:p>
        </w:tc>
        <w:tc>
          <w:tcPr>
            <w:tcW w:w="1335" w:type="dxa"/>
          </w:tcPr>
          <w:p w14:paraId="400D7BB1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-0,</w:t>
            </w:r>
            <w:r w:rsidRPr="00A312C5">
              <w:rPr>
                <w:rFonts w:ascii="Times New Roman" w:hAnsi="Times New Roman" w:cs="Times New Roman"/>
              </w:rPr>
              <w:t>0724*</w:t>
            </w:r>
          </w:p>
        </w:tc>
        <w:tc>
          <w:tcPr>
            <w:tcW w:w="1335" w:type="dxa"/>
          </w:tcPr>
          <w:p w14:paraId="604F137C" w14:textId="77777777" w:rsidR="00F21AB7" w:rsidRPr="00A312C5" w:rsidRDefault="00F21AB7" w:rsidP="00E4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4DE501CC" w14:textId="77777777" w:rsidR="00F21AB7" w:rsidRPr="00FE4C92" w:rsidRDefault="00F21AB7" w:rsidP="00F21AB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расчеты автора</w:t>
      </w:r>
      <w:r>
        <w:rPr>
          <w:rFonts w:ascii="Times New Roman" w:hAnsi="Times New Roman" w:cs="Times New Roman"/>
          <w:lang w:val="en-US"/>
        </w:rPr>
        <w:t>]</w:t>
      </w:r>
    </w:p>
    <w:p w14:paraId="79902F4B" w14:textId="6B4E91E7" w:rsidR="00F21AB7" w:rsidRDefault="00F21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44AEF0" w14:textId="2C786FFE" w:rsidR="00F21AB7" w:rsidRPr="00F21AB7" w:rsidRDefault="00F21AB7" w:rsidP="00F21AB7">
      <w:pPr>
        <w:pStyle w:val="2"/>
      </w:pPr>
      <w:bookmarkStart w:id="55" w:name="_Приложение_5._Проверка"/>
      <w:bookmarkStart w:id="56" w:name="_Toc73538449"/>
      <w:bookmarkEnd w:id="55"/>
      <w:r w:rsidRPr="00F21AB7">
        <w:lastRenderedPageBreak/>
        <w:t xml:space="preserve">Приложение </w:t>
      </w:r>
      <w:r>
        <w:t>5</w:t>
      </w:r>
      <w:r w:rsidRPr="00F21AB7">
        <w:t xml:space="preserve">. Проверка на </w:t>
      </w:r>
      <w:proofErr w:type="spellStart"/>
      <w:r w:rsidRPr="00F21AB7">
        <w:t>мультиколлинеарность</w:t>
      </w:r>
      <w:bookmarkEnd w:id="56"/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1AB7" w:rsidRPr="00A312C5" w14:paraId="0D9F2629" w14:textId="77777777" w:rsidTr="00E43627">
        <w:tc>
          <w:tcPr>
            <w:tcW w:w="3114" w:type="dxa"/>
          </w:tcPr>
          <w:p w14:paraId="49F80FA5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</w:p>
        </w:tc>
        <w:tc>
          <w:tcPr>
            <w:tcW w:w="3115" w:type="dxa"/>
          </w:tcPr>
          <w:p w14:paraId="4C7D07FB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VIF</w:t>
            </w:r>
          </w:p>
        </w:tc>
        <w:tc>
          <w:tcPr>
            <w:tcW w:w="3115" w:type="dxa"/>
          </w:tcPr>
          <w:p w14:paraId="73A7F642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1/VIF</w:t>
            </w:r>
          </w:p>
        </w:tc>
      </w:tr>
      <w:tr w:rsidR="00F21AB7" w:rsidRPr="00A312C5" w14:paraId="540B8473" w14:textId="77777777" w:rsidTr="00E43627">
        <w:tc>
          <w:tcPr>
            <w:tcW w:w="3114" w:type="dxa"/>
          </w:tcPr>
          <w:p w14:paraId="2D87A0D4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HHI</w:t>
            </w:r>
          </w:p>
        </w:tc>
        <w:tc>
          <w:tcPr>
            <w:tcW w:w="3115" w:type="dxa"/>
          </w:tcPr>
          <w:p w14:paraId="4731A5C1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5" w:type="dxa"/>
          </w:tcPr>
          <w:p w14:paraId="56B0B48E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AB7" w:rsidRPr="00A312C5" w14:paraId="266027E4" w14:textId="77777777" w:rsidTr="00E43627">
        <w:tc>
          <w:tcPr>
            <w:tcW w:w="3114" w:type="dxa"/>
          </w:tcPr>
          <w:p w14:paraId="58E519F3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ln_av_profit_margin</w:t>
            </w:r>
            <w:proofErr w:type="spellEnd"/>
          </w:p>
        </w:tc>
        <w:tc>
          <w:tcPr>
            <w:tcW w:w="3115" w:type="dxa"/>
          </w:tcPr>
          <w:p w14:paraId="682167E0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5" w:type="dxa"/>
          </w:tcPr>
          <w:p w14:paraId="649AEC17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</w:tr>
      <w:tr w:rsidR="00F21AB7" w:rsidRPr="00A312C5" w14:paraId="5B0AFA9A" w14:textId="77777777" w:rsidTr="00E43627">
        <w:tc>
          <w:tcPr>
            <w:tcW w:w="3114" w:type="dxa"/>
          </w:tcPr>
          <w:p w14:paraId="51E72121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ln_av_sales_per_emp</w:t>
            </w:r>
            <w:proofErr w:type="spellEnd"/>
          </w:p>
        </w:tc>
        <w:tc>
          <w:tcPr>
            <w:tcW w:w="3115" w:type="dxa"/>
          </w:tcPr>
          <w:p w14:paraId="2AEEDDE2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28C2FA59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1AB7" w:rsidRPr="00A312C5" w14:paraId="403BD06D" w14:textId="77777777" w:rsidTr="00E43627">
        <w:tc>
          <w:tcPr>
            <w:tcW w:w="3114" w:type="dxa"/>
          </w:tcPr>
          <w:p w14:paraId="4F3CD0B8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std_dev_in_firm_value</w:t>
            </w:r>
            <w:proofErr w:type="spellEnd"/>
          </w:p>
        </w:tc>
        <w:tc>
          <w:tcPr>
            <w:tcW w:w="3115" w:type="dxa"/>
          </w:tcPr>
          <w:p w14:paraId="6B1FF676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43F01FB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1AB7" w:rsidRPr="00A312C5" w14:paraId="79126FE2" w14:textId="77777777" w:rsidTr="00E43627">
        <w:tc>
          <w:tcPr>
            <w:tcW w:w="3114" w:type="dxa"/>
          </w:tcPr>
          <w:p w14:paraId="51B7C20F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2C5">
              <w:rPr>
                <w:rFonts w:ascii="Times New Roman" w:hAnsi="Times New Roman" w:cs="Times New Roman"/>
                <w:lang w:val="en-US"/>
              </w:rPr>
              <w:t>ln_ROE</w:t>
            </w:r>
            <w:proofErr w:type="spellEnd"/>
          </w:p>
        </w:tc>
        <w:tc>
          <w:tcPr>
            <w:tcW w:w="3115" w:type="dxa"/>
          </w:tcPr>
          <w:p w14:paraId="119C98D6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FA005FC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21AB7" w:rsidRPr="00A312C5" w14:paraId="09C7E9B0" w14:textId="77777777" w:rsidTr="00E43627">
        <w:tc>
          <w:tcPr>
            <w:tcW w:w="3114" w:type="dxa"/>
          </w:tcPr>
          <w:p w14:paraId="535B1B0D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VIF</w:t>
            </w:r>
          </w:p>
        </w:tc>
        <w:tc>
          <w:tcPr>
            <w:tcW w:w="3115" w:type="dxa"/>
          </w:tcPr>
          <w:p w14:paraId="69299591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A312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15" w:type="dxa"/>
          </w:tcPr>
          <w:p w14:paraId="7B5BBF54" w14:textId="77777777" w:rsidR="00F21AB7" w:rsidRPr="00A312C5" w:rsidRDefault="00F21AB7" w:rsidP="00E4362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5CB544" w14:textId="77777777" w:rsidR="00F21AB7" w:rsidRPr="00FE4C92" w:rsidRDefault="00F21AB7" w:rsidP="00F21AB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расчеты автора</w:t>
      </w:r>
      <w:r>
        <w:rPr>
          <w:rFonts w:ascii="Times New Roman" w:hAnsi="Times New Roman" w:cs="Times New Roman"/>
          <w:lang w:val="en-US"/>
        </w:rPr>
        <w:t>]</w:t>
      </w:r>
    </w:p>
    <w:p w14:paraId="40404BB8" w14:textId="77777777" w:rsidR="00C77210" w:rsidRDefault="00C77210" w:rsidP="00C77210">
      <w:pPr>
        <w:rPr>
          <w:rFonts w:ascii="Times New Roman" w:hAnsi="Times New Roman" w:cs="Times New Roman"/>
        </w:rPr>
      </w:pPr>
    </w:p>
    <w:p w14:paraId="0DE7A4C6" w14:textId="77777777" w:rsidR="00C77210" w:rsidRPr="00C77210" w:rsidRDefault="00C77210" w:rsidP="00C77210"/>
    <w:p w14:paraId="00BAD306" w14:textId="0B94E3D2" w:rsidR="003B78ED" w:rsidRPr="00A312C5" w:rsidRDefault="003B78ED" w:rsidP="00237685">
      <w:pPr>
        <w:ind w:firstLine="709"/>
        <w:rPr>
          <w:rFonts w:ascii="Times New Roman" w:hAnsi="Times New Roman" w:cs="Times New Roman"/>
          <w:noProof/>
        </w:rPr>
      </w:pPr>
    </w:p>
    <w:p w14:paraId="4CDC115D" w14:textId="77777777" w:rsidR="00A05D84" w:rsidRDefault="00A05D8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2840888A" w14:textId="7C0E6926" w:rsidR="00E36BC2" w:rsidRDefault="00E36BC2" w:rsidP="00174370">
      <w:pPr>
        <w:pStyle w:val="2"/>
      </w:pPr>
      <w:bookmarkStart w:id="57" w:name="_Приложение_4_Описательная"/>
      <w:bookmarkStart w:id="58" w:name="_Приложение_6._Описательная"/>
      <w:bookmarkStart w:id="59" w:name="_Приложение_6._Результаты"/>
      <w:bookmarkStart w:id="60" w:name="_Toc73538450"/>
      <w:bookmarkEnd w:id="57"/>
      <w:bookmarkEnd w:id="58"/>
      <w:bookmarkEnd w:id="59"/>
      <w:r w:rsidRPr="00174370">
        <w:lastRenderedPageBreak/>
        <w:t xml:space="preserve">Приложение </w:t>
      </w:r>
      <w:r>
        <w:t>6.</w:t>
      </w:r>
      <w:r w:rsidRPr="00174370">
        <w:t xml:space="preserve"> </w:t>
      </w:r>
      <w:r>
        <w:t xml:space="preserve">Результаты теста </w:t>
      </w:r>
      <w:proofErr w:type="spellStart"/>
      <w:r>
        <w:t>Бреуша-Пагана</w:t>
      </w:r>
      <w:bookmarkEnd w:id="60"/>
      <w:proofErr w:type="spellEnd"/>
    </w:p>
    <w:p w14:paraId="12295ECC" w14:textId="22E9B107" w:rsidR="00E36BC2" w:rsidRDefault="00E36BC2" w:rsidP="00F36196">
      <w:pPr>
        <w:rPr>
          <w:noProof/>
        </w:rPr>
      </w:pPr>
      <w:r w:rsidRPr="00784330">
        <w:rPr>
          <w:noProof/>
        </w:rPr>
        <w:drawing>
          <wp:inline distT="0" distB="0" distL="0" distR="0" wp14:anchorId="10EB098D" wp14:editId="26872F88">
            <wp:extent cx="5134707" cy="2408875"/>
            <wp:effectExtent l="0" t="0" r="889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9418" cy="24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6CBD" w14:textId="77777777" w:rsidR="00E36BC2" w:rsidRPr="00FE4C92" w:rsidRDefault="00E36BC2" w:rsidP="00E36BC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r w:rsidRPr="00E36BC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расчеты автора</w:t>
      </w:r>
      <w:r w:rsidRPr="00E36BC2">
        <w:rPr>
          <w:rFonts w:ascii="Times New Roman" w:hAnsi="Times New Roman" w:cs="Times New Roman"/>
        </w:rPr>
        <w:t>]</w:t>
      </w:r>
    </w:p>
    <w:p w14:paraId="7A391E40" w14:textId="77777777" w:rsidR="00E36BC2" w:rsidRPr="00E36BC2" w:rsidRDefault="00E36BC2" w:rsidP="00E36BC2"/>
    <w:p w14:paraId="56F13488" w14:textId="77777777" w:rsidR="00E36BC2" w:rsidRDefault="00E36BC2">
      <w:pPr>
        <w:rPr>
          <w:rFonts w:ascii="Times New Roman" w:eastAsiaTheme="majorEastAsia" w:hAnsi="Times New Roman" w:cstheme="majorBidi"/>
          <w:b/>
          <w:noProof/>
          <w:sz w:val="24"/>
          <w:szCs w:val="26"/>
        </w:rPr>
      </w:pPr>
      <w:r>
        <w:rPr>
          <w:noProof/>
        </w:rPr>
        <w:br w:type="page"/>
      </w:r>
    </w:p>
    <w:p w14:paraId="483AB8CD" w14:textId="6ABBC7C7" w:rsidR="00E36BC2" w:rsidRDefault="00E36BC2" w:rsidP="00174370">
      <w:pPr>
        <w:pStyle w:val="2"/>
      </w:pPr>
      <w:bookmarkStart w:id="61" w:name="_Приложение_7._Результаты"/>
      <w:bookmarkStart w:id="62" w:name="_Toc73538451"/>
      <w:bookmarkEnd w:id="61"/>
      <w:r w:rsidRPr="00174370">
        <w:lastRenderedPageBreak/>
        <w:t xml:space="preserve">Приложение </w:t>
      </w:r>
      <w:r>
        <w:t>7</w:t>
      </w:r>
      <w:r>
        <w:t>.</w:t>
      </w:r>
      <w:r w:rsidRPr="00174370">
        <w:t xml:space="preserve"> </w:t>
      </w:r>
      <w:r>
        <w:t xml:space="preserve">Результаты теста </w:t>
      </w:r>
      <w:proofErr w:type="spellStart"/>
      <w:r>
        <w:t>Хаусмана</w:t>
      </w:r>
      <w:bookmarkEnd w:id="62"/>
      <w:proofErr w:type="spellEnd"/>
      <w:r w:rsidRPr="00174370">
        <w:t xml:space="preserve"> </w:t>
      </w:r>
    </w:p>
    <w:p w14:paraId="584803F3" w14:textId="5ACF3F47" w:rsidR="00E36BC2" w:rsidRDefault="00E36BC2" w:rsidP="00F36196">
      <w:r w:rsidRPr="00784330">
        <w:rPr>
          <w:noProof/>
        </w:rPr>
        <w:drawing>
          <wp:inline distT="0" distB="0" distL="0" distR="0" wp14:anchorId="091D257B" wp14:editId="3B62D7DF">
            <wp:extent cx="5164853" cy="3308510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72109" cy="331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A384" w14:textId="77777777" w:rsidR="00E36BC2" w:rsidRPr="00FE4C92" w:rsidRDefault="00E36BC2" w:rsidP="00E36BC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r w:rsidRPr="00E36BC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расчеты автора</w:t>
      </w:r>
      <w:r w:rsidRPr="00E36BC2">
        <w:rPr>
          <w:rFonts w:ascii="Times New Roman" w:hAnsi="Times New Roman" w:cs="Times New Roman"/>
        </w:rPr>
        <w:t>]</w:t>
      </w:r>
    </w:p>
    <w:p w14:paraId="5BBB5A43" w14:textId="77777777" w:rsidR="00E36BC2" w:rsidRPr="00E36BC2" w:rsidRDefault="00E36BC2" w:rsidP="00E36BC2"/>
    <w:p w14:paraId="0394024A" w14:textId="77777777" w:rsidR="00E36BC2" w:rsidRDefault="00E36BC2">
      <w:pPr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14:paraId="3FA43F2C" w14:textId="0ED1DEEE" w:rsidR="00174370" w:rsidRPr="00174370" w:rsidRDefault="00174370" w:rsidP="00174370">
      <w:pPr>
        <w:pStyle w:val="2"/>
      </w:pPr>
      <w:bookmarkStart w:id="63" w:name="_Приложение_8._Описательная"/>
      <w:bookmarkStart w:id="64" w:name="_Toc73538452"/>
      <w:bookmarkEnd w:id="63"/>
      <w:r w:rsidRPr="00174370">
        <w:lastRenderedPageBreak/>
        <w:t xml:space="preserve">Приложение </w:t>
      </w:r>
      <w:r w:rsidR="00E36BC2">
        <w:t>8</w:t>
      </w:r>
      <w:r w:rsidR="00F21AB7">
        <w:t>.</w:t>
      </w:r>
      <w:r w:rsidRPr="00174370">
        <w:t xml:space="preserve"> Описательная статистика переменных по отраслевым моделям</w:t>
      </w:r>
      <w:bookmarkEnd w:id="64"/>
    </w:p>
    <w:tbl>
      <w:tblPr>
        <w:tblStyle w:val="ab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51"/>
        <w:gridCol w:w="1699"/>
        <w:gridCol w:w="1530"/>
        <w:gridCol w:w="1530"/>
        <w:gridCol w:w="1336"/>
        <w:gridCol w:w="1701"/>
      </w:tblGrid>
      <w:tr w:rsidR="00741C06" w:rsidRPr="00A312C5" w14:paraId="229DD2CB" w14:textId="77777777" w:rsidTr="003F2DD8">
        <w:tc>
          <w:tcPr>
            <w:tcW w:w="3650" w:type="dxa"/>
            <w:gridSpan w:val="2"/>
          </w:tcPr>
          <w:p w14:paraId="7CE4B2CE" w14:textId="4F4E4B23" w:rsidR="00741C06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Отрасль</w:t>
            </w:r>
          </w:p>
        </w:tc>
        <w:tc>
          <w:tcPr>
            <w:tcW w:w="1530" w:type="dxa"/>
          </w:tcPr>
          <w:p w14:paraId="301CD370" w14:textId="3E298DC0" w:rsidR="00741C06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  <w:lang w:val="en-US"/>
              </w:rPr>
              <w:t>RD</w:t>
            </w:r>
            <w:r w:rsidRPr="00A05D84">
              <w:rPr>
                <w:rFonts w:ascii="Times New Roman" w:hAnsi="Times New Roman" w:cs="Times New Roman"/>
              </w:rPr>
              <w:t>_</w:t>
            </w:r>
            <w:r w:rsidRPr="00A05D84">
              <w:rPr>
                <w:rFonts w:ascii="Times New Roman" w:hAnsi="Times New Roman" w:cs="Times New Roman"/>
                <w:lang w:val="en-US"/>
              </w:rPr>
              <w:t>intensity</w:t>
            </w:r>
          </w:p>
        </w:tc>
        <w:tc>
          <w:tcPr>
            <w:tcW w:w="1530" w:type="dxa"/>
          </w:tcPr>
          <w:p w14:paraId="5CE839DD" w14:textId="1BCCF03D" w:rsidR="00741C06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84">
              <w:rPr>
                <w:rFonts w:ascii="Times New Roman" w:hAnsi="Times New Roman" w:cs="Times New Roman"/>
                <w:lang w:val="en-US"/>
              </w:rPr>
              <w:t>Operating_Profit_margin</w:t>
            </w:r>
            <w:proofErr w:type="spellEnd"/>
          </w:p>
        </w:tc>
        <w:tc>
          <w:tcPr>
            <w:tcW w:w="1336" w:type="dxa"/>
          </w:tcPr>
          <w:p w14:paraId="5400CCBE" w14:textId="30C2FBF0" w:rsidR="00741C06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84">
              <w:rPr>
                <w:rFonts w:ascii="Times New Roman" w:hAnsi="Times New Roman" w:cs="Times New Roman"/>
                <w:lang w:val="en-US"/>
              </w:rPr>
              <w:t>Market_value_</w:t>
            </w:r>
            <w:r w:rsidR="00D97FB1"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</w:tc>
        <w:tc>
          <w:tcPr>
            <w:tcW w:w="1701" w:type="dxa"/>
          </w:tcPr>
          <w:p w14:paraId="3DBB7FB9" w14:textId="021341BA" w:rsidR="00741C06" w:rsidRPr="00A05D84" w:rsidRDefault="00741C06" w:rsidP="003F2DD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84">
              <w:rPr>
                <w:rFonts w:ascii="Times New Roman" w:hAnsi="Times New Roman" w:cs="Times New Roman"/>
                <w:lang w:val="en-US"/>
              </w:rPr>
              <w:t>Capex_</w:t>
            </w:r>
            <w:r w:rsidR="00D97FB1">
              <w:rPr>
                <w:rFonts w:ascii="Times New Roman" w:hAnsi="Times New Roman" w:cs="Times New Roman"/>
                <w:lang w:val="en-US"/>
              </w:rPr>
              <w:t>to_sales</w:t>
            </w:r>
            <w:proofErr w:type="spellEnd"/>
          </w:p>
        </w:tc>
      </w:tr>
      <w:tr w:rsidR="007D5321" w:rsidRPr="00A312C5" w14:paraId="5B18C4DD" w14:textId="77777777" w:rsidTr="003F2DD8">
        <w:trPr>
          <w:trHeight w:val="93"/>
        </w:trPr>
        <w:tc>
          <w:tcPr>
            <w:tcW w:w="1951" w:type="dxa"/>
            <w:vMerge w:val="restart"/>
          </w:tcPr>
          <w:p w14:paraId="1BAC8B8B" w14:textId="5B4A48F7" w:rsidR="007D5321" w:rsidRPr="00A05D84" w:rsidRDefault="00480DB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 xml:space="preserve">Авиакосмическая промышленность и оборона </w:t>
            </w:r>
          </w:p>
        </w:tc>
        <w:tc>
          <w:tcPr>
            <w:tcW w:w="1699" w:type="dxa"/>
          </w:tcPr>
          <w:p w14:paraId="45720626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30" w:type="dxa"/>
          </w:tcPr>
          <w:p w14:paraId="4262B18D" w14:textId="61EE5CFF" w:rsidR="007D5321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530" w:type="dxa"/>
          </w:tcPr>
          <w:p w14:paraId="5F424E94" w14:textId="34A6862B" w:rsidR="007D5321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336" w:type="dxa"/>
          </w:tcPr>
          <w:p w14:paraId="0DCD743D" w14:textId="7266E70F" w:rsidR="007D5321" w:rsidRPr="00062333" w:rsidRDefault="00062333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33,666</w:t>
            </w:r>
          </w:p>
        </w:tc>
        <w:tc>
          <w:tcPr>
            <w:tcW w:w="1701" w:type="dxa"/>
          </w:tcPr>
          <w:p w14:paraId="1DF0EDED" w14:textId="13218669" w:rsidR="007D5321" w:rsidRPr="00062333" w:rsidRDefault="00741C0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062333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7D5321" w:rsidRPr="00A312C5" w14:paraId="4B699991" w14:textId="77777777" w:rsidTr="003F2DD8">
        <w:trPr>
          <w:trHeight w:val="140"/>
        </w:trPr>
        <w:tc>
          <w:tcPr>
            <w:tcW w:w="1951" w:type="dxa"/>
            <w:vMerge/>
          </w:tcPr>
          <w:p w14:paraId="604528AD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8365F3F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Стандартное отклонение</w:t>
            </w:r>
          </w:p>
        </w:tc>
        <w:tc>
          <w:tcPr>
            <w:tcW w:w="1530" w:type="dxa"/>
          </w:tcPr>
          <w:p w14:paraId="38F0CB07" w14:textId="107286E5" w:rsidR="007D5321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530" w:type="dxa"/>
          </w:tcPr>
          <w:p w14:paraId="08A9AEE7" w14:textId="7375F496" w:rsidR="007D5321" w:rsidRPr="00A05D84" w:rsidRDefault="00D000F8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1336" w:type="dxa"/>
          </w:tcPr>
          <w:p w14:paraId="70A781D9" w14:textId="086532D5" w:rsidR="007D5321" w:rsidRPr="00062333" w:rsidRDefault="00062333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75,6</w:t>
            </w:r>
          </w:p>
        </w:tc>
        <w:tc>
          <w:tcPr>
            <w:tcW w:w="1701" w:type="dxa"/>
          </w:tcPr>
          <w:p w14:paraId="652D48EE" w14:textId="1BCB9D3E" w:rsidR="007D5321" w:rsidRPr="0006233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062333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D5321" w:rsidRPr="00A312C5" w14:paraId="2BA33D9F" w14:textId="77777777" w:rsidTr="003F2DD8">
        <w:trPr>
          <w:trHeight w:val="161"/>
        </w:trPr>
        <w:tc>
          <w:tcPr>
            <w:tcW w:w="1951" w:type="dxa"/>
            <w:vMerge/>
          </w:tcPr>
          <w:p w14:paraId="2D3539DA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DF9226E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Минимальное значение</w:t>
            </w:r>
          </w:p>
        </w:tc>
        <w:tc>
          <w:tcPr>
            <w:tcW w:w="1530" w:type="dxa"/>
          </w:tcPr>
          <w:p w14:paraId="09AAC5AF" w14:textId="14ADB405" w:rsidR="007D5321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530" w:type="dxa"/>
          </w:tcPr>
          <w:p w14:paraId="776E7774" w14:textId="03CAA5B5" w:rsidR="007D5321" w:rsidRPr="00FE285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-0,40</w:t>
            </w:r>
            <w:r w:rsidR="00FE28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6" w:type="dxa"/>
          </w:tcPr>
          <w:p w14:paraId="63E995C6" w14:textId="025CE219" w:rsidR="007D5321" w:rsidRPr="0006233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062333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701" w:type="dxa"/>
          </w:tcPr>
          <w:p w14:paraId="1323B7DB" w14:textId="341450EC" w:rsidR="007D5321" w:rsidRPr="0006233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</w:t>
            </w:r>
            <w:r w:rsidR="00062333">
              <w:rPr>
                <w:rFonts w:ascii="Times New Roman" w:hAnsi="Times New Roman" w:cs="Times New Roman"/>
                <w:lang w:val="en-US"/>
              </w:rPr>
              <w:t>,</w:t>
            </w:r>
            <w:r w:rsidRPr="00A05D84">
              <w:rPr>
                <w:rFonts w:ascii="Times New Roman" w:hAnsi="Times New Roman" w:cs="Times New Roman"/>
              </w:rPr>
              <w:t>00</w:t>
            </w:r>
            <w:r w:rsidR="0006233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D5321" w:rsidRPr="00A312C5" w14:paraId="4F42F609" w14:textId="77777777" w:rsidTr="003F2DD8">
        <w:trPr>
          <w:trHeight w:val="107"/>
        </w:trPr>
        <w:tc>
          <w:tcPr>
            <w:tcW w:w="1951" w:type="dxa"/>
            <w:vMerge/>
          </w:tcPr>
          <w:p w14:paraId="307FD3AE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2E888A9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1530" w:type="dxa"/>
          </w:tcPr>
          <w:p w14:paraId="1DCF9C0E" w14:textId="66DFD977" w:rsidR="007D5321" w:rsidRPr="00A05D84" w:rsidRDefault="00741C0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1530" w:type="dxa"/>
          </w:tcPr>
          <w:p w14:paraId="40A284B3" w14:textId="653C9EEE" w:rsidR="007D5321" w:rsidRPr="00FE285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</w:t>
            </w:r>
            <w:r w:rsidR="00FE2853">
              <w:rPr>
                <w:rFonts w:ascii="Times New Roman" w:hAnsi="Times New Roman" w:cs="Times New Roman"/>
                <w:lang w:val="en-US"/>
              </w:rPr>
              <w:t>,417</w:t>
            </w:r>
          </w:p>
        </w:tc>
        <w:tc>
          <w:tcPr>
            <w:tcW w:w="1336" w:type="dxa"/>
          </w:tcPr>
          <w:p w14:paraId="35C9A909" w14:textId="40ABC23A" w:rsidR="007D5321" w:rsidRPr="00062333" w:rsidRDefault="00062333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535,809</w:t>
            </w:r>
          </w:p>
        </w:tc>
        <w:tc>
          <w:tcPr>
            <w:tcW w:w="1701" w:type="dxa"/>
          </w:tcPr>
          <w:p w14:paraId="1466883A" w14:textId="184F9110" w:rsidR="007D5321" w:rsidRPr="00062333" w:rsidRDefault="00D000F8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</w:t>
            </w:r>
            <w:r w:rsidR="00062333">
              <w:rPr>
                <w:rFonts w:ascii="Times New Roman" w:hAnsi="Times New Roman" w:cs="Times New Roman"/>
                <w:lang w:val="en-US"/>
              </w:rPr>
              <w:t>,124</w:t>
            </w:r>
          </w:p>
        </w:tc>
      </w:tr>
      <w:tr w:rsidR="007D5321" w:rsidRPr="00A312C5" w14:paraId="7B348D2A" w14:textId="77777777" w:rsidTr="003F2DD8">
        <w:trPr>
          <w:trHeight w:val="204"/>
        </w:trPr>
        <w:tc>
          <w:tcPr>
            <w:tcW w:w="1951" w:type="dxa"/>
            <w:vMerge w:val="restart"/>
          </w:tcPr>
          <w:p w14:paraId="56E5A929" w14:textId="1DAB2154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699" w:type="dxa"/>
          </w:tcPr>
          <w:p w14:paraId="43976755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30" w:type="dxa"/>
          </w:tcPr>
          <w:p w14:paraId="2263EEC3" w14:textId="4B5B13B2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0,152</w:t>
            </w:r>
          </w:p>
        </w:tc>
        <w:tc>
          <w:tcPr>
            <w:tcW w:w="1530" w:type="dxa"/>
          </w:tcPr>
          <w:p w14:paraId="6ECB823C" w14:textId="2993F510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1336" w:type="dxa"/>
          </w:tcPr>
          <w:p w14:paraId="10501802" w14:textId="207B6219" w:rsidR="007D5321" w:rsidRPr="009C37EA" w:rsidRDefault="009C37EA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2,883</w:t>
            </w:r>
          </w:p>
        </w:tc>
        <w:tc>
          <w:tcPr>
            <w:tcW w:w="1701" w:type="dxa"/>
          </w:tcPr>
          <w:p w14:paraId="6BB5C0E4" w14:textId="2CE024CE" w:rsidR="007D5321" w:rsidRPr="009C37EA" w:rsidRDefault="0089507B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9C37EA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7D5321" w:rsidRPr="00A312C5" w14:paraId="7D0CD4C7" w14:textId="77777777" w:rsidTr="003F2DD8">
        <w:trPr>
          <w:trHeight w:val="204"/>
        </w:trPr>
        <w:tc>
          <w:tcPr>
            <w:tcW w:w="1951" w:type="dxa"/>
            <w:vMerge/>
          </w:tcPr>
          <w:p w14:paraId="2A188BE1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ABB07E4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Стандартное отклонение</w:t>
            </w:r>
          </w:p>
        </w:tc>
        <w:tc>
          <w:tcPr>
            <w:tcW w:w="1530" w:type="dxa"/>
          </w:tcPr>
          <w:p w14:paraId="442A5E70" w14:textId="000F64AA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1530" w:type="dxa"/>
          </w:tcPr>
          <w:p w14:paraId="2875D9C3" w14:textId="2C2D3CD5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336" w:type="dxa"/>
          </w:tcPr>
          <w:p w14:paraId="4C2FD6F8" w14:textId="53DF1AB2" w:rsidR="007D5321" w:rsidRPr="009C37EA" w:rsidRDefault="009C37EA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2,757</w:t>
            </w:r>
          </w:p>
        </w:tc>
        <w:tc>
          <w:tcPr>
            <w:tcW w:w="1701" w:type="dxa"/>
          </w:tcPr>
          <w:p w14:paraId="6256CCB8" w14:textId="4E1572C9" w:rsidR="007D5321" w:rsidRPr="009C37EA" w:rsidRDefault="0089507B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0.0</w:t>
            </w:r>
            <w:r w:rsidR="009C37EA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7D5321" w:rsidRPr="00A312C5" w14:paraId="607F06A7" w14:textId="77777777" w:rsidTr="003F2DD8">
        <w:trPr>
          <w:trHeight w:val="172"/>
        </w:trPr>
        <w:tc>
          <w:tcPr>
            <w:tcW w:w="1951" w:type="dxa"/>
            <w:vMerge/>
          </w:tcPr>
          <w:p w14:paraId="704BDA77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908F0F5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Минимальное значение</w:t>
            </w:r>
          </w:p>
        </w:tc>
        <w:tc>
          <w:tcPr>
            <w:tcW w:w="1530" w:type="dxa"/>
          </w:tcPr>
          <w:p w14:paraId="5710A5DE" w14:textId="69958ECB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530" w:type="dxa"/>
          </w:tcPr>
          <w:p w14:paraId="34B81EB3" w14:textId="0AEFF22F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-0,009</w:t>
            </w:r>
          </w:p>
        </w:tc>
        <w:tc>
          <w:tcPr>
            <w:tcW w:w="1336" w:type="dxa"/>
          </w:tcPr>
          <w:p w14:paraId="167E85D5" w14:textId="1522AD57" w:rsidR="007D5321" w:rsidRPr="009C37EA" w:rsidRDefault="009C37EA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0,012</w:t>
            </w:r>
          </w:p>
        </w:tc>
        <w:tc>
          <w:tcPr>
            <w:tcW w:w="1701" w:type="dxa"/>
          </w:tcPr>
          <w:p w14:paraId="0EE0F6D4" w14:textId="2717CB6F" w:rsidR="007D5321" w:rsidRPr="009C37EA" w:rsidRDefault="009C37EA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0,003</w:t>
            </w:r>
          </w:p>
        </w:tc>
      </w:tr>
      <w:tr w:rsidR="007D5321" w:rsidRPr="00A312C5" w14:paraId="2F41E23C" w14:textId="77777777" w:rsidTr="003F2DD8">
        <w:trPr>
          <w:trHeight w:val="129"/>
        </w:trPr>
        <w:tc>
          <w:tcPr>
            <w:tcW w:w="1951" w:type="dxa"/>
            <w:vMerge/>
          </w:tcPr>
          <w:p w14:paraId="042F25BD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FC77ACF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1530" w:type="dxa"/>
          </w:tcPr>
          <w:p w14:paraId="42BF250D" w14:textId="205288E4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530" w:type="dxa"/>
          </w:tcPr>
          <w:p w14:paraId="39FD32FF" w14:textId="0C6F3777" w:rsidR="007D5321" w:rsidRPr="00A05D84" w:rsidRDefault="0089507B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2.599</w:t>
            </w:r>
          </w:p>
        </w:tc>
        <w:tc>
          <w:tcPr>
            <w:tcW w:w="1336" w:type="dxa"/>
          </w:tcPr>
          <w:p w14:paraId="419A4138" w14:textId="7CCBB998" w:rsidR="007D5321" w:rsidRPr="009C37EA" w:rsidRDefault="009C37EA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21,666</w:t>
            </w:r>
          </w:p>
        </w:tc>
        <w:tc>
          <w:tcPr>
            <w:tcW w:w="1701" w:type="dxa"/>
          </w:tcPr>
          <w:p w14:paraId="55C4E05A" w14:textId="5D2B5403" w:rsidR="007D5321" w:rsidRPr="009C37EA" w:rsidRDefault="0089507B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</w:t>
            </w:r>
            <w:r w:rsidR="009C37EA">
              <w:rPr>
                <w:rFonts w:ascii="Times New Roman" w:hAnsi="Times New Roman" w:cs="Times New Roman"/>
                <w:lang w:val="en-US"/>
              </w:rPr>
              <w:t>627</w:t>
            </w:r>
          </w:p>
        </w:tc>
      </w:tr>
      <w:tr w:rsidR="007D5321" w:rsidRPr="00A312C5" w14:paraId="4A4D2575" w14:textId="77777777" w:rsidTr="003F2DD8">
        <w:trPr>
          <w:trHeight w:val="75"/>
        </w:trPr>
        <w:tc>
          <w:tcPr>
            <w:tcW w:w="1951" w:type="dxa"/>
            <w:vMerge w:val="restart"/>
          </w:tcPr>
          <w:p w14:paraId="0D90D9AA" w14:textId="339111C0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Химическая отрасль и фармацевтика</w:t>
            </w:r>
          </w:p>
        </w:tc>
        <w:tc>
          <w:tcPr>
            <w:tcW w:w="1699" w:type="dxa"/>
          </w:tcPr>
          <w:p w14:paraId="08FAF546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30" w:type="dxa"/>
          </w:tcPr>
          <w:p w14:paraId="1EA03FD8" w14:textId="351CE436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1530" w:type="dxa"/>
          </w:tcPr>
          <w:p w14:paraId="04BE0AE7" w14:textId="5E837EEF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0,789</w:t>
            </w:r>
          </w:p>
        </w:tc>
        <w:tc>
          <w:tcPr>
            <w:tcW w:w="1336" w:type="dxa"/>
          </w:tcPr>
          <w:p w14:paraId="09B4F3B2" w14:textId="6FC8D589" w:rsidR="007D5321" w:rsidRPr="00FE2853" w:rsidRDefault="00FE2853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1,025</w:t>
            </w:r>
          </w:p>
        </w:tc>
        <w:tc>
          <w:tcPr>
            <w:tcW w:w="1701" w:type="dxa"/>
          </w:tcPr>
          <w:p w14:paraId="7DF5BAD8" w14:textId="7CB50B21" w:rsidR="007D5321" w:rsidRPr="00FE2853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FE2853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7D5321" w:rsidRPr="00A312C5" w14:paraId="0B895B05" w14:textId="77777777" w:rsidTr="003F2DD8">
        <w:trPr>
          <w:trHeight w:val="118"/>
        </w:trPr>
        <w:tc>
          <w:tcPr>
            <w:tcW w:w="1951" w:type="dxa"/>
            <w:vMerge/>
          </w:tcPr>
          <w:p w14:paraId="0CA2E481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14:paraId="6024EB06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Стандартное отклонение</w:t>
            </w:r>
          </w:p>
        </w:tc>
        <w:tc>
          <w:tcPr>
            <w:tcW w:w="1530" w:type="dxa"/>
          </w:tcPr>
          <w:p w14:paraId="03592DEF" w14:textId="306BAF5B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530" w:type="dxa"/>
          </w:tcPr>
          <w:p w14:paraId="0F43DAC1" w14:textId="690A1311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336" w:type="dxa"/>
          </w:tcPr>
          <w:p w14:paraId="392BE90B" w14:textId="7CEA0FF1" w:rsidR="007D5321" w:rsidRPr="00FE2853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</w:t>
            </w:r>
            <w:r w:rsidR="00FE2853">
              <w:rPr>
                <w:rFonts w:ascii="Times New Roman" w:hAnsi="Times New Roman" w:cs="Times New Roman"/>
                <w:lang w:val="en-US"/>
              </w:rPr>
              <w:t>803</w:t>
            </w:r>
          </w:p>
        </w:tc>
        <w:tc>
          <w:tcPr>
            <w:tcW w:w="1701" w:type="dxa"/>
          </w:tcPr>
          <w:p w14:paraId="6498170C" w14:textId="07E4C173" w:rsidR="007D5321" w:rsidRPr="00FE2853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FE2853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7D5321" w:rsidRPr="00A312C5" w14:paraId="36298F7B" w14:textId="77777777" w:rsidTr="003F2DD8">
        <w:trPr>
          <w:trHeight w:val="129"/>
        </w:trPr>
        <w:tc>
          <w:tcPr>
            <w:tcW w:w="1951" w:type="dxa"/>
            <w:vMerge/>
          </w:tcPr>
          <w:p w14:paraId="2F757E79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14:paraId="4981AF83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Минимальное значение</w:t>
            </w:r>
          </w:p>
        </w:tc>
        <w:tc>
          <w:tcPr>
            <w:tcW w:w="1530" w:type="dxa"/>
          </w:tcPr>
          <w:p w14:paraId="0F372057" w14:textId="2E32F154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530" w:type="dxa"/>
          </w:tcPr>
          <w:p w14:paraId="50E064B9" w14:textId="428A6870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-0,262</w:t>
            </w:r>
          </w:p>
        </w:tc>
        <w:tc>
          <w:tcPr>
            <w:tcW w:w="1336" w:type="dxa"/>
          </w:tcPr>
          <w:p w14:paraId="4B84F31C" w14:textId="1764CD09" w:rsidR="007D5321" w:rsidRPr="00FE2853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</w:t>
            </w:r>
            <w:r w:rsidR="00FE2853">
              <w:rPr>
                <w:rFonts w:ascii="Times New Roman" w:hAnsi="Times New Roman" w:cs="Times New Roman"/>
                <w:lang w:val="en-US"/>
              </w:rPr>
              <w:t>,013</w:t>
            </w:r>
          </w:p>
        </w:tc>
        <w:tc>
          <w:tcPr>
            <w:tcW w:w="1701" w:type="dxa"/>
          </w:tcPr>
          <w:p w14:paraId="466F5436" w14:textId="22531E0D" w:rsidR="007D5321" w:rsidRPr="00FE2853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0,0</w:t>
            </w:r>
            <w:r w:rsidR="00FE2853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7D5321" w:rsidRPr="00A312C5" w14:paraId="1D1CDA71" w14:textId="77777777" w:rsidTr="003F2DD8">
        <w:trPr>
          <w:trHeight w:val="107"/>
        </w:trPr>
        <w:tc>
          <w:tcPr>
            <w:tcW w:w="1951" w:type="dxa"/>
            <w:vMerge/>
          </w:tcPr>
          <w:p w14:paraId="737235E6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14:paraId="7F8ABF0C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1530" w:type="dxa"/>
          </w:tcPr>
          <w:p w14:paraId="08D0315D" w14:textId="7360F0FD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530" w:type="dxa"/>
          </w:tcPr>
          <w:p w14:paraId="360275F5" w14:textId="52D574CA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0,252</w:t>
            </w:r>
          </w:p>
        </w:tc>
        <w:tc>
          <w:tcPr>
            <w:tcW w:w="1336" w:type="dxa"/>
          </w:tcPr>
          <w:p w14:paraId="17740230" w14:textId="0A47961C" w:rsidR="007D5321" w:rsidRPr="00F21AB7" w:rsidRDefault="00FE2853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  <w:lang w:val="en-US"/>
              </w:rPr>
              <w:t>6,857</w:t>
            </w:r>
          </w:p>
        </w:tc>
        <w:tc>
          <w:tcPr>
            <w:tcW w:w="1701" w:type="dxa"/>
          </w:tcPr>
          <w:p w14:paraId="5884982B" w14:textId="5243C8F1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</w:rPr>
              <w:t>0</w:t>
            </w:r>
            <w:r w:rsidR="00FE2853" w:rsidRPr="00F21AB7">
              <w:rPr>
                <w:rFonts w:ascii="Times New Roman" w:hAnsi="Times New Roman" w:cs="Times New Roman"/>
                <w:lang w:val="en-US"/>
              </w:rPr>
              <w:t>,211</w:t>
            </w:r>
          </w:p>
        </w:tc>
      </w:tr>
      <w:tr w:rsidR="007D5321" w:rsidRPr="00A312C5" w14:paraId="429F7EFF" w14:textId="77777777" w:rsidTr="003F2DD8">
        <w:trPr>
          <w:trHeight w:val="182"/>
        </w:trPr>
        <w:tc>
          <w:tcPr>
            <w:tcW w:w="1951" w:type="dxa"/>
            <w:vMerge w:val="restart"/>
          </w:tcPr>
          <w:p w14:paraId="76F4F3FE" w14:textId="275ED5C8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Производство продуктов питания</w:t>
            </w:r>
          </w:p>
        </w:tc>
        <w:tc>
          <w:tcPr>
            <w:tcW w:w="1699" w:type="dxa"/>
          </w:tcPr>
          <w:p w14:paraId="2E415A66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30" w:type="dxa"/>
          </w:tcPr>
          <w:p w14:paraId="1C35D01A" w14:textId="16C319E6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530" w:type="dxa"/>
          </w:tcPr>
          <w:p w14:paraId="577D2F24" w14:textId="55C553A9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336" w:type="dxa"/>
          </w:tcPr>
          <w:p w14:paraId="78864CAB" w14:textId="6B81717E" w:rsidR="007D5321" w:rsidRPr="00F21AB7" w:rsidRDefault="006C06CD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  <w:lang w:val="en-US"/>
              </w:rPr>
              <w:t>1,433</w:t>
            </w:r>
          </w:p>
        </w:tc>
        <w:tc>
          <w:tcPr>
            <w:tcW w:w="1701" w:type="dxa"/>
          </w:tcPr>
          <w:p w14:paraId="53383F18" w14:textId="28F6BE1B" w:rsidR="007D5321" w:rsidRPr="00F21AB7" w:rsidRDefault="00F21AB7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0,017</w:t>
            </w:r>
          </w:p>
        </w:tc>
      </w:tr>
      <w:tr w:rsidR="007D5321" w:rsidRPr="00A312C5" w14:paraId="30AAAF1C" w14:textId="77777777" w:rsidTr="003F2DD8">
        <w:trPr>
          <w:trHeight w:val="150"/>
        </w:trPr>
        <w:tc>
          <w:tcPr>
            <w:tcW w:w="1951" w:type="dxa"/>
            <w:vMerge/>
          </w:tcPr>
          <w:p w14:paraId="7BD7D8B8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2A2141D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Стандартное отклонение</w:t>
            </w:r>
          </w:p>
        </w:tc>
        <w:tc>
          <w:tcPr>
            <w:tcW w:w="1530" w:type="dxa"/>
          </w:tcPr>
          <w:p w14:paraId="3EEA6D62" w14:textId="161D5F51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530" w:type="dxa"/>
          </w:tcPr>
          <w:p w14:paraId="42732211" w14:textId="666216F6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0,0378</w:t>
            </w:r>
          </w:p>
        </w:tc>
        <w:tc>
          <w:tcPr>
            <w:tcW w:w="1336" w:type="dxa"/>
          </w:tcPr>
          <w:p w14:paraId="55EEBB5E" w14:textId="07070471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</w:rPr>
              <w:t>0,</w:t>
            </w:r>
            <w:r w:rsidR="006C06CD" w:rsidRPr="00F21AB7">
              <w:rPr>
                <w:rFonts w:ascii="Times New Roman" w:hAnsi="Times New Roman" w:cs="Times New Roman"/>
                <w:lang w:val="en-US"/>
              </w:rPr>
              <w:t>824</w:t>
            </w:r>
          </w:p>
        </w:tc>
        <w:tc>
          <w:tcPr>
            <w:tcW w:w="1701" w:type="dxa"/>
          </w:tcPr>
          <w:p w14:paraId="4296F325" w14:textId="365D8B79" w:rsidR="007D5321" w:rsidRPr="00F21AB7" w:rsidRDefault="00F21AB7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0,029</w:t>
            </w:r>
          </w:p>
        </w:tc>
      </w:tr>
      <w:tr w:rsidR="007D5321" w:rsidRPr="00A312C5" w14:paraId="545B6E42" w14:textId="77777777" w:rsidTr="003F2DD8">
        <w:trPr>
          <w:trHeight w:val="129"/>
        </w:trPr>
        <w:tc>
          <w:tcPr>
            <w:tcW w:w="1951" w:type="dxa"/>
            <w:vMerge/>
          </w:tcPr>
          <w:p w14:paraId="1F0C8517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E5A7482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Минимальное значение</w:t>
            </w:r>
          </w:p>
        </w:tc>
        <w:tc>
          <w:tcPr>
            <w:tcW w:w="1530" w:type="dxa"/>
          </w:tcPr>
          <w:p w14:paraId="2F347F10" w14:textId="016CB5AE" w:rsidR="007D5321" w:rsidRPr="006C06CD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D84">
              <w:rPr>
                <w:rFonts w:ascii="Times New Roman" w:hAnsi="Times New Roman" w:cs="Times New Roman"/>
              </w:rPr>
              <w:t>0.00</w:t>
            </w:r>
            <w:r w:rsidR="006C06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0" w:type="dxa"/>
          </w:tcPr>
          <w:p w14:paraId="0BFB4881" w14:textId="42828A4F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336" w:type="dxa"/>
          </w:tcPr>
          <w:p w14:paraId="42193F7A" w14:textId="0F8FA093" w:rsidR="007D5321" w:rsidRPr="00F21AB7" w:rsidRDefault="00534816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</w:rPr>
              <w:t>0,</w:t>
            </w:r>
            <w:r w:rsidR="006C06CD" w:rsidRPr="00F21AB7"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1701" w:type="dxa"/>
          </w:tcPr>
          <w:p w14:paraId="5DA4F127" w14:textId="67FB6690" w:rsidR="007D5321" w:rsidRPr="00F21AB7" w:rsidRDefault="00F21AB7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0,007</w:t>
            </w:r>
          </w:p>
        </w:tc>
      </w:tr>
      <w:tr w:rsidR="007D5321" w:rsidRPr="00A312C5" w14:paraId="66027F03" w14:textId="77777777" w:rsidTr="003F2DD8">
        <w:trPr>
          <w:trHeight w:val="104"/>
        </w:trPr>
        <w:tc>
          <w:tcPr>
            <w:tcW w:w="1951" w:type="dxa"/>
            <w:vMerge/>
          </w:tcPr>
          <w:p w14:paraId="52A1B743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10064A7" w14:textId="77777777" w:rsidR="007D5321" w:rsidRPr="00A05D84" w:rsidRDefault="007D5321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1530" w:type="dxa"/>
          </w:tcPr>
          <w:p w14:paraId="27220FF2" w14:textId="09F7C35C" w:rsidR="007D5321" w:rsidRPr="00A05D84" w:rsidRDefault="00534816" w:rsidP="00A05D84">
            <w:pPr>
              <w:jc w:val="center"/>
              <w:rPr>
                <w:rFonts w:ascii="Times New Roman" w:hAnsi="Times New Roman" w:cs="Times New Roman"/>
              </w:rPr>
            </w:pPr>
            <w:r w:rsidRPr="00A05D84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530" w:type="dxa"/>
          </w:tcPr>
          <w:p w14:paraId="60CA7002" w14:textId="010E61D7" w:rsidR="007D5321" w:rsidRPr="00F21AB7" w:rsidRDefault="00194F61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1336" w:type="dxa"/>
          </w:tcPr>
          <w:p w14:paraId="5137E64D" w14:textId="47CF63FA" w:rsidR="007D5321" w:rsidRPr="00F21AB7" w:rsidRDefault="006C06CD" w:rsidP="00A05D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AB7">
              <w:rPr>
                <w:rFonts w:ascii="Times New Roman" w:hAnsi="Times New Roman" w:cs="Times New Roman"/>
                <w:lang w:val="en-US"/>
              </w:rPr>
              <w:t>4,921</w:t>
            </w:r>
          </w:p>
        </w:tc>
        <w:tc>
          <w:tcPr>
            <w:tcW w:w="1701" w:type="dxa"/>
          </w:tcPr>
          <w:p w14:paraId="688AEF30" w14:textId="2EC403A0" w:rsidR="007D5321" w:rsidRPr="00F21AB7" w:rsidRDefault="00F21AB7" w:rsidP="00A05D84">
            <w:pPr>
              <w:jc w:val="center"/>
              <w:rPr>
                <w:rFonts w:ascii="Times New Roman" w:hAnsi="Times New Roman" w:cs="Times New Roman"/>
              </w:rPr>
            </w:pPr>
            <w:r w:rsidRPr="00F21AB7">
              <w:rPr>
                <w:rFonts w:ascii="Times New Roman" w:hAnsi="Times New Roman" w:cs="Times New Roman"/>
              </w:rPr>
              <w:t>0,141</w:t>
            </w:r>
          </w:p>
        </w:tc>
      </w:tr>
    </w:tbl>
    <w:p w14:paraId="3635E39F" w14:textId="77777777" w:rsidR="00174370" w:rsidRDefault="00174370" w:rsidP="00174370">
      <w:pPr>
        <w:ind w:firstLine="708"/>
        <w:rPr>
          <w:rFonts w:ascii="Times New Roman" w:hAnsi="Times New Roman" w:cs="Times New Roman"/>
        </w:rPr>
      </w:pPr>
      <w:r w:rsidRPr="003F6F3D">
        <w:rPr>
          <w:rFonts w:ascii="Times New Roman" w:hAnsi="Times New Roman" w:cs="Times New Roman"/>
        </w:rPr>
        <w:t>Источник</w:t>
      </w:r>
      <w:r w:rsidRPr="002B334D">
        <w:rPr>
          <w:rFonts w:ascii="Times New Roman" w:hAnsi="Times New Roman" w:cs="Times New Roman"/>
        </w:rPr>
        <w:t>: [</w:t>
      </w:r>
      <w:r>
        <w:rPr>
          <w:rFonts w:ascii="Times New Roman" w:hAnsi="Times New Roman" w:cs="Times New Roman"/>
        </w:rPr>
        <w:t>расчеты автора</w:t>
      </w:r>
      <w:r w:rsidRPr="002B334D">
        <w:rPr>
          <w:rFonts w:ascii="Times New Roman" w:hAnsi="Times New Roman" w:cs="Times New Roman"/>
        </w:rPr>
        <w:t>]</w:t>
      </w:r>
    </w:p>
    <w:p w14:paraId="7691BD15" w14:textId="77777777" w:rsidR="003C7390" w:rsidRPr="00A312C5" w:rsidRDefault="003C7390" w:rsidP="00237685">
      <w:pPr>
        <w:ind w:firstLine="709"/>
        <w:rPr>
          <w:rFonts w:ascii="Times New Roman" w:hAnsi="Times New Roman" w:cs="Times New Roman"/>
        </w:rPr>
      </w:pPr>
    </w:p>
    <w:sectPr w:rsidR="003C7390" w:rsidRPr="00A312C5" w:rsidSect="00F21AB7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18BE" w14:textId="77777777" w:rsidR="001543FB" w:rsidRDefault="001543FB" w:rsidP="000E79D4">
      <w:pPr>
        <w:spacing w:after="0" w:line="240" w:lineRule="auto"/>
      </w:pPr>
      <w:r>
        <w:separator/>
      </w:r>
    </w:p>
  </w:endnote>
  <w:endnote w:type="continuationSeparator" w:id="0">
    <w:p w14:paraId="26A24557" w14:textId="77777777" w:rsidR="001543FB" w:rsidRDefault="001543FB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373560"/>
      <w:docPartObj>
        <w:docPartGallery w:val="Page Numbers (Bottom of Page)"/>
        <w:docPartUnique/>
      </w:docPartObj>
    </w:sdtPr>
    <w:sdtEndPr/>
    <w:sdtContent>
      <w:p w14:paraId="36A8B35C" w14:textId="6C551537" w:rsidR="00720114" w:rsidRDefault="0072011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ED948E" w14:textId="77777777" w:rsidR="00720114" w:rsidRDefault="007201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9627" w14:textId="77777777" w:rsidR="001543FB" w:rsidRDefault="001543FB" w:rsidP="000E79D4">
      <w:pPr>
        <w:spacing w:after="0" w:line="240" w:lineRule="auto"/>
      </w:pPr>
      <w:r>
        <w:separator/>
      </w:r>
    </w:p>
  </w:footnote>
  <w:footnote w:type="continuationSeparator" w:id="0">
    <w:p w14:paraId="222D0EDD" w14:textId="77777777" w:rsidR="001543FB" w:rsidRDefault="001543FB" w:rsidP="000E79D4">
      <w:pPr>
        <w:spacing w:after="0" w:line="240" w:lineRule="auto"/>
      </w:pPr>
      <w:r>
        <w:continuationSeparator/>
      </w:r>
    </w:p>
  </w:footnote>
  <w:footnote w:id="1">
    <w:p w14:paraId="6B828279" w14:textId="0469EC10" w:rsidR="00720114" w:rsidRDefault="00720114">
      <w:pPr>
        <w:pStyle w:val="a4"/>
      </w:pPr>
      <w:r>
        <w:rPr>
          <w:rStyle w:val="a6"/>
        </w:rPr>
        <w:footnoteRef/>
      </w:r>
      <w:r>
        <w:t xml:space="preserve"> «***», «**», «*» - соответствуют значимости на уровнях 1%, 5% и 10%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EEE"/>
    <w:multiLevelType w:val="hybridMultilevel"/>
    <w:tmpl w:val="6F521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21733"/>
    <w:multiLevelType w:val="hybridMultilevel"/>
    <w:tmpl w:val="8EAC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08E6"/>
    <w:multiLevelType w:val="hybridMultilevel"/>
    <w:tmpl w:val="1376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798"/>
    <w:multiLevelType w:val="hybridMultilevel"/>
    <w:tmpl w:val="5B20725E"/>
    <w:lvl w:ilvl="0" w:tplc="62C22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022AE"/>
    <w:multiLevelType w:val="multilevel"/>
    <w:tmpl w:val="41129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3323F6"/>
    <w:multiLevelType w:val="multilevel"/>
    <w:tmpl w:val="60CCD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1BE014C4"/>
    <w:multiLevelType w:val="multilevel"/>
    <w:tmpl w:val="609A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23496316"/>
    <w:multiLevelType w:val="multilevel"/>
    <w:tmpl w:val="30AA4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 w15:restartNumberingAfterBreak="0">
    <w:nsid w:val="240462C1"/>
    <w:multiLevelType w:val="hybridMultilevel"/>
    <w:tmpl w:val="A9E666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5B24DB"/>
    <w:multiLevelType w:val="hybridMultilevel"/>
    <w:tmpl w:val="1908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1470"/>
    <w:multiLevelType w:val="hybridMultilevel"/>
    <w:tmpl w:val="3F180A6C"/>
    <w:lvl w:ilvl="0" w:tplc="474EF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11305"/>
    <w:multiLevelType w:val="multilevel"/>
    <w:tmpl w:val="60CCD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2" w15:restartNumberingAfterBreak="0">
    <w:nsid w:val="2D362061"/>
    <w:multiLevelType w:val="multilevel"/>
    <w:tmpl w:val="C5665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7A71B1C"/>
    <w:multiLevelType w:val="multilevel"/>
    <w:tmpl w:val="60CCD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 w15:restartNumberingAfterBreak="0">
    <w:nsid w:val="742F70A9"/>
    <w:multiLevelType w:val="multilevel"/>
    <w:tmpl w:val="41129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9A03B8"/>
    <w:multiLevelType w:val="multilevel"/>
    <w:tmpl w:val="60CCD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6" w15:restartNumberingAfterBreak="0">
    <w:nsid w:val="7D5D2DBA"/>
    <w:multiLevelType w:val="multilevel"/>
    <w:tmpl w:val="41129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874CF0"/>
    <w:multiLevelType w:val="multilevel"/>
    <w:tmpl w:val="60CCD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16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2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0F"/>
    <w:rsid w:val="000015BE"/>
    <w:rsid w:val="00002210"/>
    <w:rsid w:val="0000231D"/>
    <w:rsid w:val="000023F2"/>
    <w:rsid w:val="00002AF7"/>
    <w:rsid w:val="00004FD1"/>
    <w:rsid w:val="00007C02"/>
    <w:rsid w:val="0001027A"/>
    <w:rsid w:val="00013A9D"/>
    <w:rsid w:val="000145B0"/>
    <w:rsid w:val="00014825"/>
    <w:rsid w:val="00015FE8"/>
    <w:rsid w:val="00020868"/>
    <w:rsid w:val="00022355"/>
    <w:rsid w:val="00022901"/>
    <w:rsid w:val="0002294F"/>
    <w:rsid w:val="00023ED8"/>
    <w:rsid w:val="000255A4"/>
    <w:rsid w:val="000255E7"/>
    <w:rsid w:val="00031117"/>
    <w:rsid w:val="000314E0"/>
    <w:rsid w:val="00032F41"/>
    <w:rsid w:val="00033396"/>
    <w:rsid w:val="00033D7F"/>
    <w:rsid w:val="00033DF0"/>
    <w:rsid w:val="00034199"/>
    <w:rsid w:val="00034E82"/>
    <w:rsid w:val="00037AEA"/>
    <w:rsid w:val="0004755A"/>
    <w:rsid w:val="00050BD1"/>
    <w:rsid w:val="00050E8B"/>
    <w:rsid w:val="000529CC"/>
    <w:rsid w:val="00052FD0"/>
    <w:rsid w:val="00055220"/>
    <w:rsid w:val="00055C47"/>
    <w:rsid w:val="00057502"/>
    <w:rsid w:val="0006005B"/>
    <w:rsid w:val="0006063A"/>
    <w:rsid w:val="00061CB4"/>
    <w:rsid w:val="00062333"/>
    <w:rsid w:val="0006278A"/>
    <w:rsid w:val="00063BCF"/>
    <w:rsid w:val="00066B14"/>
    <w:rsid w:val="000701D7"/>
    <w:rsid w:val="00070582"/>
    <w:rsid w:val="0007198B"/>
    <w:rsid w:val="000746E3"/>
    <w:rsid w:val="00074B10"/>
    <w:rsid w:val="000754F7"/>
    <w:rsid w:val="00077CB3"/>
    <w:rsid w:val="00080053"/>
    <w:rsid w:val="00082AE4"/>
    <w:rsid w:val="00082D34"/>
    <w:rsid w:val="0008325F"/>
    <w:rsid w:val="00084523"/>
    <w:rsid w:val="00085959"/>
    <w:rsid w:val="00085A03"/>
    <w:rsid w:val="00086A96"/>
    <w:rsid w:val="00090053"/>
    <w:rsid w:val="00090A0D"/>
    <w:rsid w:val="000924D2"/>
    <w:rsid w:val="00092646"/>
    <w:rsid w:val="00092890"/>
    <w:rsid w:val="00092DAB"/>
    <w:rsid w:val="00093B99"/>
    <w:rsid w:val="000945A7"/>
    <w:rsid w:val="00094943"/>
    <w:rsid w:val="000A0B54"/>
    <w:rsid w:val="000A5574"/>
    <w:rsid w:val="000A6162"/>
    <w:rsid w:val="000A6244"/>
    <w:rsid w:val="000A6909"/>
    <w:rsid w:val="000A7AC3"/>
    <w:rsid w:val="000B037C"/>
    <w:rsid w:val="000B059C"/>
    <w:rsid w:val="000B06B2"/>
    <w:rsid w:val="000B0CD2"/>
    <w:rsid w:val="000B2E55"/>
    <w:rsid w:val="000B430C"/>
    <w:rsid w:val="000B4E6C"/>
    <w:rsid w:val="000B7641"/>
    <w:rsid w:val="000C0DE2"/>
    <w:rsid w:val="000C0DEA"/>
    <w:rsid w:val="000C1B5C"/>
    <w:rsid w:val="000C1BCD"/>
    <w:rsid w:val="000C27EF"/>
    <w:rsid w:val="000C2901"/>
    <w:rsid w:val="000C2B6A"/>
    <w:rsid w:val="000C2BC9"/>
    <w:rsid w:val="000C5E26"/>
    <w:rsid w:val="000D1426"/>
    <w:rsid w:val="000D2368"/>
    <w:rsid w:val="000D69A8"/>
    <w:rsid w:val="000E0EF7"/>
    <w:rsid w:val="000E2589"/>
    <w:rsid w:val="000E28AD"/>
    <w:rsid w:val="000E3313"/>
    <w:rsid w:val="000E402B"/>
    <w:rsid w:val="000E5491"/>
    <w:rsid w:val="000E59D6"/>
    <w:rsid w:val="000E5F85"/>
    <w:rsid w:val="000E6D71"/>
    <w:rsid w:val="000E6EF8"/>
    <w:rsid w:val="000E6F6E"/>
    <w:rsid w:val="000E79D4"/>
    <w:rsid w:val="000F1BC7"/>
    <w:rsid w:val="000F26F1"/>
    <w:rsid w:val="000F2D34"/>
    <w:rsid w:val="000F3F8B"/>
    <w:rsid w:val="000F40B0"/>
    <w:rsid w:val="000F4606"/>
    <w:rsid w:val="000F4CE5"/>
    <w:rsid w:val="000F678D"/>
    <w:rsid w:val="000F6B67"/>
    <w:rsid w:val="000F787D"/>
    <w:rsid w:val="00103AED"/>
    <w:rsid w:val="00105619"/>
    <w:rsid w:val="001067C9"/>
    <w:rsid w:val="0011079D"/>
    <w:rsid w:val="00110EC0"/>
    <w:rsid w:val="00110EE7"/>
    <w:rsid w:val="001130D7"/>
    <w:rsid w:val="00116CC8"/>
    <w:rsid w:val="00120973"/>
    <w:rsid w:val="0012120A"/>
    <w:rsid w:val="0012149C"/>
    <w:rsid w:val="001216C9"/>
    <w:rsid w:val="00121994"/>
    <w:rsid w:val="00121F38"/>
    <w:rsid w:val="001231F2"/>
    <w:rsid w:val="00124BA1"/>
    <w:rsid w:val="00125540"/>
    <w:rsid w:val="00125BC0"/>
    <w:rsid w:val="001363CE"/>
    <w:rsid w:val="0013755B"/>
    <w:rsid w:val="0013795C"/>
    <w:rsid w:val="00137CDC"/>
    <w:rsid w:val="0014082F"/>
    <w:rsid w:val="00140A20"/>
    <w:rsid w:val="00141539"/>
    <w:rsid w:val="001420C7"/>
    <w:rsid w:val="001434AA"/>
    <w:rsid w:val="00144072"/>
    <w:rsid w:val="00144DBB"/>
    <w:rsid w:val="001453FB"/>
    <w:rsid w:val="00151B78"/>
    <w:rsid w:val="001543FB"/>
    <w:rsid w:val="00155358"/>
    <w:rsid w:val="0015564A"/>
    <w:rsid w:val="0015578A"/>
    <w:rsid w:val="00155A8C"/>
    <w:rsid w:val="0015686B"/>
    <w:rsid w:val="001573F7"/>
    <w:rsid w:val="00160251"/>
    <w:rsid w:val="001621A6"/>
    <w:rsid w:val="00163886"/>
    <w:rsid w:val="00163AAA"/>
    <w:rsid w:val="00163FB6"/>
    <w:rsid w:val="00164863"/>
    <w:rsid w:val="00165B2C"/>
    <w:rsid w:val="001676B0"/>
    <w:rsid w:val="001700C0"/>
    <w:rsid w:val="00173F47"/>
    <w:rsid w:val="00174370"/>
    <w:rsid w:val="00174B49"/>
    <w:rsid w:val="00180D94"/>
    <w:rsid w:val="00181AFB"/>
    <w:rsid w:val="001824DD"/>
    <w:rsid w:val="00183C61"/>
    <w:rsid w:val="001852BA"/>
    <w:rsid w:val="00186360"/>
    <w:rsid w:val="001863A4"/>
    <w:rsid w:val="001877CC"/>
    <w:rsid w:val="00191FF6"/>
    <w:rsid w:val="001926AD"/>
    <w:rsid w:val="00194F61"/>
    <w:rsid w:val="0019623F"/>
    <w:rsid w:val="00196817"/>
    <w:rsid w:val="001A260D"/>
    <w:rsid w:val="001A493F"/>
    <w:rsid w:val="001A5125"/>
    <w:rsid w:val="001A788E"/>
    <w:rsid w:val="001B0A98"/>
    <w:rsid w:val="001B1F9C"/>
    <w:rsid w:val="001B329D"/>
    <w:rsid w:val="001C15E1"/>
    <w:rsid w:val="001C1F03"/>
    <w:rsid w:val="001C26B9"/>
    <w:rsid w:val="001C39A7"/>
    <w:rsid w:val="001C4310"/>
    <w:rsid w:val="001C7A15"/>
    <w:rsid w:val="001D0079"/>
    <w:rsid w:val="001D066B"/>
    <w:rsid w:val="001D12A9"/>
    <w:rsid w:val="001D2BFF"/>
    <w:rsid w:val="001D45E3"/>
    <w:rsid w:val="001D59A1"/>
    <w:rsid w:val="001D63E5"/>
    <w:rsid w:val="001E16DB"/>
    <w:rsid w:val="001E1784"/>
    <w:rsid w:val="001E3D83"/>
    <w:rsid w:val="001E60C2"/>
    <w:rsid w:val="001E7B33"/>
    <w:rsid w:val="001F4237"/>
    <w:rsid w:val="001F4D37"/>
    <w:rsid w:val="001F4F69"/>
    <w:rsid w:val="001F764E"/>
    <w:rsid w:val="002012E7"/>
    <w:rsid w:val="00201B39"/>
    <w:rsid w:val="002020E8"/>
    <w:rsid w:val="002063F2"/>
    <w:rsid w:val="0020755F"/>
    <w:rsid w:val="0021020F"/>
    <w:rsid w:val="00210E33"/>
    <w:rsid w:val="00213143"/>
    <w:rsid w:val="00213919"/>
    <w:rsid w:val="00216354"/>
    <w:rsid w:val="00216A95"/>
    <w:rsid w:val="00216DEC"/>
    <w:rsid w:val="00217B34"/>
    <w:rsid w:val="00220538"/>
    <w:rsid w:val="00220D9F"/>
    <w:rsid w:val="00221202"/>
    <w:rsid w:val="002216E2"/>
    <w:rsid w:val="00221EF6"/>
    <w:rsid w:val="00223ADE"/>
    <w:rsid w:val="00224C46"/>
    <w:rsid w:val="00224D33"/>
    <w:rsid w:val="002255F4"/>
    <w:rsid w:val="00227820"/>
    <w:rsid w:val="00230034"/>
    <w:rsid w:val="00230109"/>
    <w:rsid w:val="00231E54"/>
    <w:rsid w:val="00233D77"/>
    <w:rsid w:val="00235A36"/>
    <w:rsid w:val="00236B27"/>
    <w:rsid w:val="00237685"/>
    <w:rsid w:val="002401DD"/>
    <w:rsid w:val="0024304C"/>
    <w:rsid w:val="00244724"/>
    <w:rsid w:val="00246379"/>
    <w:rsid w:val="00247B63"/>
    <w:rsid w:val="002511FA"/>
    <w:rsid w:val="002516B6"/>
    <w:rsid w:val="00252A1D"/>
    <w:rsid w:val="0025444F"/>
    <w:rsid w:val="002551E5"/>
    <w:rsid w:val="00255628"/>
    <w:rsid w:val="002623EE"/>
    <w:rsid w:val="00262723"/>
    <w:rsid w:val="0026653F"/>
    <w:rsid w:val="00267ECF"/>
    <w:rsid w:val="002712F2"/>
    <w:rsid w:val="00273737"/>
    <w:rsid w:val="002749A8"/>
    <w:rsid w:val="002750D1"/>
    <w:rsid w:val="00275668"/>
    <w:rsid w:val="00275ECF"/>
    <w:rsid w:val="00277166"/>
    <w:rsid w:val="002776FC"/>
    <w:rsid w:val="00280E66"/>
    <w:rsid w:val="002831B8"/>
    <w:rsid w:val="00286686"/>
    <w:rsid w:val="00286B6E"/>
    <w:rsid w:val="0029321B"/>
    <w:rsid w:val="00293580"/>
    <w:rsid w:val="00293D17"/>
    <w:rsid w:val="00294C1D"/>
    <w:rsid w:val="002971DA"/>
    <w:rsid w:val="00297B10"/>
    <w:rsid w:val="002A221D"/>
    <w:rsid w:val="002A4627"/>
    <w:rsid w:val="002A479C"/>
    <w:rsid w:val="002A5E1D"/>
    <w:rsid w:val="002A7121"/>
    <w:rsid w:val="002A73D3"/>
    <w:rsid w:val="002A7BC4"/>
    <w:rsid w:val="002A7C85"/>
    <w:rsid w:val="002B3344"/>
    <w:rsid w:val="002B334D"/>
    <w:rsid w:val="002B439F"/>
    <w:rsid w:val="002B48E5"/>
    <w:rsid w:val="002B5A54"/>
    <w:rsid w:val="002B6D76"/>
    <w:rsid w:val="002B7C69"/>
    <w:rsid w:val="002C2BD6"/>
    <w:rsid w:val="002C3809"/>
    <w:rsid w:val="002C5C8D"/>
    <w:rsid w:val="002C7774"/>
    <w:rsid w:val="002D064C"/>
    <w:rsid w:val="002D206F"/>
    <w:rsid w:val="002D307C"/>
    <w:rsid w:val="002D389A"/>
    <w:rsid w:val="002D4F01"/>
    <w:rsid w:val="002D7CA2"/>
    <w:rsid w:val="002E077B"/>
    <w:rsid w:val="002E087C"/>
    <w:rsid w:val="002E1A8C"/>
    <w:rsid w:val="002E214D"/>
    <w:rsid w:val="002E4EF8"/>
    <w:rsid w:val="002E60C2"/>
    <w:rsid w:val="002E68E2"/>
    <w:rsid w:val="002E6BF5"/>
    <w:rsid w:val="002E7B6E"/>
    <w:rsid w:val="002F116D"/>
    <w:rsid w:val="002F2DBF"/>
    <w:rsid w:val="002F6118"/>
    <w:rsid w:val="00300610"/>
    <w:rsid w:val="00301246"/>
    <w:rsid w:val="00301993"/>
    <w:rsid w:val="00305DCC"/>
    <w:rsid w:val="00306E32"/>
    <w:rsid w:val="00310005"/>
    <w:rsid w:val="00310AFC"/>
    <w:rsid w:val="00310C09"/>
    <w:rsid w:val="003112D5"/>
    <w:rsid w:val="003125BB"/>
    <w:rsid w:val="00314B1E"/>
    <w:rsid w:val="0031561F"/>
    <w:rsid w:val="003202C2"/>
    <w:rsid w:val="00320B89"/>
    <w:rsid w:val="003226B4"/>
    <w:rsid w:val="00322E7F"/>
    <w:rsid w:val="00323C8E"/>
    <w:rsid w:val="00326789"/>
    <w:rsid w:val="003268B5"/>
    <w:rsid w:val="00330932"/>
    <w:rsid w:val="00330F89"/>
    <w:rsid w:val="00331781"/>
    <w:rsid w:val="0033272F"/>
    <w:rsid w:val="00333D08"/>
    <w:rsid w:val="003361FF"/>
    <w:rsid w:val="00340C5D"/>
    <w:rsid w:val="00341733"/>
    <w:rsid w:val="0034265C"/>
    <w:rsid w:val="003432AD"/>
    <w:rsid w:val="003439EA"/>
    <w:rsid w:val="00345261"/>
    <w:rsid w:val="00345DE2"/>
    <w:rsid w:val="00346860"/>
    <w:rsid w:val="00346D3B"/>
    <w:rsid w:val="003472F6"/>
    <w:rsid w:val="00351665"/>
    <w:rsid w:val="00351E51"/>
    <w:rsid w:val="0035387B"/>
    <w:rsid w:val="00355406"/>
    <w:rsid w:val="00355561"/>
    <w:rsid w:val="003631DD"/>
    <w:rsid w:val="003641C0"/>
    <w:rsid w:val="0036428C"/>
    <w:rsid w:val="00364519"/>
    <w:rsid w:val="00364B27"/>
    <w:rsid w:val="00364C7B"/>
    <w:rsid w:val="003672C8"/>
    <w:rsid w:val="00367FF1"/>
    <w:rsid w:val="0037104D"/>
    <w:rsid w:val="00371D5E"/>
    <w:rsid w:val="00373042"/>
    <w:rsid w:val="0037309E"/>
    <w:rsid w:val="0037392E"/>
    <w:rsid w:val="00375F14"/>
    <w:rsid w:val="0037687A"/>
    <w:rsid w:val="003800DD"/>
    <w:rsid w:val="00387E2A"/>
    <w:rsid w:val="003915B2"/>
    <w:rsid w:val="003916C5"/>
    <w:rsid w:val="00392606"/>
    <w:rsid w:val="003929CD"/>
    <w:rsid w:val="00392C8F"/>
    <w:rsid w:val="00393AAA"/>
    <w:rsid w:val="003948DB"/>
    <w:rsid w:val="00394D58"/>
    <w:rsid w:val="00395A18"/>
    <w:rsid w:val="00396840"/>
    <w:rsid w:val="003A367D"/>
    <w:rsid w:val="003B1EF5"/>
    <w:rsid w:val="003B2269"/>
    <w:rsid w:val="003B78ED"/>
    <w:rsid w:val="003B7BF7"/>
    <w:rsid w:val="003C1270"/>
    <w:rsid w:val="003C1845"/>
    <w:rsid w:val="003C302F"/>
    <w:rsid w:val="003C5390"/>
    <w:rsid w:val="003C7390"/>
    <w:rsid w:val="003C7474"/>
    <w:rsid w:val="003D1DD6"/>
    <w:rsid w:val="003D35FE"/>
    <w:rsid w:val="003D38A1"/>
    <w:rsid w:val="003D492C"/>
    <w:rsid w:val="003D4B4B"/>
    <w:rsid w:val="003D5942"/>
    <w:rsid w:val="003D6860"/>
    <w:rsid w:val="003D6E09"/>
    <w:rsid w:val="003D715F"/>
    <w:rsid w:val="003E0296"/>
    <w:rsid w:val="003E0D35"/>
    <w:rsid w:val="003E18CB"/>
    <w:rsid w:val="003E25C5"/>
    <w:rsid w:val="003E31F2"/>
    <w:rsid w:val="003E5959"/>
    <w:rsid w:val="003E7542"/>
    <w:rsid w:val="003F0186"/>
    <w:rsid w:val="003F1B52"/>
    <w:rsid w:val="003F2DD8"/>
    <w:rsid w:val="003F487F"/>
    <w:rsid w:val="003F58EE"/>
    <w:rsid w:val="003F6330"/>
    <w:rsid w:val="003F6F3D"/>
    <w:rsid w:val="003F729F"/>
    <w:rsid w:val="003F7EBC"/>
    <w:rsid w:val="004004D6"/>
    <w:rsid w:val="0040256E"/>
    <w:rsid w:val="00406846"/>
    <w:rsid w:val="00412E90"/>
    <w:rsid w:val="00415615"/>
    <w:rsid w:val="00415AC8"/>
    <w:rsid w:val="00415D4A"/>
    <w:rsid w:val="0041620C"/>
    <w:rsid w:val="0041796A"/>
    <w:rsid w:val="00420276"/>
    <w:rsid w:val="00421CF3"/>
    <w:rsid w:val="00426CB7"/>
    <w:rsid w:val="00427803"/>
    <w:rsid w:val="00432102"/>
    <w:rsid w:val="0043246C"/>
    <w:rsid w:val="00436097"/>
    <w:rsid w:val="00436A42"/>
    <w:rsid w:val="00437D3D"/>
    <w:rsid w:val="00442249"/>
    <w:rsid w:val="00444E1D"/>
    <w:rsid w:val="0044572F"/>
    <w:rsid w:val="00445C47"/>
    <w:rsid w:val="00445CC3"/>
    <w:rsid w:val="004465C3"/>
    <w:rsid w:val="00446E1C"/>
    <w:rsid w:val="00447DAB"/>
    <w:rsid w:val="00451F99"/>
    <w:rsid w:val="004621D6"/>
    <w:rsid w:val="004622BF"/>
    <w:rsid w:val="00464022"/>
    <w:rsid w:val="00464C5D"/>
    <w:rsid w:val="00465794"/>
    <w:rsid w:val="00471E24"/>
    <w:rsid w:val="00474D21"/>
    <w:rsid w:val="00475F2A"/>
    <w:rsid w:val="0047717C"/>
    <w:rsid w:val="004807B3"/>
    <w:rsid w:val="00480DB6"/>
    <w:rsid w:val="004816D7"/>
    <w:rsid w:val="0048177F"/>
    <w:rsid w:val="00485500"/>
    <w:rsid w:val="00491834"/>
    <w:rsid w:val="00492125"/>
    <w:rsid w:val="00492345"/>
    <w:rsid w:val="00492E47"/>
    <w:rsid w:val="004963A2"/>
    <w:rsid w:val="004A0F15"/>
    <w:rsid w:val="004A2CF0"/>
    <w:rsid w:val="004A3EA0"/>
    <w:rsid w:val="004A4252"/>
    <w:rsid w:val="004A49B5"/>
    <w:rsid w:val="004A6342"/>
    <w:rsid w:val="004A7A2A"/>
    <w:rsid w:val="004B33BD"/>
    <w:rsid w:val="004B364D"/>
    <w:rsid w:val="004C154B"/>
    <w:rsid w:val="004C327C"/>
    <w:rsid w:val="004C3DED"/>
    <w:rsid w:val="004C61CB"/>
    <w:rsid w:val="004C75F9"/>
    <w:rsid w:val="004D0073"/>
    <w:rsid w:val="004D3646"/>
    <w:rsid w:val="004D60BB"/>
    <w:rsid w:val="004D7303"/>
    <w:rsid w:val="004D7B78"/>
    <w:rsid w:val="004E0F07"/>
    <w:rsid w:val="004E41B5"/>
    <w:rsid w:val="004F01D3"/>
    <w:rsid w:val="004F1339"/>
    <w:rsid w:val="004F3F30"/>
    <w:rsid w:val="004F511F"/>
    <w:rsid w:val="004F60B8"/>
    <w:rsid w:val="00501B17"/>
    <w:rsid w:val="00503AB6"/>
    <w:rsid w:val="00505C98"/>
    <w:rsid w:val="00507C38"/>
    <w:rsid w:val="00510059"/>
    <w:rsid w:val="0051132C"/>
    <w:rsid w:val="0051251A"/>
    <w:rsid w:val="00516A0B"/>
    <w:rsid w:val="005174E8"/>
    <w:rsid w:val="0051788D"/>
    <w:rsid w:val="00522F57"/>
    <w:rsid w:val="00523E2D"/>
    <w:rsid w:val="005257E7"/>
    <w:rsid w:val="005325A8"/>
    <w:rsid w:val="00533B07"/>
    <w:rsid w:val="00534816"/>
    <w:rsid w:val="005351B5"/>
    <w:rsid w:val="00537E6A"/>
    <w:rsid w:val="0054008F"/>
    <w:rsid w:val="00542E26"/>
    <w:rsid w:val="00543349"/>
    <w:rsid w:val="005441A1"/>
    <w:rsid w:val="005443CC"/>
    <w:rsid w:val="0054484D"/>
    <w:rsid w:val="00545642"/>
    <w:rsid w:val="00545F9D"/>
    <w:rsid w:val="0054714F"/>
    <w:rsid w:val="00550BEF"/>
    <w:rsid w:val="005519FE"/>
    <w:rsid w:val="0055284E"/>
    <w:rsid w:val="00553D54"/>
    <w:rsid w:val="00555195"/>
    <w:rsid w:val="00555778"/>
    <w:rsid w:val="005611A5"/>
    <w:rsid w:val="00565E03"/>
    <w:rsid w:val="0056646A"/>
    <w:rsid w:val="0056704D"/>
    <w:rsid w:val="00571353"/>
    <w:rsid w:val="005737E0"/>
    <w:rsid w:val="0057421C"/>
    <w:rsid w:val="00574783"/>
    <w:rsid w:val="00582871"/>
    <w:rsid w:val="00584603"/>
    <w:rsid w:val="00585123"/>
    <w:rsid w:val="005852FC"/>
    <w:rsid w:val="00585DA2"/>
    <w:rsid w:val="00586281"/>
    <w:rsid w:val="00587321"/>
    <w:rsid w:val="005901D3"/>
    <w:rsid w:val="00590A2D"/>
    <w:rsid w:val="005921EF"/>
    <w:rsid w:val="00593701"/>
    <w:rsid w:val="005952A9"/>
    <w:rsid w:val="0059576C"/>
    <w:rsid w:val="00595B9A"/>
    <w:rsid w:val="00597AA6"/>
    <w:rsid w:val="005A0773"/>
    <w:rsid w:val="005A0F57"/>
    <w:rsid w:val="005A6F68"/>
    <w:rsid w:val="005A728A"/>
    <w:rsid w:val="005A7ED3"/>
    <w:rsid w:val="005B0E30"/>
    <w:rsid w:val="005B40E0"/>
    <w:rsid w:val="005B6962"/>
    <w:rsid w:val="005C0BA5"/>
    <w:rsid w:val="005C1505"/>
    <w:rsid w:val="005C2F18"/>
    <w:rsid w:val="005D1441"/>
    <w:rsid w:val="005D16EC"/>
    <w:rsid w:val="005D19E4"/>
    <w:rsid w:val="005D3B8C"/>
    <w:rsid w:val="005D5A33"/>
    <w:rsid w:val="005D6518"/>
    <w:rsid w:val="005D6FA3"/>
    <w:rsid w:val="005D7293"/>
    <w:rsid w:val="005D7B2F"/>
    <w:rsid w:val="005D7C72"/>
    <w:rsid w:val="005E4443"/>
    <w:rsid w:val="005E4B94"/>
    <w:rsid w:val="005E6518"/>
    <w:rsid w:val="005F1C22"/>
    <w:rsid w:val="005F1E7C"/>
    <w:rsid w:val="005F2157"/>
    <w:rsid w:val="005F413F"/>
    <w:rsid w:val="005F6433"/>
    <w:rsid w:val="006002D5"/>
    <w:rsid w:val="00600828"/>
    <w:rsid w:val="0060156B"/>
    <w:rsid w:val="0060205D"/>
    <w:rsid w:val="00605891"/>
    <w:rsid w:val="00606F19"/>
    <w:rsid w:val="00607BD6"/>
    <w:rsid w:val="0061038C"/>
    <w:rsid w:val="006104FE"/>
    <w:rsid w:val="00615720"/>
    <w:rsid w:val="00615C13"/>
    <w:rsid w:val="0061655C"/>
    <w:rsid w:val="00616689"/>
    <w:rsid w:val="006179DB"/>
    <w:rsid w:val="00617E55"/>
    <w:rsid w:val="00624887"/>
    <w:rsid w:val="00627232"/>
    <w:rsid w:val="006279B1"/>
    <w:rsid w:val="006305A7"/>
    <w:rsid w:val="0063329D"/>
    <w:rsid w:val="00634839"/>
    <w:rsid w:val="006358EF"/>
    <w:rsid w:val="00637537"/>
    <w:rsid w:val="006375DF"/>
    <w:rsid w:val="00637DA5"/>
    <w:rsid w:val="00640173"/>
    <w:rsid w:val="00641103"/>
    <w:rsid w:val="00641278"/>
    <w:rsid w:val="0064143C"/>
    <w:rsid w:val="006428B1"/>
    <w:rsid w:val="0064356B"/>
    <w:rsid w:val="0064473B"/>
    <w:rsid w:val="00644B63"/>
    <w:rsid w:val="0064675B"/>
    <w:rsid w:val="00652610"/>
    <w:rsid w:val="00653DF5"/>
    <w:rsid w:val="00654C63"/>
    <w:rsid w:val="006556F2"/>
    <w:rsid w:val="00657B7A"/>
    <w:rsid w:val="0066160F"/>
    <w:rsid w:val="0066221B"/>
    <w:rsid w:val="00662975"/>
    <w:rsid w:val="006631D8"/>
    <w:rsid w:val="0066343F"/>
    <w:rsid w:val="006663E8"/>
    <w:rsid w:val="00666E10"/>
    <w:rsid w:val="00671BEC"/>
    <w:rsid w:val="00671D7B"/>
    <w:rsid w:val="00672A55"/>
    <w:rsid w:val="00673C0B"/>
    <w:rsid w:val="0067510B"/>
    <w:rsid w:val="006754D7"/>
    <w:rsid w:val="00675DE6"/>
    <w:rsid w:val="00676C0D"/>
    <w:rsid w:val="00681318"/>
    <w:rsid w:val="00684EEC"/>
    <w:rsid w:val="006867DD"/>
    <w:rsid w:val="0069269B"/>
    <w:rsid w:val="006942D6"/>
    <w:rsid w:val="00694C5C"/>
    <w:rsid w:val="00696914"/>
    <w:rsid w:val="006A0C4C"/>
    <w:rsid w:val="006A107F"/>
    <w:rsid w:val="006A1EBB"/>
    <w:rsid w:val="006A1F4C"/>
    <w:rsid w:val="006A304F"/>
    <w:rsid w:val="006A341D"/>
    <w:rsid w:val="006A49C0"/>
    <w:rsid w:val="006A633F"/>
    <w:rsid w:val="006A73D7"/>
    <w:rsid w:val="006A7997"/>
    <w:rsid w:val="006B20C4"/>
    <w:rsid w:val="006B3262"/>
    <w:rsid w:val="006B6BA1"/>
    <w:rsid w:val="006B7A9C"/>
    <w:rsid w:val="006C06CD"/>
    <w:rsid w:val="006C123F"/>
    <w:rsid w:val="006C155B"/>
    <w:rsid w:val="006C1C61"/>
    <w:rsid w:val="006C1EFA"/>
    <w:rsid w:val="006D02BA"/>
    <w:rsid w:val="006D0C2A"/>
    <w:rsid w:val="006D29AC"/>
    <w:rsid w:val="006D37F1"/>
    <w:rsid w:val="006D4678"/>
    <w:rsid w:val="006D47A4"/>
    <w:rsid w:val="006E06BA"/>
    <w:rsid w:val="006E2C22"/>
    <w:rsid w:val="006E2D47"/>
    <w:rsid w:val="006F2FC1"/>
    <w:rsid w:val="006F318B"/>
    <w:rsid w:val="006F370D"/>
    <w:rsid w:val="006F3AC6"/>
    <w:rsid w:val="006F4C67"/>
    <w:rsid w:val="006F5077"/>
    <w:rsid w:val="006F50A1"/>
    <w:rsid w:val="006F60B8"/>
    <w:rsid w:val="006F6500"/>
    <w:rsid w:val="006F655D"/>
    <w:rsid w:val="006F6F89"/>
    <w:rsid w:val="006F71F2"/>
    <w:rsid w:val="00700054"/>
    <w:rsid w:val="00703B3A"/>
    <w:rsid w:val="007075C9"/>
    <w:rsid w:val="0070770E"/>
    <w:rsid w:val="0071504B"/>
    <w:rsid w:val="007161BC"/>
    <w:rsid w:val="00720114"/>
    <w:rsid w:val="00720AA3"/>
    <w:rsid w:val="00722311"/>
    <w:rsid w:val="00723817"/>
    <w:rsid w:val="00724118"/>
    <w:rsid w:val="00726052"/>
    <w:rsid w:val="00727970"/>
    <w:rsid w:val="00732D57"/>
    <w:rsid w:val="007333F2"/>
    <w:rsid w:val="00733CCD"/>
    <w:rsid w:val="0073629E"/>
    <w:rsid w:val="007369D9"/>
    <w:rsid w:val="007405CE"/>
    <w:rsid w:val="00741B82"/>
    <w:rsid w:val="00741C06"/>
    <w:rsid w:val="00742AF1"/>
    <w:rsid w:val="00743DA6"/>
    <w:rsid w:val="007441F7"/>
    <w:rsid w:val="007452C3"/>
    <w:rsid w:val="0074673F"/>
    <w:rsid w:val="00746A40"/>
    <w:rsid w:val="00750297"/>
    <w:rsid w:val="007525FB"/>
    <w:rsid w:val="00753A41"/>
    <w:rsid w:val="00755B18"/>
    <w:rsid w:val="007564C1"/>
    <w:rsid w:val="00756806"/>
    <w:rsid w:val="00757F36"/>
    <w:rsid w:val="00761C90"/>
    <w:rsid w:val="00763B54"/>
    <w:rsid w:val="007645E3"/>
    <w:rsid w:val="007653CC"/>
    <w:rsid w:val="0076693E"/>
    <w:rsid w:val="00772049"/>
    <w:rsid w:val="0077280D"/>
    <w:rsid w:val="00772C0D"/>
    <w:rsid w:val="007776D2"/>
    <w:rsid w:val="00777E55"/>
    <w:rsid w:val="0078078A"/>
    <w:rsid w:val="0078140A"/>
    <w:rsid w:val="00782785"/>
    <w:rsid w:val="007830EE"/>
    <w:rsid w:val="00784047"/>
    <w:rsid w:val="00785729"/>
    <w:rsid w:val="0078598A"/>
    <w:rsid w:val="0078684A"/>
    <w:rsid w:val="007870AD"/>
    <w:rsid w:val="007870C2"/>
    <w:rsid w:val="00790F64"/>
    <w:rsid w:val="00791358"/>
    <w:rsid w:val="007923CF"/>
    <w:rsid w:val="00792AFA"/>
    <w:rsid w:val="00793CD9"/>
    <w:rsid w:val="00793CE0"/>
    <w:rsid w:val="00794406"/>
    <w:rsid w:val="0079528C"/>
    <w:rsid w:val="00795D8D"/>
    <w:rsid w:val="007A2AEC"/>
    <w:rsid w:val="007A4121"/>
    <w:rsid w:val="007A52C7"/>
    <w:rsid w:val="007A5768"/>
    <w:rsid w:val="007A78C4"/>
    <w:rsid w:val="007B1653"/>
    <w:rsid w:val="007B5B37"/>
    <w:rsid w:val="007B5F73"/>
    <w:rsid w:val="007B6013"/>
    <w:rsid w:val="007B6020"/>
    <w:rsid w:val="007B68D1"/>
    <w:rsid w:val="007C2867"/>
    <w:rsid w:val="007C3F76"/>
    <w:rsid w:val="007C4B9B"/>
    <w:rsid w:val="007C543B"/>
    <w:rsid w:val="007D17DF"/>
    <w:rsid w:val="007D3003"/>
    <w:rsid w:val="007D401C"/>
    <w:rsid w:val="007D44A3"/>
    <w:rsid w:val="007D5321"/>
    <w:rsid w:val="007D6260"/>
    <w:rsid w:val="007D729D"/>
    <w:rsid w:val="007D794B"/>
    <w:rsid w:val="007D7DB6"/>
    <w:rsid w:val="007E003B"/>
    <w:rsid w:val="007E0D05"/>
    <w:rsid w:val="007E0FC8"/>
    <w:rsid w:val="007E296A"/>
    <w:rsid w:val="007E3A2E"/>
    <w:rsid w:val="007E58D1"/>
    <w:rsid w:val="007E6953"/>
    <w:rsid w:val="007E7FAC"/>
    <w:rsid w:val="007F0D78"/>
    <w:rsid w:val="007F128B"/>
    <w:rsid w:val="007F1344"/>
    <w:rsid w:val="007F3EF4"/>
    <w:rsid w:val="007F4813"/>
    <w:rsid w:val="007F50D2"/>
    <w:rsid w:val="007F766D"/>
    <w:rsid w:val="007F787F"/>
    <w:rsid w:val="00803229"/>
    <w:rsid w:val="0080387A"/>
    <w:rsid w:val="0080509B"/>
    <w:rsid w:val="008109E5"/>
    <w:rsid w:val="00810A7B"/>
    <w:rsid w:val="00811352"/>
    <w:rsid w:val="008127C2"/>
    <w:rsid w:val="00814DE3"/>
    <w:rsid w:val="00815CA0"/>
    <w:rsid w:val="00815FC7"/>
    <w:rsid w:val="008174DD"/>
    <w:rsid w:val="00817552"/>
    <w:rsid w:val="00817830"/>
    <w:rsid w:val="008179FD"/>
    <w:rsid w:val="00823CC3"/>
    <w:rsid w:val="00826C54"/>
    <w:rsid w:val="008272A4"/>
    <w:rsid w:val="00827990"/>
    <w:rsid w:val="00827C0C"/>
    <w:rsid w:val="0083237A"/>
    <w:rsid w:val="0083321C"/>
    <w:rsid w:val="0083395D"/>
    <w:rsid w:val="00833A58"/>
    <w:rsid w:val="008349C9"/>
    <w:rsid w:val="00835F0B"/>
    <w:rsid w:val="008366F2"/>
    <w:rsid w:val="00837C1A"/>
    <w:rsid w:val="00840139"/>
    <w:rsid w:val="0084166C"/>
    <w:rsid w:val="00842F61"/>
    <w:rsid w:val="00845965"/>
    <w:rsid w:val="008470FB"/>
    <w:rsid w:val="008471BE"/>
    <w:rsid w:val="00850084"/>
    <w:rsid w:val="00850C60"/>
    <w:rsid w:val="00851BAE"/>
    <w:rsid w:val="008539C5"/>
    <w:rsid w:val="0085417E"/>
    <w:rsid w:val="00855227"/>
    <w:rsid w:val="008567FD"/>
    <w:rsid w:val="00862D27"/>
    <w:rsid w:val="00862E98"/>
    <w:rsid w:val="00865C63"/>
    <w:rsid w:val="00866705"/>
    <w:rsid w:val="00866747"/>
    <w:rsid w:val="00870545"/>
    <w:rsid w:val="00870806"/>
    <w:rsid w:val="008711F3"/>
    <w:rsid w:val="008712C9"/>
    <w:rsid w:val="00872E1E"/>
    <w:rsid w:val="008743EF"/>
    <w:rsid w:val="00874D84"/>
    <w:rsid w:val="00876851"/>
    <w:rsid w:val="00877617"/>
    <w:rsid w:val="00877FC7"/>
    <w:rsid w:val="00881859"/>
    <w:rsid w:val="0088213A"/>
    <w:rsid w:val="008844A0"/>
    <w:rsid w:val="00884838"/>
    <w:rsid w:val="00884926"/>
    <w:rsid w:val="00885BDD"/>
    <w:rsid w:val="0089059C"/>
    <w:rsid w:val="00890642"/>
    <w:rsid w:val="00891806"/>
    <w:rsid w:val="008928C7"/>
    <w:rsid w:val="008938A3"/>
    <w:rsid w:val="0089507B"/>
    <w:rsid w:val="00897701"/>
    <w:rsid w:val="008A1A54"/>
    <w:rsid w:val="008A3D2C"/>
    <w:rsid w:val="008A4B6D"/>
    <w:rsid w:val="008A4FAF"/>
    <w:rsid w:val="008A5BA7"/>
    <w:rsid w:val="008A6144"/>
    <w:rsid w:val="008A66F5"/>
    <w:rsid w:val="008B2E39"/>
    <w:rsid w:val="008B358A"/>
    <w:rsid w:val="008B6216"/>
    <w:rsid w:val="008B6728"/>
    <w:rsid w:val="008B72D2"/>
    <w:rsid w:val="008B77BC"/>
    <w:rsid w:val="008C1159"/>
    <w:rsid w:val="008C15E6"/>
    <w:rsid w:val="008C1F13"/>
    <w:rsid w:val="008C3DF1"/>
    <w:rsid w:val="008C3E39"/>
    <w:rsid w:val="008C68A8"/>
    <w:rsid w:val="008C6B72"/>
    <w:rsid w:val="008C6F5B"/>
    <w:rsid w:val="008C7A69"/>
    <w:rsid w:val="008D14E5"/>
    <w:rsid w:val="008D1FCE"/>
    <w:rsid w:val="008D2B29"/>
    <w:rsid w:val="008D388A"/>
    <w:rsid w:val="008D742E"/>
    <w:rsid w:val="008D7CDC"/>
    <w:rsid w:val="008E5DCA"/>
    <w:rsid w:val="008E6B21"/>
    <w:rsid w:val="008E7387"/>
    <w:rsid w:val="008F10FD"/>
    <w:rsid w:val="008F42DD"/>
    <w:rsid w:val="008F473A"/>
    <w:rsid w:val="008F68A7"/>
    <w:rsid w:val="008F68FF"/>
    <w:rsid w:val="00905D11"/>
    <w:rsid w:val="0091345C"/>
    <w:rsid w:val="00913492"/>
    <w:rsid w:val="0091431F"/>
    <w:rsid w:val="009148B8"/>
    <w:rsid w:val="009149B8"/>
    <w:rsid w:val="00917056"/>
    <w:rsid w:val="00917422"/>
    <w:rsid w:val="00917449"/>
    <w:rsid w:val="009174AD"/>
    <w:rsid w:val="00917ECB"/>
    <w:rsid w:val="00920510"/>
    <w:rsid w:val="009246A8"/>
    <w:rsid w:val="009263E9"/>
    <w:rsid w:val="00926954"/>
    <w:rsid w:val="00930712"/>
    <w:rsid w:val="00933B49"/>
    <w:rsid w:val="00934158"/>
    <w:rsid w:val="009351E5"/>
    <w:rsid w:val="009354C0"/>
    <w:rsid w:val="00941924"/>
    <w:rsid w:val="00942AD8"/>
    <w:rsid w:val="009445D9"/>
    <w:rsid w:val="00945BE7"/>
    <w:rsid w:val="00947E07"/>
    <w:rsid w:val="009500BA"/>
    <w:rsid w:val="00950C10"/>
    <w:rsid w:val="00951E22"/>
    <w:rsid w:val="009522BD"/>
    <w:rsid w:val="00954424"/>
    <w:rsid w:val="00954977"/>
    <w:rsid w:val="00954C5E"/>
    <w:rsid w:val="00955D88"/>
    <w:rsid w:val="00960D97"/>
    <w:rsid w:val="00961C7B"/>
    <w:rsid w:val="00961DF2"/>
    <w:rsid w:val="00965063"/>
    <w:rsid w:val="0096790E"/>
    <w:rsid w:val="0097328A"/>
    <w:rsid w:val="0097544C"/>
    <w:rsid w:val="00975C09"/>
    <w:rsid w:val="0098134C"/>
    <w:rsid w:val="009822D7"/>
    <w:rsid w:val="009831D7"/>
    <w:rsid w:val="009832BC"/>
    <w:rsid w:val="00983350"/>
    <w:rsid w:val="00984E59"/>
    <w:rsid w:val="009861F5"/>
    <w:rsid w:val="00986287"/>
    <w:rsid w:val="009879B1"/>
    <w:rsid w:val="009879E7"/>
    <w:rsid w:val="009904A1"/>
    <w:rsid w:val="00991A5C"/>
    <w:rsid w:val="00992052"/>
    <w:rsid w:val="0099335C"/>
    <w:rsid w:val="00994B21"/>
    <w:rsid w:val="009961FA"/>
    <w:rsid w:val="00996410"/>
    <w:rsid w:val="009A0AB6"/>
    <w:rsid w:val="009A0D32"/>
    <w:rsid w:val="009A13C0"/>
    <w:rsid w:val="009A1ABF"/>
    <w:rsid w:val="009A2210"/>
    <w:rsid w:val="009A3350"/>
    <w:rsid w:val="009A3803"/>
    <w:rsid w:val="009A3E2A"/>
    <w:rsid w:val="009A4165"/>
    <w:rsid w:val="009A4655"/>
    <w:rsid w:val="009A4B74"/>
    <w:rsid w:val="009A56B0"/>
    <w:rsid w:val="009A67D1"/>
    <w:rsid w:val="009A7F3F"/>
    <w:rsid w:val="009B0721"/>
    <w:rsid w:val="009B0E86"/>
    <w:rsid w:val="009B163E"/>
    <w:rsid w:val="009B39D2"/>
    <w:rsid w:val="009B719C"/>
    <w:rsid w:val="009B7DCA"/>
    <w:rsid w:val="009C018D"/>
    <w:rsid w:val="009C0AFF"/>
    <w:rsid w:val="009C309E"/>
    <w:rsid w:val="009C37EA"/>
    <w:rsid w:val="009C6A90"/>
    <w:rsid w:val="009D0004"/>
    <w:rsid w:val="009D0887"/>
    <w:rsid w:val="009D1380"/>
    <w:rsid w:val="009D1A99"/>
    <w:rsid w:val="009D3A8C"/>
    <w:rsid w:val="009D4F1F"/>
    <w:rsid w:val="009D5013"/>
    <w:rsid w:val="009D516D"/>
    <w:rsid w:val="009D698C"/>
    <w:rsid w:val="009D78D5"/>
    <w:rsid w:val="009E19D3"/>
    <w:rsid w:val="009E2640"/>
    <w:rsid w:val="009E3928"/>
    <w:rsid w:val="009E3BF6"/>
    <w:rsid w:val="009E69B1"/>
    <w:rsid w:val="009E69B6"/>
    <w:rsid w:val="009E6C8F"/>
    <w:rsid w:val="009E7F0E"/>
    <w:rsid w:val="009F1706"/>
    <w:rsid w:val="009F278B"/>
    <w:rsid w:val="009F3345"/>
    <w:rsid w:val="009F43CA"/>
    <w:rsid w:val="009F4CAC"/>
    <w:rsid w:val="009F5754"/>
    <w:rsid w:val="009F6059"/>
    <w:rsid w:val="00A00248"/>
    <w:rsid w:val="00A01832"/>
    <w:rsid w:val="00A031CB"/>
    <w:rsid w:val="00A05AC1"/>
    <w:rsid w:val="00A05D84"/>
    <w:rsid w:val="00A076DF"/>
    <w:rsid w:val="00A1061D"/>
    <w:rsid w:val="00A1099C"/>
    <w:rsid w:val="00A1116C"/>
    <w:rsid w:val="00A11A39"/>
    <w:rsid w:val="00A1525B"/>
    <w:rsid w:val="00A155F0"/>
    <w:rsid w:val="00A164B6"/>
    <w:rsid w:val="00A17B51"/>
    <w:rsid w:val="00A204BC"/>
    <w:rsid w:val="00A2181D"/>
    <w:rsid w:val="00A219EF"/>
    <w:rsid w:val="00A22801"/>
    <w:rsid w:val="00A22AB5"/>
    <w:rsid w:val="00A22AE2"/>
    <w:rsid w:val="00A23E6F"/>
    <w:rsid w:val="00A249DC"/>
    <w:rsid w:val="00A24C62"/>
    <w:rsid w:val="00A312C5"/>
    <w:rsid w:val="00A31858"/>
    <w:rsid w:val="00A31861"/>
    <w:rsid w:val="00A31EA8"/>
    <w:rsid w:val="00A32149"/>
    <w:rsid w:val="00A34585"/>
    <w:rsid w:val="00A3583A"/>
    <w:rsid w:val="00A35874"/>
    <w:rsid w:val="00A41D38"/>
    <w:rsid w:val="00A4429E"/>
    <w:rsid w:val="00A44630"/>
    <w:rsid w:val="00A46FB5"/>
    <w:rsid w:val="00A50F27"/>
    <w:rsid w:val="00A548F1"/>
    <w:rsid w:val="00A57785"/>
    <w:rsid w:val="00A57F10"/>
    <w:rsid w:val="00A6000E"/>
    <w:rsid w:val="00A656A3"/>
    <w:rsid w:val="00A65810"/>
    <w:rsid w:val="00A65E6E"/>
    <w:rsid w:val="00A704DC"/>
    <w:rsid w:val="00A70634"/>
    <w:rsid w:val="00A70AB7"/>
    <w:rsid w:val="00A70AF2"/>
    <w:rsid w:val="00A71104"/>
    <w:rsid w:val="00A7360F"/>
    <w:rsid w:val="00A73F97"/>
    <w:rsid w:val="00A76B29"/>
    <w:rsid w:val="00A809FC"/>
    <w:rsid w:val="00A82BB4"/>
    <w:rsid w:val="00A833AA"/>
    <w:rsid w:val="00A84B62"/>
    <w:rsid w:val="00A85CC5"/>
    <w:rsid w:val="00A90149"/>
    <w:rsid w:val="00A9028D"/>
    <w:rsid w:val="00A911B9"/>
    <w:rsid w:val="00A9165C"/>
    <w:rsid w:val="00A918E7"/>
    <w:rsid w:val="00A920C3"/>
    <w:rsid w:val="00A93BD2"/>
    <w:rsid w:val="00A94594"/>
    <w:rsid w:val="00A96CA6"/>
    <w:rsid w:val="00AA041D"/>
    <w:rsid w:val="00AA2B88"/>
    <w:rsid w:val="00AA33BA"/>
    <w:rsid w:val="00AA556C"/>
    <w:rsid w:val="00AA5E85"/>
    <w:rsid w:val="00AA6087"/>
    <w:rsid w:val="00AA6FF1"/>
    <w:rsid w:val="00AB1DE6"/>
    <w:rsid w:val="00AB1FFC"/>
    <w:rsid w:val="00AB3754"/>
    <w:rsid w:val="00AB5A2E"/>
    <w:rsid w:val="00AB6142"/>
    <w:rsid w:val="00AB61C8"/>
    <w:rsid w:val="00AB63C9"/>
    <w:rsid w:val="00AB65EC"/>
    <w:rsid w:val="00AB69BA"/>
    <w:rsid w:val="00AB6EED"/>
    <w:rsid w:val="00AB7571"/>
    <w:rsid w:val="00AB7D69"/>
    <w:rsid w:val="00AC17AA"/>
    <w:rsid w:val="00AC2D4B"/>
    <w:rsid w:val="00AC3FE0"/>
    <w:rsid w:val="00AC4F85"/>
    <w:rsid w:val="00AC636B"/>
    <w:rsid w:val="00AC6B6E"/>
    <w:rsid w:val="00AD3082"/>
    <w:rsid w:val="00AD542A"/>
    <w:rsid w:val="00AD6FFC"/>
    <w:rsid w:val="00AD7662"/>
    <w:rsid w:val="00AE0365"/>
    <w:rsid w:val="00AE1046"/>
    <w:rsid w:val="00AE1666"/>
    <w:rsid w:val="00AE1B65"/>
    <w:rsid w:val="00AE467B"/>
    <w:rsid w:val="00AE59F9"/>
    <w:rsid w:val="00AE5ACA"/>
    <w:rsid w:val="00AE64B3"/>
    <w:rsid w:val="00AE76D4"/>
    <w:rsid w:val="00AE785A"/>
    <w:rsid w:val="00AF16A7"/>
    <w:rsid w:val="00AF1720"/>
    <w:rsid w:val="00AF38E8"/>
    <w:rsid w:val="00AF5C89"/>
    <w:rsid w:val="00B00479"/>
    <w:rsid w:val="00B00A65"/>
    <w:rsid w:val="00B01FDD"/>
    <w:rsid w:val="00B03745"/>
    <w:rsid w:val="00B0486C"/>
    <w:rsid w:val="00B04B96"/>
    <w:rsid w:val="00B100C9"/>
    <w:rsid w:val="00B1191E"/>
    <w:rsid w:val="00B12511"/>
    <w:rsid w:val="00B125A7"/>
    <w:rsid w:val="00B12BC9"/>
    <w:rsid w:val="00B136E4"/>
    <w:rsid w:val="00B14E87"/>
    <w:rsid w:val="00B16133"/>
    <w:rsid w:val="00B16C69"/>
    <w:rsid w:val="00B206DC"/>
    <w:rsid w:val="00B21D4F"/>
    <w:rsid w:val="00B22B4E"/>
    <w:rsid w:val="00B26372"/>
    <w:rsid w:val="00B31ED0"/>
    <w:rsid w:val="00B34818"/>
    <w:rsid w:val="00B349A6"/>
    <w:rsid w:val="00B34CF7"/>
    <w:rsid w:val="00B35484"/>
    <w:rsid w:val="00B3610E"/>
    <w:rsid w:val="00B361A3"/>
    <w:rsid w:val="00B36F58"/>
    <w:rsid w:val="00B373B3"/>
    <w:rsid w:val="00B404E1"/>
    <w:rsid w:val="00B40806"/>
    <w:rsid w:val="00B4206A"/>
    <w:rsid w:val="00B42857"/>
    <w:rsid w:val="00B431BB"/>
    <w:rsid w:val="00B43D25"/>
    <w:rsid w:val="00B44BE9"/>
    <w:rsid w:val="00B45C84"/>
    <w:rsid w:val="00B47FE2"/>
    <w:rsid w:val="00B51130"/>
    <w:rsid w:val="00B54D06"/>
    <w:rsid w:val="00B554F6"/>
    <w:rsid w:val="00B55D54"/>
    <w:rsid w:val="00B55E8D"/>
    <w:rsid w:val="00B57DBA"/>
    <w:rsid w:val="00B61532"/>
    <w:rsid w:val="00B6180F"/>
    <w:rsid w:val="00B620E2"/>
    <w:rsid w:val="00B62487"/>
    <w:rsid w:val="00B65980"/>
    <w:rsid w:val="00B70156"/>
    <w:rsid w:val="00B72B96"/>
    <w:rsid w:val="00B744B3"/>
    <w:rsid w:val="00B75721"/>
    <w:rsid w:val="00B763CC"/>
    <w:rsid w:val="00B76625"/>
    <w:rsid w:val="00B76C8A"/>
    <w:rsid w:val="00B77081"/>
    <w:rsid w:val="00B82519"/>
    <w:rsid w:val="00B831D0"/>
    <w:rsid w:val="00B85428"/>
    <w:rsid w:val="00B862E3"/>
    <w:rsid w:val="00B87AC1"/>
    <w:rsid w:val="00B900EA"/>
    <w:rsid w:val="00B90CC1"/>
    <w:rsid w:val="00B90D06"/>
    <w:rsid w:val="00B956CF"/>
    <w:rsid w:val="00BA13BE"/>
    <w:rsid w:val="00BA1A93"/>
    <w:rsid w:val="00BA370F"/>
    <w:rsid w:val="00BA63B3"/>
    <w:rsid w:val="00BB2438"/>
    <w:rsid w:val="00BB2C77"/>
    <w:rsid w:val="00BB40BB"/>
    <w:rsid w:val="00BB5032"/>
    <w:rsid w:val="00BB6077"/>
    <w:rsid w:val="00BC0FF8"/>
    <w:rsid w:val="00BC1390"/>
    <w:rsid w:val="00BC1982"/>
    <w:rsid w:val="00BC2723"/>
    <w:rsid w:val="00BC28B5"/>
    <w:rsid w:val="00BC3EBD"/>
    <w:rsid w:val="00BC404F"/>
    <w:rsid w:val="00BC413D"/>
    <w:rsid w:val="00BC4739"/>
    <w:rsid w:val="00BC5476"/>
    <w:rsid w:val="00BC638D"/>
    <w:rsid w:val="00BC6752"/>
    <w:rsid w:val="00BC7B9F"/>
    <w:rsid w:val="00BD1F2A"/>
    <w:rsid w:val="00BD4938"/>
    <w:rsid w:val="00BD49D3"/>
    <w:rsid w:val="00BD51C7"/>
    <w:rsid w:val="00BE1EFF"/>
    <w:rsid w:val="00BE2B05"/>
    <w:rsid w:val="00BE5BA4"/>
    <w:rsid w:val="00BF10F1"/>
    <w:rsid w:val="00BF1779"/>
    <w:rsid w:val="00BF1B90"/>
    <w:rsid w:val="00BF3042"/>
    <w:rsid w:val="00BF32EE"/>
    <w:rsid w:val="00BF71CA"/>
    <w:rsid w:val="00C01FB0"/>
    <w:rsid w:val="00C021AC"/>
    <w:rsid w:val="00C049A5"/>
    <w:rsid w:val="00C0583C"/>
    <w:rsid w:val="00C06549"/>
    <w:rsid w:val="00C06B59"/>
    <w:rsid w:val="00C170BE"/>
    <w:rsid w:val="00C171C9"/>
    <w:rsid w:val="00C17823"/>
    <w:rsid w:val="00C21B38"/>
    <w:rsid w:val="00C2282E"/>
    <w:rsid w:val="00C246E2"/>
    <w:rsid w:val="00C27883"/>
    <w:rsid w:val="00C3078E"/>
    <w:rsid w:val="00C30A47"/>
    <w:rsid w:val="00C3204B"/>
    <w:rsid w:val="00C32568"/>
    <w:rsid w:val="00C34BF1"/>
    <w:rsid w:val="00C35881"/>
    <w:rsid w:val="00C3626A"/>
    <w:rsid w:val="00C36473"/>
    <w:rsid w:val="00C37016"/>
    <w:rsid w:val="00C4033F"/>
    <w:rsid w:val="00C41F2C"/>
    <w:rsid w:val="00C43A82"/>
    <w:rsid w:val="00C4494B"/>
    <w:rsid w:val="00C44C4C"/>
    <w:rsid w:val="00C4528B"/>
    <w:rsid w:val="00C45FC1"/>
    <w:rsid w:val="00C474C4"/>
    <w:rsid w:val="00C47804"/>
    <w:rsid w:val="00C51260"/>
    <w:rsid w:val="00C51A85"/>
    <w:rsid w:val="00C520E8"/>
    <w:rsid w:val="00C53651"/>
    <w:rsid w:val="00C558E4"/>
    <w:rsid w:val="00C558F8"/>
    <w:rsid w:val="00C57A64"/>
    <w:rsid w:val="00C60E7A"/>
    <w:rsid w:val="00C62BFF"/>
    <w:rsid w:val="00C656C8"/>
    <w:rsid w:val="00C7099B"/>
    <w:rsid w:val="00C7231A"/>
    <w:rsid w:val="00C72646"/>
    <w:rsid w:val="00C73E58"/>
    <w:rsid w:val="00C74231"/>
    <w:rsid w:val="00C755F2"/>
    <w:rsid w:val="00C76016"/>
    <w:rsid w:val="00C77210"/>
    <w:rsid w:val="00C77BC6"/>
    <w:rsid w:val="00C80B3C"/>
    <w:rsid w:val="00C83430"/>
    <w:rsid w:val="00C86B84"/>
    <w:rsid w:val="00C8724E"/>
    <w:rsid w:val="00C8751A"/>
    <w:rsid w:val="00C87CDB"/>
    <w:rsid w:val="00C91475"/>
    <w:rsid w:val="00C95ECC"/>
    <w:rsid w:val="00C95F6B"/>
    <w:rsid w:val="00C97B40"/>
    <w:rsid w:val="00CA0598"/>
    <w:rsid w:val="00CA1138"/>
    <w:rsid w:val="00CA3C21"/>
    <w:rsid w:val="00CA3F4C"/>
    <w:rsid w:val="00CA4B80"/>
    <w:rsid w:val="00CA5864"/>
    <w:rsid w:val="00CA5D0C"/>
    <w:rsid w:val="00CA5E34"/>
    <w:rsid w:val="00CA7099"/>
    <w:rsid w:val="00CB0B3A"/>
    <w:rsid w:val="00CB18EF"/>
    <w:rsid w:val="00CB30F0"/>
    <w:rsid w:val="00CB5298"/>
    <w:rsid w:val="00CC2063"/>
    <w:rsid w:val="00CC45E9"/>
    <w:rsid w:val="00CC5EA6"/>
    <w:rsid w:val="00CD00C9"/>
    <w:rsid w:val="00CD1D05"/>
    <w:rsid w:val="00CE0C86"/>
    <w:rsid w:val="00CE0E5E"/>
    <w:rsid w:val="00CE1E5A"/>
    <w:rsid w:val="00CE42C1"/>
    <w:rsid w:val="00CE4A28"/>
    <w:rsid w:val="00CE6C40"/>
    <w:rsid w:val="00CE73ED"/>
    <w:rsid w:val="00CE77C2"/>
    <w:rsid w:val="00CF4309"/>
    <w:rsid w:val="00CF4E8E"/>
    <w:rsid w:val="00CF688F"/>
    <w:rsid w:val="00CF6D98"/>
    <w:rsid w:val="00CF738D"/>
    <w:rsid w:val="00CF7FFC"/>
    <w:rsid w:val="00D000F8"/>
    <w:rsid w:val="00D02335"/>
    <w:rsid w:val="00D038E1"/>
    <w:rsid w:val="00D03DEC"/>
    <w:rsid w:val="00D04E50"/>
    <w:rsid w:val="00D062F9"/>
    <w:rsid w:val="00D10A52"/>
    <w:rsid w:val="00D1216E"/>
    <w:rsid w:val="00D13D35"/>
    <w:rsid w:val="00D15368"/>
    <w:rsid w:val="00D1737A"/>
    <w:rsid w:val="00D22876"/>
    <w:rsid w:val="00D24279"/>
    <w:rsid w:val="00D246EE"/>
    <w:rsid w:val="00D263E4"/>
    <w:rsid w:val="00D266F5"/>
    <w:rsid w:val="00D26999"/>
    <w:rsid w:val="00D27E67"/>
    <w:rsid w:val="00D30081"/>
    <w:rsid w:val="00D30CA1"/>
    <w:rsid w:val="00D31CC7"/>
    <w:rsid w:val="00D31F78"/>
    <w:rsid w:val="00D3588B"/>
    <w:rsid w:val="00D3660E"/>
    <w:rsid w:val="00D3714E"/>
    <w:rsid w:val="00D37F5F"/>
    <w:rsid w:val="00D40247"/>
    <w:rsid w:val="00D40F47"/>
    <w:rsid w:val="00D4111D"/>
    <w:rsid w:val="00D43450"/>
    <w:rsid w:val="00D4639F"/>
    <w:rsid w:val="00D5020B"/>
    <w:rsid w:val="00D539FC"/>
    <w:rsid w:val="00D54ACA"/>
    <w:rsid w:val="00D54D32"/>
    <w:rsid w:val="00D61E10"/>
    <w:rsid w:val="00D61F81"/>
    <w:rsid w:val="00D64652"/>
    <w:rsid w:val="00D6499F"/>
    <w:rsid w:val="00D66291"/>
    <w:rsid w:val="00D66B6E"/>
    <w:rsid w:val="00D67BA4"/>
    <w:rsid w:val="00D67D95"/>
    <w:rsid w:val="00D70FC5"/>
    <w:rsid w:val="00D7132E"/>
    <w:rsid w:val="00D71971"/>
    <w:rsid w:val="00D7323B"/>
    <w:rsid w:val="00D732A3"/>
    <w:rsid w:val="00D75634"/>
    <w:rsid w:val="00D75C9D"/>
    <w:rsid w:val="00D769D3"/>
    <w:rsid w:val="00D76BCB"/>
    <w:rsid w:val="00D81D65"/>
    <w:rsid w:val="00D8344D"/>
    <w:rsid w:val="00D837FB"/>
    <w:rsid w:val="00D845A2"/>
    <w:rsid w:val="00D847D1"/>
    <w:rsid w:val="00D847FD"/>
    <w:rsid w:val="00D84DE4"/>
    <w:rsid w:val="00D84F91"/>
    <w:rsid w:val="00D8575E"/>
    <w:rsid w:val="00D85D57"/>
    <w:rsid w:val="00D85D59"/>
    <w:rsid w:val="00D87841"/>
    <w:rsid w:val="00D9109A"/>
    <w:rsid w:val="00D91FA1"/>
    <w:rsid w:val="00D92DA0"/>
    <w:rsid w:val="00D93659"/>
    <w:rsid w:val="00D94FD6"/>
    <w:rsid w:val="00D95558"/>
    <w:rsid w:val="00D97809"/>
    <w:rsid w:val="00D97FB1"/>
    <w:rsid w:val="00DA442B"/>
    <w:rsid w:val="00DA4BFB"/>
    <w:rsid w:val="00DA5964"/>
    <w:rsid w:val="00DB036F"/>
    <w:rsid w:val="00DB5369"/>
    <w:rsid w:val="00DB7171"/>
    <w:rsid w:val="00DC08A3"/>
    <w:rsid w:val="00DC0AAC"/>
    <w:rsid w:val="00DC2958"/>
    <w:rsid w:val="00DD1372"/>
    <w:rsid w:val="00DD1BD0"/>
    <w:rsid w:val="00DD3111"/>
    <w:rsid w:val="00DD6187"/>
    <w:rsid w:val="00DD7077"/>
    <w:rsid w:val="00DD7371"/>
    <w:rsid w:val="00DD7994"/>
    <w:rsid w:val="00DE2E08"/>
    <w:rsid w:val="00DF1C77"/>
    <w:rsid w:val="00DF327E"/>
    <w:rsid w:val="00DF471D"/>
    <w:rsid w:val="00DF487C"/>
    <w:rsid w:val="00DF59A4"/>
    <w:rsid w:val="00E00DB1"/>
    <w:rsid w:val="00E020AA"/>
    <w:rsid w:val="00E02745"/>
    <w:rsid w:val="00E03138"/>
    <w:rsid w:val="00E036EB"/>
    <w:rsid w:val="00E0377C"/>
    <w:rsid w:val="00E03A11"/>
    <w:rsid w:val="00E0472B"/>
    <w:rsid w:val="00E056BF"/>
    <w:rsid w:val="00E074E5"/>
    <w:rsid w:val="00E0795A"/>
    <w:rsid w:val="00E107F0"/>
    <w:rsid w:val="00E10CAF"/>
    <w:rsid w:val="00E12438"/>
    <w:rsid w:val="00E149FB"/>
    <w:rsid w:val="00E15A63"/>
    <w:rsid w:val="00E241C8"/>
    <w:rsid w:val="00E26CE4"/>
    <w:rsid w:val="00E27668"/>
    <w:rsid w:val="00E3208A"/>
    <w:rsid w:val="00E36BC2"/>
    <w:rsid w:val="00E43975"/>
    <w:rsid w:val="00E45971"/>
    <w:rsid w:val="00E46AF2"/>
    <w:rsid w:val="00E47DB1"/>
    <w:rsid w:val="00E50970"/>
    <w:rsid w:val="00E56EB6"/>
    <w:rsid w:val="00E60621"/>
    <w:rsid w:val="00E60E98"/>
    <w:rsid w:val="00E62CB2"/>
    <w:rsid w:val="00E65506"/>
    <w:rsid w:val="00E67F9B"/>
    <w:rsid w:val="00E716F9"/>
    <w:rsid w:val="00E71E52"/>
    <w:rsid w:val="00E71F36"/>
    <w:rsid w:val="00E732AD"/>
    <w:rsid w:val="00E74839"/>
    <w:rsid w:val="00E7738B"/>
    <w:rsid w:val="00E77821"/>
    <w:rsid w:val="00E80383"/>
    <w:rsid w:val="00E803E1"/>
    <w:rsid w:val="00E821BF"/>
    <w:rsid w:val="00E82343"/>
    <w:rsid w:val="00E823AD"/>
    <w:rsid w:val="00E83DE1"/>
    <w:rsid w:val="00E84FAC"/>
    <w:rsid w:val="00E861DC"/>
    <w:rsid w:val="00E913DF"/>
    <w:rsid w:val="00E9262B"/>
    <w:rsid w:val="00E92804"/>
    <w:rsid w:val="00E93514"/>
    <w:rsid w:val="00E97679"/>
    <w:rsid w:val="00EA0622"/>
    <w:rsid w:val="00EA6831"/>
    <w:rsid w:val="00EB0E3E"/>
    <w:rsid w:val="00EB26C8"/>
    <w:rsid w:val="00EB32D2"/>
    <w:rsid w:val="00EB38EF"/>
    <w:rsid w:val="00EB4190"/>
    <w:rsid w:val="00EB45DC"/>
    <w:rsid w:val="00EB46C1"/>
    <w:rsid w:val="00EC3CAC"/>
    <w:rsid w:val="00EC784C"/>
    <w:rsid w:val="00ED08CA"/>
    <w:rsid w:val="00ED191E"/>
    <w:rsid w:val="00ED38AC"/>
    <w:rsid w:val="00ED4971"/>
    <w:rsid w:val="00EE113E"/>
    <w:rsid w:val="00EE61CA"/>
    <w:rsid w:val="00EE679F"/>
    <w:rsid w:val="00EE6EA8"/>
    <w:rsid w:val="00EF00D8"/>
    <w:rsid w:val="00EF1049"/>
    <w:rsid w:val="00EF50AA"/>
    <w:rsid w:val="00EF6719"/>
    <w:rsid w:val="00EF6B17"/>
    <w:rsid w:val="00F001C9"/>
    <w:rsid w:val="00F00502"/>
    <w:rsid w:val="00F012F0"/>
    <w:rsid w:val="00F01F22"/>
    <w:rsid w:val="00F024E7"/>
    <w:rsid w:val="00F02584"/>
    <w:rsid w:val="00F02A9A"/>
    <w:rsid w:val="00F02D3D"/>
    <w:rsid w:val="00F04CB6"/>
    <w:rsid w:val="00F059B5"/>
    <w:rsid w:val="00F05DED"/>
    <w:rsid w:val="00F05F40"/>
    <w:rsid w:val="00F10613"/>
    <w:rsid w:val="00F1145A"/>
    <w:rsid w:val="00F12650"/>
    <w:rsid w:val="00F12CB4"/>
    <w:rsid w:val="00F14615"/>
    <w:rsid w:val="00F15055"/>
    <w:rsid w:val="00F173EA"/>
    <w:rsid w:val="00F2068F"/>
    <w:rsid w:val="00F21AB7"/>
    <w:rsid w:val="00F24420"/>
    <w:rsid w:val="00F301AB"/>
    <w:rsid w:val="00F31174"/>
    <w:rsid w:val="00F3135A"/>
    <w:rsid w:val="00F31B76"/>
    <w:rsid w:val="00F32DBE"/>
    <w:rsid w:val="00F33BD1"/>
    <w:rsid w:val="00F34657"/>
    <w:rsid w:val="00F36196"/>
    <w:rsid w:val="00F36259"/>
    <w:rsid w:val="00F3679D"/>
    <w:rsid w:val="00F41369"/>
    <w:rsid w:val="00F43961"/>
    <w:rsid w:val="00F446E8"/>
    <w:rsid w:val="00F45506"/>
    <w:rsid w:val="00F47FC7"/>
    <w:rsid w:val="00F500AD"/>
    <w:rsid w:val="00F506C7"/>
    <w:rsid w:val="00F50B92"/>
    <w:rsid w:val="00F5137E"/>
    <w:rsid w:val="00F51DCD"/>
    <w:rsid w:val="00F53608"/>
    <w:rsid w:val="00F5389C"/>
    <w:rsid w:val="00F53C99"/>
    <w:rsid w:val="00F5475A"/>
    <w:rsid w:val="00F54A08"/>
    <w:rsid w:val="00F55346"/>
    <w:rsid w:val="00F56C82"/>
    <w:rsid w:val="00F56F1C"/>
    <w:rsid w:val="00F610C5"/>
    <w:rsid w:val="00F620C7"/>
    <w:rsid w:val="00F621DC"/>
    <w:rsid w:val="00F6385F"/>
    <w:rsid w:val="00F64088"/>
    <w:rsid w:val="00F64447"/>
    <w:rsid w:val="00F64BCF"/>
    <w:rsid w:val="00F6731D"/>
    <w:rsid w:val="00F67750"/>
    <w:rsid w:val="00F74B55"/>
    <w:rsid w:val="00F77ABA"/>
    <w:rsid w:val="00F803F2"/>
    <w:rsid w:val="00F804A4"/>
    <w:rsid w:val="00F81024"/>
    <w:rsid w:val="00F81531"/>
    <w:rsid w:val="00F83516"/>
    <w:rsid w:val="00F83AE8"/>
    <w:rsid w:val="00F84219"/>
    <w:rsid w:val="00F84546"/>
    <w:rsid w:val="00F87B99"/>
    <w:rsid w:val="00F90D50"/>
    <w:rsid w:val="00F91C1F"/>
    <w:rsid w:val="00F9406B"/>
    <w:rsid w:val="00F94439"/>
    <w:rsid w:val="00F96380"/>
    <w:rsid w:val="00F96A66"/>
    <w:rsid w:val="00FA051C"/>
    <w:rsid w:val="00FA0B39"/>
    <w:rsid w:val="00FA26E7"/>
    <w:rsid w:val="00FA2B3A"/>
    <w:rsid w:val="00FA4049"/>
    <w:rsid w:val="00FA4471"/>
    <w:rsid w:val="00FA6C77"/>
    <w:rsid w:val="00FB054E"/>
    <w:rsid w:val="00FB35AD"/>
    <w:rsid w:val="00FB3720"/>
    <w:rsid w:val="00FB3BB6"/>
    <w:rsid w:val="00FC0BB9"/>
    <w:rsid w:val="00FD2623"/>
    <w:rsid w:val="00FD2BE2"/>
    <w:rsid w:val="00FD5058"/>
    <w:rsid w:val="00FD5C7F"/>
    <w:rsid w:val="00FD7B0E"/>
    <w:rsid w:val="00FE0EF8"/>
    <w:rsid w:val="00FE1EE4"/>
    <w:rsid w:val="00FE2853"/>
    <w:rsid w:val="00FE4C92"/>
    <w:rsid w:val="00FE6FCA"/>
    <w:rsid w:val="00FF25C2"/>
    <w:rsid w:val="00FF57F2"/>
    <w:rsid w:val="00FF685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B768"/>
  <w15:chartTrackingRefBased/>
  <w15:docId w15:val="{A86A94AB-B816-4793-9175-187DFBCC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C2"/>
  </w:style>
  <w:style w:type="paragraph" w:styleId="1">
    <w:name w:val="heading 1"/>
    <w:basedOn w:val="a"/>
    <w:next w:val="a"/>
    <w:link w:val="10"/>
    <w:uiPriority w:val="9"/>
    <w:qFormat/>
    <w:rsid w:val="000B430C"/>
    <w:pPr>
      <w:spacing w:before="100" w:beforeAutospacing="1" w:after="100" w:afterAutospacing="1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430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4"/>
    <w:next w:val="a"/>
    <w:link w:val="30"/>
    <w:uiPriority w:val="9"/>
    <w:unhideWhenUsed/>
    <w:qFormat/>
    <w:rsid w:val="003D4B4B"/>
    <w:pPr>
      <w:numPr>
        <w:ilvl w:val="2"/>
        <w:numId w:val="1"/>
      </w:numPr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1737A"/>
    <w:pPr>
      <w:keepNext/>
      <w:keepLines/>
      <w:spacing w:before="40"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4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0E79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E79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9D4"/>
    <w:rPr>
      <w:vertAlign w:val="superscript"/>
    </w:rPr>
  </w:style>
  <w:style w:type="character" w:styleId="a7">
    <w:name w:val="Hyperlink"/>
    <w:basedOn w:val="a0"/>
    <w:uiPriority w:val="99"/>
    <w:unhideWhenUsed/>
    <w:rsid w:val="00505C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30C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0D69A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430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D4B4B"/>
    <w:rPr>
      <w:rFonts w:ascii="Times New Roman" w:eastAsiaTheme="majorEastAsia" w:hAnsi="Times New Roman" w:cs="Times New Roman"/>
      <w:b/>
      <w:iCs/>
      <w:color w:val="000000" w:themeColor="text1"/>
      <w:sz w:val="24"/>
    </w:rPr>
  </w:style>
  <w:style w:type="character" w:customStyle="1" w:styleId="40">
    <w:name w:val="Заголовок 4 Знак"/>
    <w:basedOn w:val="a0"/>
    <w:link w:val="4"/>
    <w:uiPriority w:val="9"/>
    <w:rsid w:val="00D1737A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styleId="a9">
    <w:name w:val="Placeholder Text"/>
    <w:basedOn w:val="a0"/>
    <w:uiPriority w:val="99"/>
    <w:semiHidden/>
    <w:rsid w:val="00D1737A"/>
    <w:rPr>
      <w:color w:val="808080"/>
    </w:rPr>
  </w:style>
  <w:style w:type="character" w:customStyle="1" w:styleId="footnote-text">
    <w:name w:val="footnote-text"/>
    <w:basedOn w:val="a0"/>
    <w:rsid w:val="00371D5E"/>
  </w:style>
  <w:style w:type="character" w:styleId="aa">
    <w:name w:val="Emphasis"/>
    <w:basedOn w:val="a0"/>
    <w:uiPriority w:val="20"/>
    <w:qFormat/>
    <w:rsid w:val="00371D5E"/>
    <w:rPr>
      <w:i/>
      <w:iCs/>
    </w:rPr>
  </w:style>
  <w:style w:type="table" w:styleId="ab">
    <w:name w:val="Table Grid"/>
    <w:basedOn w:val="a1"/>
    <w:uiPriority w:val="39"/>
    <w:rsid w:val="008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E4B94"/>
    <w:rPr>
      <w:b/>
      <w:bCs/>
    </w:rPr>
  </w:style>
  <w:style w:type="character" w:customStyle="1" w:styleId="anchor-text">
    <w:name w:val="anchor-text"/>
    <w:basedOn w:val="a0"/>
    <w:rsid w:val="0013795C"/>
  </w:style>
  <w:style w:type="paragraph" w:customStyle="1" w:styleId="ad">
    <w:name w:val="ЕДС по центру"/>
    <w:basedOn w:val="a"/>
    <w:next w:val="a"/>
    <w:qFormat/>
    <w:rsid w:val="00BD1F2A"/>
    <w:pPr>
      <w:spacing w:after="0" w:line="36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BD1F2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val="af-ZA"/>
    </w:rPr>
  </w:style>
  <w:style w:type="character" w:customStyle="1" w:styleId="af">
    <w:name w:val="Нижний колонтитул Знак"/>
    <w:basedOn w:val="a0"/>
    <w:link w:val="ae"/>
    <w:uiPriority w:val="99"/>
    <w:rsid w:val="00BD1F2A"/>
    <w:rPr>
      <w:rFonts w:ascii="Times New Roman" w:eastAsia="Calibri" w:hAnsi="Times New Roman" w:cs="Times New Roman"/>
      <w:sz w:val="24"/>
      <w:lang w:val="af-ZA"/>
    </w:rPr>
  </w:style>
  <w:style w:type="paragraph" w:customStyle="1" w:styleId="af0">
    <w:name w:val="ЕДС отступ"/>
    <w:basedOn w:val="a"/>
    <w:next w:val="a"/>
    <w:qFormat/>
    <w:rsid w:val="00BD1F2A"/>
    <w:pPr>
      <w:spacing w:after="0" w:line="360" w:lineRule="auto"/>
      <w:ind w:left="453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ЕДС подчеркнутый"/>
    <w:uiPriority w:val="1"/>
    <w:qFormat/>
    <w:rsid w:val="00BD1F2A"/>
    <w:rPr>
      <w:u w:val="single"/>
      <w:lang w:val="ru-RU"/>
    </w:rPr>
  </w:style>
  <w:style w:type="character" w:customStyle="1" w:styleId="af2">
    <w:name w:val="ЕДС выделение"/>
    <w:uiPriority w:val="1"/>
    <w:qFormat/>
    <w:rsid w:val="00BD1F2A"/>
    <w:rPr>
      <w:b/>
    </w:rPr>
  </w:style>
  <w:style w:type="paragraph" w:styleId="af3">
    <w:name w:val="TOC Heading"/>
    <w:basedOn w:val="1"/>
    <w:next w:val="a"/>
    <w:uiPriority w:val="39"/>
    <w:unhideWhenUsed/>
    <w:qFormat/>
    <w:rsid w:val="005C1505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C150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85959"/>
    <w:pPr>
      <w:tabs>
        <w:tab w:val="right" w:leader="dot" w:pos="9345"/>
      </w:tabs>
      <w:spacing w:after="10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5C1505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D9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95558"/>
  </w:style>
  <w:style w:type="paragraph" w:styleId="af6">
    <w:name w:val="Normal (Web)"/>
    <w:basedOn w:val="a"/>
    <w:uiPriority w:val="99"/>
    <w:semiHidden/>
    <w:unhideWhenUsed/>
    <w:rsid w:val="006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2831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8">
    <w:name w:val="Unresolved Mention"/>
    <w:basedOn w:val="a0"/>
    <w:uiPriority w:val="99"/>
    <w:semiHidden/>
    <w:unhideWhenUsed/>
    <w:rsid w:val="008D1FCE"/>
    <w:rPr>
      <w:color w:val="605E5C"/>
      <w:shd w:val="clear" w:color="auto" w:fill="E1DFDD"/>
    </w:rPr>
  </w:style>
  <w:style w:type="character" w:customStyle="1" w:styleId="js-spell-error">
    <w:name w:val="js-spell-error"/>
    <w:basedOn w:val="a0"/>
    <w:rsid w:val="00E12438"/>
  </w:style>
  <w:style w:type="character" w:customStyle="1" w:styleId="author">
    <w:name w:val="author"/>
    <w:basedOn w:val="a0"/>
    <w:rsid w:val="005A0773"/>
  </w:style>
  <w:style w:type="character" w:customStyle="1" w:styleId="pubyear">
    <w:name w:val="pubyear"/>
    <w:basedOn w:val="a0"/>
    <w:rsid w:val="005A0773"/>
  </w:style>
  <w:style w:type="character" w:customStyle="1" w:styleId="articletitle">
    <w:name w:val="articletitle"/>
    <w:basedOn w:val="a0"/>
    <w:rsid w:val="005A0773"/>
  </w:style>
  <w:style w:type="character" w:customStyle="1" w:styleId="vol">
    <w:name w:val="vol"/>
    <w:basedOn w:val="a0"/>
    <w:rsid w:val="005A0773"/>
  </w:style>
  <w:style w:type="character" w:customStyle="1" w:styleId="pagefirst">
    <w:name w:val="pagefirst"/>
    <w:basedOn w:val="a0"/>
    <w:rsid w:val="005A0773"/>
  </w:style>
  <w:style w:type="character" w:customStyle="1" w:styleId="pagelast">
    <w:name w:val="pagelast"/>
    <w:basedOn w:val="a0"/>
    <w:rsid w:val="005A0773"/>
  </w:style>
  <w:style w:type="character" w:styleId="af9">
    <w:name w:val="annotation reference"/>
    <w:basedOn w:val="a0"/>
    <w:uiPriority w:val="99"/>
    <w:semiHidden/>
    <w:unhideWhenUsed/>
    <w:rsid w:val="005441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441A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441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441A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44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5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9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people.stern.nyu.edu/adamodar/New_Home_Page/datafile/optvar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pages.stern.nyu.edu/~adamodar/New_Home_Page/datafile/optvar.html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mckinsey.com/business-functions/strategy-and-corporate-finance/our-insights/building-an-r-and-d-strategy-for-modern-times" TargetMode="External"/><Relationship Id="rId20" Type="http://schemas.openxmlformats.org/officeDocument/2006/relationships/hyperlink" Target="https://iri.jrc.ec.europa.eu/scoreboard/2020-eu-industrial-rd-investment-scoreboa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5.xml"/><Relationship Id="rId10" Type="http://schemas.openxmlformats.org/officeDocument/2006/relationships/image" Target="media/image2.gif"/><Relationship Id="rId19" Type="http://schemas.openxmlformats.org/officeDocument/2006/relationships/hyperlink" Target="http://www.ons.gov.uk/ons/dcp171766_3044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Динамика мировых</a:t>
            </a:r>
            <a:r>
              <a:rPr lang="ru-RU" sz="1200" baseline="0"/>
              <a:t> </a:t>
            </a:r>
            <a:r>
              <a:rPr lang="ru-RU" sz="1200"/>
              <a:t>инвестиций в НИОКР, млн евро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Мировые инвестиции в НИОКР, млн евро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Лист1!$A$2:$A$18</c:f>
              <c:numCache>
                <c:formatCode>General</c:formatCode>
                <c:ptCount val="1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4342382</c:v>
                </c:pt>
                <c:pt idx="1">
                  <c:v>5122202</c:v>
                </c:pt>
                <c:pt idx="2">
                  <c:v>6561797</c:v>
                </c:pt>
                <c:pt idx="3">
                  <c:v>6460645.4000000004</c:v>
                </c:pt>
                <c:pt idx="4">
                  <c:v>6632346</c:v>
                </c:pt>
                <c:pt idx="5">
                  <c:v>8167793.6399999997</c:v>
                </c:pt>
                <c:pt idx="6">
                  <c:v>7124418.0199999996</c:v>
                </c:pt>
                <c:pt idx="7">
                  <c:v>13276705.98</c:v>
                </c:pt>
                <c:pt idx="8">
                  <c:v>15259168.4</c:v>
                </c:pt>
                <c:pt idx="9">
                  <c:v>16165278.6</c:v>
                </c:pt>
                <c:pt idx="10">
                  <c:v>16228073.949999999</c:v>
                </c:pt>
                <c:pt idx="11">
                  <c:v>17364992.190000001</c:v>
                </c:pt>
                <c:pt idx="12">
                  <c:v>17386395.530000001</c:v>
                </c:pt>
                <c:pt idx="13">
                  <c:v>17423745.489999998</c:v>
                </c:pt>
                <c:pt idx="14">
                  <c:v>17914438.109999999</c:v>
                </c:pt>
                <c:pt idx="15">
                  <c:v>19769992.379999999</c:v>
                </c:pt>
                <c:pt idx="16">
                  <c:v>20430973.140000001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73-4620-9914-44FC92FF0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1324800"/>
        <c:axId val="361322720"/>
      </c:barChart>
      <c:catAx>
        <c:axId val="36132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B05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22720"/>
        <c:crosses val="autoZero"/>
        <c:auto val="1"/>
        <c:lblAlgn val="ctr"/>
        <c:lblOffset val="100"/>
        <c:noMultiLvlLbl val="0"/>
      </c:catAx>
      <c:valAx>
        <c:axId val="36132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Инвестиции в НИОКР,</a:t>
                </a:r>
                <a:r>
                  <a:rPr lang="ru-RU" baseline="0"/>
                  <a:t> млн евро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>
                <a:lumMod val="75000"/>
              </a:schemeClr>
            </a:solidFill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2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Интенсивность НИОКР</a:t>
            </a:r>
            <a:r>
              <a:rPr lang="ru-RU" sz="1200" baseline="0"/>
              <a:t> в заисимости от маржи операционной прибыли и стандартного отклонения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531151774726042E-2"/>
          <c:y val="0.16079414044993443"/>
          <c:w val="0.83950880418331286"/>
          <c:h val="0.73718108090294432"/>
        </c:manualLayout>
      </c:layout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av_profit_margin</c:v>
                </c:pt>
              </c:strCache>
            </c:strRef>
          </c:tx>
          <c:spPr>
            <a:solidFill>
              <a:schemeClr val="accent1">
                <a:alpha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6F-4719-AE69-3ADDD7D645B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6F-4719-AE69-3ADDD7D645BC}"/>
                </c:ext>
              </c:extLst>
            </c:dLbl>
            <c:dLbl>
              <c:idx val="2"/>
              <c:layout>
                <c:manualLayout>
                  <c:x val="-4.6296296296297144E-3"/>
                  <c:y val="-0.1150793650793650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BBA62C0-1EFE-409C-8302-B7D0C364DB77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EBE6D911-B834-43C4-BCA0-12E1EC53DD7E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10930"/>
                        <a:gd name="adj2" fmla="val 49819"/>
                        <a:gd name="adj3" fmla="val 250502"/>
                        <a:gd name="adj4" fmla="val -30496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306F-4719-AE69-3ADDD7D645BC}"/>
                </c:ext>
              </c:extLst>
            </c:dLbl>
            <c:dLbl>
              <c:idx val="3"/>
              <c:layout>
                <c:manualLayout>
                  <c:x val="-0.24937228420533386"/>
                  <c:y val="-2.580269489579278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7EC8A0-7053-411B-B9CE-AF08FE329473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060DA916-37A9-4A58-BD2B-66A654ACE1C0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52769"/>
                        <a:gd name="adj2" fmla="val 99644"/>
                        <a:gd name="adj3" fmla="val 73513"/>
                        <a:gd name="adj4" fmla="val 115870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06F-4719-AE69-3ADDD7D645B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6F-4719-AE69-3ADDD7D645BC}"/>
                </c:ext>
              </c:extLst>
            </c:dLbl>
            <c:dLbl>
              <c:idx val="5"/>
              <c:layout>
                <c:manualLayout>
                  <c:x val="1.8518518518518434E-2"/>
                  <c:y val="-9.92063492063492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4E859-90F4-4C1E-A49B-696BF754EED6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1C08FE24-D31A-47A2-84D3-83F857762CF2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15782"/>
                        <a:gd name="adj2" fmla="val 49335"/>
                        <a:gd name="adj3" fmla="val 214244"/>
                        <a:gd name="adj4" fmla="val -45685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06F-4719-AE69-3ADDD7D645B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6F-4719-AE69-3ADDD7D645B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6F-4719-AE69-3ADDD7D645B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6F-4719-AE69-3ADDD7D645B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6F-4719-AE69-3ADDD7D645B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06F-4719-AE69-3ADDD7D645BC}"/>
                </c:ext>
              </c:extLst>
            </c:dLbl>
            <c:dLbl>
              <c:idx val="11"/>
              <c:layout>
                <c:manualLayout>
                  <c:x val="5.5555555555555469E-2"/>
                  <c:y val="2.380952380952373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5CAFEE6-83A1-44EC-B9B6-432EA538A209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D7DCACA5-10B7-47CF-B6F9-F2E75AE231F3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47860"/>
                        <a:gd name="adj2" fmla="val 1765"/>
                        <a:gd name="adj3" fmla="val 1371"/>
                        <a:gd name="adj4" fmla="val -69512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306F-4719-AE69-3ADDD7D645BC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6F-4719-AE69-3ADDD7D645BC}"/>
                </c:ext>
              </c:extLst>
            </c:dLbl>
            <c:dLbl>
              <c:idx val="13"/>
              <c:layout>
                <c:manualLayout>
                  <c:x val="-0.22915035716750937"/>
                  <c:y val="-0.1197149717523366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FA786AF-DCB7-413E-9A7C-255555239A35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218734E0-CA89-437D-A4D5-693467C7588E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xfrm>
                  <a:off x="292544" y="1068639"/>
                  <a:ext cx="992515" cy="459548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00756"/>
                        <a:gd name="adj2" fmla="val 53947"/>
                        <a:gd name="adj3" fmla="val 127699"/>
                        <a:gd name="adj4" fmla="val 9818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709614312963925"/>
                      <c:h val="0.1503322003735822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306F-4719-AE69-3ADDD7D645BC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06F-4719-AE69-3ADDD7D645BC}"/>
                </c:ext>
              </c:extLst>
            </c:dLbl>
            <c:dLbl>
              <c:idx val="15"/>
              <c:layout>
                <c:manualLayout>
                  <c:x val="2.7777777777777693E-2"/>
                  <c:y val="-7.275048233154282E-1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5B3F832-83F3-4291-B244-8FB12DD2D494}" type="CELLRANG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B85B6E76-0DB4-4646-B6B9-B39A62B1E785}" type="BUBBLESIZ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43113"/>
                        <a:gd name="adj2" fmla="val -2062"/>
                        <a:gd name="adj3" fmla="val 50001"/>
                        <a:gd name="adj4" fmla="val -32157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306F-4719-AE69-3ADDD7D645BC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06F-4719-AE69-3ADDD7D645BC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06F-4719-AE69-3ADDD7D645BC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06F-4719-AE69-3ADDD7D645BC}"/>
                </c:ext>
              </c:extLst>
            </c:dLbl>
            <c:dLbl>
              <c:idx val="19"/>
              <c:layout>
                <c:manualLayout>
                  <c:x val="-0.28815059118251657"/>
                  <c:y val="-4.8513358347863347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BD170C9-5ECD-4195-8C61-C5F026A65B22}" type="CELLRANGE">
                      <a:rPr lang="en-US" baseline="0">
                        <a:ln>
                          <a:noFill/>
                        </a:ln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>
                        <a:ln>
                          <a:noFill/>
                        </a:ln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E800B097-4115-4C71-9CE0-C49D153278EE}" type="BUBBLESIZE">
                      <a:rPr lang="en-US" baseline="0">
                        <a:ln>
                          <a:noFill/>
                        </a:ln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>
                          <a:solidFill>
                            <a:schemeClr val="bg2">
                              <a:lumMod val="50000"/>
                            </a:schemeClr>
                          </a:solidFill>
                        </a:defRPr>
                      </a:pPr>
                      <a:t>[РАЗМЕР ПУЗЫРЬКОВ]</a:t>
                    </a:fld>
                    <a:endParaRPr lang="en-US" baseline="0">
                      <a:ln>
                        <a:noFill/>
                      </a:ln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E7E6E6">
                      <a:lumMod val="50000"/>
                      <a:alpha val="99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49525"/>
                        <a:gd name="adj2" fmla="val 101184"/>
                        <a:gd name="adj3" fmla="val 87011"/>
                        <a:gd name="adj4" fmla="val 152313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306F-4719-AE69-3ADDD7D645BC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06F-4719-AE69-3ADDD7D645BC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06F-4719-AE69-3ADDD7D645B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7E6E6">
                    <a:lumMod val="50000"/>
                    <a:alpha val="99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  <c15:showDataLabelsRange val="1"/>
                <c15:showLeaderLines val="0"/>
              </c:ext>
            </c:extLst>
          </c:dLbls>
          <c:xVal>
            <c:numRef>
              <c:f>Лист1!$A$2:$A$23</c:f>
              <c:numCache>
                <c:formatCode>General</c:formatCode>
                <c:ptCount val="22"/>
                <c:pt idx="0">
                  <c:v>0.26406686530692436</c:v>
                </c:pt>
                <c:pt idx="1">
                  <c:v>0.2990107024912792</c:v>
                </c:pt>
                <c:pt idx="2">
                  <c:v>0.32789968413332232</c:v>
                </c:pt>
                <c:pt idx="3">
                  <c:v>0.20997343327626175</c:v>
                </c:pt>
                <c:pt idx="4">
                  <c:v>0.39947648758229948</c:v>
                </c:pt>
                <c:pt idx="5">
                  <c:v>0.23946135514416228</c:v>
                </c:pt>
                <c:pt idx="6">
                  <c:v>0.1334051003913172</c:v>
                </c:pt>
                <c:pt idx="7">
                  <c:v>0.32444163219923394</c:v>
                </c:pt>
                <c:pt idx="8">
                  <c:v>0.30398047819012247</c:v>
                </c:pt>
                <c:pt idx="9">
                  <c:v>0.18154703011007747</c:v>
                </c:pt>
                <c:pt idx="10">
                  <c:v>0.53778383868397506</c:v>
                </c:pt>
                <c:pt idx="11">
                  <c:v>0.29141541735165194</c:v>
                </c:pt>
                <c:pt idx="12">
                  <c:v>0.45012478040227794</c:v>
                </c:pt>
                <c:pt idx="13">
                  <c:v>0.2030526628060392</c:v>
                </c:pt>
                <c:pt idx="14">
                  <c:v>0.32511684849617434</c:v>
                </c:pt>
                <c:pt idx="15">
                  <c:v>0.38797019767648583</c:v>
                </c:pt>
                <c:pt idx="16">
                  <c:v>0.37530471679689814</c:v>
                </c:pt>
                <c:pt idx="17">
                  <c:v>0.33062311667307753</c:v>
                </c:pt>
                <c:pt idx="18">
                  <c:v>0.22739138857977373</c:v>
                </c:pt>
                <c:pt idx="19">
                  <c:v>0.23244587554949236</c:v>
                </c:pt>
                <c:pt idx="20">
                  <c:v>0.12974602193442727</c:v>
                </c:pt>
                <c:pt idx="21">
                  <c:v>0.35990973083457284</c:v>
                </c:pt>
              </c:numCache>
            </c:numRef>
          </c:xVal>
          <c:yVal>
            <c:numRef>
              <c:f>Лист1!$B$2:$B$23</c:f>
              <c:numCache>
                <c:formatCode>General</c:formatCode>
                <c:ptCount val="22"/>
                <c:pt idx="0">
                  <c:v>6.7875308888381281E-2</c:v>
                </c:pt>
                <c:pt idx="1">
                  <c:v>8.9342654418745074E-2</c:v>
                </c:pt>
                <c:pt idx="2">
                  <c:v>1.1471496144845701</c:v>
                </c:pt>
                <c:pt idx="3">
                  <c:v>6.5419175230601223E-4</c:v>
                </c:pt>
                <c:pt idx="4">
                  <c:v>0.10104992723796781</c:v>
                </c:pt>
                <c:pt idx="5">
                  <c:v>1.4583380970673203</c:v>
                </c:pt>
                <c:pt idx="6">
                  <c:v>-0.14832960015848101</c:v>
                </c:pt>
                <c:pt idx="7">
                  <c:v>0.10481879271977526</c:v>
                </c:pt>
                <c:pt idx="8">
                  <c:v>0.25083247166437583</c:v>
                </c:pt>
                <c:pt idx="9">
                  <c:v>7.8228835210399528E-2</c:v>
                </c:pt>
                <c:pt idx="10">
                  <c:v>0.12246650676616178</c:v>
                </c:pt>
                <c:pt idx="11">
                  <c:v>0.64701878033195348</c:v>
                </c:pt>
                <c:pt idx="12">
                  <c:v>8.082291700023285E-2</c:v>
                </c:pt>
                <c:pt idx="13">
                  <c:v>0.65499586614199001</c:v>
                </c:pt>
                <c:pt idx="14">
                  <c:v>3.7886696812076702E-2</c:v>
                </c:pt>
                <c:pt idx="15">
                  <c:v>0.8801780744929486</c:v>
                </c:pt>
                <c:pt idx="16">
                  <c:v>0.176471739319671</c:v>
                </c:pt>
                <c:pt idx="17">
                  <c:v>0.110648370739599</c:v>
                </c:pt>
                <c:pt idx="18">
                  <c:v>8.9738164498227704E-2</c:v>
                </c:pt>
                <c:pt idx="19">
                  <c:v>0.37283751868756299</c:v>
                </c:pt>
                <c:pt idx="20">
                  <c:v>6.0195466701116633E-2</c:v>
                </c:pt>
                <c:pt idx="21">
                  <c:v>6.0372289164951222E-2</c:v>
                </c:pt>
              </c:numCache>
            </c:numRef>
          </c:yVal>
          <c:bubbleSize>
            <c:numRef>
              <c:f>Лист1!$C$2:$C$23</c:f>
              <c:numCache>
                <c:formatCode>0.00</c:formatCode>
                <c:ptCount val="22"/>
                <c:pt idx="0">
                  <c:v>1.9418214386871687E-2</c:v>
                </c:pt>
                <c:pt idx="1">
                  <c:v>1.6268767200472701E-2</c:v>
                </c:pt>
                <c:pt idx="2">
                  <c:v>0.80427728316991665</c:v>
                </c:pt>
                <c:pt idx="3">
                  <c:v>0.14671883731564828</c:v>
                </c:pt>
                <c:pt idx="4">
                  <c:v>3.5965889265477502E-2</c:v>
                </c:pt>
                <c:pt idx="5">
                  <c:v>0.36938010398659005</c:v>
                </c:pt>
                <c:pt idx="6">
                  <c:v>1.1604388614035925E-2</c:v>
                </c:pt>
                <c:pt idx="7">
                  <c:v>3.5263497098026682E-2</c:v>
                </c:pt>
                <c:pt idx="8">
                  <c:v>1.4468382485161595E-2</c:v>
                </c:pt>
                <c:pt idx="9">
                  <c:v>3.488389754601498E-2</c:v>
                </c:pt>
                <c:pt idx="10">
                  <c:v>1.5938860748867884E-2</c:v>
                </c:pt>
                <c:pt idx="11">
                  <c:v>0.26012618576463636</c:v>
                </c:pt>
                <c:pt idx="12">
                  <c:v>3.9518865118144175E-2</c:v>
                </c:pt>
                <c:pt idx="13">
                  <c:v>0.59072210220474775</c:v>
                </c:pt>
                <c:pt idx="14">
                  <c:v>2.6718053662575958E-2</c:v>
                </c:pt>
                <c:pt idx="15">
                  <c:v>0.14807103468150834</c:v>
                </c:pt>
                <c:pt idx="16">
                  <c:v>0.10039134774433459</c:v>
                </c:pt>
                <c:pt idx="17">
                  <c:v>9.6714778073908186E-2</c:v>
                </c:pt>
                <c:pt idx="18">
                  <c:v>7.7662255018760618E-2</c:v>
                </c:pt>
                <c:pt idx="19">
                  <c:v>0.38030623900879329</c:v>
                </c:pt>
                <c:pt idx="20">
                  <c:v>2.8628020485431682E-2</c:v>
                </c:pt>
                <c:pt idx="21">
                  <c:v>0.11476995819304958</c:v>
                </c:pt>
              </c:numCache>
            </c:numRef>
          </c:bubbleSize>
          <c:bubble3D val="0"/>
          <c:extLst>
            <c:ext xmlns:c15="http://schemas.microsoft.com/office/drawing/2012/chart" uri="{02D57815-91ED-43cb-92C2-25804820EDAC}">
              <c15:datalabelsRange>
                <c15:f>Лист1!$D:$D</c15:f>
                <c15:dlblRangeCache>
                  <c:ptCount val="1048576"/>
                  <c:pt idx="0">
                    <c:v>industry</c:v>
                  </c:pt>
                  <c:pt idx="1">
                    <c:v>extractive industries</c:v>
                  </c:pt>
                  <c:pt idx="2">
                    <c:v>Forestry &amp; paper</c:v>
                  </c:pt>
                  <c:pt idx="3">
                    <c:v>Aerospace &amp; defence</c:v>
                  </c:pt>
                  <c:pt idx="4">
                    <c:v>Machinery</c:v>
                  </c:pt>
                  <c:pt idx="5">
                    <c:v>Chemicals</c:v>
                  </c:pt>
                  <c:pt idx="6">
                    <c:v>Personal &amp; Household Goods</c:v>
                  </c:pt>
                  <c:pt idx="7">
                    <c:v>Beverages</c:v>
                  </c:pt>
                  <c:pt idx="8">
                    <c:v>Food producers</c:v>
                  </c:pt>
                  <c:pt idx="9">
                    <c:v>Tobacco</c:v>
                  </c:pt>
                  <c:pt idx="10">
                    <c:v>Infrastructure</c:v>
                  </c:pt>
                  <c:pt idx="11">
                    <c:v>Electricity</c:v>
                  </c:pt>
                  <c:pt idx="12">
                    <c:v>Health care equipment &amp; services</c:v>
                  </c:pt>
                  <c:pt idx="13">
                    <c:v>Household goods &amp; home construction</c:v>
                  </c:pt>
                  <c:pt idx="14">
                    <c:v>Support services</c:v>
                  </c:pt>
                  <c:pt idx="15">
                    <c:v>Food &amp; drug retailers</c:v>
                  </c:pt>
                  <c:pt idx="16">
                    <c:v>General retailers</c:v>
                  </c:pt>
                  <c:pt idx="17">
                    <c:v>Travel &amp; leisure</c:v>
                  </c:pt>
                  <c:pt idx="18">
                    <c:v>Media</c:v>
                  </c:pt>
                  <c:pt idx="19">
                    <c:v>IT &amp; Telecom</c:v>
                  </c:pt>
                  <c:pt idx="20">
                    <c:v>Software &amp; computer services</c:v>
                  </c:pt>
                  <c:pt idx="21">
                    <c:v>Energy</c:v>
                  </c:pt>
                  <c:pt idx="22">
                    <c:v>Hardware &amp; Electronic equipment 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306F-4719-AE69-3ADDD7D64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804040144"/>
        <c:axId val="804043056"/>
      </c:bubbleChart>
      <c:valAx>
        <c:axId val="804040144"/>
        <c:scaling>
          <c:orientation val="minMax"/>
          <c:max val="0.55000000000000004"/>
          <c:min val="0.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Стандартное</a:t>
                </a:r>
                <a:r>
                  <a:rPr lang="ru-RU" baseline="0"/>
                  <a:t> отклонение ценности фирм в отрасли в 2019 году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043056"/>
        <c:crosses val="autoZero"/>
        <c:crossBetween val="midCat"/>
      </c:valAx>
      <c:valAx>
        <c:axId val="8040430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Средняя</a:t>
                </a:r>
                <a:r>
                  <a:rPr lang="ru-RU" baseline="0"/>
                  <a:t> маржа операционной прибыли в отрасли в 2019 году, млн евро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040144"/>
        <c:crosses val="max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01737478650093"/>
          <c:y val="5.5077739965902837E-2"/>
          <c:w val="0.6367068942518983"/>
          <c:h val="0.38366611610804002"/>
        </c:manualLayout>
      </c:layout>
      <c:pie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проценты</c:v>
                </c:pt>
              </c:strCache>
            </c:strRef>
          </c:tx>
          <c:spPr>
            <a:ln w="0"/>
          </c:spPr>
          <c:dPt>
            <c:idx val="0"/>
            <c:bubble3D val="0"/>
            <c:spPr>
              <a:solidFill>
                <a:schemeClr val="accent1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C5-40F1-8B4E-86A4D8DBBF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0EA-40C7-ACE9-7B554FCDA5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C5-40F1-8B4E-86A4D8DBBF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C5-40F1-8B4E-86A4D8DBBF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EA-40C7-ACE9-7B554FCDA5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EC5-40F1-8B4E-86A4D8DBBF8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EC5-40F1-8B4E-86A4D8DBBF8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0EA-40C7-ACE9-7B554FCDA5A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EC5-40F1-8B4E-86A4D8DBBF8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EC5-40F1-8B4E-86A4D8DBBF8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EC5-40F1-8B4E-86A4D8DBBF8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EC5-40F1-8B4E-86A4D8DBBF8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EC5-40F1-8B4E-86A4D8DBBF8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EC5-40F1-8B4E-86A4D8DBBF8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4EC5-40F1-8B4E-86A4D8DBBF8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4EC5-40F1-8B4E-86A4D8DBBF8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4EC5-40F1-8B4E-86A4D8DBBF8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4EC5-40F1-8B4E-86A4D8DBBF8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0EA-40C7-ACE9-7B554FCDA5A5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4EC5-40F1-8B4E-86A4D8DBBF8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4EC5-40F1-8B4E-86A4D8DBBF8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4EC5-40F1-8B4E-86A4D8DBBF8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4EC5-40F1-8B4E-86A4D8DBBF8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4EC5-40F1-8B4E-86A4D8DBBF8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4EC5-40F1-8B4E-86A4D8DBBF8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4EC5-40F1-8B4E-86A4D8DBBF8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4EC5-40F1-8B4E-86A4D8DBBF8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4EC5-40F1-8B4E-86A4D8DBBF8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4EC5-40F1-8B4E-86A4D8DBBF8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4EC5-40F1-8B4E-86A4D8DBBF8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0EA-40C7-ACE9-7B554FCDA5A5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4EC5-40F1-8B4E-86A4D8DBBF82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0EA-40C7-ACE9-7B554FCDA5A5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4EC5-40F1-8B4E-86A4D8DBBF82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EA-40C7-ACE9-7B554FCDA5A5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4EC5-40F1-8B4E-86A4D8DBBF82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4EC5-40F1-8B4E-86A4D8DBBF82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4EC5-40F1-8B4E-86A4D8DBBF82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0650-46FD-9E0E-8B273E473039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0650-46FD-9E0E-8B273E473039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0650-46FD-9E0E-8B273E473039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0650-46FD-9E0E-8B273E473039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0650-46FD-9E0E-8B273E473039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0650-46FD-9E0E-8B273E473039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0650-46FD-9E0E-8B273E473039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0650-46FD-9E0E-8B273E473039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0650-46FD-9E0E-8B273E473039}"/>
              </c:ext>
            </c:extLst>
          </c:dPt>
          <c:cat>
            <c:strRef>
              <c:f>Лист1!$A$2:$A$48</c:f>
              <c:strCache>
                <c:ptCount val="47"/>
                <c:pt idx="0">
                  <c:v>Aerospace &amp; defence</c:v>
                </c:pt>
                <c:pt idx="1">
                  <c:v>Alternative energy</c:v>
                </c:pt>
                <c:pt idx="2">
                  <c:v>Automobiles &amp; parts</c:v>
                </c:pt>
                <c:pt idx="3">
                  <c:v>Beverages</c:v>
                </c:pt>
                <c:pt idx="4">
                  <c:v>Biotechnology</c:v>
                </c:pt>
                <c:pt idx="5">
                  <c:v>Chemicals</c:v>
                </c:pt>
                <c:pt idx="6">
                  <c:v>Commercial vehicles &amp; trucks</c:v>
                </c:pt>
                <c:pt idx="7">
                  <c:v>Computer hardware </c:v>
                </c:pt>
                <c:pt idx="8">
                  <c:v>Computer services </c:v>
                </c:pt>
                <c:pt idx="9">
                  <c:v>Construction &amp; building </c:v>
                </c:pt>
                <c:pt idx="10">
                  <c:v>Construction &amp; materials</c:v>
                </c:pt>
                <c:pt idx="11">
                  <c:v>Diversified industrials</c:v>
                </c:pt>
                <c:pt idx="12">
                  <c:v>Electricity</c:v>
                </c:pt>
                <c:pt idx="13">
                  <c:v>Electronic &amp; electrical equipment</c:v>
                </c:pt>
                <c:pt idx="14">
                  <c:v>Engineering &amp; machinery </c:v>
                </c:pt>
                <c:pt idx="15">
                  <c:v>Fixed line telecommunications</c:v>
                </c:pt>
                <c:pt idx="16">
                  <c:v>Food &amp; drug retailers</c:v>
                </c:pt>
                <c:pt idx="17">
                  <c:v>Food producers</c:v>
                </c:pt>
                <c:pt idx="18">
                  <c:v>Forestry &amp; paper</c:v>
                </c:pt>
                <c:pt idx="19">
                  <c:v>Gas, water &amp; multiutilities</c:v>
                </c:pt>
                <c:pt idx="20">
                  <c:v>General industrials</c:v>
                </c:pt>
                <c:pt idx="21">
                  <c:v>General retailers</c:v>
                </c:pt>
                <c:pt idx="22">
                  <c:v>Health care equipment &amp; services</c:v>
                </c:pt>
                <c:pt idx="23">
                  <c:v>Household goods &amp; home construction</c:v>
                </c:pt>
                <c:pt idx="24">
                  <c:v>Industrial engineering</c:v>
                </c:pt>
                <c:pt idx="25">
                  <c:v>Industrial machinery</c:v>
                </c:pt>
                <c:pt idx="26">
                  <c:v>Industrial metals &amp; mining</c:v>
                </c:pt>
                <c:pt idx="27">
                  <c:v>Industrial transportation</c:v>
                </c:pt>
                <c:pt idx="28">
                  <c:v>Internet </c:v>
                </c:pt>
                <c:pt idx="29">
                  <c:v>IT hardware </c:v>
                </c:pt>
                <c:pt idx="30">
                  <c:v>Leisure goods</c:v>
                </c:pt>
                <c:pt idx="31">
                  <c:v>Media</c:v>
                </c:pt>
                <c:pt idx="32">
                  <c:v>Mining</c:v>
                </c:pt>
                <c:pt idx="33">
                  <c:v>Mobile telecommunications</c:v>
                </c:pt>
                <c:pt idx="34">
                  <c:v>Oil &amp; gas</c:v>
                </c:pt>
                <c:pt idx="35">
                  <c:v>Personal &amp; Household Goods</c:v>
                </c:pt>
                <c:pt idx="36">
                  <c:v>Pharmaceuticals &amp; biotechnology</c:v>
                </c:pt>
                <c:pt idx="37">
                  <c:v>Software &amp; computer services</c:v>
                </c:pt>
                <c:pt idx="38">
                  <c:v>Steel &amp; other metals </c:v>
                </c:pt>
                <c:pt idx="39">
                  <c:v>Support services</c:v>
                </c:pt>
                <c:pt idx="40">
                  <c:v>Technology hardware &amp; equipment</c:v>
                </c:pt>
                <c:pt idx="41">
                  <c:v>Telecommunications</c:v>
                </c:pt>
                <c:pt idx="42">
                  <c:v>Tobacco</c:v>
                </c:pt>
                <c:pt idx="43">
                  <c:v>Toys</c:v>
                </c:pt>
                <c:pt idx="44">
                  <c:v>Transport </c:v>
                </c:pt>
                <c:pt idx="45">
                  <c:v>Travel &amp; leisure</c:v>
                </c:pt>
                <c:pt idx="46">
                  <c:v>Utilities</c:v>
                </c:pt>
              </c:strCache>
            </c:strRef>
          </c:cat>
          <c:val>
            <c:numRef>
              <c:f>Лист1!$C$2:$C$48</c:f>
              <c:numCache>
                <c:formatCode>0.00%</c:formatCode>
                <c:ptCount val="47"/>
                <c:pt idx="0">
                  <c:v>2.2890148679003103E-2</c:v>
                </c:pt>
                <c:pt idx="1">
                  <c:v>2.6027739152137482E-3</c:v>
                </c:pt>
                <c:pt idx="2">
                  <c:v>6.246657396512996E-2</c:v>
                </c:pt>
                <c:pt idx="3">
                  <c:v>3.4228259706920528E-3</c:v>
                </c:pt>
                <c:pt idx="4">
                  <c:v>1.2265126394979856E-2</c:v>
                </c:pt>
                <c:pt idx="5">
                  <c:v>5.9649873426747956E-2</c:v>
                </c:pt>
                <c:pt idx="6">
                  <c:v>3.8863336542232681E-3</c:v>
                </c:pt>
                <c:pt idx="7">
                  <c:v>1.0090205726102613E-2</c:v>
                </c:pt>
                <c:pt idx="8">
                  <c:v>3.3158626591079259E-3</c:v>
                </c:pt>
                <c:pt idx="9">
                  <c:v>8.2005205547830428E-4</c:v>
                </c:pt>
                <c:pt idx="10">
                  <c:v>2.5243341533853887E-2</c:v>
                </c:pt>
                <c:pt idx="11">
                  <c:v>7.8439761828359537E-4</c:v>
                </c:pt>
                <c:pt idx="12">
                  <c:v>2.139266231682533E-2</c:v>
                </c:pt>
                <c:pt idx="13">
                  <c:v>8.2718294291724601E-2</c:v>
                </c:pt>
                <c:pt idx="14">
                  <c:v>2.5314650408243306E-3</c:v>
                </c:pt>
                <c:pt idx="15">
                  <c:v>7.4517773736941561E-3</c:v>
                </c:pt>
                <c:pt idx="16">
                  <c:v>2.2105751060719505E-3</c:v>
                </c:pt>
                <c:pt idx="17">
                  <c:v>2.1606588939993582E-2</c:v>
                </c:pt>
                <c:pt idx="18">
                  <c:v>4.4568046493386098E-3</c:v>
                </c:pt>
                <c:pt idx="19">
                  <c:v>5.0985845188433699E-3</c:v>
                </c:pt>
                <c:pt idx="20">
                  <c:v>3.2588155595963918E-2</c:v>
                </c:pt>
                <c:pt idx="21">
                  <c:v>6.9882696901629408E-3</c:v>
                </c:pt>
                <c:pt idx="22">
                  <c:v>3.9790351909295113E-2</c:v>
                </c:pt>
                <c:pt idx="23">
                  <c:v>1.7541983099796769E-2</c:v>
                </c:pt>
                <c:pt idx="24">
                  <c:v>5.9435946803579706E-2</c:v>
                </c:pt>
                <c:pt idx="25">
                  <c:v>8.9849181730666389E-3</c:v>
                </c:pt>
                <c:pt idx="26">
                  <c:v>1.6935857667486717E-2</c:v>
                </c:pt>
                <c:pt idx="27">
                  <c:v>3.1732449103290903E-3</c:v>
                </c:pt>
                <c:pt idx="28">
                  <c:v>2.1749206688772417E-3</c:v>
                </c:pt>
                <c:pt idx="29">
                  <c:v>9.3771169822084357E-3</c:v>
                </c:pt>
                <c:pt idx="30">
                  <c:v>1.786287303454915E-2</c:v>
                </c:pt>
                <c:pt idx="31">
                  <c:v>8.9849181730666389E-3</c:v>
                </c:pt>
                <c:pt idx="32">
                  <c:v>4.421150212143901E-3</c:v>
                </c:pt>
                <c:pt idx="33">
                  <c:v>5.0629300816486611E-3</c:v>
                </c:pt>
                <c:pt idx="34">
                  <c:v>1.9716903768674011E-2</c:v>
                </c:pt>
                <c:pt idx="35">
                  <c:v>1.7827218597354439E-2</c:v>
                </c:pt>
                <c:pt idx="36">
                  <c:v>0.12789246621742076</c:v>
                </c:pt>
                <c:pt idx="37">
                  <c:v>0.12275822726138268</c:v>
                </c:pt>
                <c:pt idx="38">
                  <c:v>5.7047099511534213E-4</c:v>
                </c:pt>
                <c:pt idx="39">
                  <c:v>1.1552037651085678E-2</c:v>
                </c:pt>
                <c:pt idx="40">
                  <c:v>8.87438941776304E-2</c:v>
                </c:pt>
                <c:pt idx="41">
                  <c:v>1.055371340963383E-2</c:v>
                </c:pt>
                <c:pt idx="42">
                  <c:v>2.709737226797875E-3</c:v>
                </c:pt>
                <c:pt idx="43">
                  <c:v>7.1308874389417766E-5</c:v>
                </c:pt>
                <c:pt idx="44">
                  <c:v>1.0696331158412665E-4</c:v>
                </c:pt>
                <c:pt idx="45">
                  <c:v>9.0918814846507653E-3</c:v>
                </c:pt>
                <c:pt idx="46">
                  <c:v>1.7827218597354442E-4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A-40C7-ACE9-7B554FCDA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9399680438256"/>
          <c:y val="0.12130592454569133"/>
          <c:w val="0.58579190383671798"/>
          <c:h val="0.435344246091376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Географическая структура выборки</c:v>
                </c:pt>
              </c:strCache>
            </c:strRef>
          </c:tx>
          <c:spPr>
            <a:ln w="0"/>
          </c:spPr>
          <c:dPt>
            <c:idx val="0"/>
            <c:bubble3D val="0"/>
            <c:spPr>
              <a:solidFill>
                <a:schemeClr val="accent1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C7-4858-B153-D1B36A576A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C7-4858-B153-D1B36A576A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C7-4858-B153-D1B36A576A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C7-4858-B153-D1B36A576A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C7-4858-B153-D1B36A576A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CC7-4858-B153-D1B36A576A4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54-465B-970C-ADE07DF3132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CC7-4858-B153-D1B36A576A4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CC7-4858-B153-D1B36A576A4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CC7-4858-B153-D1B36A576A4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CC7-4858-B153-D1B36A576A4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CC7-4858-B153-D1B36A576A4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CC7-4858-B153-D1B36A576A4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5CC7-4858-B153-D1B36A576A4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5CC7-4858-B153-D1B36A576A48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5CC7-4858-B153-D1B36A576A48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5CC7-4858-B153-D1B36A576A48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5CC7-4858-B153-D1B36A576A48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C54-465B-970C-ADE07DF31321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5CC7-4858-B153-D1B36A576A48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5CC7-4858-B153-D1B36A576A48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5CC7-4858-B153-D1B36A576A48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5CC7-4858-B153-D1B36A576A48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5CC7-4858-B153-D1B36A576A48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5CC7-4858-B153-D1B36A576A48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5CC7-4858-B153-D1B36A576A48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5CC7-4858-B153-D1B36A576A48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5CC7-4858-B153-D1B36A576A48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5CC7-4858-B153-D1B36A576A48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5CC7-4858-B153-D1B36A576A48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5CC7-4858-B153-D1B36A576A48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5CC7-4858-B153-D1B36A576A48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5CC7-4858-B153-D1B36A576A48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5CC7-4858-B153-D1B36A576A48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5CC7-4858-B153-D1B36A576A48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5CC7-4858-B153-D1B36A576A48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5CC7-4858-B153-D1B36A576A48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5CC7-4858-B153-D1B36A576A48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C54-465B-970C-ADE07DF31321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5CC7-4858-B153-D1B36A576A48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5CC7-4858-B153-D1B36A576A48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5CC7-4858-B153-D1B36A576A48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5CC7-4858-B153-D1B36A576A48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995A-4DFB-BB30-6A23AE3C7D90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995A-4DFB-BB30-6A23AE3C7D90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995A-4DFB-BB30-6A23AE3C7D90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995A-4DFB-BB30-6A23AE3C7D90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F-995A-4DFB-BB30-6A23AE3C7D90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1-995A-4DFB-BB30-6A23AE3C7D90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3-995A-4DFB-BB30-6A23AE3C7D90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5-995A-4DFB-BB30-6A23AE3C7D90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7-995A-4DFB-BB30-6A23AE3C7D90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9-995A-4DFB-BB30-6A23AE3C7D90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 w="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B-995A-4DFB-BB30-6A23AE3C7D90}"/>
              </c:ext>
            </c:extLst>
          </c:dPt>
          <c:cat>
            <c:strRef>
              <c:f>Лист1!$A$2:$A$55</c:f>
              <c:strCache>
                <c:ptCount val="54"/>
                <c:pt idx="0">
                  <c:v>Argentina</c:v>
                </c:pt>
                <c:pt idx="1">
                  <c:v>Australia</c:v>
                </c:pt>
                <c:pt idx="2">
                  <c:v>Austria</c:v>
                </c:pt>
                <c:pt idx="3">
                  <c:v>Belgium</c:v>
                </c:pt>
                <c:pt idx="4">
                  <c:v>Bermuda</c:v>
                </c:pt>
                <c:pt idx="5">
                  <c:v>Brazil</c:v>
                </c:pt>
                <c:pt idx="6">
                  <c:v>Canada</c:v>
                </c:pt>
                <c:pt idx="7">
                  <c:v>Cayman Islands</c:v>
                </c:pt>
                <c:pt idx="8">
                  <c:v>China</c:v>
                </c:pt>
                <c:pt idx="9">
                  <c:v>Colombia</c:v>
                </c:pt>
                <c:pt idx="10">
                  <c:v>Croatia</c:v>
                </c:pt>
                <c:pt idx="11">
                  <c:v>Czech Republic</c:v>
                </c:pt>
                <c:pt idx="12">
                  <c:v>Denmark</c:v>
                </c:pt>
                <c:pt idx="13">
                  <c:v>Finland</c:v>
                </c:pt>
                <c:pt idx="14">
                  <c:v>France</c:v>
                </c:pt>
                <c:pt idx="15">
                  <c:v>Germany</c:v>
                </c:pt>
                <c:pt idx="16">
                  <c:v>Greece</c:v>
                </c:pt>
                <c:pt idx="17">
                  <c:v>Hong Kong</c:v>
                </c:pt>
                <c:pt idx="18">
                  <c:v>Hungary</c:v>
                </c:pt>
                <c:pt idx="19">
                  <c:v>Iceland</c:v>
                </c:pt>
                <c:pt idx="20">
                  <c:v>India</c:v>
                </c:pt>
                <c:pt idx="21">
                  <c:v>Iraq</c:v>
                </c:pt>
                <c:pt idx="22">
                  <c:v>Ireland</c:v>
                </c:pt>
                <c:pt idx="23">
                  <c:v>Israel</c:v>
                </c:pt>
                <c:pt idx="24">
                  <c:v>Italy</c:v>
                </c:pt>
                <c:pt idx="25">
                  <c:v>Japan</c:v>
                </c:pt>
                <c:pt idx="26">
                  <c:v>Liechtenstein</c:v>
                </c:pt>
                <c:pt idx="27">
                  <c:v>Luxembourg</c:v>
                </c:pt>
                <c:pt idx="28">
                  <c:v>Malaysia</c:v>
                </c:pt>
                <c:pt idx="29">
                  <c:v>Malta</c:v>
                </c:pt>
                <c:pt idx="30">
                  <c:v>Mexico</c:v>
                </c:pt>
                <c:pt idx="31">
                  <c:v>Netherlands</c:v>
                </c:pt>
                <c:pt idx="32">
                  <c:v>New Zealand</c:v>
                </c:pt>
                <c:pt idx="33">
                  <c:v>Norway</c:v>
                </c:pt>
                <c:pt idx="34">
                  <c:v>Poland</c:v>
                </c:pt>
                <c:pt idx="35">
                  <c:v>Portugal</c:v>
                </c:pt>
                <c:pt idx="36">
                  <c:v>Russia</c:v>
                </c:pt>
                <c:pt idx="37">
                  <c:v>Saudi Arabia</c:v>
                </c:pt>
                <c:pt idx="38">
                  <c:v>Singapore</c:v>
                </c:pt>
                <c:pt idx="39">
                  <c:v>Slovenia</c:v>
                </c:pt>
                <c:pt idx="40">
                  <c:v>South Africa</c:v>
                </c:pt>
                <c:pt idx="41">
                  <c:v>South Korea</c:v>
                </c:pt>
                <c:pt idx="42">
                  <c:v>Spain</c:v>
                </c:pt>
                <c:pt idx="43">
                  <c:v>Sweden</c:v>
                </c:pt>
                <c:pt idx="44">
                  <c:v>Switzerland</c:v>
                </c:pt>
                <c:pt idx="45">
                  <c:v>Taiwan</c:v>
                </c:pt>
                <c:pt idx="46">
                  <c:v>Thailand</c:v>
                </c:pt>
                <c:pt idx="47">
                  <c:v>The Netherlands</c:v>
                </c:pt>
                <c:pt idx="48">
                  <c:v>Turkey</c:v>
                </c:pt>
                <c:pt idx="49">
                  <c:v>UK</c:v>
                </c:pt>
                <c:pt idx="50">
                  <c:v>Ukraine</c:v>
                </c:pt>
                <c:pt idx="51">
                  <c:v>United Arab Emirates</c:v>
                </c:pt>
                <c:pt idx="52">
                  <c:v>USA</c:v>
                </c:pt>
                <c:pt idx="53">
                  <c:v>Venezuela</c:v>
                </c:pt>
              </c:strCache>
            </c:strRef>
          </c:cat>
          <c:val>
            <c:numRef>
              <c:f>Лист1!$B$2:$B$55</c:f>
              <c:numCache>
                <c:formatCode>0.00%</c:formatCode>
                <c:ptCount val="54"/>
                <c:pt idx="0">
                  <c:v>1.4261774877883553E-4</c:v>
                </c:pt>
                <c:pt idx="1">
                  <c:v>4.6350768353121546E-3</c:v>
                </c:pt>
                <c:pt idx="2">
                  <c:v>4.9203123328698259E-3</c:v>
                </c:pt>
                <c:pt idx="3">
                  <c:v>4.4568046493386098E-3</c:v>
                </c:pt>
                <c:pt idx="4">
                  <c:v>2.7453916639925838E-3</c:v>
                </c:pt>
                <c:pt idx="5">
                  <c:v>3.7437159054444324E-3</c:v>
                </c:pt>
                <c:pt idx="6">
                  <c:v>1.2978215138874033E-2</c:v>
                </c:pt>
                <c:pt idx="7">
                  <c:v>5.6690555139587125E-3</c:v>
                </c:pt>
                <c:pt idx="8">
                  <c:v>0.10286305130673512</c:v>
                </c:pt>
                <c:pt idx="9">
                  <c:v>7.1308874389417766E-5</c:v>
                </c:pt>
                <c:pt idx="10">
                  <c:v>2.139266231682533E-4</c:v>
                </c:pt>
                <c:pt idx="11">
                  <c:v>2.139266231682533E-4</c:v>
                </c:pt>
                <c:pt idx="12">
                  <c:v>9.1275359218454741E-3</c:v>
                </c:pt>
                <c:pt idx="13">
                  <c:v>6.7030341926052695E-3</c:v>
                </c:pt>
                <c:pt idx="14">
                  <c:v>2.545726815702214E-2</c:v>
                </c:pt>
                <c:pt idx="15">
                  <c:v>4.2464434698898275E-2</c:v>
                </c:pt>
                <c:pt idx="16">
                  <c:v>4.278532463365066E-4</c:v>
                </c:pt>
                <c:pt idx="17">
                  <c:v>1.818376296930153E-3</c:v>
                </c:pt>
                <c:pt idx="18">
                  <c:v>4.278532463365066E-4</c:v>
                </c:pt>
                <c:pt idx="19">
                  <c:v>5.3481655792063322E-4</c:v>
                </c:pt>
                <c:pt idx="20">
                  <c:v>1.0981566655970335E-2</c:v>
                </c:pt>
                <c:pt idx="21">
                  <c:v>2.139266231682533E-4</c:v>
                </c:pt>
                <c:pt idx="22">
                  <c:v>6.2038720718793454E-3</c:v>
                </c:pt>
                <c:pt idx="23">
                  <c:v>8.5214104895354227E-3</c:v>
                </c:pt>
                <c:pt idx="24">
                  <c:v>8.9492637358719301E-3</c:v>
                </c:pt>
                <c:pt idx="25">
                  <c:v>0.17559810318394123</c:v>
                </c:pt>
                <c:pt idx="26">
                  <c:v>6.0612543231005104E-4</c:v>
                </c:pt>
                <c:pt idx="27">
                  <c:v>1.9966484829036972E-3</c:v>
                </c:pt>
                <c:pt idx="28">
                  <c:v>8.91360929867722E-4</c:v>
                </c:pt>
                <c:pt idx="29">
                  <c:v>2.4958106036296215E-4</c:v>
                </c:pt>
                <c:pt idx="30">
                  <c:v>4.278532463365066E-4</c:v>
                </c:pt>
                <c:pt idx="31">
                  <c:v>5.2768567048169148E-3</c:v>
                </c:pt>
                <c:pt idx="32">
                  <c:v>9.6266980425713982E-4</c:v>
                </c:pt>
                <c:pt idx="33">
                  <c:v>4.8490034584804083E-3</c:v>
                </c:pt>
                <c:pt idx="34">
                  <c:v>1.4261774877883553E-4</c:v>
                </c:pt>
                <c:pt idx="35">
                  <c:v>8.5570649267301319E-4</c:v>
                </c:pt>
                <c:pt idx="36">
                  <c:v>1.4261774877883553E-3</c:v>
                </c:pt>
                <c:pt idx="37">
                  <c:v>7.4874318108888646E-4</c:v>
                </c:pt>
                <c:pt idx="38">
                  <c:v>2.8523549755767106E-3</c:v>
                </c:pt>
                <c:pt idx="39">
                  <c:v>3.9219880914179769E-4</c:v>
                </c:pt>
                <c:pt idx="40">
                  <c:v>7.4874318108888646E-4</c:v>
                </c:pt>
                <c:pt idx="41">
                  <c:v>2.6348629086889862E-2</c:v>
                </c:pt>
                <c:pt idx="42">
                  <c:v>5.0272756444539523E-3</c:v>
                </c:pt>
                <c:pt idx="43">
                  <c:v>1.2265126394979856E-2</c:v>
                </c:pt>
                <c:pt idx="44">
                  <c:v>2.7525225514315257E-2</c:v>
                </c:pt>
                <c:pt idx="45">
                  <c:v>4.0360822904410454E-2</c:v>
                </c:pt>
                <c:pt idx="46">
                  <c:v>3.5654437194708883E-4</c:v>
                </c:pt>
                <c:pt idx="47">
                  <c:v>6.7386886297999783E-3</c:v>
                </c:pt>
                <c:pt idx="48">
                  <c:v>2.460156166434913E-3</c:v>
                </c:pt>
                <c:pt idx="49">
                  <c:v>3.9077263165400937E-2</c:v>
                </c:pt>
                <c:pt idx="50">
                  <c:v>3.5654437194708883E-5</c:v>
                </c:pt>
                <c:pt idx="51">
                  <c:v>3.5654437194708883E-5</c:v>
                </c:pt>
                <c:pt idx="52">
                  <c:v>0.37701001889685171</c:v>
                </c:pt>
                <c:pt idx="53">
                  <c:v>2.4958106036296215E-4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54-465B-970C-ADE07DF31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033100029163015E-2"/>
          <c:y val="0.57774039854925252"/>
          <c:w val="0.81719305920093321"/>
          <c:h val="0.422259601450747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НИОКР, млн евро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Лист1!$A$2:$A$29</c:f>
              <c:strCache>
                <c:ptCount val="28"/>
                <c:pt idx="0">
                  <c:v>Aerospace &amp; defence</c:v>
                </c:pt>
                <c:pt idx="1">
                  <c:v>Automobiles &amp; parts</c:v>
                </c:pt>
                <c:pt idx="2">
                  <c:v>Chemicals</c:v>
                </c:pt>
                <c:pt idx="3">
                  <c:v>Electricity</c:v>
                </c:pt>
                <c:pt idx="4">
                  <c:v>Food producers</c:v>
                </c:pt>
                <c:pt idx="5">
                  <c:v>General retailers</c:v>
                </c:pt>
                <c:pt idx="6">
                  <c:v>Health care equipment &amp; services</c:v>
                </c:pt>
                <c:pt idx="7">
                  <c:v>Household goods &amp; home construction</c:v>
                </c:pt>
                <c:pt idx="8">
                  <c:v>IT hardware </c:v>
                </c:pt>
                <c:pt idx="9">
                  <c:v>Leisure goods</c:v>
                </c:pt>
                <c:pt idx="10">
                  <c:v>Media</c:v>
                </c:pt>
                <c:pt idx="11">
                  <c:v>Oil &amp; gas</c:v>
                </c:pt>
                <c:pt idx="12">
                  <c:v>Personal &amp; Household Goods</c:v>
                </c:pt>
                <c:pt idx="13">
                  <c:v>Pharmaceuticals &amp; biotechnology</c:v>
                </c:pt>
                <c:pt idx="14">
                  <c:v>Software &amp; computer services</c:v>
                </c:pt>
                <c:pt idx="15">
                  <c:v>Support services</c:v>
                </c:pt>
                <c:pt idx="16">
                  <c:v>Telecommunications</c:v>
                </c:pt>
                <c:pt idx="17">
                  <c:v>Electronic &amp; electrical equipment</c:v>
                </c:pt>
                <c:pt idx="18">
                  <c:v>Computer services </c:v>
                </c:pt>
                <c:pt idx="19">
                  <c:v>Computer hardware </c:v>
                </c:pt>
                <c:pt idx="20">
                  <c:v>General industrials</c:v>
                </c:pt>
                <c:pt idx="21">
                  <c:v>Fixed line telecommunications</c:v>
                </c:pt>
                <c:pt idx="22">
                  <c:v>Biotechnology</c:v>
                </c:pt>
                <c:pt idx="23">
                  <c:v>Commercial vehicles &amp; trucks</c:v>
                </c:pt>
                <c:pt idx="24">
                  <c:v>Construction &amp; materials</c:v>
                </c:pt>
                <c:pt idx="25">
                  <c:v>Industrial machinery</c:v>
                </c:pt>
                <c:pt idx="26">
                  <c:v>Technology hardware &amp; equipment</c:v>
                </c:pt>
                <c:pt idx="27">
                  <c:v>Industrial engineering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238131.68075599996</c:v>
                </c:pt>
                <c:pt idx="1">
                  <c:v>1250919.6013789997</c:v>
                </c:pt>
                <c:pt idx="2">
                  <c:v>286865.79124000005</c:v>
                </c:pt>
                <c:pt idx="3">
                  <c:v>118927.78289099989</c:v>
                </c:pt>
                <c:pt idx="4">
                  <c:v>85796.14135000002</c:v>
                </c:pt>
                <c:pt idx="5">
                  <c:v>47097.485905458998</c:v>
                </c:pt>
                <c:pt idx="6">
                  <c:v>174118.56396999996</c:v>
                </c:pt>
                <c:pt idx="7">
                  <c:v>78476.043758999993</c:v>
                </c:pt>
                <c:pt idx="8">
                  <c:v>91959.609999999957</c:v>
                </c:pt>
                <c:pt idx="9">
                  <c:v>210778.47004900014</c:v>
                </c:pt>
                <c:pt idx="10">
                  <c:v>34550.793434800013</c:v>
                </c:pt>
                <c:pt idx="11">
                  <c:v>144616.51917599989</c:v>
                </c:pt>
                <c:pt idx="12">
                  <c:v>56145.561167999986</c:v>
                </c:pt>
                <c:pt idx="13">
                  <c:v>1509086.564711411</c:v>
                </c:pt>
                <c:pt idx="14">
                  <c:v>985110.1313201118</c:v>
                </c:pt>
                <c:pt idx="15">
                  <c:v>38590.760196999996</c:v>
                </c:pt>
                <c:pt idx="16">
                  <c:v>102165.32171399995</c:v>
                </c:pt>
                <c:pt idx="17">
                  <c:v>583394.48045657983</c:v>
                </c:pt>
                <c:pt idx="18">
                  <c:v>42854.683000000019</c:v>
                </c:pt>
                <c:pt idx="19">
                  <c:v>99892.282000000065</c:v>
                </c:pt>
                <c:pt idx="20">
                  <c:v>224510.97721095296</c:v>
                </c:pt>
                <c:pt idx="21">
                  <c:v>101024.66232399996</c:v>
                </c:pt>
                <c:pt idx="22">
                  <c:v>51688.818999999989</c:v>
                </c:pt>
                <c:pt idx="23">
                  <c:v>26246.035999999989</c:v>
                </c:pt>
                <c:pt idx="24">
                  <c:v>112796.53312100016</c:v>
                </c:pt>
                <c:pt idx="25">
                  <c:v>19737.749999999993</c:v>
                </c:pt>
                <c:pt idx="26">
                  <c:v>969357.93245783448</c:v>
                </c:pt>
                <c:pt idx="27">
                  <c:v>235951.34884200021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32-446F-9B44-3ECDFF884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04072592"/>
        <c:axId val="804073840"/>
      </c:barChart>
      <c:catAx>
        <c:axId val="80407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073840"/>
        <c:crosses val="autoZero"/>
        <c:auto val="1"/>
        <c:lblAlgn val="ctr"/>
        <c:lblOffset val="100"/>
        <c:noMultiLvlLbl val="0"/>
      </c:catAx>
      <c:valAx>
        <c:axId val="804073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Инвестиции в НИОКР,</a:t>
                </a:r>
                <a:r>
                  <a:rPr lang="ru-RU" baseline="0"/>
                  <a:t> млн евро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E7E6E6">
                <a:lumMod val="50000"/>
              </a:srgbClr>
            </a:solidFill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07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D733-7CDD-4502-B714-88F9D2F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16069</Words>
  <Characters>91594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Воскобойник</dc:creator>
  <cp:keywords/>
  <dc:description/>
  <cp:lastModifiedBy>Мария Воскобойник</cp:lastModifiedBy>
  <cp:revision>2</cp:revision>
  <cp:lastPrinted>2021-03-05T11:53:00Z</cp:lastPrinted>
  <dcterms:created xsi:type="dcterms:W3CDTF">2021-06-02T12:01:00Z</dcterms:created>
  <dcterms:modified xsi:type="dcterms:W3CDTF">2021-06-02T12:01:00Z</dcterms:modified>
</cp:coreProperties>
</file>