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EC3E0" w14:textId="75435908" w:rsidR="00DC57FF" w:rsidRPr="00A947D1" w:rsidRDefault="00DC57FF" w:rsidP="00A947D1">
      <w:pPr>
        <w:spacing w:after="0" w:line="360" w:lineRule="auto"/>
        <w:ind w:firstLine="709"/>
        <w:jc w:val="center"/>
        <w:rPr>
          <w:rFonts w:cs="Times New Roman"/>
          <w:sz w:val="28"/>
          <w:szCs w:val="28"/>
          <w:lang w:val="en-US"/>
        </w:rPr>
      </w:pPr>
      <w:r w:rsidRPr="00A947D1">
        <w:rPr>
          <w:rFonts w:cs="Times New Roman"/>
          <w:sz w:val="28"/>
          <w:szCs w:val="28"/>
          <w:lang w:val="en-US"/>
        </w:rPr>
        <w:t>St. Petersburg</w:t>
      </w:r>
      <w:r w:rsidR="000F6811">
        <w:rPr>
          <w:rFonts w:cs="Times New Roman"/>
          <w:sz w:val="28"/>
          <w:szCs w:val="28"/>
          <w:lang w:val="en-US"/>
        </w:rPr>
        <w:t xml:space="preserve"> State</w:t>
      </w:r>
      <w:r w:rsidRPr="00A947D1">
        <w:rPr>
          <w:rFonts w:cs="Times New Roman"/>
          <w:sz w:val="28"/>
          <w:szCs w:val="28"/>
          <w:lang w:val="en-US"/>
        </w:rPr>
        <w:t xml:space="preserve"> University</w:t>
      </w:r>
    </w:p>
    <w:p w14:paraId="234DD17A" w14:textId="02ED05FA" w:rsidR="00E47A84" w:rsidRPr="00A947D1" w:rsidRDefault="00DC57FF" w:rsidP="00A947D1">
      <w:pPr>
        <w:spacing w:after="0" w:line="360" w:lineRule="auto"/>
        <w:ind w:firstLine="709"/>
        <w:jc w:val="center"/>
        <w:rPr>
          <w:rFonts w:cs="Times New Roman"/>
          <w:sz w:val="28"/>
          <w:szCs w:val="28"/>
          <w:lang w:val="en-US"/>
        </w:rPr>
      </w:pPr>
      <w:r w:rsidRPr="00A947D1">
        <w:rPr>
          <w:rFonts w:cs="Times New Roman"/>
          <w:sz w:val="28"/>
          <w:szCs w:val="28"/>
          <w:lang w:val="en-US"/>
        </w:rPr>
        <w:t>Graduate School of Management</w:t>
      </w:r>
    </w:p>
    <w:p w14:paraId="5A0AF1A1" w14:textId="5BD36570" w:rsidR="00DC57FF" w:rsidRPr="00A947D1" w:rsidRDefault="00DC57FF" w:rsidP="00A947D1">
      <w:pPr>
        <w:spacing w:after="0" w:line="360" w:lineRule="auto"/>
        <w:ind w:firstLine="709"/>
        <w:jc w:val="center"/>
        <w:rPr>
          <w:rFonts w:cs="Times New Roman"/>
          <w:sz w:val="28"/>
          <w:szCs w:val="28"/>
          <w:lang w:val="en-US"/>
        </w:rPr>
      </w:pPr>
      <w:r w:rsidRPr="00A947D1">
        <w:rPr>
          <w:rFonts w:cs="Times New Roman"/>
          <w:sz w:val="28"/>
          <w:szCs w:val="28"/>
          <w:lang w:val="en-US"/>
        </w:rPr>
        <w:t>Master in Corporate Finance</w:t>
      </w:r>
    </w:p>
    <w:p w14:paraId="57E75A0B" w14:textId="6E65B56A" w:rsidR="00DC57FF" w:rsidRDefault="00DC57FF" w:rsidP="008226B3">
      <w:pPr>
        <w:spacing w:line="360" w:lineRule="auto"/>
        <w:ind w:firstLine="709"/>
        <w:rPr>
          <w:lang w:val="en-US"/>
        </w:rPr>
      </w:pPr>
    </w:p>
    <w:p w14:paraId="4EED885C" w14:textId="09951E25" w:rsidR="00FB1282" w:rsidRDefault="00FB1282" w:rsidP="008226B3">
      <w:pPr>
        <w:spacing w:line="360" w:lineRule="auto"/>
        <w:ind w:firstLine="709"/>
        <w:rPr>
          <w:lang w:val="en-US"/>
        </w:rPr>
      </w:pPr>
    </w:p>
    <w:p w14:paraId="38B23A6C" w14:textId="287817EE" w:rsidR="00FB1282" w:rsidRDefault="00FB1282" w:rsidP="008226B3">
      <w:pPr>
        <w:spacing w:line="360" w:lineRule="auto"/>
        <w:ind w:firstLine="709"/>
        <w:rPr>
          <w:lang w:val="en-US"/>
        </w:rPr>
      </w:pPr>
    </w:p>
    <w:p w14:paraId="223ABF02" w14:textId="77777777" w:rsidR="00FB1282" w:rsidRDefault="00FB1282" w:rsidP="008226B3">
      <w:pPr>
        <w:spacing w:line="360" w:lineRule="auto"/>
        <w:ind w:firstLine="709"/>
        <w:rPr>
          <w:lang w:val="en-US"/>
        </w:rPr>
      </w:pPr>
    </w:p>
    <w:p w14:paraId="11C6C95C" w14:textId="122796E1" w:rsidR="00DC57FF" w:rsidRDefault="00DC57FF" w:rsidP="008226B3">
      <w:pPr>
        <w:spacing w:line="360" w:lineRule="auto"/>
        <w:ind w:firstLine="709"/>
        <w:rPr>
          <w:lang w:val="en-US"/>
        </w:rPr>
      </w:pPr>
    </w:p>
    <w:p w14:paraId="0621888B" w14:textId="65A30C3B" w:rsidR="00E47A84" w:rsidRPr="00FB1282" w:rsidRDefault="00DC57FF" w:rsidP="008226B3">
      <w:pPr>
        <w:spacing w:after="0" w:line="360" w:lineRule="auto"/>
        <w:ind w:firstLine="709"/>
        <w:jc w:val="center"/>
        <w:rPr>
          <w:rFonts w:cs="Times New Roman"/>
          <w:b/>
          <w:bCs/>
          <w:sz w:val="32"/>
          <w:szCs w:val="32"/>
          <w:lang w:val="en-US"/>
        </w:rPr>
      </w:pPr>
      <w:r w:rsidRPr="00FB1282">
        <w:rPr>
          <w:rFonts w:cs="Times New Roman"/>
          <w:b/>
          <w:bCs/>
          <w:sz w:val="32"/>
          <w:szCs w:val="32"/>
          <w:lang w:val="en-US"/>
        </w:rPr>
        <w:t>FX Futures Pricing in a Negative Interest Rates Environment</w:t>
      </w:r>
    </w:p>
    <w:p w14:paraId="3B191404" w14:textId="4C21BC76" w:rsidR="00DC57FF" w:rsidRDefault="00DC57FF" w:rsidP="008226B3">
      <w:pPr>
        <w:spacing w:after="0" w:line="360" w:lineRule="auto"/>
        <w:ind w:firstLine="709"/>
        <w:rPr>
          <w:rFonts w:cs="Times New Roman"/>
          <w:b/>
          <w:bCs/>
          <w:sz w:val="28"/>
          <w:szCs w:val="28"/>
          <w:lang w:val="en-US"/>
        </w:rPr>
      </w:pPr>
    </w:p>
    <w:p w14:paraId="4547E0FF" w14:textId="79C72DB1" w:rsidR="00DC57FF" w:rsidRDefault="00DC57FF" w:rsidP="008226B3">
      <w:pPr>
        <w:spacing w:after="0" w:line="360" w:lineRule="auto"/>
        <w:ind w:firstLine="709"/>
        <w:rPr>
          <w:rFonts w:cs="Times New Roman"/>
          <w:b/>
          <w:bCs/>
          <w:sz w:val="28"/>
          <w:szCs w:val="28"/>
          <w:lang w:val="en-US"/>
        </w:rPr>
      </w:pPr>
    </w:p>
    <w:p w14:paraId="6930EA84" w14:textId="14A1B6AD" w:rsidR="00FB1282" w:rsidRDefault="00FB1282" w:rsidP="008226B3">
      <w:pPr>
        <w:spacing w:after="0" w:line="360" w:lineRule="auto"/>
        <w:ind w:firstLine="709"/>
        <w:rPr>
          <w:rFonts w:cs="Times New Roman"/>
          <w:b/>
          <w:bCs/>
          <w:sz w:val="28"/>
          <w:szCs w:val="28"/>
          <w:lang w:val="en-US"/>
        </w:rPr>
      </w:pPr>
    </w:p>
    <w:p w14:paraId="1AE9D3D5" w14:textId="177042B6" w:rsidR="00FB1282" w:rsidRDefault="00FB1282" w:rsidP="008226B3">
      <w:pPr>
        <w:spacing w:after="0" w:line="360" w:lineRule="auto"/>
        <w:ind w:firstLine="709"/>
        <w:rPr>
          <w:rFonts w:cs="Times New Roman"/>
          <w:b/>
          <w:bCs/>
          <w:sz w:val="28"/>
          <w:szCs w:val="28"/>
          <w:lang w:val="en-US"/>
        </w:rPr>
      </w:pPr>
    </w:p>
    <w:p w14:paraId="48BBF9A9" w14:textId="77777777" w:rsidR="00FB1282" w:rsidRDefault="00FB1282" w:rsidP="008226B3">
      <w:pPr>
        <w:spacing w:after="0" w:line="360" w:lineRule="auto"/>
        <w:ind w:firstLine="709"/>
        <w:rPr>
          <w:rFonts w:cs="Times New Roman"/>
          <w:b/>
          <w:bCs/>
          <w:sz w:val="28"/>
          <w:szCs w:val="28"/>
          <w:lang w:val="en-US"/>
        </w:rPr>
      </w:pPr>
    </w:p>
    <w:p w14:paraId="13814DFE" w14:textId="77777777" w:rsidR="00DC57FF" w:rsidRPr="008226B3" w:rsidRDefault="00DC57FF" w:rsidP="008226B3">
      <w:pPr>
        <w:spacing w:after="0" w:line="360" w:lineRule="auto"/>
        <w:ind w:firstLine="709"/>
        <w:jc w:val="right"/>
        <w:rPr>
          <w:rFonts w:cs="Times New Roman"/>
          <w:sz w:val="28"/>
          <w:szCs w:val="28"/>
          <w:lang w:val="en-US"/>
        </w:rPr>
      </w:pPr>
      <w:r w:rsidRPr="008226B3">
        <w:rPr>
          <w:rFonts w:cs="Times New Roman"/>
          <w:sz w:val="28"/>
          <w:szCs w:val="28"/>
          <w:lang w:val="en-US"/>
        </w:rPr>
        <w:t>Master’s Thesis by the 2nd year student</w:t>
      </w:r>
    </w:p>
    <w:p w14:paraId="6299C776" w14:textId="51EF826E" w:rsidR="00DC57FF" w:rsidRPr="008226B3" w:rsidRDefault="000F6811" w:rsidP="008226B3">
      <w:pPr>
        <w:spacing w:after="0" w:line="360" w:lineRule="auto"/>
        <w:ind w:firstLine="709"/>
        <w:jc w:val="right"/>
        <w:rPr>
          <w:rFonts w:cs="Times New Roman"/>
          <w:sz w:val="28"/>
          <w:szCs w:val="28"/>
          <w:lang w:val="en-US"/>
        </w:rPr>
      </w:pPr>
      <w:r>
        <w:rPr>
          <w:rFonts w:cs="Times New Roman"/>
          <w:sz w:val="28"/>
          <w:szCs w:val="28"/>
          <w:lang w:val="en-US"/>
        </w:rPr>
        <w:t xml:space="preserve">Concentration - </w:t>
      </w:r>
      <w:r w:rsidR="008966FC">
        <w:rPr>
          <w:rFonts w:cs="Times New Roman"/>
          <w:sz w:val="28"/>
          <w:szCs w:val="28"/>
          <w:lang w:val="en-US"/>
        </w:rPr>
        <w:t>Master in Corporate Finance</w:t>
      </w:r>
    </w:p>
    <w:p w14:paraId="246B060F" w14:textId="32F932A4" w:rsidR="00DC57FF" w:rsidRPr="008226B3" w:rsidRDefault="008966FC" w:rsidP="008226B3">
      <w:pPr>
        <w:spacing w:after="0" w:line="360" w:lineRule="auto"/>
        <w:ind w:firstLine="709"/>
        <w:jc w:val="right"/>
        <w:rPr>
          <w:rFonts w:cs="Times New Roman"/>
          <w:sz w:val="28"/>
          <w:szCs w:val="28"/>
          <w:lang w:val="en-US"/>
        </w:rPr>
      </w:pPr>
      <w:r>
        <w:rPr>
          <w:rFonts w:cs="Times New Roman"/>
          <w:sz w:val="28"/>
          <w:szCs w:val="28"/>
          <w:lang w:val="en-US"/>
        </w:rPr>
        <w:t>Samara Kirill</w:t>
      </w:r>
      <w:r w:rsidR="00DC57FF" w:rsidRPr="008226B3">
        <w:rPr>
          <w:rFonts w:cs="Times New Roman"/>
          <w:sz w:val="28"/>
          <w:szCs w:val="28"/>
          <w:lang w:val="en-US"/>
        </w:rPr>
        <w:cr/>
      </w:r>
    </w:p>
    <w:p w14:paraId="4884B858" w14:textId="26A0F54A" w:rsidR="00DC57FF" w:rsidRPr="008226B3" w:rsidRDefault="00DC57FF" w:rsidP="008226B3">
      <w:pPr>
        <w:spacing w:after="0" w:line="360" w:lineRule="auto"/>
        <w:ind w:firstLine="709"/>
        <w:jc w:val="right"/>
        <w:rPr>
          <w:rFonts w:cs="Times New Roman"/>
          <w:sz w:val="28"/>
          <w:szCs w:val="28"/>
          <w:lang w:val="en-US"/>
        </w:rPr>
      </w:pPr>
    </w:p>
    <w:p w14:paraId="42B78A1E" w14:textId="77777777" w:rsidR="00DC57FF" w:rsidRPr="008226B3" w:rsidRDefault="00DC57FF" w:rsidP="008226B3">
      <w:pPr>
        <w:spacing w:after="0" w:line="360" w:lineRule="auto"/>
        <w:ind w:firstLine="709"/>
        <w:jc w:val="right"/>
        <w:rPr>
          <w:rFonts w:cs="Times New Roman"/>
          <w:sz w:val="28"/>
          <w:szCs w:val="28"/>
          <w:lang w:val="en-US"/>
        </w:rPr>
      </w:pPr>
      <w:r w:rsidRPr="008226B3">
        <w:rPr>
          <w:rFonts w:cs="Times New Roman"/>
          <w:sz w:val="28"/>
          <w:szCs w:val="28"/>
          <w:lang w:val="en-US"/>
        </w:rPr>
        <w:t>Research advisor:</w:t>
      </w:r>
    </w:p>
    <w:p w14:paraId="04E5C3D1" w14:textId="77777777" w:rsidR="00AC476B" w:rsidRDefault="00AC476B" w:rsidP="008226B3">
      <w:pPr>
        <w:spacing w:after="0" w:line="360" w:lineRule="auto"/>
        <w:ind w:firstLine="709"/>
        <w:jc w:val="right"/>
        <w:rPr>
          <w:rFonts w:cs="Times New Roman"/>
          <w:sz w:val="28"/>
          <w:szCs w:val="28"/>
          <w:lang w:val="en-US"/>
        </w:rPr>
      </w:pPr>
      <w:r w:rsidRPr="00AC476B">
        <w:rPr>
          <w:rFonts w:cs="Times New Roman"/>
          <w:sz w:val="28"/>
          <w:szCs w:val="28"/>
          <w:lang w:val="en-US"/>
        </w:rPr>
        <w:t>Ph. D. in Physical and Mathematical Sciences</w:t>
      </w:r>
      <w:r w:rsidR="00DC57FF" w:rsidRPr="008226B3">
        <w:rPr>
          <w:rFonts w:cs="Times New Roman"/>
          <w:sz w:val="28"/>
          <w:szCs w:val="28"/>
          <w:lang w:val="en-US"/>
        </w:rPr>
        <w:t xml:space="preserve">, </w:t>
      </w:r>
    </w:p>
    <w:p w14:paraId="07EEF240" w14:textId="66772C27" w:rsidR="00DC57FF" w:rsidRPr="00F901CB" w:rsidRDefault="008966FC" w:rsidP="008226B3">
      <w:pPr>
        <w:spacing w:after="0" w:line="360" w:lineRule="auto"/>
        <w:ind w:firstLine="709"/>
        <w:jc w:val="right"/>
        <w:rPr>
          <w:rFonts w:cs="Times New Roman"/>
          <w:sz w:val="28"/>
          <w:szCs w:val="28"/>
        </w:rPr>
      </w:pPr>
      <w:r>
        <w:rPr>
          <w:rFonts w:cs="Times New Roman"/>
          <w:sz w:val="28"/>
          <w:szCs w:val="28"/>
          <w:lang w:val="en-US"/>
        </w:rPr>
        <w:t>Okulov</w:t>
      </w:r>
      <w:r w:rsidRPr="00F901CB">
        <w:rPr>
          <w:rFonts w:cs="Times New Roman"/>
          <w:sz w:val="28"/>
          <w:szCs w:val="28"/>
        </w:rPr>
        <w:t xml:space="preserve"> </w:t>
      </w:r>
      <w:r>
        <w:rPr>
          <w:rFonts w:cs="Times New Roman"/>
          <w:sz w:val="28"/>
          <w:szCs w:val="28"/>
          <w:lang w:val="en-US"/>
        </w:rPr>
        <w:t>Vitaly</w:t>
      </w:r>
    </w:p>
    <w:p w14:paraId="428D75F5" w14:textId="527A0B7A" w:rsidR="000F6811" w:rsidRPr="00F901CB" w:rsidRDefault="000F6811" w:rsidP="008226B3">
      <w:pPr>
        <w:spacing w:after="0" w:line="360" w:lineRule="auto"/>
        <w:ind w:firstLine="709"/>
        <w:jc w:val="right"/>
        <w:rPr>
          <w:rFonts w:cs="Times New Roman"/>
          <w:sz w:val="28"/>
          <w:szCs w:val="28"/>
        </w:rPr>
      </w:pPr>
    </w:p>
    <w:p w14:paraId="2F172A27" w14:textId="26B8E40D" w:rsidR="000F6811" w:rsidRPr="00F901CB" w:rsidRDefault="000F6811" w:rsidP="008226B3">
      <w:pPr>
        <w:spacing w:after="0" w:line="360" w:lineRule="auto"/>
        <w:ind w:firstLine="709"/>
        <w:jc w:val="right"/>
        <w:rPr>
          <w:rFonts w:cs="Times New Roman"/>
          <w:sz w:val="28"/>
          <w:szCs w:val="28"/>
        </w:rPr>
      </w:pPr>
    </w:p>
    <w:p w14:paraId="1E117DF2" w14:textId="2EEA9B8B" w:rsidR="000F6811" w:rsidRPr="00F901CB" w:rsidRDefault="000F6811" w:rsidP="008226B3">
      <w:pPr>
        <w:spacing w:after="0" w:line="360" w:lineRule="auto"/>
        <w:ind w:firstLine="709"/>
        <w:jc w:val="right"/>
        <w:rPr>
          <w:rFonts w:cs="Times New Roman"/>
          <w:sz w:val="28"/>
          <w:szCs w:val="28"/>
        </w:rPr>
      </w:pPr>
    </w:p>
    <w:p w14:paraId="0D92D474" w14:textId="54ED20BC" w:rsidR="000F6811" w:rsidRPr="00F901CB" w:rsidRDefault="000F6811" w:rsidP="008226B3">
      <w:pPr>
        <w:spacing w:after="0" w:line="360" w:lineRule="auto"/>
        <w:ind w:firstLine="709"/>
        <w:jc w:val="right"/>
        <w:rPr>
          <w:rFonts w:cs="Times New Roman"/>
          <w:sz w:val="28"/>
          <w:szCs w:val="28"/>
        </w:rPr>
      </w:pPr>
    </w:p>
    <w:p w14:paraId="280DA7C9" w14:textId="77777777" w:rsidR="000F6811" w:rsidRPr="00F901CB" w:rsidRDefault="000F6811" w:rsidP="008226B3">
      <w:pPr>
        <w:spacing w:after="0" w:line="360" w:lineRule="auto"/>
        <w:ind w:firstLine="709"/>
        <w:jc w:val="right"/>
        <w:rPr>
          <w:rFonts w:cs="Times New Roman"/>
          <w:sz w:val="28"/>
          <w:szCs w:val="28"/>
        </w:rPr>
      </w:pPr>
    </w:p>
    <w:p w14:paraId="525F6462" w14:textId="1065CABD" w:rsidR="000F6811" w:rsidRPr="00F901CB" w:rsidRDefault="000F6811" w:rsidP="000F6811">
      <w:pPr>
        <w:spacing w:after="0" w:line="360" w:lineRule="auto"/>
        <w:ind w:firstLine="709"/>
        <w:jc w:val="center"/>
        <w:rPr>
          <w:rFonts w:cs="Times New Roman"/>
          <w:sz w:val="28"/>
          <w:szCs w:val="28"/>
        </w:rPr>
      </w:pPr>
      <w:r>
        <w:rPr>
          <w:rFonts w:cs="Times New Roman"/>
          <w:sz w:val="28"/>
          <w:szCs w:val="28"/>
          <w:lang w:val="en-US"/>
        </w:rPr>
        <w:t>St</w:t>
      </w:r>
      <w:r w:rsidRPr="00F901CB">
        <w:rPr>
          <w:rFonts w:cs="Times New Roman"/>
          <w:sz w:val="28"/>
          <w:szCs w:val="28"/>
        </w:rPr>
        <w:t xml:space="preserve">. </w:t>
      </w:r>
      <w:r>
        <w:rPr>
          <w:rFonts w:cs="Times New Roman"/>
          <w:sz w:val="28"/>
          <w:szCs w:val="28"/>
          <w:lang w:val="en-US"/>
        </w:rPr>
        <w:t>Petersburg</w:t>
      </w:r>
    </w:p>
    <w:p w14:paraId="2C1F6B49" w14:textId="6E71584F" w:rsidR="00F33DB2" w:rsidRPr="00F901CB" w:rsidRDefault="000F6811" w:rsidP="000F6811">
      <w:pPr>
        <w:spacing w:after="0" w:line="360" w:lineRule="auto"/>
        <w:ind w:firstLine="709"/>
        <w:jc w:val="center"/>
        <w:rPr>
          <w:rFonts w:cs="Times New Roman"/>
          <w:sz w:val="28"/>
          <w:szCs w:val="28"/>
        </w:rPr>
      </w:pPr>
      <w:r w:rsidRPr="00F901CB">
        <w:rPr>
          <w:rFonts w:cs="Times New Roman"/>
          <w:sz w:val="28"/>
          <w:szCs w:val="28"/>
        </w:rPr>
        <w:t>2021</w:t>
      </w:r>
    </w:p>
    <w:p w14:paraId="6861DC3E" w14:textId="01AA063A" w:rsidR="00A34160" w:rsidRDefault="00A34160">
      <w:pPr>
        <w:jc w:val="left"/>
      </w:pPr>
      <w:r>
        <w:br w:type="page"/>
      </w:r>
      <w:r w:rsidR="00DB7219" w:rsidRPr="00A34160">
        <w:rPr>
          <w:noProof/>
        </w:rPr>
        <w:lastRenderedPageBreak/>
        <w:drawing>
          <wp:inline distT="0" distB="0" distL="0" distR="0" wp14:anchorId="72BD9158" wp14:editId="70FD81BE">
            <wp:extent cx="5906633" cy="88053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2364" cy="8813877"/>
                    </a:xfrm>
                    <a:prstGeom prst="rect">
                      <a:avLst/>
                    </a:prstGeom>
                    <a:noFill/>
                    <a:ln>
                      <a:noFill/>
                    </a:ln>
                  </pic:spPr>
                </pic:pic>
              </a:graphicData>
            </a:graphic>
          </wp:inline>
        </w:drawing>
      </w:r>
    </w:p>
    <w:tbl>
      <w:tblPr>
        <w:tblW w:w="9356" w:type="dxa"/>
        <w:tblLook w:val="04A0" w:firstRow="1" w:lastRow="0" w:firstColumn="1" w:lastColumn="0" w:noHBand="0" w:noVBand="1"/>
      </w:tblPr>
      <w:tblGrid>
        <w:gridCol w:w="2689"/>
        <w:gridCol w:w="6667"/>
      </w:tblGrid>
      <w:tr w:rsidR="00B32F5A" w:rsidRPr="00B32F5A" w14:paraId="5CBB8486" w14:textId="77777777" w:rsidTr="00AD536B">
        <w:trPr>
          <w:trHeight w:val="288"/>
        </w:trPr>
        <w:tc>
          <w:tcPr>
            <w:tcW w:w="9356" w:type="dxa"/>
            <w:gridSpan w:val="2"/>
            <w:shd w:val="clear" w:color="auto" w:fill="auto"/>
            <w:noWrap/>
            <w:vAlign w:val="center"/>
          </w:tcPr>
          <w:p w14:paraId="44250EF4" w14:textId="4548ABEB" w:rsidR="00B32F5A" w:rsidRPr="00B32F5A" w:rsidRDefault="00B32F5A" w:rsidP="00B32F5A">
            <w:pPr>
              <w:spacing w:after="0" w:line="240" w:lineRule="auto"/>
              <w:jc w:val="center"/>
              <w:rPr>
                <w:rFonts w:eastAsia="Times New Roman" w:cs="Times New Roman"/>
                <w:b/>
                <w:bCs/>
                <w:color w:val="000000"/>
                <w:sz w:val="22"/>
                <w:lang w:eastAsia="ru-RU"/>
              </w:rPr>
            </w:pPr>
            <w:r w:rsidRPr="00B32F5A">
              <w:rPr>
                <w:rFonts w:eastAsia="Times New Roman" w:cs="Times New Roman"/>
                <w:b/>
                <w:bCs/>
                <w:color w:val="000000"/>
                <w:sz w:val="22"/>
                <w:lang w:eastAsia="ru-RU"/>
              </w:rPr>
              <w:lastRenderedPageBreak/>
              <w:t>АННОТАЦИЯ</w:t>
            </w:r>
          </w:p>
        </w:tc>
      </w:tr>
      <w:tr w:rsidR="00B32F5A" w:rsidRPr="00B32F5A" w14:paraId="358569D7" w14:textId="77777777" w:rsidTr="00AD536B">
        <w:trPr>
          <w:trHeight w:val="288"/>
        </w:trPr>
        <w:tc>
          <w:tcPr>
            <w:tcW w:w="2689" w:type="dxa"/>
            <w:tcBorders>
              <w:bottom w:val="single" w:sz="4" w:space="0" w:color="auto"/>
            </w:tcBorders>
            <w:shd w:val="clear" w:color="auto" w:fill="auto"/>
            <w:noWrap/>
            <w:vAlign w:val="center"/>
          </w:tcPr>
          <w:p w14:paraId="4C8C1B35" w14:textId="77777777" w:rsidR="00B32F5A" w:rsidRPr="00B32F5A" w:rsidRDefault="00B32F5A" w:rsidP="00B32F5A">
            <w:pPr>
              <w:spacing w:after="0" w:line="240" w:lineRule="auto"/>
              <w:jc w:val="left"/>
              <w:rPr>
                <w:rFonts w:eastAsia="Times New Roman" w:cs="Times New Roman"/>
                <w:color w:val="000000"/>
                <w:sz w:val="22"/>
                <w:lang w:eastAsia="ru-RU"/>
              </w:rPr>
            </w:pPr>
          </w:p>
        </w:tc>
        <w:tc>
          <w:tcPr>
            <w:tcW w:w="6667" w:type="dxa"/>
            <w:tcBorders>
              <w:left w:val="nil"/>
              <w:bottom w:val="single" w:sz="4" w:space="0" w:color="auto"/>
            </w:tcBorders>
            <w:shd w:val="clear" w:color="auto" w:fill="auto"/>
            <w:noWrap/>
            <w:vAlign w:val="center"/>
          </w:tcPr>
          <w:p w14:paraId="35FC924D" w14:textId="77777777" w:rsidR="00B32F5A" w:rsidRPr="00B32F5A" w:rsidRDefault="00B32F5A" w:rsidP="00B32F5A">
            <w:pPr>
              <w:spacing w:after="0" w:line="240" w:lineRule="auto"/>
              <w:jc w:val="left"/>
              <w:rPr>
                <w:rFonts w:eastAsia="Times New Roman" w:cs="Times New Roman"/>
                <w:color w:val="000000"/>
                <w:sz w:val="22"/>
                <w:lang w:eastAsia="ru-RU"/>
              </w:rPr>
            </w:pPr>
          </w:p>
        </w:tc>
      </w:tr>
      <w:tr w:rsidR="00B32F5A" w:rsidRPr="00B32F5A" w14:paraId="5735E904" w14:textId="77777777" w:rsidTr="00AD536B">
        <w:trPr>
          <w:trHeight w:val="288"/>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A4F22"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Автор</w:t>
            </w:r>
          </w:p>
        </w:tc>
        <w:tc>
          <w:tcPr>
            <w:tcW w:w="6667" w:type="dxa"/>
            <w:tcBorders>
              <w:top w:val="single" w:sz="4" w:space="0" w:color="auto"/>
              <w:left w:val="nil"/>
              <w:bottom w:val="single" w:sz="4" w:space="0" w:color="auto"/>
              <w:right w:val="single" w:sz="4" w:space="0" w:color="auto"/>
            </w:tcBorders>
            <w:shd w:val="clear" w:color="auto" w:fill="auto"/>
            <w:noWrap/>
            <w:vAlign w:val="center"/>
            <w:hideMark/>
          </w:tcPr>
          <w:p w14:paraId="647AD478"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Самара Кирилл Олегович</w:t>
            </w:r>
          </w:p>
        </w:tc>
      </w:tr>
      <w:tr w:rsidR="00B32F5A" w:rsidRPr="00B32F5A" w14:paraId="34975CF2" w14:textId="77777777" w:rsidTr="00AD536B">
        <w:trPr>
          <w:trHeight w:val="576"/>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A392E19"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Название магистерской диссертации</w:t>
            </w:r>
          </w:p>
        </w:tc>
        <w:tc>
          <w:tcPr>
            <w:tcW w:w="6667" w:type="dxa"/>
            <w:tcBorders>
              <w:top w:val="nil"/>
              <w:left w:val="nil"/>
              <w:bottom w:val="single" w:sz="4" w:space="0" w:color="auto"/>
              <w:right w:val="single" w:sz="4" w:space="0" w:color="auto"/>
            </w:tcBorders>
            <w:shd w:val="clear" w:color="auto" w:fill="auto"/>
            <w:vAlign w:val="center"/>
            <w:hideMark/>
          </w:tcPr>
          <w:p w14:paraId="0EAA414A"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Ценообразование валютных фьючерсных контрактов в условиях отрицательных процентных ставок</w:t>
            </w:r>
          </w:p>
        </w:tc>
      </w:tr>
      <w:tr w:rsidR="00B32F5A" w:rsidRPr="00B32F5A" w14:paraId="5C469436" w14:textId="77777777" w:rsidTr="00AD536B">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DD57812"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Факультет</w:t>
            </w:r>
          </w:p>
        </w:tc>
        <w:tc>
          <w:tcPr>
            <w:tcW w:w="6667" w:type="dxa"/>
            <w:tcBorders>
              <w:top w:val="nil"/>
              <w:left w:val="nil"/>
              <w:bottom w:val="single" w:sz="4" w:space="0" w:color="auto"/>
              <w:right w:val="single" w:sz="4" w:space="0" w:color="auto"/>
            </w:tcBorders>
            <w:shd w:val="clear" w:color="auto" w:fill="auto"/>
            <w:noWrap/>
            <w:vAlign w:val="center"/>
            <w:hideMark/>
          </w:tcPr>
          <w:p w14:paraId="716C214E"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Высшая Школа Менеджмента</w:t>
            </w:r>
          </w:p>
        </w:tc>
      </w:tr>
      <w:tr w:rsidR="00B32F5A" w:rsidRPr="00566F83" w14:paraId="6F64F4A6" w14:textId="77777777" w:rsidTr="00AD536B">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AB0C498"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Специальность</w:t>
            </w:r>
          </w:p>
        </w:tc>
        <w:tc>
          <w:tcPr>
            <w:tcW w:w="6667" w:type="dxa"/>
            <w:tcBorders>
              <w:top w:val="nil"/>
              <w:left w:val="nil"/>
              <w:bottom w:val="single" w:sz="4" w:space="0" w:color="auto"/>
              <w:right w:val="single" w:sz="4" w:space="0" w:color="auto"/>
            </w:tcBorders>
            <w:shd w:val="clear" w:color="auto" w:fill="auto"/>
            <w:noWrap/>
            <w:vAlign w:val="center"/>
            <w:hideMark/>
          </w:tcPr>
          <w:p w14:paraId="0A72C10E" w14:textId="77777777" w:rsidR="00B32F5A" w:rsidRPr="00B32F5A" w:rsidRDefault="00B32F5A" w:rsidP="00B32F5A">
            <w:pPr>
              <w:spacing w:after="0" w:line="240" w:lineRule="auto"/>
              <w:jc w:val="left"/>
              <w:rPr>
                <w:rFonts w:eastAsia="Times New Roman" w:cs="Times New Roman"/>
                <w:color w:val="000000"/>
                <w:sz w:val="22"/>
                <w:lang w:val="en-US" w:eastAsia="ru-RU"/>
              </w:rPr>
            </w:pPr>
            <w:r w:rsidRPr="00B32F5A">
              <w:rPr>
                <w:rFonts w:eastAsia="Times New Roman" w:cs="Times New Roman"/>
                <w:color w:val="000000"/>
                <w:sz w:val="22"/>
                <w:lang w:val="en-US" w:eastAsia="ru-RU"/>
              </w:rPr>
              <w:t>080200 "Management" (specialization - Master In Corporate Finance)</w:t>
            </w:r>
          </w:p>
        </w:tc>
      </w:tr>
      <w:tr w:rsidR="00B32F5A" w:rsidRPr="00B32F5A" w14:paraId="0372692B" w14:textId="77777777" w:rsidTr="00AD536B">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F0A77D9"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Год</w:t>
            </w:r>
          </w:p>
        </w:tc>
        <w:tc>
          <w:tcPr>
            <w:tcW w:w="6667" w:type="dxa"/>
            <w:tcBorders>
              <w:top w:val="nil"/>
              <w:left w:val="nil"/>
              <w:bottom w:val="single" w:sz="4" w:space="0" w:color="auto"/>
              <w:right w:val="single" w:sz="4" w:space="0" w:color="auto"/>
            </w:tcBorders>
            <w:shd w:val="clear" w:color="auto" w:fill="auto"/>
            <w:noWrap/>
            <w:vAlign w:val="center"/>
            <w:hideMark/>
          </w:tcPr>
          <w:p w14:paraId="1FA476E8"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2021</w:t>
            </w:r>
          </w:p>
        </w:tc>
      </w:tr>
      <w:tr w:rsidR="00B32F5A" w:rsidRPr="00B32F5A" w14:paraId="57839CE8" w14:textId="77777777" w:rsidTr="00AD536B">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73943A7"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Научный Руководитель</w:t>
            </w:r>
          </w:p>
        </w:tc>
        <w:tc>
          <w:tcPr>
            <w:tcW w:w="6667" w:type="dxa"/>
            <w:tcBorders>
              <w:top w:val="nil"/>
              <w:left w:val="nil"/>
              <w:bottom w:val="single" w:sz="4" w:space="0" w:color="auto"/>
              <w:right w:val="single" w:sz="4" w:space="0" w:color="auto"/>
            </w:tcBorders>
            <w:shd w:val="clear" w:color="auto" w:fill="auto"/>
            <w:noWrap/>
            <w:vAlign w:val="center"/>
            <w:hideMark/>
          </w:tcPr>
          <w:p w14:paraId="4AE53DE0"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Окулов Виталий Леонидович</w:t>
            </w:r>
          </w:p>
        </w:tc>
      </w:tr>
      <w:tr w:rsidR="00B32F5A" w:rsidRPr="00B32F5A" w14:paraId="13737046" w14:textId="77777777" w:rsidTr="00AD536B">
        <w:trPr>
          <w:trHeight w:val="3316"/>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F2744A6"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Описание цели, задач и основных результатов</w:t>
            </w:r>
          </w:p>
        </w:tc>
        <w:tc>
          <w:tcPr>
            <w:tcW w:w="6667" w:type="dxa"/>
            <w:tcBorders>
              <w:top w:val="nil"/>
              <w:left w:val="nil"/>
              <w:bottom w:val="single" w:sz="4" w:space="0" w:color="auto"/>
              <w:right w:val="single" w:sz="4" w:space="0" w:color="auto"/>
            </w:tcBorders>
            <w:shd w:val="clear" w:color="auto" w:fill="auto"/>
            <w:vAlign w:val="center"/>
            <w:hideMark/>
          </w:tcPr>
          <w:p w14:paraId="50818260" w14:textId="18FB90BC"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Целью исследования является идентификация драйверов ценообразования валютных фьючерсных контрактов в условиях отрицательных ставок межбанковского финансирования. Для достижения заявленной цели было выбрано 13 фьючерсных контрактов, торгуемых на Чикагской Бирже деривативов. Для каждой валюты был идентифицирован набор процентных ставок, применимых для целей оценки теоретической стоимости. Оценено влияние ключевых параметров валютного курса</w:t>
            </w:r>
            <w:r w:rsidR="00D40CB8">
              <w:rPr>
                <w:rFonts w:eastAsia="Times New Roman" w:cs="Times New Roman"/>
                <w:color w:val="000000"/>
                <w:sz w:val="22"/>
                <w:lang w:eastAsia="ru-RU"/>
              </w:rPr>
              <w:t xml:space="preserve"> и</w:t>
            </w:r>
            <w:r w:rsidRPr="00B32F5A">
              <w:rPr>
                <w:rFonts w:eastAsia="Times New Roman" w:cs="Times New Roman"/>
                <w:color w:val="000000"/>
                <w:sz w:val="22"/>
                <w:lang w:eastAsia="ru-RU"/>
              </w:rPr>
              <w:t xml:space="preserve"> процентных ставок на биржевую стоимость</w:t>
            </w:r>
            <w:r w:rsidR="00D40CB8">
              <w:rPr>
                <w:rFonts w:eastAsia="Times New Roman" w:cs="Times New Roman"/>
                <w:color w:val="000000"/>
                <w:sz w:val="22"/>
                <w:lang w:eastAsia="ru-RU"/>
              </w:rPr>
              <w:t xml:space="preserve"> фьючерсного контракта</w:t>
            </w:r>
            <w:r w:rsidRPr="00B32F5A">
              <w:rPr>
                <w:rFonts w:eastAsia="Times New Roman" w:cs="Times New Roman"/>
                <w:color w:val="000000"/>
                <w:sz w:val="22"/>
                <w:lang w:eastAsia="ru-RU"/>
              </w:rPr>
              <w:t>.</w:t>
            </w:r>
            <w:r w:rsidRPr="00B32F5A">
              <w:rPr>
                <w:rFonts w:eastAsia="Times New Roman" w:cs="Times New Roman"/>
                <w:color w:val="000000"/>
                <w:sz w:val="22"/>
                <w:lang w:eastAsia="ru-RU"/>
              </w:rPr>
              <w:br/>
              <w:t>В результате анализа было установлено, что участники рынка применяют отрицательные процентные ставки для целей оценки фьючерсных контрактов. Дополнительно установлено, что ставки LIBOR не являются лучшим приближением для безрисковых ставок</w:t>
            </w:r>
            <w:r>
              <w:rPr>
                <w:rFonts w:eastAsia="Times New Roman" w:cs="Times New Roman"/>
                <w:color w:val="000000"/>
                <w:sz w:val="22"/>
                <w:lang w:eastAsia="ru-RU"/>
              </w:rPr>
              <w:t xml:space="preserve"> </w:t>
            </w:r>
            <w:r w:rsidRPr="00B32F5A">
              <w:rPr>
                <w:rFonts w:eastAsia="Times New Roman" w:cs="Times New Roman"/>
                <w:color w:val="000000"/>
                <w:sz w:val="22"/>
                <w:lang w:eastAsia="ru-RU"/>
              </w:rPr>
              <w:t>для</w:t>
            </w:r>
            <w:r>
              <w:rPr>
                <w:rFonts w:eastAsia="Times New Roman" w:cs="Times New Roman"/>
                <w:color w:val="000000"/>
                <w:sz w:val="22"/>
                <w:lang w:eastAsia="ru-RU"/>
              </w:rPr>
              <w:t xml:space="preserve"> целей</w:t>
            </w:r>
            <w:r w:rsidRPr="00B32F5A">
              <w:rPr>
                <w:rFonts w:eastAsia="Times New Roman" w:cs="Times New Roman"/>
                <w:color w:val="000000"/>
                <w:sz w:val="22"/>
                <w:lang w:eastAsia="ru-RU"/>
              </w:rPr>
              <w:t xml:space="preserve"> оценки фьючерсных контрактов. </w:t>
            </w:r>
            <w:r>
              <w:rPr>
                <w:rFonts w:eastAsia="Times New Roman" w:cs="Times New Roman"/>
                <w:color w:val="000000"/>
                <w:sz w:val="22"/>
                <w:lang w:eastAsia="ru-RU"/>
              </w:rPr>
              <w:t xml:space="preserve">Степень приближения ставок, используемых участниками рынка к ставкам </w:t>
            </w:r>
            <w:r>
              <w:rPr>
                <w:rFonts w:eastAsia="Times New Roman" w:cs="Times New Roman"/>
                <w:color w:val="000000"/>
                <w:sz w:val="22"/>
                <w:lang w:val="en-US" w:eastAsia="ru-RU"/>
              </w:rPr>
              <w:t>LIBOR</w:t>
            </w:r>
            <w:r w:rsidRPr="00B32F5A">
              <w:rPr>
                <w:rFonts w:eastAsia="Times New Roman" w:cs="Times New Roman"/>
                <w:color w:val="000000"/>
                <w:sz w:val="22"/>
                <w:lang w:eastAsia="ru-RU"/>
              </w:rPr>
              <w:t xml:space="preserve"> </w:t>
            </w:r>
            <w:r>
              <w:rPr>
                <w:rFonts w:eastAsia="Times New Roman" w:cs="Times New Roman"/>
                <w:color w:val="000000"/>
                <w:sz w:val="22"/>
                <w:lang w:eastAsia="ru-RU"/>
              </w:rPr>
              <w:t>варьируется в зависимости от валюты.</w:t>
            </w:r>
          </w:p>
        </w:tc>
      </w:tr>
      <w:tr w:rsidR="00B32F5A" w:rsidRPr="00B32F5A" w14:paraId="3D5F93BD" w14:textId="77777777" w:rsidTr="00AD536B">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EA6E746"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Ключевые слова</w:t>
            </w:r>
          </w:p>
        </w:tc>
        <w:tc>
          <w:tcPr>
            <w:tcW w:w="6667" w:type="dxa"/>
            <w:tcBorders>
              <w:top w:val="nil"/>
              <w:left w:val="nil"/>
              <w:bottom w:val="single" w:sz="4" w:space="0" w:color="auto"/>
              <w:right w:val="single" w:sz="4" w:space="0" w:color="auto"/>
            </w:tcBorders>
            <w:shd w:val="clear" w:color="auto" w:fill="auto"/>
            <w:noWrap/>
            <w:vAlign w:val="center"/>
            <w:hideMark/>
          </w:tcPr>
          <w:p w14:paraId="74034AF5" w14:textId="44F24DC6"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Валютный фьючерсный контракт, ценообразование деривативов, отрицательные процентные ставки, денежный рынок</w:t>
            </w:r>
          </w:p>
        </w:tc>
      </w:tr>
      <w:tr w:rsidR="00B32F5A" w:rsidRPr="00B32F5A" w14:paraId="6735969D" w14:textId="77777777" w:rsidTr="00AD536B">
        <w:trPr>
          <w:trHeight w:val="288"/>
        </w:trPr>
        <w:tc>
          <w:tcPr>
            <w:tcW w:w="2689" w:type="dxa"/>
            <w:tcBorders>
              <w:top w:val="single" w:sz="4" w:space="0" w:color="auto"/>
            </w:tcBorders>
            <w:shd w:val="clear" w:color="auto" w:fill="auto"/>
            <w:noWrap/>
            <w:vAlign w:val="center"/>
            <w:hideMark/>
          </w:tcPr>
          <w:p w14:paraId="16B38185"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 </w:t>
            </w:r>
          </w:p>
        </w:tc>
        <w:tc>
          <w:tcPr>
            <w:tcW w:w="6667" w:type="dxa"/>
            <w:tcBorders>
              <w:top w:val="single" w:sz="4" w:space="0" w:color="auto"/>
            </w:tcBorders>
            <w:shd w:val="clear" w:color="auto" w:fill="auto"/>
            <w:noWrap/>
            <w:vAlign w:val="center"/>
            <w:hideMark/>
          </w:tcPr>
          <w:p w14:paraId="7F7C8635"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 </w:t>
            </w:r>
          </w:p>
        </w:tc>
      </w:tr>
      <w:tr w:rsidR="00B32F5A" w:rsidRPr="00B32F5A" w14:paraId="5FC80422" w14:textId="77777777" w:rsidTr="00AD536B">
        <w:trPr>
          <w:trHeight w:val="288"/>
        </w:trPr>
        <w:tc>
          <w:tcPr>
            <w:tcW w:w="9356" w:type="dxa"/>
            <w:gridSpan w:val="2"/>
            <w:tcBorders>
              <w:bottom w:val="single" w:sz="4" w:space="0" w:color="auto"/>
            </w:tcBorders>
            <w:shd w:val="clear" w:color="auto" w:fill="auto"/>
            <w:noWrap/>
            <w:vAlign w:val="center"/>
          </w:tcPr>
          <w:p w14:paraId="680D6FF9" w14:textId="77777777" w:rsidR="00B32F5A" w:rsidRDefault="00B32F5A" w:rsidP="00B32F5A">
            <w:pPr>
              <w:spacing w:after="0" w:line="240" w:lineRule="auto"/>
              <w:jc w:val="center"/>
              <w:rPr>
                <w:rFonts w:eastAsia="Times New Roman" w:cs="Times New Roman"/>
                <w:b/>
                <w:bCs/>
                <w:color w:val="000000"/>
                <w:sz w:val="22"/>
                <w:lang w:val="en-US" w:eastAsia="ru-RU"/>
              </w:rPr>
            </w:pPr>
            <w:r w:rsidRPr="00B32F5A">
              <w:rPr>
                <w:rFonts w:eastAsia="Times New Roman" w:cs="Times New Roman"/>
                <w:b/>
                <w:bCs/>
                <w:color w:val="000000"/>
                <w:sz w:val="22"/>
                <w:lang w:val="en-US" w:eastAsia="ru-RU"/>
              </w:rPr>
              <w:t>ABSTRACT</w:t>
            </w:r>
          </w:p>
          <w:p w14:paraId="7D2717C6" w14:textId="6E95132C" w:rsidR="00B32F5A" w:rsidRPr="00B32F5A" w:rsidRDefault="00B32F5A" w:rsidP="00B32F5A">
            <w:pPr>
              <w:spacing w:after="0" w:line="240" w:lineRule="auto"/>
              <w:jc w:val="center"/>
              <w:rPr>
                <w:rFonts w:eastAsia="Times New Roman" w:cs="Times New Roman"/>
                <w:b/>
                <w:bCs/>
                <w:color w:val="000000"/>
                <w:sz w:val="22"/>
                <w:lang w:val="en-US" w:eastAsia="ru-RU"/>
              </w:rPr>
            </w:pPr>
          </w:p>
        </w:tc>
      </w:tr>
      <w:tr w:rsidR="00B32F5A" w:rsidRPr="00B32F5A" w14:paraId="115532DA" w14:textId="77777777" w:rsidTr="00AD536B">
        <w:trPr>
          <w:trHeight w:val="288"/>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FEC84" w14:textId="77777777" w:rsidR="00B32F5A" w:rsidRPr="00B32F5A" w:rsidRDefault="00B32F5A" w:rsidP="00AD536B">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Master Student's Name</w:t>
            </w:r>
          </w:p>
        </w:tc>
        <w:tc>
          <w:tcPr>
            <w:tcW w:w="6667" w:type="dxa"/>
            <w:tcBorders>
              <w:top w:val="single" w:sz="4" w:space="0" w:color="auto"/>
              <w:left w:val="nil"/>
              <w:bottom w:val="single" w:sz="4" w:space="0" w:color="auto"/>
              <w:right w:val="single" w:sz="4" w:space="0" w:color="auto"/>
            </w:tcBorders>
            <w:shd w:val="clear" w:color="auto" w:fill="auto"/>
            <w:noWrap/>
            <w:vAlign w:val="center"/>
            <w:hideMark/>
          </w:tcPr>
          <w:p w14:paraId="62813182"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Samara Kirill Olegovich</w:t>
            </w:r>
          </w:p>
        </w:tc>
      </w:tr>
      <w:tr w:rsidR="00B32F5A" w:rsidRPr="00566F83" w14:paraId="723D5B59" w14:textId="77777777" w:rsidTr="00AD536B">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C8C9AE2" w14:textId="77777777" w:rsidR="00B32F5A" w:rsidRPr="00B32F5A" w:rsidRDefault="00B32F5A" w:rsidP="00AD536B">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Master Thesis Title</w:t>
            </w:r>
          </w:p>
        </w:tc>
        <w:tc>
          <w:tcPr>
            <w:tcW w:w="6667" w:type="dxa"/>
            <w:tcBorders>
              <w:top w:val="nil"/>
              <w:left w:val="nil"/>
              <w:bottom w:val="single" w:sz="4" w:space="0" w:color="auto"/>
              <w:right w:val="single" w:sz="4" w:space="0" w:color="auto"/>
            </w:tcBorders>
            <w:shd w:val="clear" w:color="auto" w:fill="auto"/>
            <w:vAlign w:val="center"/>
            <w:hideMark/>
          </w:tcPr>
          <w:p w14:paraId="091E80BC" w14:textId="77777777" w:rsidR="00B32F5A" w:rsidRPr="00B32F5A" w:rsidRDefault="00B32F5A" w:rsidP="00B32F5A">
            <w:pPr>
              <w:spacing w:after="0" w:line="240" w:lineRule="auto"/>
              <w:jc w:val="left"/>
              <w:rPr>
                <w:rFonts w:eastAsia="Times New Roman" w:cs="Times New Roman"/>
                <w:color w:val="000000"/>
                <w:sz w:val="22"/>
                <w:lang w:val="en-US" w:eastAsia="ru-RU"/>
              </w:rPr>
            </w:pPr>
            <w:r w:rsidRPr="00B32F5A">
              <w:rPr>
                <w:rFonts w:eastAsia="Times New Roman" w:cs="Times New Roman"/>
                <w:color w:val="000000"/>
                <w:sz w:val="22"/>
                <w:lang w:val="en-US" w:eastAsia="ru-RU"/>
              </w:rPr>
              <w:t>FX futures pricing in a negative interest rates environment</w:t>
            </w:r>
          </w:p>
        </w:tc>
      </w:tr>
      <w:tr w:rsidR="00B32F5A" w:rsidRPr="00B32F5A" w14:paraId="79D12E5F" w14:textId="77777777" w:rsidTr="00AD536B">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6E6683C" w14:textId="77777777" w:rsidR="00B32F5A" w:rsidRPr="00B32F5A" w:rsidRDefault="00B32F5A" w:rsidP="00AD536B">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Faculty</w:t>
            </w:r>
          </w:p>
        </w:tc>
        <w:tc>
          <w:tcPr>
            <w:tcW w:w="6667" w:type="dxa"/>
            <w:tcBorders>
              <w:top w:val="nil"/>
              <w:left w:val="nil"/>
              <w:bottom w:val="single" w:sz="4" w:space="0" w:color="auto"/>
              <w:right w:val="single" w:sz="4" w:space="0" w:color="auto"/>
            </w:tcBorders>
            <w:shd w:val="clear" w:color="auto" w:fill="auto"/>
            <w:noWrap/>
            <w:vAlign w:val="center"/>
            <w:hideMark/>
          </w:tcPr>
          <w:p w14:paraId="403985DC"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Graduate School of Management</w:t>
            </w:r>
          </w:p>
        </w:tc>
      </w:tr>
      <w:tr w:rsidR="00B32F5A" w:rsidRPr="00566F83" w14:paraId="645BB0B5" w14:textId="77777777" w:rsidTr="00AD536B">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8ECF077" w14:textId="77777777" w:rsidR="00B32F5A" w:rsidRPr="00B32F5A" w:rsidRDefault="00B32F5A" w:rsidP="00AD536B">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Major Subject</w:t>
            </w:r>
          </w:p>
        </w:tc>
        <w:tc>
          <w:tcPr>
            <w:tcW w:w="6667" w:type="dxa"/>
            <w:tcBorders>
              <w:top w:val="nil"/>
              <w:left w:val="nil"/>
              <w:bottom w:val="single" w:sz="4" w:space="0" w:color="auto"/>
              <w:right w:val="single" w:sz="4" w:space="0" w:color="auto"/>
            </w:tcBorders>
            <w:shd w:val="clear" w:color="auto" w:fill="auto"/>
            <w:noWrap/>
            <w:vAlign w:val="center"/>
            <w:hideMark/>
          </w:tcPr>
          <w:p w14:paraId="64D1EC1B" w14:textId="77777777" w:rsidR="00B32F5A" w:rsidRPr="00B32F5A" w:rsidRDefault="00B32F5A" w:rsidP="00B32F5A">
            <w:pPr>
              <w:spacing w:after="0" w:line="240" w:lineRule="auto"/>
              <w:jc w:val="left"/>
              <w:rPr>
                <w:rFonts w:eastAsia="Times New Roman" w:cs="Times New Roman"/>
                <w:color w:val="000000"/>
                <w:sz w:val="22"/>
                <w:lang w:val="en-US" w:eastAsia="ru-RU"/>
              </w:rPr>
            </w:pPr>
            <w:r w:rsidRPr="00B32F5A">
              <w:rPr>
                <w:rFonts w:eastAsia="Times New Roman" w:cs="Times New Roman"/>
                <w:color w:val="000000"/>
                <w:sz w:val="22"/>
                <w:lang w:val="en-US" w:eastAsia="ru-RU"/>
              </w:rPr>
              <w:t>080200 "</w:t>
            </w:r>
            <w:r w:rsidRPr="00B32F5A">
              <w:rPr>
                <w:rFonts w:eastAsia="Times New Roman" w:cs="Times New Roman"/>
                <w:color w:val="000000"/>
                <w:sz w:val="22"/>
                <w:lang w:eastAsia="ru-RU"/>
              </w:rPr>
              <w:t>Менеджмент</w:t>
            </w:r>
            <w:r w:rsidRPr="00B32F5A">
              <w:rPr>
                <w:rFonts w:eastAsia="Times New Roman" w:cs="Times New Roman"/>
                <w:color w:val="000000"/>
                <w:sz w:val="22"/>
                <w:lang w:val="en-US" w:eastAsia="ru-RU"/>
              </w:rPr>
              <w:t>" (</w:t>
            </w:r>
            <w:r w:rsidRPr="00B32F5A">
              <w:rPr>
                <w:rFonts w:eastAsia="Times New Roman" w:cs="Times New Roman"/>
                <w:color w:val="000000"/>
                <w:sz w:val="22"/>
                <w:lang w:eastAsia="ru-RU"/>
              </w:rPr>
              <w:t>специализация</w:t>
            </w:r>
            <w:r w:rsidRPr="00B32F5A">
              <w:rPr>
                <w:rFonts w:eastAsia="Times New Roman" w:cs="Times New Roman"/>
                <w:color w:val="000000"/>
                <w:sz w:val="22"/>
                <w:lang w:val="en-US" w:eastAsia="ru-RU"/>
              </w:rPr>
              <w:t xml:space="preserve"> - Master In Corporate Finance)</w:t>
            </w:r>
          </w:p>
        </w:tc>
      </w:tr>
      <w:tr w:rsidR="00B32F5A" w:rsidRPr="00B32F5A" w14:paraId="7CFE0C98" w14:textId="77777777" w:rsidTr="00AD536B">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C96F4FC" w14:textId="77777777" w:rsidR="00B32F5A" w:rsidRPr="00B32F5A" w:rsidRDefault="00B32F5A" w:rsidP="00AD536B">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Year</w:t>
            </w:r>
          </w:p>
        </w:tc>
        <w:tc>
          <w:tcPr>
            <w:tcW w:w="6667" w:type="dxa"/>
            <w:tcBorders>
              <w:top w:val="nil"/>
              <w:left w:val="nil"/>
              <w:bottom w:val="single" w:sz="4" w:space="0" w:color="auto"/>
              <w:right w:val="single" w:sz="4" w:space="0" w:color="auto"/>
            </w:tcBorders>
            <w:shd w:val="clear" w:color="auto" w:fill="auto"/>
            <w:noWrap/>
            <w:vAlign w:val="center"/>
            <w:hideMark/>
          </w:tcPr>
          <w:p w14:paraId="36412A3C"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2021</w:t>
            </w:r>
          </w:p>
        </w:tc>
      </w:tr>
      <w:tr w:rsidR="00B32F5A" w:rsidRPr="00B32F5A" w14:paraId="52A59080" w14:textId="77777777" w:rsidTr="00AD536B">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9362A64" w14:textId="77777777" w:rsidR="00B32F5A" w:rsidRPr="00B32F5A" w:rsidRDefault="00B32F5A" w:rsidP="00AD536B">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Academic Advisor's Name</w:t>
            </w:r>
          </w:p>
        </w:tc>
        <w:tc>
          <w:tcPr>
            <w:tcW w:w="6667" w:type="dxa"/>
            <w:tcBorders>
              <w:top w:val="nil"/>
              <w:left w:val="nil"/>
              <w:bottom w:val="single" w:sz="4" w:space="0" w:color="auto"/>
              <w:right w:val="single" w:sz="4" w:space="0" w:color="auto"/>
            </w:tcBorders>
            <w:shd w:val="clear" w:color="auto" w:fill="auto"/>
            <w:noWrap/>
            <w:vAlign w:val="center"/>
            <w:hideMark/>
          </w:tcPr>
          <w:p w14:paraId="6E050BE0" w14:textId="77777777" w:rsidR="00B32F5A" w:rsidRPr="00B32F5A" w:rsidRDefault="00B32F5A" w:rsidP="00B32F5A">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Okulov Vitaly Leonidovich</w:t>
            </w:r>
          </w:p>
        </w:tc>
      </w:tr>
      <w:tr w:rsidR="00B32F5A" w:rsidRPr="00566F83" w14:paraId="3F993212" w14:textId="77777777" w:rsidTr="00AD536B">
        <w:trPr>
          <w:trHeight w:val="2366"/>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4A56FB8" w14:textId="77777777" w:rsidR="00B32F5A" w:rsidRPr="00B32F5A" w:rsidRDefault="00B32F5A" w:rsidP="00AD536B">
            <w:pPr>
              <w:spacing w:after="0" w:line="240" w:lineRule="auto"/>
              <w:jc w:val="left"/>
              <w:rPr>
                <w:rFonts w:eastAsia="Times New Roman" w:cs="Times New Roman"/>
                <w:color w:val="000000"/>
                <w:sz w:val="22"/>
                <w:lang w:val="en-US" w:eastAsia="ru-RU"/>
              </w:rPr>
            </w:pPr>
            <w:r w:rsidRPr="00B32F5A">
              <w:rPr>
                <w:rFonts w:eastAsia="Times New Roman" w:cs="Times New Roman"/>
                <w:color w:val="000000"/>
                <w:sz w:val="22"/>
                <w:lang w:val="en-US" w:eastAsia="ru-RU"/>
              </w:rPr>
              <w:t>Description of the goal, tasks and main results</w:t>
            </w:r>
          </w:p>
        </w:tc>
        <w:tc>
          <w:tcPr>
            <w:tcW w:w="6667" w:type="dxa"/>
            <w:tcBorders>
              <w:top w:val="nil"/>
              <w:left w:val="nil"/>
              <w:bottom w:val="single" w:sz="4" w:space="0" w:color="auto"/>
              <w:right w:val="single" w:sz="4" w:space="0" w:color="auto"/>
            </w:tcBorders>
            <w:shd w:val="clear" w:color="auto" w:fill="auto"/>
            <w:hideMark/>
          </w:tcPr>
          <w:p w14:paraId="49BBAAED" w14:textId="6EBC23B9" w:rsidR="00B32F5A" w:rsidRPr="00B32F5A" w:rsidRDefault="00B32F5A" w:rsidP="00B32F5A">
            <w:pPr>
              <w:spacing w:after="0" w:line="240" w:lineRule="auto"/>
              <w:jc w:val="left"/>
              <w:rPr>
                <w:rFonts w:eastAsia="Times New Roman" w:cs="Times New Roman"/>
                <w:color w:val="000000"/>
                <w:sz w:val="22"/>
                <w:lang w:val="en-US" w:eastAsia="ru-RU"/>
              </w:rPr>
            </w:pPr>
            <w:r w:rsidRPr="00B32F5A">
              <w:rPr>
                <w:rFonts w:eastAsia="Times New Roman" w:cs="Times New Roman"/>
                <w:color w:val="000000"/>
                <w:sz w:val="22"/>
                <w:lang w:val="en-US" w:eastAsia="ru-RU"/>
              </w:rPr>
              <w:t xml:space="preserve">Research goal is </w:t>
            </w:r>
            <w:r w:rsidR="00D40CB8">
              <w:rPr>
                <w:rFonts w:eastAsia="Times New Roman" w:cs="Times New Roman"/>
                <w:color w:val="000000"/>
                <w:sz w:val="22"/>
                <w:lang w:val="en-US" w:eastAsia="ru-RU"/>
              </w:rPr>
              <w:t>i</w:t>
            </w:r>
            <w:r w:rsidRPr="00B32F5A">
              <w:rPr>
                <w:rFonts w:eastAsia="Times New Roman" w:cs="Times New Roman"/>
                <w:color w:val="000000"/>
                <w:sz w:val="22"/>
                <w:lang w:val="en-US" w:eastAsia="ru-RU"/>
              </w:rPr>
              <w:t>dentification of the drivers of pricing of FX futures on currencies with negative domestic interbank interest rates, performed via analysis of the deviations of FX futures prices from the theoretical values.</w:t>
            </w:r>
            <w:r w:rsidRPr="00B32F5A">
              <w:rPr>
                <w:rFonts w:eastAsia="Times New Roman" w:cs="Times New Roman"/>
                <w:color w:val="000000"/>
                <w:sz w:val="22"/>
                <w:lang w:val="en-US" w:eastAsia="ru-RU"/>
              </w:rPr>
              <w:br/>
              <w:t>To achieve stated goal, 13 FX futures contracts traded at CME were chosen and</w:t>
            </w:r>
            <w:r w:rsidR="00D40CB8">
              <w:rPr>
                <w:rFonts w:eastAsia="Times New Roman" w:cs="Times New Roman"/>
                <w:color w:val="000000"/>
                <w:sz w:val="22"/>
                <w:lang w:val="en-US" w:eastAsia="ru-RU"/>
              </w:rPr>
              <w:t xml:space="preserve"> </w:t>
            </w:r>
            <w:r w:rsidR="00D40CB8" w:rsidRPr="00B32F5A">
              <w:rPr>
                <w:rFonts w:eastAsia="Times New Roman" w:cs="Times New Roman"/>
                <w:color w:val="000000"/>
                <w:sz w:val="22"/>
                <w:lang w:val="en-US" w:eastAsia="ru-RU"/>
              </w:rPr>
              <w:t>interest rates</w:t>
            </w:r>
            <w:r w:rsidRPr="00B32F5A">
              <w:rPr>
                <w:rFonts w:eastAsia="Times New Roman" w:cs="Times New Roman"/>
                <w:color w:val="000000"/>
                <w:sz w:val="22"/>
                <w:lang w:val="en-US" w:eastAsia="ru-RU"/>
              </w:rPr>
              <w:t xml:space="preserve"> applicable for valuation were identified. The responses of FX futures prices to different events related to main parameters of interest rates, FX spot rate were measured. </w:t>
            </w:r>
            <w:r w:rsidRPr="00B32F5A">
              <w:rPr>
                <w:rFonts w:eastAsia="Times New Roman" w:cs="Times New Roman"/>
                <w:color w:val="000000"/>
                <w:sz w:val="22"/>
                <w:lang w:val="en-US" w:eastAsia="ru-RU"/>
              </w:rPr>
              <w:br/>
              <w:t>It was determined that</w:t>
            </w:r>
            <w:r w:rsidR="00D3785B">
              <w:rPr>
                <w:rFonts w:eastAsia="Times New Roman" w:cs="Times New Roman"/>
                <w:color w:val="000000"/>
                <w:sz w:val="22"/>
                <w:lang w:val="en-US" w:eastAsia="ru-RU"/>
              </w:rPr>
              <w:t xml:space="preserve"> market participants apply negative interest rates for FX futures valuation. Also, it was determined that</w:t>
            </w:r>
            <w:r w:rsidRPr="00B32F5A">
              <w:rPr>
                <w:rFonts w:eastAsia="Times New Roman" w:cs="Times New Roman"/>
                <w:color w:val="000000"/>
                <w:sz w:val="22"/>
                <w:lang w:val="en-US" w:eastAsia="ru-RU"/>
              </w:rPr>
              <w:t xml:space="preserve"> LIBOR rates provide not the best proxies for the interest rates used for the FX futures valuation. Additionally, as could be derived from FX futures prices, proximity of LIBOR to implied interest rate used by market participants in valuation varies across different currencies.</w:t>
            </w:r>
          </w:p>
        </w:tc>
      </w:tr>
      <w:tr w:rsidR="00B32F5A" w:rsidRPr="00566F83" w14:paraId="66122C6E" w14:textId="77777777" w:rsidTr="00AD536B">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322AC8F" w14:textId="77777777" w:rsidR="00B32F5A" w:rsidRPr="00B32F5A" w:rsidRDefault="00B32F5A" w:rsidP="00AD536B">
            <w:pPr>
              <w:spacing w:after="0" w:line="240" w:lineRule="auto"/>
              <w:jc w:val="left"/>
              <w:rPr>
                <w:rFonts w:eastAsia="Times New Roman" w:cs="Times New Roman"/>
                <w:color w:val="000000"/>
                <w:sz w:val="22"/>
                <w:lang w:eastAsia="ru-RU"/>
              </w:rPr>
            </w:pPr>
            <w:r w:rsidRPr="00B32F5A">
              <w:rPr>
                <w:rFonts w:eastAsia="Times New Roman" w:cs="Times New Roman"/>
                <w:color w:val="000000"/>
                <w:sz w:val="22"/>
                <w:lang w:eastAsia="ru-RU"/>
              </w:rPr>
              <w:t>Keywords</w:t>
            </w:r>
          </w:p>
        </w:tc>
        <w:tc>
          <w:tcPr>
            <w:tcW w:w="6667" w:type="dxa"/>
            <w:tcBorders>
              <w:top w:val="nil"/>
              <w:left w:val="nil"/>
              <w:bottom w:val="single" w:sz="4" w:space="0" w:color="auto"/>
              <w:right w:val="single" w:sz="4" w:space="0" w:color="auto"/>
            </w:tcBorders>
            <w:shd w:val="clear" w:color="auto" w:fill="auto"/>
            <w:noWrap/>
            <w:vAlign w:val="bottom"/>
            <w:hideMark/>
          </w:tcPr>
          <w:p w14:paraId="1442E9DB" w14:textId="38A27D4B" w:rsidR="00B32F5A" w:rsidRPr="00B32F5A" w:rsidRDefault="00B32F5A" w:rsidP="00B32F5A">
            <w:pPr>
              <w:spacing w:after="0" w:line="240" w:lineRule="auto"/>
              <w:jc w:val="left"/>
              <w:rPr>
                <w:rFonts w:eastAsia="Times New Roman" w:cs="Times New Roman"/>
                <w:color w:val="000000"/>
                <w:sz w:val="22"/>
                <w:lang w:val="en-US" w:eastAsia="ru-RU"/>
              </w:rPr>
            </w:pPr>
            <w:r w:rsidRPr="00B32F5A">
              <w:rPr>
                <w:rFonts w:eastAsia="Times New Roman" w:cs="Times New Roman"/>
                <w:color w:val="000000"/>
                <w:sz w:val="22"/>
                <w:lang w:val="en-US" w:eastAsia="ru-RU"/>
              </w:rPr>
              <w:t>FX future, currency future, derivatives pricing, negative interest rates, money market rates</w:t>
            </w:r>
          </w:p>
        </w:tc>
      </w:tr>
    </w:tbl>
    <w:sdt>
      <w:sdtPr>
        <w:rPr>
          <w:rFonts w:ascii="Times New Roman" w:eastAsiaTheme="minorHAnsi" w:hAnsi="Times New Roman" w:cs="Times New Roman"/>
          <w:color w:val="auto"/>
          <w:sz w:val="22"/>
          <w:szCs w:val="22"/>
          <w:lang w:val="ru-RU"/>
        </w:rPr>
        <w:id w:val="1183089420"/>
        <w:docPartObj>
          <w:docPartGallery w:val="Table of Contents"/>
          <w:docPartUnique/>
        </w:docPartObj>
      </w:sdtPr>
      <w:sdtEndPr>
        <w:rPr>
          <w:rFonts w:cstheme="minorBidi"/>
          <w:b/>
          <w:bCs/>
          <w:noProof/>
          <w:sz w:val="24"/>
        </w:rPr>
      </w:sdtEndPr>
      <w:sdtContent>
        <w:p w14:paraId="498BA537" w14:textId="136719C4" w:rsidR="00136728" w:rsidRPr="00244299" w:rsidRDefault="00036CCD" w:rsidP="000F6811">
          <w:pPr>
            <w:pStyle w:val="TOCHeading"/>
            <w:spacing w:line="360" w:lineRule="auto"/>
            <w:rPr>
              <w:rFonts w:ascii="Times New Roman" w:hAnsi="Times New Roman" w:cs="Times New Roman"/>
              <w:b/>
              <w:bCs/>
              <w:color w:val="000000" w:themeColor="text1"/>
              <w:sz w:val="22"/>
              <w:szCs w:val="22"/>
              <w:lang w:val="ru-RU"/>
            </w:rPr>
          </w:pPr>
          <w:r w:rsidRPr="00036CCD">
            <w:rPr>
              <w:rStyle w:val="Heading1Char"/>
              <w:color w:val="000000" w:themeColor="text1"/>
            </w:rPr>
            <w:t>LIST OF CONTENTS</w:t>
          </w:r>
        </w:p>
        <w:p w14:paraId="7AE3D6DF" w14:textId="2EF34271" w:rsidR="000A3195" w:rsidRDefault="00136728">
          <w:pPr>
            <w:pStyle w:val="TOC1"/>
            <w:tabs>
              <w:tab w:val="right" w:leader="dot" w:pos="9345"/>
            </w:tabs>
            <w:rPr>
              <w:rFonts w:asciiTheme="minorHAnsi" w:eastAsiaTheme="minorEastAsia" w:hAnsiTheme="minorHAnsi"/>
              <w:noProof/>
              <w:sz w:val="22"/>
              <w:lang w:eastAsia="ru-RU"/>
            </w:rPr>
          </w:pPr>
          <w:r w:rsidRPr="008D1DA9">
            <w:rPr>
              <w:rFonts w:cs="Times New Roman"/>
            </w:rPr>
            <w:fldChar w:fldCharType="begin"/>
          </w:r>
          <w:r w:rsidRPr="008D1DA9">
            <w:rPr>
              <w:rFonts w:cs="Times New Roman"/>
            </w:rPr>
            <w:instrText xml:space="preserve"> TOC \o "1-3" \h \z \u </w:instrText>
          </w:r>
          <w:r w:rsidRPr="008D1DA9">
            <w:rPr>
              <w:rFonts w:cs="Times New Roman"/>
            </w:rPr>
            <w:fldChar w:fldCharType="separate"/>
          </w:r>
          <w:hyperlink w:anchor="_Toc73483038" w:history="1">
            <w:r w:rsidR="000A3195" w:rsidRPr="0054330A">
              <w:rPr>
                <w:rStyle w:val="Hyperlink"/>
                <w:noProof/>
                <w:lang w:val="en-US"/>
              </w:rPr>
              <w:t>INTRODUCTION</w:t>
            </w:r>
            <w:r w:rsidR="000A3195">
              <w:rPr>
                <w:noProof/>
                <w:webHidden/>
              </w:rPr>
              <w:tab/>
            </w:r>
            <w:r w:rsidR="000A3195">
              <w:rPr>
                <w:noProof/>
                <w:webHidden/>
              </w:rPr>
              <w:fldChar w:fldCharType="begin"/>
            </w:r>
            <w:r w:rsidR="000A3195">
              <w:rPr>
                <w:noProof/>
                <w:webHidden/>
              </w:rPr>
              <w:instrText xml:space="preserve"> PAGEREF _Toc73483038 \h </w:instrText>
            </w:r>
            <w:r w:rsidR="000A3195">
              <w:rPr>
                <w:noProof/>
                <w:webHidden/>
              </w:rPr>
            </w:r>
            <w:r w:rsidR="000A3195">
              <w:rPr>
                <w:noProof/>
                <w:webHidden/>
              </w:rPr>
              <w:fldChar w:fldCharType="separate"/>
            </w:r>
            <w:r w:rsidR="004D16C9">
              <w:rPr>
                <w:noProof/>
                <w:webHidden/>
              </w:rPr>
              <w:t>5</w:t>
            </w:r>
            <w:r w:rsidR="000A3195">
              <w:rPr>
                <w:noProof/>
                <w:webHidden/>
              </w:rPr>
              <w:fldChar w:fldCharType="end"/>
            </w:r>
          </w:hyperlink>
        </w:p>
        <w:p w14:paraId="11B72A57" w14:textId="6648CC9E" w:rsidR="000A3195" w:rsidRDefault="000A3195">
          <w:pPr>
            <w:pStyle w:val="TOC1"/>
            <w:tabs>
              <w:tab w:val="right" w:leader="dot" w:pos="9345"/>
            </w:tabs>
            <w:rPr>
              <w:rFonts w:asciiTheme="minorHAnsi" w:eastAsiaTheme="minorEastAsia" w:hAnsiTheme="minorHAnsi"/>
              <w:noProof/>
              <w:sz w:val="22"/>
              <w:lang w:eastAsia="ru-RU"/>
            </w:rPr>
          </w:pPr>
          <w:hyperlink w:anchor="_Toc73483039" w:history="1">
            <w:r w:rsidRPr="0054330A">
              <w:rPr>
                <w:rStyle w:val="Hyperlink"/>
                <w:noProof/>
                <w:lang w:val="en-US"/>
              </w:rPr>
              <w:t>Chapter 1.</w:t>
            </w:r>
            <w:r>
              <w:rPr>
                <w:noProof/>
                <w:webHidden/>
              </w:rPr>
              <w:tab/>
            </w:r>
            <w:r>
              <w:rPr>
                <w:noProof/>
                <w:webHidden/>
              </w:rPr>
              <w:fldChar w:fldCharType="begin"/>
            </w:r>
            <w:r>
              <w:rPr>
                <w:noProof/>
                <w:webHidden/>
              </w:rPr>
              <w:instrText xml:space="preserve"> PAGEREF _Toc73483039 \h </w:instrText>
            </w:r>
            <w:r>
              <w:rPr>
                <w:noProof/>
                <w:webHidden/>
              </w:rPr>
            </w:r>
            <w:r>
              <w:rPr>
                <w:noProof/>
                <w:webHidden/>
              </w:rPr>
              <w:fldChar w:fldCharType="separate"/>
            </w:r>
            <w:r w:rsidR="004D16C9">
              <w:rPr>
                <w:noProof/>
                <w:webHidden/>
              </w:rPr>
              <w:t>8</w:t>
            </w:r>
            <w:r>
              <w:rPr>
                <w:noProof/>
                <w:webHidden/>
              </w:rPr>
              <w:fldChar w:fldCharType="end"/>
            </w:r>
          </w:hyperlink>
        </w:p>
        <w:p w14:paraId="3AE012DD" w14:textId="28D8026A" w:rsidR="000A3195" w:rsidRDefault="000A3195">
          <w:pPr>
            <w:pStyle w:val="TOC1"/>
            <w:tabs>
              <w:tab w:val="right" w:leader="dot" w:pos="9345"/>
            </w:tabs>
            <w:rPr>
              <w:rFonts w:asciiTheme="minorHAnsi" w:eastAsiaTheme="minorEastAsia" w:hAnsiTheme="minorHAnsi"/>
              <w:noProof/>
              <w:sz w:val="22"/>
              <w:lang w:eastAsia="ru-RU"/>
            </w:rPr>
          </w:pPr>
          <w:hyperlink w:anchor="_Toc73483040" w:history="1">
            <w:r w:rsidRPr="0054330A">
              <w:rPr>
                <w:rStyle w:val="Hyperlink"/>
                <w:noProof/>
                <w:lang w:val="en-US"/>
              </w:rPr>
              <w:t>1.1. STATEMENT OF RESEARCH PROBLEM</w:t>
            </w:r>
            <w:r>
              <w:rPr>
                <w:noProof/>
                <w:webHidden/>
              </w:rPr>
              <w:tab/>
            </w:r>
            <w:r>
              <w:rPr>
                <w:noProof/>
                <w:webHidden/>
              </w:rPr>
              <w:fldChar w:fldCharType="begin"/>
            </w:r>
            <w:r>
              <w:rPr>
                <w:noProof/>
                <w:webHidden/>
              </w:rPr>
              <w:instrText xml:space="preserve"> PAGEREF _Toc73483040 \h </w:instrText>
            </w:r>
            <w:r>
              <w:rPr>
                <w:noProof/>
                <w:webHidden/>
              </w:rPr>
            </w:r>
            <w:r>
              <w:rPr>
                <w:noProof/>
                <w:webHidden/>
              </w:rPr>
              <w:fldChar w:fldCharType="separate"/>
            </w:r>
            <w:r w:rsidR="004D16C9">
              <w:rPr>
                <w:noProof/>
                <w:webHidden/>
              </w:rPr>
              <w:t>8</w:t>
            </w:r>
            <w:r>
              <w:rPr>
                <w:noProof/>
                <w:webHidden/>
              </w:rPr>
              <w:fldChar w:fldCharType="end"/>
            </w:r>
          </w:hyperlink>
        </w:p>
        <w:p w14:paraId="41407829" w14:textId="401BD64D" w:rsidR="000A3195" w:rsidRDefault="000A3195">
          <w:pPr>
            <w:pStyle w:val="TOC2"/>
            <w:tabs>
              <w:tab w:val="right" w:leader="dot" w:pos="9345"/>
            </w:tabs>
            <w:rPr>
              <w:rFonts w:asciiTheme="minorHAnsi" w:eastAsiaTheme="minorEastAsia" w:hAnsiTheme="minorHAnsi"/>
              <w:noProof/>
              <w:sz w:val="22"/>
              <w:lang w:eastAsia="ru-RU"/>
            </w:rPr>
          </w:pPr>
          <w:hyperlink w:anchor="_Toc73483041" w:history="1">
            <w:r w:rsidRPr="0054330A">
              <w:rPr>
                <w:rStyle w:val="Hyperlink"/>
                <w:noProof/>
                <w:lang w:val="en-US"/>
              </w:rPr>
              <w:t>1.1.1. Relevance of currency risk hedging</w:t>
            </w:r>
            <w:r>
              <w:rPr>
                <w:noProof/>
                <w:webHidden/>
              </w:rPr>
              <w:tab/>
            </w:r>
            <w:r>
              <w:rPr>
                <w:noProof/>
                <w:webHidden/>
              </w:rPr>
              <w:fldChar w:fldCharType="begin"/>
            </w:r>
            <w:r>
              <w:rPr>
                <w:noProof/>
                <w:webHidden/>
              </w:rPr>
              <w:instrText xml:space="preserve"> PAGEREF _Toc73483041 \h </w:instrText>
            </w:r>
            <w:r>
              <w:rPr>
                <w:noProof/>
                <w:webHidden/>
              </w:rPr>
            </w:r>
            <w:r>
              <w:rPr>
                <w:noProof/>
                <w:webHidden/>
              </w:rPr>
              <w:fldChar w:fldCharType="separate"/>
            </w:r>
            <w:r w:rsidR="004D16C9">
              <w:rPr>
                <w:noProof/>
                <w:webHidden/>
              </w:rPr>
              <w:t>8</w:t>
            </w:r>
            <w:r>
              <w:rPr>
                <w:noProof/>
                <w:webHidden/>
              </w:rPr>
              <w:fldChar w:fldCharType="end"/>
            </w:r>
          </w:hyperlink>
        </w:p>
        <w:p w14:paraId="614E887F" w14:textId="1BD5B0CC" w:rsidR="000A3195" w:rsidRDefault="000A3195">
          <w:pPr>
            <w:pStyle w:val="TOC2"/>
            <w:tabs>
              <w:tab w:val="right" w:leader="dot" w:pos="9345"/>
            </w:tabs>
            <w:rPr>
              <w:rFonts w:asciiTheme="minorHAnsi" w:eastAsiaTheme="minorEastAsia" w:hAnsiTheme="minorHAnsi"/>
              <w:noProof/>
              <w:sz w:val="22"/>
              <w:lang w:eastAsia="ru-RU"/>
            </w:rPr>
          </w:pPr>
          <w:hyperlink w:anchor="_Toc73483042" w:history="1">
            <w:r w:rsidRPr="0054330A">
              <w:rPr>
                <w:rStyle w:val="Hyperlink"/>
                <w:noProof/>
                <w:lang w:val="en-US"/>
              </w:rPr>
              <w:t>1.1.2. OTC and exchange-traded derivatives</w:t>
            </w:r>
            <w:r>
              <w:rPr>
                <w:noProof/>
                <w:webHidden/>
              </w:rPr>
              <w:tab/>
            </w:r>
            <w:r>
              <w:rPr>
                <w:noProof/>
                <w:webHidden/>
              </w:rPr>
              <w:fldChar w:fldCharType="begin"/>
            </w:r>
            <w:r>
              <w:rPr>
                <w:noProof/>
                <w:webHidden/>
              </w:rPr>
              <w:instrText xml:space="preserve"> PAGEREF _Toc73483042 \h </w:instrText>
            </w:r>
            <w:r>
              <w:rPr>
                <w:noProof/>
                <w:webHidden/>
              </w:rPr>
            </w:r>
            <w:r>
              <w:rPr>
                <w:noProof/>
                <w:webHidden/>
              </w:rPr>
              <w:fldChar w:fldCharType="separate"/>
            </w:r>
            <w:r w:rsidR="004D16C9">
              <w:rPr>
                <w:noProof/>
                <w:webHidden/>
              </w:rPr>
              <w:t>8</w:t>
            </w:r>
            <w:r>
              <w:rPr>
                <w:noProof/>
                <w:webHidden/>
              </w:rPr>
              <w:fldChar w:fldCharType="end"/>
            </w:r>
          </w:hyperlink>
        </w:p>
        <w:p w14:paraId="1CD7548B" w14:textId="5399EF9F" w:rsidR="000A3195" w:rsidRDefault="000A3195">
          <w:pPr>
            <w:pStyle w:val="TOC1"/>
            <w:tabs>
              <w:tab w:val="right" w:leader="dot" w:pos="9345"/>
            </w:tabs>
            <w:rPr>
              <w:rFonts w:asciiTheme="minorHAnsi" w:eastAsiaTheme="minorEastAsia" w:hAnsiTheme="minorHAnsi"/>
              <w:noProof/>
              <w:sz w:val="22"/>
              <w:lang w:eastAsia="ru-RU"/>
            </w:rPr>
          </w:pPr>
          <w:hyperlink w:anchor="_Toc73483043" w:history="1">
            <w:r w:rsidRPr="0054330A">
              <w:rPr>
                <w:rStyle w:val="Hyperlink"/>
                <w:noProof/>
                <w:lang w:val="en-US"/>
              </w:rPr>
              <w:t>1.2. FX FORWARD PRICING MODEL AND IT’S INHERENT ASSUMPTIONS</w:t>
            </w:r>
            <w:r>
              <w:rPr>
                <w:noProof/>
                <w:webHidden/>
              </w:rPr>
              <w:tab/>
            </w:r>
            <w:r>
              <w:rPr>
                <w:noProof/>
                <w:webHidden/>
              </w:rPr>
              <w:fldChar w:fldCharType="begin"/>
            </w:r>
            <w:r>
              <w:rPr>
                <w:noProof/>
                <w:webHidden/>
              </w:rPr>
              <w:instrText xml:space="preserve"> PAGEREF _Toc73483043 \h </w:instrText>
            </w:r>
            <w:r>
              <w:rPr>
                <w:noProof/>
                <w:webHidden/>
              </w:rPr>
            </w:r>
            <w:r>
              <w:rPr>
                <w:noProof/>
                <w:webHidden/>
              </w:rPr>
              <w:fldChar w:fldCharType="separate"/>
            </w:r>
            <w:r w:rsidR="004D16C9">
              <w:rPr>
                <w:noProof/>
                <w:webHidden/>
              </w:rPr>
              <w:t>12</w:t>
            </w:r>
            <w:r>
              <w:rPr>
                <w:noProof/>
                <w:webHidden/>
              </w:rPr>
              <w:fldChar w:fldCharType="end"/>
            </w:r>
          </w:hyperlink>
        </w:p>
        <w:p w14:paraId="0BD31B43" w14:textId="03A2638D" w:rsidR="000A3195" w:rsidRDefault="000A3195">
          <w:pPr>
            <w:pStyle w:val="TOC2"/>
            <w:tabs>
              <w:tab w:val="right" w:leader="dot" w:pos="9345"/>
            </w:tabs>
            <w:rPr>
              <w:rFonts w:asciiTheme="minorHAnsi" w:eastAsiaTheme="minorEastAsia" w:hAnsiTheme="minorHAnsi"/>
              <w:noProof/>
              <w:sz w:val="22"/>
              <w:lang w:eastAsia="ru-RU"/>
            </w:rPr>
          </w:pPr>
          <w:hyperlink w:anchor="_Toc73483044" w:history="1">
            <w:r w:rsidRPr="0054330A">
              <w:rPr>
                <w:rStyle w:val="Hyperlink"/>
                <w:noProof/>
                <w:lang w:val="en-US"/>
              </w:rPr>
              <w:t>1.2.1 FX forward pricing formula</w:t>
            </w:r>
            <w:r>
              <w:rPr>
                <w:noProof/>
                <w:webHidden/>
              </w:rPr>
              <w:tab/>
            </w:r>
            <w:r>
              <w:rPr>
                <w:noProof/>
                <w:webHidden/>
              </w:rPr>
              <w:fldChar w:fldCharType="begin"/>
            </w:r>
            <w:r>
              <w:rPr>
                <w:noProof/>
                <w:webHidden/>
              </w:rPr>
              <w:instrText xml:space="preserve"> PAGEREF _Toc73483044 \h </w:instrText>
            </w:r>
            <w:r>
              <w:rPr>
                <w:noProof/>
                <w:webHidden/>
              </w:rPr>
            </w:r>
            <w:r>
              <w:rPr>
                <w:noProof/>
                <w:webHidden/>
              </w:rPr>
              <w:fldChar w:fldCharType="separate"/>
            </w:r>
            <w:r w:rsidR="004D16C9">
              <w:rPr>
                <w:noProof/>
                <w:webHidden/>
              </w:rPr>
              <w:t>12</w:t>
            </w:r>
            <w:r>
              <w:rPr>
                <w:noProof/>
                <w:webHidden/>
              </w:rPr>
              <w:fldChar w:fldCharType="end"/>
            </w:r>
          </w:hyperlink>
        </w:p>
        <w:p w14:paraId="3CC986BF" w14:textId="180D11DB" w:rsidR="000A3195" w:rsidRDefault="000A3195">
          <w:pPr>
            <w:pStyle w:val="TOC2"/>
            <w:tabs>
              <w:tab w:val="right" w:leader="dot" w:pos="9345"/>
            </w:tabs>
            <w:rPr>
              <w:rFonts w:asciiTheme="minorHAnsi" w:eastAsiaTheme="minorEastAsia" w:hAnsiTheme="minorHAnsi"/>
              <w:noProof/>
              <w:sz w:val="22"/>
              <w:lang w:eastAsia="ru-RU"/>
            </w:rPr>
          </w:pPr>
          <w:hyperlink w:anchor="_Toc73483045" w:history="1">
            <w:r w:rsidRPr="0054330A">
              <w:rPr>
                <w:rStyle w:val="Hyperlink"/>
                <w:noProof/>
                <w:lang w:val="en-US"/>
              </w:rPr>
              <w:t>1.2.3 Arbitrage argument</w:t>
            </w:r>
            <w:r>
              <w:rPr>
                <w:noProof/>
                <w:webHidden/>
              </w:rPr>
              <w:tab/>
            </w:r>
            <w:r>
              <w:rPr>
                <w:noProof/>
                <w:webHidden/>
              </w:rPr>
              <w:fldChar w:fldCharType="begin"/>
            </w:r>
            <w:r>
              <w:rPr>
                <w:noProof/>
                <w:webHidden/>
              </w:rPr>
              <w:instrText xml:space="preserve"> PAGEREF _Toc73483045 \h </w:instrText>
            </w:r>
            <w:r>
              <w:rPr>
                <w:noProof/>
                <w:webHidden/>
              </w:rPr>
            </w:r>
            <w:r>
              <w:rPr>
                <w:noProof/>
                <w:webHidden/>
              </w:rPr>
              <w:fldChar w:fldCharType="separate"/>
            </w:r>
            <w:r w:rsidR="004D16C9">
              <w:rPr>
                <w:noProof/>
                <w:webHidden/>
              </w:rPr>
              <w:t>12</w:t>
            </w:r>
            <w:r>
              <w:rPr>
                <w:noProof/>
                <w:webHidden/>
              </w:rPr>
              <w:fldChar w:fldCharType="end"/>
            </w:r>
          </w:hyperlink>
        </w:p>
        <w:p w14:paraId="1A432A13" w14:textId="74164A13" w:rsidR="000A3195" w:rsidRDefault="000A3195">
          <w:pPr>
            <w:pStyle w:val="TOC2"/>
            <w:tabs>
              <w:tab w:val="right" w:leader="dot" w:pos="9345"/>
            </w:tabs>
            <w:rPr>
              <w:rFonts w:asciiTheme="minorHAnsi" w:eastAsiaTheme="minorEastAsia" w:hAnsiTheme="minorHAnsi"/>
              <w:noProof/>
              <w:sz w:val="22"/>
              <w:lang w:eastAsia="ru-RU"/>
            </w:rPr>
          </w:pPr>
          <w:hyperlink w:anchor="_Toc73483046" w:history="1">
            <w:r w:rsidRPr="0054330A">
              <w:rPr>
                <w:rStyle w:val="Hyperlink"/>
                <w:noProof/>
                <w:lang w:val="en-US"/>
              </w:rPr>
              <w:t>1.2.4. Risk-free rates</w:t>
            </w:r>
            <w:r>
              <w:rPr>
                <w:noProof/>
                <w:webHidden/>
              </w:rPr>
              <w:tab/>
            </w:r>
            <w:r>
              <w:rPr>
                <w:noProof/>
                <w:webHidden/>
              </w:rPr>
              <w:fldChar w:fldCharType="begin"/>
            </w:r>
            <w:r>
              <w:rPr>
                <w:noProof/>
                <w:webHidden/>
              </w:rPr>
              <w:instrText xml:space="preserve"> PAGEREF _Toc73483046 \h </w:instrText>
            </w:r>
            <w:r>
              <w:rPr>
                <w:noProof/>
                <w:webHidden/>
              </w:rPr>
            </w:r>
            <w:r>
              <w:rPr>
                <w:noProof/>
                <w:webHidden/>
              </w:rPr>
              <w:fldChar w:fldCharType="separate"/>
            </w:r>
            <w:r w:rsidR="004D16C9">
              <w:rPr>
                <w:noProof/>
                <w:webHidden/>
              </w:rPr>
              <w:t>14</w:t>
            </w:r>
            <w:r>
              <w:rPr>
                <w:noProof/>
                <w:webHidden/>
              </w:rPr>
              <w:fldChar w:fldCharType="end"/>
            </w:r>
          </w:hyperlink>
        </w:p>
        <w:p w14:paraId="1DB1E8D5" w14:textId="19F70EE3" w:rsidR="000A3195" w:rsidRDefault="000A3195">
          <w:pPr>
            <w:pStyle w:val="TOC2"/>
            <w:tabs>
              <w:tab w:val="right" w:leader="dot" w:pos="9345"/>
            </w:tabs>
            <w:rPr>
              <w:rFonts w:asciiTheme="minorHAnsi" w:eastAsiaTheme="minorEastAsia" w:hAnsiTheme="minorHAnsi"/>
              <w:noProof/>
              <w:sz w:val="22"/>
              <w:lang w:eastAsia="ru-RU"/>
            </w:rPr>
          </w:pPr>
          <w:hyperlink w:anchor="_Toc73483047" w:history="1">
            <w:r w:rsidRPr="0054330A">
              <w:rPr>
                <w:rStyle w:val="Hyperlink"/>
                <w:noProof/>
                <w:lang w:val="en-US"/>
              </w:rPr>
              <w:t>1.2.5 FX futures and FX forwards</w:t>
            </w:r>
            <w:r>
              <w:rPr>
                <w:noProof/>
                <w:webHidden/>
              </w:rPr>
              <w:tab/>
            </w:r>
            <w:r>
              <w:rPr>
                <w:noProof/>
                <w:webHidden/>
              </w:rPr>
              <w:fldChar w:fldCharType="begin"/>
            </w:r>
            <w:r>
              <w:rPr>
                <w:noProof/>
                <w:webHidden/>
              </w:rPr>
              <w:instrText xml:space="preserve"> PAGEREF _Toc73483047 \h </w:instrText>
            </w:r>
            <w:r>
              <w:rPr>
                <w:noProof/>
                <w:webHidden/>
              </w:rPr>
            </w:r>
            <w:r>
              <w:rPr>
                <w:noProof/>
                <w:webHidden/>
              </w:rPr>
              <w:fldChar w:fldCharType="separate"/>
            </w:r>
            <w:r w:rsidR="004D16C9">
              <w:rPr>
                <w:noProof/>
                <w:webHidden/>
              </w:rPr>
              <w:t>18</w:t>
            </w:r>
            <w:r>
              <w:rPr>
                <w:noProof/>
                <w:webHidden/>
              </w:rPr>
              <w:fldChar w:fldCharType="end"/>
            </w:r>
          </w:hyperlink>
        </w:p>
        <w:p w14:paraId="4D3DE342" w14:textId="253BC15F" w:rsidR="000A3195" w:rsidRDefault="000A3195">
          <w:pPr>
            <w:pStyle w:val="TOC1"/>
            <w:tabs>
              <w:tab w:val="right" w:leader="dot" w:pos="9345"/>
            </w:tabs>
            <w:rPr>
              <w:rFonts w:asciiTheme="minorHAnsi" w:eastAsiaTheme="minorEastAsia" w:hAnsiTheme="minorHAnsi"/>
              <w:noProof/>
              <w:sz w:val="22"/>
              <w:lang w:eastAsia="ru-RU"/>
            </w:rPr>
          </w:pPr>
          <w:hyperlink w:anchor="_Toc73483048" w:history="1">
            <w:r w:rsidRPr="0054330A">
              <w:rPr>
                <w:rStyle w:val="Hyperlink"/>
                <w:noProof/>
                <w:lang w:val="en-US"/>
              </w:rPr>
              <w:t>1.3. REVIEW OF EMPIRICAL STUDIES</w:t>
            </w:r>
            <w:r>
              <w:rPr>
                <w:noProof/>
                <w:webHidden/>
              </w:rPr>
              <w:tab/>
            </w:r>
            <w:r>
              <w:rPr>
                <w:noProof/>
                <w:webHidden/>
              </w:rPr>
              <w:fldChar w:fldCharType="begin"/>
            </w:r>
            <w:r>
              <w:rPr>
                <w:noProof/>
                <w:webHidden/>
              </w:rPr>
              <w:instrText xml:space="preserve"> PAGEREF _Toc73483048 \h </w:instrText>
            </w:r>
            <w:r>
              <w:rPr>
                <w:noProof/>
                <w:webHidden/>
              </w:rPr>
            </w:r>
            <w:r>
              <w:rPr>
                <w:noProof/>
                <w:webHidden/>
              </w:rPr>
              <w:fldChar w:fldCharType="separate"/>
            </w:r>
            <w:r w:rsidR="004D16C9">
              <w:rPr>
                <w:noProof/>
                <w:webHidden/>
              </w:rPr>
              <w:t>21</w:t>
            </w:r>
            <w:r>
              <w:rPr>
                <w:noProof/>
                <w:webHidden/>
              </w:rPr>
              <w:fldChar w:fldCharType="end"/>
            </w:r>
          </w:hyperlink>
        </w:p>
        <w:p w14:paraId="5A443770" w14:textId="4D8F240E" w:rsidR="000A3195" w:rsidRDefault="000A3195">
          <w:pPr>
            <w:pStyle w:val="TOC1"/>
            <w:tabs>
              <w:tab w:val="right" w:leader="dot" w:pos="9345"/>
            </w:tabs>
            <w:rPr>
              <w:rFonts w:asciiTheme="minorHAnsi" w:eastAsiaTheme="minorEastAsia" w:hAnsiTheme="minorHAnsi"/>
              <w:noProof/>
              <w:sz w:val="22"/>
              <w:lang w:eastAsia="ru-RU"/>
            </w:rPr>
          </w:pPr>
          <w:hyperlink w:anchor="_Toc73483049" w:history="1">
            <w:r w:rsidRPr="0054330A">
              <w:rPr>
                <w:rStyle w:val="Hyperlink"/>
                <w:noProof/>
                <w:lang w:val="en-US"/>
              </w:rPr>
              <w:t>1.4. STATEMENT OF RES</w:t>
            </w:r>
            <w:r w:rsidRPr="0054330A">
              <w:rPr>
                <w:rStyle w:val="Hyperlink"/>
                <w:noProof/>
                <w:lang w:val="en-US"/>
              </w:rPr>
              <w:t>E</w:t>
            </w:r>
            <w:r w:rsidRPr="0054330A">
              <w:rPr>
                <w:rStyle w:val="Hyperlink"/>
                <w:noProof/>
                <w:lang w:val="en-US"/>
              </w:rPr>
              <w:t>ARCH QUESTION, GOAL AND HYPOTHESES</w:t>
            </w:r>
            <w:r>
              <w:rPr>
                <w:noProof/>
                <w:webHidden/>
              </w:rPr>
              <w:tab/>
            </w:r>
            <w:r>
              <w:rPr>
                <w:noProof/>
                <w:webHidden/>
              </w:rPr>
              <w:fldChar w:fldCharType="begin"/>
            </w:r>
            <w:r>
              <w:rPr>
                <w:noProof/>
                <w:webHidden/>
              </w:rPr>
              <w:instrText xml:space="preserve"> PAGEREF _Toc73483049 \h </w:instrText>
            </w:r>
            <w:r>
              <w:rPr>
                <w:noProof/>
                <w:webHidden/>
              </w:rPr>
            </w:r>
            <w:r>
              <w:rPr>
                <w:noProof/>
                <w:webHidden/>
              </w:rPr>
              <w:fldChar w:fldCharType="separate"/>
            </w:r>
            <w:r w:rsidR="004D16C9">
              <w:rPr>
                <w:noProof/>
                <w:webHidden/>
              </w:rPr>
              <w:t>31</w:t>
            </w:r>
            <w:r>
              <w:rPr>
                <w:noProof/>
                <w:webHidden/>
              </w:rPr>
              <w:fldChar w:fldCharType="end"/>
            </w:r>
          </w:hyperlink>
        </w:p>
        <w:p w14:paraId="060FA313" w14:textId="152B7EA0" w:rsidR="000A3195" w:rsidRDefault="000A3195">
          <w:pPr>
            <w:pStyle w:val="TOC2"/>
            <w:tabs>
              <w:tab w:val="right" w:leader="dot" w:pos="9345"/>
            </w:tabs>
            <w:rPr>
              <w:rFonts w:asciiTheme="minorHAnsi" w:eastAsiaTheme="minorEastAsia" w:hAnsiTheme="minorHAnsi"/>
              <w:noProof/>
              <w:sz w:val="22"/>
              <w:lang w:eastAsia="ru-RU"/>
            </w:rPr>
          </w:pPr>
          <w:hyperlink w:anchor="_Toc73483050" w:history="1">
            <w:r w:rsidRPr="0054330A">
              <w:rPr>
                <w:rStyle w:val="Hyperlink"/>
                <w:rFonts w:cs="Times New Roman"/>
                <w:noProof/>
                <w:lang w:val="en-US"/>
              </w:rPr>
              <w:t>Based on information provided above, we could now define our research question, goal, hypotheses and outline research method needed to achieve goal.</w:t>
            </w:r>
            <w:r>
              <w:rPr>
                <w:noProof/>
                <w:webHidden/>
              </w:rPr>
              <w:tab/>
            </w:r>
            <w:r>
              <w:rPr>
                <w:noProof/>
                <w:webHidden/>
              </w:rPr>
              <w:fldChar w:fldCharType="begin"/>
            </w:r>
            <w:r>
              <w:rPr>
                <w:noProof/>
                <w:webHidden/>
              </w:rPr>
              <w:instrText xml:space="preserve"> PAGEREF _Toc73483050 \h </w:instrText>
            </w:r>
            <w:r>
              <w:rPr>
                <w:noProof/>
                <w:webHidden/>
              </w:rPr>
            </w:r>
            <w:r>
              <w:rPr>
                <w:noProof/>
                <w:webHidden/>
              </w:rPr>
              <w:fldChar w:fldCharType="separate"/>
            </w:r>
            <w:r w:rsidR="004D16C9">
              <w:rPr>
                <w:noProof/>
                <w:webHidden/>
              </w:rPr>
              <w:t>31</w:t>
            </w:r>
            <w:r>
              <w:rPr>
                <w:noProof/>
                <w:webHidden/>
              </w:rPr>
              <w:fldChar w:fldCharType="end"/>
            </w:r>
          </w:hyperlink>
        </w:p>
        <w:p w14:paraId="20EFCC26" w14:textId="298C875F" w:rsidR="000A3195" w:rsidRDefault="000A3195">
          <w:pPr>
            <w:pStyle w:val="TOC2"/>
            <w:tabs>
              <w:tab w:val="right" w:leader="dot" w:pos="9345"/>
            </w:tabs>
            <w:rPr>
              <w:rFonts w:asciiTheme="minorHAnsi" w:eastAsiaTheme="minorEastAsia" w:hAnsiTheme="minorHAnsi"/>
              <w:noProof/>
              <w:sz w:val="22"/>
              <w:lang w:eastAsia="ru-RU"/>
            </w:rPr>
          </w:pPr>
          <w:hyperlink w:anchor="_Toc73483051" w:history="1">
            <w:r w:rsidRPr="0054330A">
              <w:rPr>
                <w:rStyle w:val="Hyperlink"/>
                <w:noProof/>
                <w:lang w:val="en-US"/>
              </w:rPr>
              <w:t>1.4.1. Definition of research question and research goal</w:t>
            </w:r>
            <w:r>
              <w:rPr>
                <w:noProof/>
                <w:webHidden/>
              </w:rPr>
              <w:tab/>
            </w:r>
            <w:r>
              <w:rPr>
                <w:noProof/>
                <w:webHidden/>
              </w:rPr>
              <w:fldChar w:fldCharType="begin"/>
            </w:r>
            <w:r>
              <w:rPr>
                <w:noProof/>
                <w:webHidden/>
              </w:rPr>
              <w:instrText xml:space="preserve"> PAGEREF _Toc73483051 \h </w:instrText>
            </w:r>
            <w:r>
              <w:rPr>
                <w:noProof/>
                <w:webHidden/>
              </w:rPr>
            </w:r>
            <w:r>
              <w:rPr>
                <w:noProof/>
                <w:webHidden/>
              </w:rPr>
              <w:fldChar w:fldCharType="separate"/>
            </w:r>
            <w:r w:rsidR="004D16C9">
              <w:rPr>
                <w:noProof/>
                <w:webHidden/>
              </w:rPr>
              <w:t>31</w:t>
            </w:r>
            <w:r>
              <w:rPr>
                <w:noProof/>
                <w:webHidden/>
              </w:rPr>
              <w:fldChar w:fldCharType="end"/>
            </w:r>
          </w:hyperlink>
        </w:p>
        <w:p w14:paraId="2A7782C8" w14:textId="11810802" w:rsidR="000A3195" w:rsidRDefault="000A3195">
          <w:pPr>
            <w:pStyle w:val="TOC2"/>
            <w:tabs>
              <w:tab w:val="right" w:leader="dot" w:pos="9345"/>
            </w:tabs>
            <w:rPr>
              <w:rFonts w:asciiTheme="minorHAnsi" w:eastAsiaTheme="minorEastAsia" w:hAnsiTheme="minorHAnsi"/>
              <w:noProof/>
              <w:sz w:val="22"/>
              <w:lang w:eastAsia="ru-RU"/>
            </w:rPr>
          </w:pPr>
          <w:hyperlink w:anchor="_Toc73483052" w:history="1">
            <w:r w:rsidRPr="0054330A">
              <w:rPr>
                <w:rStyle w:val="Hyperlink"/>
                <w:noProof/>
                <w:lang w:val="en-US"/>
              </w:rPr>
              <w:t>1.4.2. Research hypotheses</w:t>
            </w:r>
            <w:r>
              <w:rPr>
                <w:noProof/>
                <w:webHidden/>
              </w:rPr>
              <w:tab/>
            </w:r>
            <w:r>
              <w:rPr>
                <w:noProof/>
                <w:webHidden/>
              </w:rPr>
              <w:fldChar w:fldCharType="begin"/>
            </w:r>
            <w:r>
              <w:rPr>
                <w:noProof/>
                <w:webHidden/>
              </w:rPr>
              <w:instrText xml:space="preserve"> PAGEREF _Toc73483052 \h </w:instrText>
            </w:r>
            <w:r>
              <w:rPr>
                <w:noProof/>
                <w:webHidden/>
              </w:rPr>
            </w:r>
            <w:r>
              <w:rPr>
                <w:noProof/>
                <w:webHidden/>
              </w:rPr>
              <w:fldChar w:fldCharType="separate"/>
            </w:r>
            <w:r w:rsidR="004D16C9">
              <w:rPr>
                <w:noProof/>
                <w:webHidden/>
              </w:rPr>
              <w:t>31</w:t>
            </w:r>
            <w:r>
              <w:rPr>
                <w:noProof/>
                <w:webHidden/>
              </w:rPr>
              <w:fldChar w:fldCharType="end"/>
            </w:r>
          </w:hyperlink>
        </w:p>
        <w:p w14:paraId="45E0F63E" w14:textId="572457A1" w:rsidR="000A3195" w:rsidRDefault="000A3195">
          <w:pPr>
            <w:pStyle w:val="TOC2"/>
            <w:tabs>
              <w:tab w:val="right" w:leader="dot" w:pos="9345"/>
            </w:tabs>
            <w:rPr>
              <w:rFonts w:asciiTheme="minorHAnsi" w:eastAsiaTheme="minorEastAsia" w:hAnsiTheme="minorHAnsi"/>
              <w:noProof/>
              <w:sz w:val="22"/>
              <w:lang w:eastAsia="ru-RU"/>
            </w:rPr>
          </w:pPr>
          <w:hyperlink w:anchor="_Toc73483053" w:history="1">
            <w:r w:rsidRPr="0054330A">
              <w:rPr>
                <w:rStyle w:val="Hyperlink"/>
                <w:noProof/>
                <w:lang w:val="en-US"/>
              </w:rPr>
              <w:t>1.4.3. Research method</w:t>
            </w:r>
            <w:r>
              <w:rPr>
                <w:noProof/>
                <w:webHidden/>
              </w:rPr>
              <w:tab/>
            </w:r>
            <w:r>
              <w:rPr>
                <w:noProof/>
                <w:webHidden/>
              </w:rPr>
              <w:fldChar w:fldCharType="begin"/>
            </w:r>
            <w:r>
              <w:rPr>
                <w:noProof/>
                <w:webHidden/>
              </w:rPr>
              <w:instrText xml:space="preserve"> PAGEREF _Toc73483053 \h </w:instrText>
            </w:r>
            <w:r>
              <w:rPr>
                <w:noProof/>
                <w:webHidden/>
              </w:rPr>
            </w:r>
            <w:r>
              <w:rPr>
                <w:noProof/>
                <w:webHidden/>
              </w:rPr>
              <w:fldChar w:fldCharType="separate"/>
            </w:r>
            <w:r w:rsidR="004D16C9">
              <w:rPr>
                <w:noProof/>
                <w:webHidden/>
              </w:rPr>
              <w:t>32</w:t>
            </w:r>
            <w:r>
              <w:rPr>
                <w:noProof/>
                <w:webHidden/>
              </w:rPr>
              <w:fldChar w:fldCharType="end"/>
            </w:r>
          </w:hyperlink>
        </w:p>
        <w:p w14:paraId="62537C37" w14:textId="1ED1B8E5" w:rsidR="000A3195" w:rsidRDefault="000A3195">
          <w:pPr>
            <w:pStyle w:val="TOC1"/>
            <w:tabs>
              <w:tab w:val="right" w:leader="dot" w:pos="9345"/>
            </w:tabs>
            <w:rPr>
              <w:rFonts w:asciiTheme="minorHAnsi" w:eastAsiaTheme="minorEastAsia" w:hAnsiTheme="minorHAnsi"/>
              <w:noProof/>
              <w:sz w:val="22"/>
              <w:lang w:eastAsia="ru-RU"/>
            </w:rPr>
          </w:pPr>
          <w:hyperlink w:anchor="_Toc73483054" w:history="1">
            <w:r w:rsidRPr="0054330A">
              <w:rPr>
                <w:rStyle w:val="Hyperlink"/>
                <w:noProof/>
                <w:lang w:val="en-US"/>
              </w:rPr>
              <w:t>Chapter 2.</w:t>
            </w:r>
            <w:r>
              <w:rPr>
                <w:noProof/>
                <w:webHidden/>
              </w:rPr>
              <w:tab/>
            </w:r>
            <w:r>
              <w:rPr>
                <w:noProof/>
                <w:webHidden/>
              </w:rPr>
              <w:fldChar w:fldCharType="begin"/>
            </w:r>
            <w:r>
              <w:rPr>
                <w:noProof/>
                <w:webHidden/>
              </w:rPr>
              <w:instrText xml:space="preserve"> PAGEREF _Toc73483054 \h </w:instrText>
            </w:r>
            <w:r>
              <w:rPr>
                <w:noProof/>
                <w:webHidden/>
              </w:rPr>
            </w:r>
            <w:r>
              <w:rPr>
                <w:noProof/>
                <w:webHidden/>
              </w:rPr>
              <w:fldChar w:fldCharType="separate"/>
            </w:r>
            <w:r w:rsidR="004D16C9">
              <w:rPr>
                <w:noProof/>
                <w:webHidden/>
              </w:rPr>
              <w:t>34</w:t>
            </w:r>
            <w:r>
              <w:rPr>
                <w:noProof/>
                <w:webHidden/>
              </w:rPr>
              <w:fldChar w:fldCharType="end"/>
            </w:r>
          </w:hyperlink>
        </w:p>
        <w:p w14:paraId="37D14610" w14:textId="47EF3FCA" w:rsidR="000A3195" w:rsidRDefault="000A3195">
          <w:pPr>
            <w:pStyle w:val="TOC1"/>
            <w:tabs>
              <w:tab w:val="right" w:leader="dot" w:pos="9345"/>
            </w:tabs>
            <w:rPr>
              <w:rFonts w:asciiTheme="minorHAnsi" w:eastAsiaTheme="minorEastAsia" w:hAnsiTheme="minorHAnsi"/>
              <w:noProof/>
              <w:sz w:val="22"/>
              <w:lang w:eastAsia="ru-RU"/>
            </w:rPr>
          </w:pPr>
          <w:hyperlink w:anchor="_Toc73483055" w:history="1">
            <w:r w:rsidRPr="0054330A">
              <w:rPr>
                <w:rStyle w:val="Hyperlink"/>
                <w:noProof/>
                <w:lang w:val="en-US"/>
              </w:rPr>
              <w:t>2.1. RESULTS OF PRICE CALCULATIONS AND OBSERVED PATTERNS OF PRICE DEVIATION</w:t>
            </w:r>
            <w:r>
              <w:rPr>
                <w:noProof/>
                <w:webHidden/>
              </w:rPr>
              <w:tab/>
            </w:r>
            <w:r>
              <w:rPr>
                <w:noProof/>
                <w:webHidden/>
              </w:rPr>
              <w:fldChar w:fldCharType="begin"/>
            </w:r>
            <w:r>
              <w:rPr>
                <w:noProof/>
                <w:webHidden/>
              </w:rPr>
              <w:instrText xml:space="preserve"> PAGEREF _Toc73483055 \h </w:instrText>
            </w:r>
            <w:r>
              <w:rPr>
                <w:noProof/>
                <w:webHidden/>
              </w:rPr>
            </w:r>
            <w:r>
              <w:rPr>
                <w:noProof/>
                <w:webHidden/>
              </w:rPr>
              <w:fldChar w:fldCharType="separate"/>
            </w:r>
            <w:r w:rsidR="004D16C9">
              <w:rPr>
                <w:noProof/>
                <w:webHidden/>
              </w:rPr>
              <w:t>34</w:t>
            </w:r>
            <w:r>
              <w:rPr>
                <w:noProof/>
                <w:webHidden/>
              </w:rPr>
              <w:fldChar w:fldCharType="end"/>
            </w:r>
          </w:hyperlink>
        </w:p>
        <w:p w14:paraId="7279A5DB" w14:textId="7E1C91B8" w:rsidR="000A3195" w:rsidRDefault="000A3195">
          <w:pPr>
            <w:pStyle w:val="TOC1"/>
            <w:tabs>
              <w:tab w:val="right" w:leader="dot" w:pos="9345"/>
            </w:tabs>
            <w:rPr>
              <w:rFonts w:asciiTheme="minorHAnsi" w:eastAsiaTheme="minorEastAsia" w:hAnsiTheme="minorHAnsi"/>
              <w:noProof/>
              <w:sz w:val="22"/>
              <w:lang w:eastAsia="ru-RU"/>
            </w:rPr>
          </w:pPr>
          <w:hyperlink w:anchor="_Toc73483056" w:history="1">
            <w:r w:rsidRPr="0054330A">
              <w:rPr>
                <w:rStyle w:val="Hyperlink"/>
                <w:noProof/>
                <w:lang w:val="en-US"/>
              </w:rPr>
              <w:t>2.2. ANALYSIS OF THE MONETARY POLICY IN THE CHOSEN CURRENCY ZONES</w:t>
            </w:r>
            <w:r>
              <w:rPr>
                <w:noProof/>
                <w:webHidden/>
              </w:rPr>
              <w:tab/>
            </w:r>
            <w:r>
              <w:rPr>
                <w:noProof/>
                <w:webHidden/>
              </w:rPr>
              <w:fldChar w:fldCharType="begin"/>
            </w:r>
            <w:r>
              <w:rPr>
                <w:noProof/>
                <w:webHidden/>
              </w:rPr>
              <w:instrText xml:space="preserve"> PAGEREF _Toc73483056 \h </w:instrText>
            </w:r>
            <w:r>
              <w:rPr>
                <w:noProof/>
                <w:webHidden/>
              </w:rPr>
            </w:r>
            <w:r>
              <w:rPr>
                <w:noProof/>
                <w:webHidden/>
              </w:rPr>
              <w:fldChar w:fldCharType="separate"/>
            </w:r>
            <w:r w:rsidR="004D16C9">
              <w:rPr>
                <w:noProof/>
                <w:webHidden/>
              </w:rPr>
              <w:t>40</w:t>
            </w:r>
            <w:r>
              <w:rPr>
                <w:noProof/>
                <w:webHidden/>
              </w:rPr>
              <w:fldChar w:fldCharType="end"/>
            </w:r>
          </w:hyperlink>
        </w:p>
        <w:p w14:paraId="3FDCBECA" w14:textId="49CB1616" w:rsidR="000A3195" w:rsidRDefault="000A3195">
          <w:pPr>
            <w:pStyle w:val="TOC2"/>
            <w:tabs>
              <w:tab w:val="right" w:leader="dot" w:pos="9345"/>
            </w:tabs>
            <w:rPr>
              <w:rFonts w:asciiTheme="minorHAnsi" w:eastAsiaTheme="minorEastAsia" w:hAnsiTheme="minorHAnsi"/>
              <w:noProof/>
              <w:sz w:val="22"/>
              <w:lang w:eastAsia="ru-RU"/>
            </w:rPr>
          </w:pPr>
          <w:hyperlink w:anchor="_Toc73483057" w:history="1">
            <w:r w:rsidRPr="0054330A">
              <w:rPr>
                <w:rStyle w:val="Hyperlink"/>
                <w:noProof/>
                <w:lang w:val="en-US"/>
              </w:rPr>
              <w:t>2.2.1. Overview of interest rates</w:t>
            </w:r>
            <w:r>
              <w:rPr>
                <w:noProof/>
                <w:webHidden/>
              </w:rPr>
              <w:tab/>
            </w:r>
            <w:r>
              <w:rPr>
                <w:noProof/>
                <w:webHidden/>
              </w:rPr>
              <w:fldChar w:fldCharType="begin"/>
            </w:r>
            <w:r>
              <w:rPr>
                <w:noProof/>
                <w:webHidden/>
              </w:rPr>
              <w:instrText xml:space="preserve"> PAGEREF _Toc73483057 \h </w:instrText>
            </w:r>
            <w:r>
              <w:rPr>
                <w:noProof/>
                <w:webHidden/>
              </w:rPr>
            </w:r>
            <w:r>
              <w:rPr>
                <w:noProof/>
                <w:webHidden/>
              </w:rPr>
              <w:fldChar w:fldCharType="separate"/>
            </w:r>
            <w:r w:rsidR="004D16C9">
              <w:rPr>
                <w:noProof/>
                <w:webHidden/>
              </w:rPr>
              <w:t>40</w:t>
            </w:r>
            <w:r>
              <w:rPr>
                <w:noProof/>
                <w:webHidden/>
              </w:rPr>
              <w:fldChar w:fldCharType="end"/>
            </w:r>
          </w:hyperlink>
        </w:p>
        <w:p w14:paraId="12902B85" w14:textId="2228B24D" w:rsidR="000A3195" w:rsidRDefault="000A3195">
          <w:pPr>
            <w:pStyle w:val="TOC2"/>
            <w:tabs>
              <w:tab w:val="right" w:leader="dot" w:pos="9345"/>
            </w:tabs>
            <w:rPr>
              <w:rFonts w:asciiTheme="minorHAnsi" w:eastAsiaTheme="minorEastAsia" w:hAnsiTheme="minorHAnsi"/>
              <w:noProof/>
              <w:sz w:val="22"/>
              <w:lang w:eastAsia="ru-RU"/>
            </w:rPr>
          </w:pPr>
          <w:hyperlink w:anchor="_Toc73483058" w:history="1">
            <w:r w:rsidRPr="0054330A">
              <w:rPr>
                <w:rStyle w:val="Hyperlink"/>
                <w:noProof/>
                <w:lang w:val="en-US"/>
              </w:rPr>
              <w:t>2.2.2. Main tools of monetary policy in Switzerland, Japan, Eurozone</w:t>
            </w:r>
            <w:r>
              <w:rPr>
                <w:noProof/>
                <w:webHidden/>
              </w:rPr>
              <w:tab/>
            </w:r>
            <w:r>
              <w:rPr>
                <w:noProof/>
                <w:webHidden/>
              </w:rPr>
              <w:fldChar w:fldCharType="begin"/>
            </w:r>
            <w:r>
              <w:rPr>
                <w:noProof/>
                <w:webHidden/>
              </w:rPr>
              <w:instrText xml:space="preserve"> PAGEREF _Toc73483058 \h </w:instrText>
            </w:r>
            <w:r>
              <w:rPr>
                <w:noProof/>
                <w:webHidden/>
              </w:rPr>
            </w:r>
            <w:r>
              <w:rPr>
                <w:noProof/>
                <w:webHidden/>
              </w:rPr>
              <w:fldChar w:fldCharType="separate"/>
            </w:r>
            <w:r w:rsidR="004D16C9">
              <w:rPr>
                <w:noProof/>
                <w:webHidden/>
              </w:rPr>
              <w:t>41</w:t>
            </w:r>
            <w:r>
              <w:rPr>
                <w:noProof/>
                <w:webHidden/>
              </w:rPr>
              <w:fldChar w:fldCharType="end"/>
            </w:r>
          </w:hyperlink>
        </w:p>
        <w:p w14:paraId="3FE24284" w14:textId="37101BAF" w:rsidR="000A3195" w:rsidRDefault="000A3195">
          <w:pPr>
            <w:pStyle w:val="TOC1"/>
            <w:tabs>
              <w:tab w:val="right" w:leader="dot" w:pos="9345"/>
            </w:tabs>
            <w:rPr>
              <w:rFonts w:asciiTheme="minorHAnsi" w:eastAsiaTheme="minorEastAsia" w:hAnsiTheme="minorHAnsi"/>
              <w:noProof/>
              <w:sz w:val="22"/>
              <w:lang w:eastAsia="ru-RU"/>
            </w:rPr>
          </w:pPr>
          <w:hyperlink w:anchor="_Toc73483059" w:history="1">
            <w:r w:rsidRPr="0054330A">
              <w:rPr>
                <w:rStyle w:val="Hyperlink"/>
                <w:rFonts w:cs="Times New Roman"/>
                <w:noProof/>
                <w:lang w:val="en-US"/>
              </w:rPr>
              <w:t xml:space="preserve">2.3. </w:t>
            </w:r>
            <w:r w:rsidRPr="0054330A">
              <w:rPr>
                <w:rStyle w:val="Hyperlink"/>
                <w:noProof/>
                <w:lang w:val="en-US"/>
              </w:rPr>
              <w:t>RESULTS OF HYPOTHESES TESTING</w:t>
            </w:r>
            <w:r>
              <w:rPr>
                <w:noProof/>
                <w:webHidden/>
              </w:rPr>
              <w:tab/>
            </w:r>
            <w:r>
              <w:rPr>
                <w:noProof/>
                <w:webHidden/>
              </w:rPr>
              <w:fldChar w:fldCharType="begin"/>
            </w:r>
            <w:r>
              <w:rPr>
                <w:noProof/>
                <w:webHidden/>
              </w:rPr>
              <w:instrText xml:space="preserve"> PAGEREF _Toc73483059 \h </w:instrText>
            </w:r>
            <w:r>
              <w:rPr>
                <w:noProof/>
                <w:webHidden/>
              </w:rPr>
            </w:r>
            <w:r>
              <w:rPr>
                <w:noProof/>
                <w:webHidden/>
              </w:rPr>
              <w:fldChar w:fldCharType="separate"/>
            </w:r>
            <w:r w:rsidR="004D16C9">
              <w:rPr>
                <w:noProof/>
                <w:webHidden/>
              </w:rPr>
              <w:t>45</w:t>
            </w:r>
            <w:r>
              <w:rPr>
                <w:noProof/>
                <w:webHidden/>
              </w:rPr>
              <w:fldChar w:fldCharType="end"/>
            </w:r>
          </w:hyperlink>
        </w:p>
        <w:p w14:paraId="661E9A71" w14:textId="07D4C3C8" w:rsidR="000A3195" w:rsidRDefault="000A3195">
          <w:pPr>
            <w:pStyle w:val="TOC2"/>
            <w:tabs>
              <w:tab w:val="right" w:leader="dot" w:pos="9345"/>
            </w:tabs>
            <w:rPr>
              <w:rFonts w:asciiTheme="minorHAnsi" w:eastAsiaTheme="minorEastAsia" w:hAnsiTheme="minorHAnsi"/>
              <w:noProof/>
              <w:sz w:val="22"/>
              <w:lang w:eastAsia="ru-RU"/>
            </w:rPr>
          </w:pPr>
          <w:hyperlink w:anchor="_Toc73483060" w:history="1">
            <w:r w:rsidRPr="0054330A">
              <w:rPr>
                <w:rStyle w:val="Hyperlink"/>
                <w:noProof/>
                <w:lang w:val="en-US"/>
              </w:rPr>
              <w:t>2.3.1. Hypotheses on interest rates</w:t>
            </w:r>
            <w:r>
              <w:rPr>
                <w:noProof/>
                <w:webHidden/>
              </w:rPr>
              <w:tab/>
            </w:r>
            <w:r>
              <w:rPr>
                <w:noProof/>
                <w:webHidden/>
              </w:rPr>
              <w:fldChar w:fldCharType="begin"/>
            </w:r>
            <w:r>
              <w:rPr>
                <w:noProof/>
                <w:webHidden/>
              </w:rPr>
              <w:instrText xml:space="preserve"> PAGEREF _Toc73483060 \h </w:instrText>
            </w:r>
            <w:r>
              <w:rPr>
                <w:noProof/>
                <w:webHidden/>
              </w:rPr>
            </w:r>
            <w:r>
              <w:rPr>
                <w:noProof/>
                <w:webHidden/>
              </w:rPr>
              <w:fldChar w:fldCharType="separate"/>
            </w:r>
            <w:r w:rsidR="004D16C9">
              <w:rPr>
                <w:noProof/>
                <w:webHidden/>
              </w:rPr>
              <w:t>45</w:t>
            </w:r>
            <w:r>
              <w:rPr>
                <w:noProof/>
                <w:webHidden/>
              </w:rPr>
              <w:fldChar w:fldCharType="end"/>
            </w:r>
          </w:hyperlink>
        </w:p>
        <w:p w14:paraId="3F17CEBF" w14:textId="05B433A5" w:rsidR="000A3195" w:rsidRDefault="000A3195">
          <w:pPr>
            <w:pStyle w:val="TOC2"/>
            <w:tabs>
              <w:tab w:val="left" w:pos="1100"/>
              <w:tab w:val="right" w:leader="dot" w:pos="9345"/>
            </w:tabs>
            <w:rPr>
              <w:rFonts w:asciiTheme="minorHAnsi" w:eastAsiaTheme="minorEastAsia" w:hAnsiTheme="minorHAnsi"/>
              <w:noProof/>
              <w:sz w:val="22"/>
              <w:lang w:eastAsia="ru-RU"/>
            </w:rPr>
          </w:pPr>
          <w:hyperlink w:anchor="_Toc73483061" w:history="1">
            <w:r w:rsidRPr="0054330A">
              <w:rPr>
                <w:rStyle w:val="Hyperlink"/>
                <w:noProof/>
                <w:lang w:val="en-US"/>
              </w:rPr>
              <w:t>2.3.2.</w:t>
            </w:r>
            <w:r>
              <w:rPr>
                <w:rFonts w:asciiTheme="minorHAnsi" w:eastAsiaTheme="minorEastAsia" w:hAnsiTheme="minorHAnsi"/>
                <w:noProof/>
                <w:sz w:val="22"/>
                <w:lang w:eastAsia="ru-RU"/>
              </w:rPr>
              <w:tab/>
            </w:r>
            <w:r w:rsidRPr="0054330A">
              <w:rPr>
                <w:rStyle w:val="Hyperlink"/>
                <w:noProof/>
                <w:lang w:val="en-US"/>
              </w:rPr>
              <w:t>Hypotheses on FX spot rates</w:t>
            </w:r>
            <w:r>
              <w:rPr>
                <w:noProof/>
                <w:webHidden/>
              </w:rPr>
              <w:tab/>
            </w:r>
            <w:r>
              <w:rPr>
                <w:noProof/>
                <w:webHidden/>
              </w:rPr>
              <w:fldChar w:fldCharType="begin"/>
            </w:r>
            <w:r>
              <w:rPr>
                <w:noProof/>
                <w:webHidden/>
              </w:rPr>
              <w:instrText xml:space="preserve"> PAGEREF _Toc73483061 \h </w:instrText>
            </w:r>
            <w:r>
              <w:rPr>
                <w:noProof/>
                <w:webHidden/>
              </w:rPr>
            </w:r>
            <w:r>
              <w:rPr>
                <w:noProof/>
                <w:webHidden/>
              </w:rPr>
              <w:fldChar w:fldCharType="separate"/>
            </w:r>
            <w:r w:rsidR="004D16C9">
              <w:rPr>
                <w:noProof/>
                <w:webHidden/>
              </w:rPr>
              <w:t>57</w:t>
            </w:r>
            <w:r>
              <w:rPr>
                <w:noProof/>
                <w:webHidden/>
              </w:rPr>
              <w:fldChar w:fldCharType="end"/>
            </w:r>
          </w:hyperlink>
        </w:p>
        <w:p w14:paraId="0F634C3B" w14:textId="192BE1D4" w:rsidR="000A3195" w:rsidRDefault="000A3195">
          <w:pPr>
            <w:pStyle w:val="TOC1"/>
            <w:tabs>
              <w:tab w:val="left" w:pos="660"/>
              <w:tab w:val="right" w:leader="dot" w:pos="9345"/>
            </w:tabs>
            <w:rPr>
              <w:rFonts w:asciiTheme="minorHAnsi" w:eastAsiaTheme="minorEastAsia" w:hAnsiTheme="minorHAnsi"/>
              <w:noProof/>
              <w:sz w:val="22"/>
              <w:lang w:eastAsia="ru-RU"/>
            </w:rPr>
          </w:pPr>
          <w:hyperlink w:anchor="_Toc73483062" w:history="1">
            <w:r w:rsidRPr="0054330A">
              <w:rPr>
                <w:rStyle w:val="Hyperlink"/>
                <w:noProof/>
                <w:lang w:val="en-US"/>
              </w:rPr>
              <w:t>2.4.</w:t>
            </w:r>
            <w:r>
              <w:rPr>
                <w:rFonts w:asciiTheme="minorHAnsi" w:eastAsiaTheme="minorEastAsia" w:hAnsiTheme="minorHAnsi"/>
                <w:noProof/>
                <w:sz w:val="22"/>
                <w:lang w:eastAsia="ru-RU"/>
              </w:rPr>
              <w:tab/>
            </w:r>
            <w:r w:rsidRPr="0054330A">
              <w:rPr>
                <w:rStyle w:val="Hyperlink"/>
                <w:noProof/>
                <w:lang w:val="en-US"/>
              </w:rPr>
              <w:t>CONCLUSIONS</w:t>
            </w:r>
            <w:r>
              <w:rPr>
                <w:noProof/>
                <w:webHidden/>
              </w:rPr>
              <w:tab/>
            </w:r>
            <w:r>
              <w:rPr>
                <w:noProof/>
                <w:webHidden/>
              </w:rPr>
              <w:fldChar w:fldCharType="begin"/>
            </w:r>
            <w:r>
              <w:rPr>
                <w:noProof/>
                <w:webHidden/>
              </w:rPr>
              <w:instrText xml:space="preserve"> PAGEREF _Toc73483062 \h </w:instrText>
            </w:r>
            <w:r>
              <w:rPr>
                <w:noProof/>
                <w:webHidden/>
              </w:rPr>
            </w:r>
            <w:r>
              <w:rPr>
                <w:noProof/>
                <w:webHidden/>
              </w:rPr>
              <w:fldChar w:fldCharType="separate"/>
            </w:r>
            <w:r w:rsidR="004D16C9">
              <w:rPr>
                <w:noProof/>
                <w:webHidden/>
              </w:rPr>
              <w:t>60</w:t>
            </w:r>
            <w:r>
              <w:rPr>
                <w:noProof/>
                <w:webHidden/>
              </w:rPr>
              <w:fldChar w:fldCharType="end"/>
            </w:r>
          </w:hyperlink>
        </w:p>
        <w:p w14:paraId="6F703AEA" w14:textId="1D965E34" w:rsidR="000A3195" w:rsidRDefault="000A3195">
          <w:pPr>
            <w:pStyle w:val="TOC1"/>
            <w:tabs>
              <w:tab w:val="right" w:leader="dot" w:pos="9345"/>
            </w:tabs>
            <w:rPr>
              <w:rFonts w:asciiTheme="minorHAnsi" w:eastAsiaTheme="minorEastAsia" w:hAnsiTheme="minorHAnsi"/>
              <w:noProof/>
              <w:sz w:val="22"/>
              <w:lang w:eastAsia="ru-RU"/>
            </w:rPr>
          </w:pPr>
          <w:hyperlink w:anchor="_Toc73483063" w:history="1">
            <w:r w:rsidRPr="0054330A">
              <w:rPr>
                <w:rStyle w:val="Hyperlink"/>
                <w:noProof/>
                <w:lang w:val="en-US"/>
              </w:rPr>
              <w:t>LIST OF REFERENCES</w:t>
            </w:r>
            <w:r>
              <w:rPr>
                <w:noProof/>
                <w:webHidden/>
              </w:rPr>
              <w:tab/>
            </w:r>
            <w:r>
              <w:rPr>
                <w:noProof/>
                <w:webHidden/>
              </w:rPr>
              <w:fldChar w:fldCharType="begin"/>
            </w:r>
            <w:r>
              <w:rPr>
                <w:noProof/>
                <w:webHidden/>
              </w:rPr>
              <w:instrText xml:space="preserve"> PAGEREF _Toc73483063 \h </w:instrText>
            </w:r>
            <w:r>
              <w:rPr>
                <w:noProof/>
                <w:webHidden/>
              </w:rPr>
            </w:r>
            <w:r>
              <w:rPr>
                <w:noProof/>
                <w:webHidden/>
              </w:rPr>
              <w:fldChar w:fldCharType="separate"/>
            </w:r>
            <w:r w:rsidR="004D16C9">
              <w:rPr>
                <w:noProof/>
                <w:webHidden/>
              </w:rPr>
              <w:t>62</w:t>
            </w:r>
            <w:r>
              <w:rPr>
                <w:noProof/>
                <w:webHidden/>
              </w:rPr>
              <w:fldChar w:fldCharType="end"/>
            </w:r>
          </w:hyperlink>
        </w:p>
        <w:p w14:paraId="3F9107C9" w14:textId="5FA799EF" w:rsidR="000A3195" w:rsidRDefault="000A3195">
          <w:pPr>
            <w:pStyle w:val="TOC2"/>
            <w:tabs>
              <w:tab w:val="right" w:leader="dot" w:pos="9345"/>
            </w:tabs>
            <w:rPr>
              <w:rFonts w:asciiTheme="minorHAnsi" w:eastAsiaTheme="minorEastAsia" w:hAnsiTheme="minorHAnsi"/>
              <w:noProof/>
              <w:sz w:val="22"/>
              <w:lang w:eastAsia="ru-RU"/>
            </w:rPr>
          </w:pPr>
          <w:hyperlink w:anchor="_Toc73483064" w:history="1">
            <w:r w:rsidRPr="0054330A">
              <w:rPr>
                <w:rStyle w:val="Hyperlink"/>
                <w:noProof/>
                <w:lang w:val="en-US"/>
              </w:rPr>
              <w:t>Appendix 1. Graphical presentation of calculation results</w:t>
            </w:r>
            <w:r>
              <w:rPr>
                <w:noProof/>
                <w:webHidden/>
              </w:rPr>
              <w:tab/>
            </w:r>
            <w:r>
              <w:rPr>
                <w:noProof/>
                <w:webHidden/>
              </w:rPr>
              <w:fldChar w:fldCharType="begin"/>
            </w:r>
            <w:r>
              <w:rPr>
                <w:noProof/>
                <w:webHidden/>
              </w:rPr>
              <w:instrText xml:space="preserve"> PAGEREF _Toc73483064 \h </w:instrText>
            </w:r>
            <w:r>
              <w:rPr>
                <w:noProof/>
                <w:webHidden/>
              </w:rPr>
            </w:r>
            <w:r>
              <w:rPr>
                <w:noProof/>
                <w:webHidden/>
              </w:rPr>
              <w:fldChar w:fldCharType="separate"/>
            </w:r>
            <w:r w:rsidR="004D16C9">
              <w:rPr>
                <w:noProof/>
                <w:webHidden/>
              </w:rPr>
              <w:t>65</w:t>
            </w:r>
            <w:r>
              <w:rPr>
                <w:noProof/>
                <w:webHidden/>
              </w:rPr>
              <w:fldChar w:fldCharType="end"/>
            </w:r>
          </w:hyperlink>
        </w:p>
        <w:p w14:paraId="39E48FB3" w14:textId="3775F690" w:rsidR="000A3195" w:rsidRDefault="000A3195">
          <w:pPr>
            <w:pStyle w:val="TOC2"/>
            <w:tabs>
              <w:tab w:val="right" w:leader="dot" w:pos="9345"/>
            </w:tabs>
            <w:rPr>
              <w:rFonts w:asciiTheme="minorHAnsi" w:eastAsiaTheme="minorEastAsia" w:hAnsiTheme="minorHAnsi"/>
              <w:noProof/>
              <w:sz w:val="22"/>
              <w:lang w:eastAsia="ru-RU"/>
            </w:rPr>
          </w:pPr>
          <w:hyperlink w:anchor="_Toc73483065" w:history="1">
            <w:r w:rsidRPr="0054330A">
              <w:rPr>
                <w:rStyle w:val="Hyperlink"/>
                <w:noProof/>
                <w:lang w:val="en-US"/>
              </w:rPr>
              <w:t>Appendix 2. Details of implied risk-free rate calculation</w:t>
            </w:r>
            <w:r>
              <w:rPr>
                <w:noProof/>
                <w:webHidden/>
              </w:rPr>
              <w:tab/>
            </w:r>
            <w:r>
              <w:rPr>
                <w:noProof/>
                <w:webHidden/>
              </w:rPr>
              <w:fldChar w:fldCharType="begin"/>
            </w:r>
            <w:r>
              <w:rPr>
                <w:noProof/>
                <w:webHidden/>
              </w:rPr>
              <w:instrText xml:space="preserve"> PAGEREF _Toc73483065 \h </w:instrText>
            </w:r>
            <w:r>
              <w:rPr>
                <w:noProof/>
                <w:webHidden/>
              </w:rPr>
            </w:r>
            <w:r>
              <w:rPr>
                <w:noProof/>
                <w:webHidden/>
              </w:rPr>
              <w:fldChar w:fldCharType="separate"/>
            </w:r>
            <w:r w:rsidR="004D16C9">
              <w:rPr>
                <w:noProof/>
                <w:webHidden/>
              </w:rPr>
              <w:t>72</w:t>
            </w:r>
            <w:r>
              <w:rPr>
                <w:noProof/>
                <w:webHidden/>
              </w:rPr>
              <w:fldChar w:fldCharType="end"/>
            </w:r>
          </w:hyperlink>
        </w:p>
        <w:p w14:paraId="3350AD38" w14:textId="10698C2A" w:rsidR="00136728" w:rsidRDefault="00136728" w:rsidP="008226B3">
          <w:pPr>
            <w:spacing w:line="360" w:lineRule="auto"/>
            <w:ind w:firstLine="709"/>
            <w:rPr>
              <w:b/>
              <w:bCs/>
              <w:noProof/>
            </w:rPr>
          </w:pPr>
          <w:r w:rsidRPr="008D1DA9">
            <w:rPr>
              <w:rFonts w:cs="Times New Roman"/>
              <w:b/>
              <w:bCs/>
              <w:noProof/>
            </w:rPr>
            <w:fldChar w:fldCharType="end"/>
          </w:r>
        </w:p>
      </w:sdtContent>
    </w:sdt>
    <w:p w14:paraId="25F7C60F" w14:textId="77777777" w:rsidR="00136728" w:rsidRPr="004D16C9" w:rsidRDefault="00136728" w:rsidP="008226B3">
      <w:pPr>
        <w:spacing w:line="360" w:lineRule="auto"/>
        <w:ind w:firstLine="709"/>
        <w:jc w:val="left"/>
        <w:rPr>
          <w:rFonts w:eastAsiaTheme="majorEastAsia" w:cstheme="majorBidi"/>
          <w:b/>
          <w:sz w:val="32"/>
          <w:szCs w:val="32"/>
        </w:rPr>
      </w:pPr>
      <w:r>
        <w:rPr>
          <w:lang w:val="en-US"/>
        </w:rPr>
        <w:br w:type="page"/>
      </w:r>
    </w:p>
    <w:p w14:paraId="59784938" w14:textId="6DCA70B0" w:rsidR="00E47A84" w:rsidRDefault="00DA430F" w:rsidP="008226B3">
      <w:pPr>
        <w:pStyle w:val="Heading1"/>
        <w:spacing w:line="360" w:lineRule="auto"/>
        <w:ind w:firstLine="709"/>
        <w:rPr>
          <w:lang w:val="en-US"/>
        </w:rPr>
      </w:pPr>
      <w:bookmarkStart w:id="0" w:name="_Toc73483038"/>
      <w:r>
        <w:rPr>
          <w:lang w:val="en-US"/>
        </w:rPr>
        <w:lastRenderedPageBreak/>
        <w:t>I</w:t>
      </w:r>
      <w:r w:rsidR="00A40476">
        <w:rPr>
          <w:lang w:val="en-US"/>
        </w:rPr>
        <w:t>NTRODUCTION</w:t>
      </w:r>
      <w:bookmarkEnd w:id="0"/>
    </w:p>
    <w:p w14:paraId="19D0FC74" w14:textId="77777777" w:rsidR="00F47C55" w:rsidRDefault="00DA430F" w:rsidP="008226B3">
      <w:pPr>
        <w:spacing w:after="0" w:line="360" w:lineRule="auto"/>
        <w:ind w:firstLine="709"/>
        <w:rPr>
          <w:rFonts w:cs="Times New Roman"/>
          <w:lang w:val="en-US"/>
        </w:rPr>
      </w:pPr>
      <w:r>
        <w:rPr>
          <w:rFonts w:cs="Times New Roman"/>
          <w:lang w:val="en-US"/>
        </w:rPr>
        <w:t>Our research is devoted to the FX futures pricing in a negative interest rates environment. As a result, it could be stated that it lies at the intersection of the two broad topics of</w:t>
      </w:r>
      <w:r w:rsidR="00F47C55" w:rsidRPr="00F47C55">
        <w:rPr>
          <w:rFonts w:cs="Times New Roman"/>
          <w:lang w:val="en-US"/>
        </w:rPr>
        <w:t xml:space="preserve"> </w:t>
      </w:r>
      <w:r w:rsidR="00F47C55">
        <w:rPr>
          <w:rFonts w:cs="Times New Roman"/>
          <w:lang w:val="en-US"/>
        </w:rPr>
        <w:t>(a)</w:t>
      </w:r>
      <w:r>
        <w:rPr>
          <w:rFonts w:cs="Times New Roman"/>
          <w:lang w:val="en-US"/>
        </w:rPr>
        <w:t xml:space="preserve"> financial markets and</w:t>
      </w:r>
      <w:r w:rsidR="00F47C55">
        <w:rPr>
          <w:rFonts w:cs="Times New Roman"/>
          <w:lang w:val="en-US"/>
        </w:rPr>
        <w:t xml:space="preserve"> (b)</w:t>
      </w:r>
      <w:r>
        <w:rPr>
          <w:rFonts w:cs="Times New Roman"/>
          <w:lang w:val="en-US"/>
        </w:rPr>
        <w:t xml:space="preserve"> </w:t>
      </w:r>
      <w:r w:rsidR="00F47C55">
        <w:rPr>
          <w:rFonts w:cs="Times New Roman"/>
          <w:lang w:val="en-US"/>
        </w:rPr>
        <w:t>C</w:t>
      </w:r>
      <w:r>
        <w:rPr>
          <w:rFonts w:cs="Times New Roman"/>
          <w:lang w:val="en-US"/>
        </w:rPr>
        <w:t xml:space="preserve">entral </w:t>
      </w:r>
      <w:r w:rsidR="00F47C55">
        <w:rPr>
          <w:rFonts w:cs="Times New Roman"/>
          <w:lang w:val="en-US"/>
        </w:rPr>
        <w:t>B</w:t>
      </w:r>
      <w:r>
        <w:rPr>
          <w:rFonts w:cs="Times New Roman"/>
          <w:lang w:val="en-US"/>
        </w:rPr>
        <w:t xml:space="preserve">anks monetary policy, which are </w:t>
      </w:r>
      <w:r w:rsidR="00F47C55">
        <w:rPr>
          <w:rFonts w:cs="Times New Roman"/>
          <w:lang w:val="en-US"/>
        </w:rPr>
        <w:t>studied</w:t>
      </w:r>
      <w:r>
        <w:rPr>
          <w:rFonts w:cs="Times New Roman"/>
          <w:lang w:val="en-US"/>
        </w:rPr>
        <w:t xml:space="preserve"> with reference to specific </w:t>
      </w:r>
      <w:r w:rsidR="000823AB">
        <w:rPr>
          <w:rFonts w:cs="Times New Roman"/>
          <w:lang w:val="en-US"/>
        </w:rPr>
        <w:t>type of derivative contract, which</w:t>
      </w:r>
      <w:r w:rsidR="00F47C55">
        <w:rPr>
          <w:rFonts w:cs="Times New Roman"/>
          <w:lang w:val="en-US"/>
        </w:rPr>
        <w:t xml:space="preserve"> price is directly dependent on interbank interest rates. </w:t>
      </w:r>
      <w:r w:rsidR="000823AB">
        <w:rPr>
          <w:rFonts w:cs="Times New Roman"/>
          <w:lang w:val="en-US"/>
        </w:rPr>
        <w:t>The relevance and importance of our research is proved by recent trends in interest rates policy in such currency zones as Eurozone, Japan,</w:t>
      </w:r>
      <w:r w:rsidR="00F47C55">
        <w:rPr>
          <w:rFonts w:cs="Times New Roman"/>
          <w:lang w:val="en-US"/>
        </w:rPr>
        <w:t xml:space="preserve"> and</w:t>
      </w:r>
      <w:r w:rsidR="000823AB">
        <w:rPr>
          <w:rFonts w:cs="Times New Roman"/>
          <w:lang w:val="en-US"/>
        </w:rPr>
        <w:t xml:space="preserve"> Switzerland,</w:t>
      </w:r>
      <w:r w:rsidR="00F47C55">
        <w:rPr>
          <w:rFonts w:cs="Times New Roman"/>
          <w:lang w:val="en-US"/>
        </w:rPr>
        <w:t xml:space="preserve"> where</w:t>
      </w:r>
      <w:r w:rsidR="000823AB">
        <w:rPr>
          <w:rFonts w:cs="Times New Roman"/>
          <w:lang w:val="en-US"/>
        </w:rPr>
        <w:t xml:space="preserve"> negative interest rates policy </w:t>
      </w:r>
      <w:r w:rsidR="00F47C55">
        <w:rPr>
          <w:rFonts w:cs="Times New Roman"/>
          <w:lang w:val="en-US"/>
        </w:rPr>
        <w:t>was adopted in the period from</w:t>
      </w:r>
      <w:r w:rsidR="000823AB">
        <w:rPr>
          <w:rFonts w:cs="Times New Roman"/>
          <w:lang w:val="en-US"/>
        </w:rPr>
        <w:t xml:space="preserve"> 2015</w:t>
      </w:r>
      <w:r w:rsidR="00F47C55">
        <w:rPr>
          <w:rFonts w:cs="Times New Roman"/>
          <w:lang w:val="en-US"/>
        </w:rPr>
        <w:t xml:space="preserve"> to </w:t>
      </w:r>
      <w:r w:rsidR="000823AB">
        <w:rPr>
          <w:rFonts w:cs="Times New Roman"/>
          <w:lang w:val="en-US"/>
        </w:rPr>
        <w:t>2016</w:t>
      </w:r>
      <w:r w:rsidR="00F47C55">
        <w:rPr>
          <w:rFonts w:cs="Times New Roman"/>
          <w:lang w:val="en-US"/>
        </w:rPr>
        <w:t xml:space="preserve"> years</w:t>
      </w:r>
      <w:r w:rsidR="000823AB">
        <w:rPr>
          <w:rFonts w:cs="Times New Roman"/>
          <w:lang w:val="en-US"/>
        </w:rPr>
        <w:t xml:space="preserve">. </w:t>
      </w:r>
    </w:p>
    <w:p w14:paraId="5575BBA9" w14:textId="411A1D1C" w:rsidR="00DA430F" w:rsidRPr="00DA430F" w:rsidRDefault="000823AB" w:rsidP="008226B3">
      <w:pPr>
        <w:spacing w:after="0" w:line="360" w:lineRule="auto"/>
        <w:ind w:firstLine="709"/>
        <w:rPr>
          <w:rFonts w:cs="Times New Roman"/>
          <w:lang w:val="en-US"/>
        </w:rPr>
      </w:pPr>
      <w:r>
        <w:rPr>
          <w:rFonts w:cs="Times New Roman"/>
          <w:lang w:val="en-US"/>
        </w:rPr>
        <w:t>Generally, negative interest rates are adopted</w:t>
      </w:r>
      <w:r w:rsidR="00F47C55">
        <w:rPr>
          <w:rFonts w:cs="Times New Roman"/>
          <w:lang w:val="en-US"/>
        </w:rPr>
        <w:t xml:space="preserve"> by Central Banks</w:t>
      </w:r>
      <w:r>
        <w:rPr>
          <w:rFonts w:cs="Times New Roman"/>
          <w:lang w:val="en-US"/>
        </w:rPr>
        <w:t xml:space="preserve"> to</w:t>
      </w:r>
      <w:r w:rsidR="00F47C55">
        <w:rPr>
          <w:rFonts w:cs="Times New Roman"/>
          <w:lang w:val="en-US"/>
        </w:rPr>
        <w:t xml:space="preserve"> (a)</w:t>
      </w:r>
      <w:r>
        <w:rPr>
          <w:rFonts w:cs="Times New Roman"/>
          <w:lang w:val="en-US"/>
        </w:rPr>
        <w:t xml:space="preserve"> </w:t>
      </w:r>
      <w:r w:rsidR="00F47C55">
        <w:rPr>
          <w:rFonts w:cs="Times New Roman"/>
          <w:lang w:val="en-US"/>
        </w:rPr>
        <w:t>initiate</w:t>
      </w:r>
      <w:r>
        <w:rPr>
          <w:rFonts w:cs="Times New Roman"/>
          <w:lang w:val="en-US"/>
        </w:rPr>
        <w:t xml:space="preserve"> </w:t>
      </w:r>
      <w:r w:rsidR="00144716">
        <w:rPr>
          <w:rFonts w:cs="Times New Roman"/>
          <w:lang w:val="en-US"/>
        </w:rPr>
        <w:t>rebalancing of asset portfolios</w:t>
      </w:r>
      <w:r w:rsidR="00F47C55">
        <w:rPr>
          <w:rFonts w:cs="Times New Roman"/>
          <w:lang w:val="en-US"/>
        </w:rPr>
        <w:t xml:space="preserve"> held by financial institutions</w:t>
      </w:r>
      <w:r w:rsidR="00144716">
        <w:rPr>
          <w:rFonts w:cs="Times New Roman"/>
          <w:lang w:val="en-US"/>
        </w:rPr>
        <w:t xml:space="preserve"> </w:t>
      </w:r>
      <w:r w:rsidR="00F47C55">
        <w:rPr>
          <w:rFonts w:cs="Times New Roman"/>
          <w:lang w:val="en-US"/>
        </w:rPr>
        <w:t>towards</w:t>
      </w:r>
      <w:r w:rsidR="00144716">
        <w:rPr>
          <w:rFonts w:cs="Times New Roman"/>
          <w:lang w:val="en-US"/>
        </w:rPr>
        <w:t xml:space="preserve"> greater portion of higher-yielding assets</w:t>
      </w:r>
      <w:r w:rsidR="00F47C55">
        <w:rPr>
          <w:rFonts w:cs="Times New Roman"/>
          <w:lang w:val="en-US"/>
        </w:rPr>
        <w:t xml:space="preserve"> in portfolio structure</w:t>
      </w:r>
      <w:r w:rsidR="00144716">
        <w:rPr>
          <w:rFonts w:cs="Times New Roman"/>
          <w:lang w:val="en-US"/>
        </w:rPr>
        <w:t xml:space="preserve"> and/or</w:t>
      </w:r>
      <w:r w:rsidR="00F47C55">
        <w:rPr>
          <w:rFonts w:cs="Times New Roman"/>
          <w:lang w:val="en-US"/>
        </w:rPr>
        <w:t xml:space="preserve"> (b) to</w:t>
      </w:r>
      <w:r w:rsidR="00144716">
        <w:rPr>
          <w:rFonts w:cs="Times New Roman"/>
          <w:lang w:val="en-US"/>
        </w:rPr>
        <w:t xml:space="preserve"> counter</w:t>
      </w:r>
      <w:r w:rsidR="00F47C55">
        <w:rPr>
          <w:rFonts w:cs="Times New Roman"/>
          <w:lang w:val="en-US"/>
        </w:rPr>
        <w:t xml:space="preserve"> global</w:t>
      </w:r>
      <w:r w:rsidR="00144716">
        <w:rPr>
          <w:rFonts w:cs="Times New Roman"/>
          <w:lang w:val="en-US"/>
        </w:rPr>
        <w:t xml:space="preserve"> demand for</w:t>
      </w:r>
      <w:r w:rsidR="00F47C55">
        <w:rPr>
          <w:rFonts w:cs="Times New Roman"/>
          <w:lang w:val="en-US"/>
        </w:rPr>
        <w:t xml:space="preserve"> domestic</w:t>
      </w:r>
      <w:r w:rsidR="00144716">
        <w:rPr>
          <w:rFonts w:cs="Times New Roman"/>
          <w:lang w:val="en-US"/>
        </w:rPr>
        <w:t xml:space="preserve"> currency, because strengthening of th</w:t>
      </w:r>
      <w:r w:rsidR="00F47C55">
        <w:rPr>
          <w:rFonts w:cs="Times New Roman"/>
          <w:lang w:val="en-US"/>
        </w:rPr>
        <w:t>is</w:t>
      </w:r>
      <w:r w:rsidR="00144716">
        <w:rPr>
          <w:rFonts w:cs="Times New Roman"/>
          <w:lang w:val="en-US"/>
        </w:rPr>
        <w:t xml:space="preserve"> currency may be threatening for the export-oriented economies. This process of transition of main world economies into negative interest rates is not yet finalized: in 2020, Bank of England announced it could possibl</w:t>
      </w:r>
      <w:r w:rsidR="00F47C55">
        <w:rPr>
          <w:rFonts w:cs="Times New Roman"/>
          <w:lang w:val="en-US"/>
        </w:rPr>
        <w:t>y</w:t>
      </w:r>
      <w:r w:rsidR="00144716">
        <w:rPr>
          <w:rFonts w:cs="Times New Roman"/>
          <w:lang w:val="en-US"/>
        </w:rPr>
        <w:t xml:space="preserve"> adopt negative interest rates policy</w:t>
      </w:r>
      <w:r w:rsidR="00E100ED">
        <w:rPr>
          <w:rStyle w:val="FootnoteReference"/>
          <w:rFonts w:cs="Times New Roman"/>
          <w:lang w:val="en-US"/>
        </w:rPr>
        <w:footnoteReference w:id="1"/>
      </w:r>
      <w:r w:rsidR="00144716">
        <w:rPr>
          <w:rFonts w:cs="Times New Roman"/>
          <w:lang w:val="en-US"/>
        </w:rPr>
        <w:t>, thus Great Britain could become effectively the fourth currency zone with negative interest rates.</w:t>
      </w:r>
    </w:p>
    <w:p w14:paraId="33EC9F79" w14:textId="38F5E12A" w:rsidR="002B7DFE" w:rsidRDefault="00144716" w:rsidP="008226B3">
      <w:pPr>
        <w:spacing w:after="0" w:line="360" w:lineRule="auto"/>
        <w:ind w:firstLine="709"/>
        <w:rPr>
          <w:rFonts w:cs="Times New Roman"/>
          <w:lang w:val="en-US"/>
        </w:rPr>
      </w:pPr>
      <w:r>
        <w:rPr>
          <w:rFonts w:cs="Times New Roman"/>
          <w:lang w:val="en-US"/>
        </w:rPr>
        <w:t>The attention</w:t>
      </w:r>
      <w:r w:rsidR="00B14E2F" w:rsidRPr="00B14E2F">
        <w:rPr>
          <w:rFonts w:cs="Times New Roman"/>
          <w:lang w:val="en-US"/>
        </w:rPr>
        <w:t xml:space="preserve"> </w:t>
      </w:r>
      <w:r w:rsidR="00B14E2F">
        <w:rPr>
          <w:rFonts w:cs="Times New Roman"/>
          <w:lang w:val="en-US"/>
        </w:rPr>
        <w:t>of researchers</w:t>
      </w:r>
      <w:r>
        <w:rPr>
          <w:rFonts w:cs="Times New Roman"/>
          <w:lang w:val="en-US"/>
        </w:rPr>
        <w:t xml:space="preserve"> that </w:t>
      </w:r>
      <w:r w:rsidR="00B14E2F">
        <w:rPr>
          <w:rFonts w:cs="Times New Roman"/>
          <w:lang w:val="en-US"/>
        </w:rPr>
        <w:t>was</w:t>
      </w:r>
      <w:r>
        <w:rPr>
          <w:rFonts w:cs="Times New Roman"/>
          <w:lang w:val="en-US"/>
        </w:rPr>
        <w:t xml:space="preserve"> paid to negative interest rates </w:t>
      </w:r>
      <w:r w:rsidR="00B14E2F">
        <w:rPr>
          <w:rFonts w:cs="Times New Roman"/>
          <w:lang w:val="en-US"/>
        </w:rPr>
        <w:t>was,</w:t>
      </w:r>
      <w:r>
        <w:rPr>
          <w:rFonts w:cs="Times New Roman"/>
          <w:lang w:val="en-US"/>
        </w:rPr>
        <w:t xml:space="preserve"> basically</w:t>
      </w:r>
      <w:r w:rsidR="00B14E2F">
        <w:rPr>
          <w:rFonts w:cs="Times New Roman"/>
          <w:lang w:val="en-US"/>
        </w:rPr>
        <w:t>,</w:t>
      </w:r>
      <w:r>
        <w:rPr>
          <w:rFonts w:cs="Times New Roman"/>
          <w:lang w:val="en-US"/>
        </w:rPr>
        <w:t xml:space="preserve"> </w:t>
      </w:r>
      <w:r w:rsidR="00B14E2F">
        <w:rPr>
          <w:rFonts w:cs="Times New Roman"/>
          <w:lang w:val="en-US"/>
        </w:rPr>
        <w:t xml:space="preserve">concentrated into two areas: </w:t>
      </w:r>
      <w:r w:rsidR="002B7DFE">
        <w:rPr>
          <w:rFonts w:cs="Times New Roman"/>
          <w:lang w:val="en-US"/>
        </w:rPr>
        <w:t>(a)</w:t>
      </w:r>
      <w:r>
        <w:rPr>
          <w:rFonts w:cs="Times New Roman"/>
          <w:lang w:val="en-US"/>
        </w:rPr>
        <w:t xml:space="preserve"> long-term effects of negative interest rates at the economy growth and, as a second option,</w:t>
      </w:r>
      <w:r w:rsidR="002B7DFE">
        <w:rPr>
          <w:rFonts w:cs="Times New Roman"/>
          <w:lang w:val="en-US"/>
        </w:rPr>
        <w:t xml:space="preserve"> (b)</w:t>
      </w:r>
      <w:r>
        <w:rPr>
          <w:rFonts w:cs="Times New Roman"/>
          <w:lang w:val="en-US"/>
        </w:rPr>
        <w:t xml:space="preserve"> behavior of market participants under negative interest rates environment. </w:t>
      </w:r>
    </w:p>
    <w:p w14:paraId="26DC4549" w14:textId="08469F89" w:rsidR="00C60421" w:rsidRDefault="00144716" w:rsidP="008226B3">
      <w:pPr>
        <w:spacing w:after="0" w:line="360" w:lineRule="auto"/>
        <w:ind w:firstLine="709"/>
        <w:rPr>
          <w:rFonts w:cs="Times New Roman"/>
          <w:lang w:val="en-US"/>
        </w:rPr>
      </w:pPr>
      <w:r>
        <w:rPr>
          <w:rFonts w:cs="Times New Roman"/>
          <w:lang w:val="en-US"/>
        </w:rPr>
        <w:t>The essential feature of negative interest rates is that it is no more possible to</w:t>
      </w:r>
      <w:r w:rsidR="002B7DFE">
        <w:rPr>
          <w:rFonts w:cs="Times New Roman"/>
          <w:lang w:val="en-US"/>
        </w:rPr>
        <w:t xml:space="preserve"> directly and without additional adjustment</w:t>
      </w:r>
      <w:r>
        <w:rPr>
          <w:rFonts w:cs="Times New Roman"/>
          <w:lang w:val="en-US"/>
        </w:rPr>
        <w:t xml:space="preserve"> measure time value of money in terms of </w:t>
      </w:r>
      <w:r w:rsidRPr="00B14E2F">
        <w:rPr>
          <w:rFonts w:cs="Times New Roman"/>
          <w:i/>
          <w:iCs/>
          <w:lang w:val="en-US"/>
        </w:rPr>
        <w:t>interest accrued</w:t>
      </w:r>
      <w:r>
        <w:rPr>
          <w:rFonts w:cs="Times New Roman"/>
          <w:lang w:val="en-US"/>
        </w:rPr>
        <w:t xml:space="preserve"> through </w:t>
      </w:r>
      <w:r w:rsidR="00B14E2F">
        <w:rPr>
          <w:rFonts w:cs="Times New Roman"/>
          <w:lang w:val="en-US"/>
        </w:rPr>
        <w:t xml:space="preserve">provision of </w:t>
      </w:r>
      <w:r>
        <w:rPr>
          <w:rFonts w:cs="Times New Roman"/>
          <w:lang w:val="en-US"/>
        </w:rPr>
        <w:t>borrowing or</w:t>
      </w:r>
      <w:r w:rsidR="00B14E2F">
        <w:rPr>
          <w:rFonts w:cs="Times New Roman"/>
          <w:lang w:val="en-US"/>
        </w:rPr>
        <w:t xml:space="preserve"> </w:t>
      </w:r>
      <w:r w:rsidR="00B14E2F" w:rsidRPr="00B14E2F">
        <w:rPr>
          <w:rFonts w:cs="Times New Roman"/>
          <w:i/>
          <w:iCs/>
          <w:lang w:val="en-US"/>
        </w:rPr>
        <w:t>interest paid</w:t>
      </w:r>
      <w:r w:rsidR="00B14E2F">
        <w:rPr>
          <w:rFonts w:cs="Times New Roman"/>
          <w:lang w:val="en-US"/>
        </w:rPr>
        <w:t xml:space="preserve"> in</w:t>
      </w:r>
      <w:r>
        <w:rPr>
          <w:rFonts w:cs="Times New Roman"/>
          <w:lang w:val="en-US"/>
        </w:rPr>
        <w:t xml:space="preserve"> lending transactions: in</w:t>
      </w:r>
      <w:r w:rsidR="00B14E2F">
        <w:rPr>
          <w:rFonts w:cs="Times New Roman"/>
          <w:lang w:val="en-US"/>
        </w:rPr>
        <w:t xml:space="preserve"> the most simplistic understanding,</w:t>
      </w:r>
      <w:r>
        <w:rPr>
          <w:rFonts w:cs="Times New Roman"/>
          <w:lang w:val="en-US"/>
        </w:rPr>
        <w:t xml:space="preserve"> economies with negative interest rates </w:t>
      </w:r>
      <w:r w:rsidRPr="00B14E2F">
        <w:rPr>
          <w:rFonts w:cs="Times New Roman"/>
          <w:i/>
          <w:iCs/>
          <w:lang w:val="en-US"/>
        </w:rPr>
        <w:t>borrower is paid</w:t>
      </w:r>
      <w:r>
        <w:rPr>
          <w:rFonts w:cs="Times New Roman"/>
          <w:lang w:val="en-US"/>
        </w:rPr>
        <w:t xml:space="preserve"> for lending, while </w:t>
      </w:r>
      <w:r w:rsidRPr="00B14E2F">
        <w:rPr>
          <w:rFonts w:cs="Times New Roman"/>
          <w:i/>
          <w:iCs/>
          <w:lang w:val="en-US"/>
        </w:rPr>
        <w:t>the lenger pays</w:t>
      </w:r>
      <w:r>
        <w:rPr>
          <w:rFonts w:cs="Times New Roman"/>
          <w:lang w:val="en-US"/>
        </w:rPr>
        <w:t xml:space="preserve"> for providing the loan. This situation</w:t>
      </w:r>
      <w:r w:rsidR="00B14E2F">
        <w:rPr>
          <w:rFonts w:cs="Times New Roman"/>
          <w:lang w:val="en-US"/>
        </w:rPr>
        <w:t>,</w:t>
      </w:r>
      <w:r>
        <w:rPr>
          <w:rFonts w:cs="Times New Roman"/>
          <w:lang w:val="en-US"/>
        </w:rPr>
        <w:t xml:space="preserve"> tho</w:t>
      </w:r>
      <w:r w:rsidR="002B7DFE">
        <w:rPr>
          <w:rFonts w:cs="Times New Roman"/>
          <w:lang w:val="en-US"/>
        </w:rPr>
        <w:t>u</w:t>
      </w:r>
      <w:r>
        <w:rPr>
          <w:rFonts w:cs="Times New Roman"/>
          <w:lang w:val="en-US"/>
        </w:rPr>
        <w:t>gh</w:t>
      </w:r>
      <w:r w:rsidR="00B14E2F">
        <w:rPr>
          <w:rFonts w:cs="Times New Roman"/>
          <w:lang w:val="en-US"/>
        </w:rPr>
        <w:t>,</w:t>
      </w:r>
      <w:r>
        <w:rPr>
          <w:rFonts w:cs="Times New Roman"/>
          <w:lang w:val="en-US"/>
        </w:rPr>
        <w:t xml:space="preserve"> is not as counterintuitive as it might seemed to be. If we look at the other characteristics of the monetary policy, it becomes </w:t>
      </w:r>
      <w:r w:rsidR="001D342A">
        <w:rPr>
          <w:rFonts w:cs="Times New Roman"/>
          <w:lang w:val="en-US"/>
        </w:rPr>
        <w:t xml:space="preserve">obvious that </w:t>
      </w:r>
      <w:r w:rsidR="001D342A" w:rsidRPr="002B7DFE">
        <w:rPr>
          <w:rFonts w:cs="Times New Roman"/>
          <w:i/>
          <w:iCs/>
          <w:lang w:val="en-US"/>
        </w:rPr>
        <w:t xml:space="preserve">lending at the negative rates makes sense if the lender </w:t>
      </w:r>
      <w:r w:rsidR="002B7DFE" w:rsidRPr="002B7DFE">
        <w:rPr>
          <w:rFonts w:cs="Times New Roman"/>
          <w:i/>
          <w:iCs/>
          <w:lang w:val="en-US"/>
        </w:rPr>
        <w:t>suffer losses</w:t>
      </w:r>
      <w:r w:rsidR="001D342A" w:rsidRPr="002B7DFE">
        <w:rPr>
          <w:rFonts w:cs="Times New Roman"/>
          <w:i/>
          <w:iCs/>
          <w:lang w:val="en-US"/>
        </w:rPr>
        <w:t xml:space="preserve"> for decision not to provide the loan</w:t>
      </w:r>
      <w:r w:rsidR="001D342A">
        <w:rPr>
          <w:rFonts w:cs="Times New Roman"/>
          <w:lang w:val="en-US"/>
        </w:rPr>
        <w:t xml:space="preserve"> and this </w:t>
      </w:r>
      <w:r w:rsidR="002B7DFE">
        <w:rPr>
          <w:rFonts w:cs="Times New Roman"/>
          <w:lang w:val="en-US"/>
        </w:rPr>
        <w:t>loss</w:t>
      </w:r>
      <w:r w:rsidR="001D342A">
        <w:rPr>
          <w:rFonts w:cs="Times New Roman"/>
          <w:lang w:val="en-US"/>
        </w:rPr>
        <w:t xml:space="preserve"> is higher than the loss accumulated via negative interest rate bearing loan. We will look into such details later, when</w:t>
      </w:r>
      <w:r w:rsidR="002B7DFE">
        <w:rPr>
          <w:rFonts w:cs="Times New Roman"/>
          <w:lang w:val="en-US"/>
        </w:rPr>
        <w:t xml:space="preserve"> we</w:t>
      </w:r>
      <w:r w:rsidR="001D342A">
        <w:rPr>
          <w:rFonts w:cs="Times New Roman"/>
          <w:lang w:val="en-US"/>
        </w:rPr>
        <w:t xml:space="preserve"> outline monetary policy in each of the mentioned currency zones: Japan, Switzerland and Eurozone. </w:t>
      </w:r>
    </w:p>
    <w:p w14:paraId="65F6ADD0" w14:textId="7ACF6469" w:rsidR="00FC6B24" w:rsidRDefault="00394FAA" w:rsidP="008226B3">
      <w:pPr>
        <w:spacing w:after="0" w:line="360" w:lineRule="auto"/>
        <w:ind w:firstLine="709"/>
        <w:rPr>
          <w:rFonts w:cs="Times New Roman"/>
          <w:lang w:val="en-US"/>
        </w:rPr>
      </w:pPr>
      <w:r>
        <w:rPr>
          <w:rFonts w:cs="Times New Roman"/>
          <w:lang w:val="en-US"/>
        </w:rPr>
        <w:lastRenderedPageBreak/>
        <w:t xml:space="preserve">Moving further, from the monetary policy to the FX futures,  </w:t>
      </w:r>
      <w:r w:rsidR="00FC6B24">
        <w:rPr>
          <w:rFonts w:cs="Times New Roman"/>
          <w:lang w:val="en-US"/>
        </w:rPr>
        <w:t xml:space="preserve">we have to a </w:t>
      </w:r>
      <w:r>
        <w:rPr>
          <w:rFonts w:cs="Times New Roman"/>
          <w:lang w:val="en-US"/>
        </w:rPr>
        <w:t>outline why negative interest rates create a problem for FX derivatives futures pricing in general and what possibilities design of FX f</w:t>
      </w:r>
      <w:r w:rsidR="00B14E2F">
        <w:rPr>
          <w:rFonts w:cs="Times New Roman"/>
          <w:lang w:val="en-US"/>
        </w:rPr>
        <w:t xml:space="preserve">uture </w:t>
      </w:r>
      <w:r>
        <w:rPr>
          <w:rFonts w:cs="Times New Roman"/>
          <w:lang w:val="en-US"/>
        </w:rPr>
        <w:t>contract provide to us.</w:t>
      </w:r>
    </w:p>
    <w:p w14:paraId="28A947CC" w14:textId="77777777" w:rsidR="00BD4220" w:rsidRDefault="00394FAA" w:rsidP="008226B3">
      <w:pPr>
        <w:spacing w:after="0" w:line="360" w:lineRule="auto"/>
        <w:ind w:firstLine="709"/>
        <w:rPr>
          <w:rFonts w:cs="Times New Roman"/>
          <w:lang w:val="en-US"/>
        </w:rPr>
      </w:pPr>
      <w:r>
        <w:rPr>
          <w:rFonts w:cs="Times New Roman"/>
          <w:lang w:val="en-US"/>
        </w:rPr>
        <w:t xml:space="preserve">First, the nature of the derivatives contracts (if implemented for non-speculative purposes) is the reduction of risk. With respect to FX derivatives, reduced risk is a </w:t>
      </w:r>
      <w:r w:rsidRPr="00394FAA">
        <w:rPr>
          <w:rFonts w:cs="Times New Roman"/>
          <w:i/>
          <w:iCs/>
          <w:lang w:val="en-US"/>
        </w:rPr>
        <w:t>currency risk</w:t>
      </w:r>
      <w:r w:rsidR="00BD4220">
        <w:rPr>
          <w:rFonts w:cs="Times New Roman"/>
          <w:i/>
          <w:iCs/>
          <w:lang w:val="en-US"/>
        </w:rPr>
        <w:t>, or the risk of exposure to the fluctuations in the FX rate</w:t>
      </w:r>
      <w:r>
        <w:rPr>
          <w:rFonts w:cs="Times New Roman"/>
          <w:lang w:val="en-US"/>
        </w:rPr>
        <w:t xml:space="preserve">. This reduction, in FX derivatives, is performed with aggreement of </w:t>
      </w:r>
      <w:r w:rsidR="00DC0F3F">
        <w:rPr>
          <w:rFonts w:cs="Times New Roman"/>
          <w:lang w:val="en-US"/>
        </w:rPr>
        <w:t xml:space="preserve">the parameters of FX rate to be purchased in the future. In case of FX options, price is paid for the </w:t>
      </w:r>
      <w:r w:rsidR="00DC0F3F" w:rsidRPr="00DC0F3F">
        <w:rPr>
          <w:rFonts w:cs="Times New Roman"/>
          <w:i/>
          <w:iCs/>
          <w:lang w:val="en-US"/>
        </w:rPr>
        <w:t>possibility</w:t>
      </w:r>
      <w:r w:rsidR="00DC0F3F">
        <w:rPr>
          <w:rFonts w:cs="Times New Roman"/>
          <w:lang w:val="en-US"/>
        </w:rPr>
        <w:t xml:space="preserve"> to purchase foreign currency at a pre-agreed FX rate in the future, in case of FX futures, price is paid for the </w:t>
      </w:r>
      <w:r w:rsidR="00DC0F3F" w:rsidRPr="00BD4220">
        <w:rPr>
          <w:rFonts w:cs="Times New Roman"/>
          <w:i/>
          <w:iCs/>
          <w:lang w:val="en-US"/>
        </w:rPr>
        <w:t>obligation</w:t>
      </w:r>
      <w:r w:rsidR="00DC0F3F">
        <w:rPr>
          <w:rFonts w:cs="Times New Roman"/>
          <w:lang w:val="en-US"/>
        </w:rPr>
        <w:t xml:space="preserve"> to purchase FX currency in the future.</w:t>
      </w:r>
      <w:r w:rsidR="00BD4220">
        <w:rPr>
          <w:rFonts w:cs="Times New Roman"/>
          <w:lang w:val="en-US"/>
        </w:rPr>
        <w:t xml:space="preserve"> But w</w:t>
      </w:r>
      <w:r w:rsidR="00BD4220" w:rsidRPr="00BD4220">
        <w:rPr>
          <w:rFonts w:cs="Times New Roman"/>
          <w:lang w:val="en-US"/>
        </w:rPr>
        <w:t xml:space="preserve">hat makes FX futures more convenient for analysis than FX options, is that theoretical price could be calculated relatively straightforward and deviations from the theoretical price could be studied. </w:t>
      </w:r>
      <w:r w:rsidR="00DC0F3F">
        <w:rPr>
          <w:rFonts w:cs="Times New Roman"/>
          <w:lang w:val="en-US"/>
        </w:rPr>
        <w:t xml:space="preserve"> </w:t>
      </w:r>
    </w:p>
    <w:p w14:paraId="55CD9EA6" w14:textId="5384CC95" w:rsidR="00BD4220" w:rsidRPr="00BD4220" w:rsidRDefault="00DC0F3F" w:rsidP="008226B3">
      <w:pPr>
        <w:spacing w:after="0" w:line="360" w:lineRule="auto"/>
        <w:ind w:firstLine="709"/>
        <w:rPr>
          <w:rFonts w:cs="Times New Roman"/>
          <w:lang w:val="en-US"/>
        </w:rPr>
      </w:pPr>
      <w:r>
        <w:rPr>
          <w:rFonts w:cs="Times New Roman"/>
          <w:lang w:val="en-US"/>
        </w:rPr>
        <w:t>Because in both cases the purchase of the foreign currency occurs in the future, the time value of money will influence the price of the contract. For example, in case of FX future purchase, buyer will receive foreing currency later, he/she will forego the possibility to lend foreign currency in the foreign interbank market, but will have the possibility to lend domestic currency in the domestic interbank market. Thus, the FX future price, expressed as a special type of FX rate</w:t>
      </w:r>
      <w:r w:rsidR="00830BF2">
        <w:rPr>
          <w:rFonts w:cs="Times New Roman"/>
          <w:lang w:val="en-US"/>
        </w:rPr>
        <w:t>,</w:t>
      </w:r>
      <w:r>
        <w:rPr>
          <w:rFonts w:cs="Times New Roman"/>
          <w:lang w:val="en-US"/>
        </w:rPr>
        <w:t xml:space="preserve"> is either lower than the underlying FX rate (in case currency purchased bear higher interbank interest rate than domestic currency), or higher (in case foreing rates are lower than the domestic ones). Thus, </w:t>
      </w:r>
      <w:r w:rsidRPr="00DC0F3F">
        <w:rPr>
          <w:rFonts w:cs="Times New Roman"/>
          <w:i/>
          <w:iCs/>
          <w:lang w:val="en-US"/>
        </w:rPr>
        <w:t>time value of money plays</w:t>
      </w:r>
      <w:r>
        <w:rPr>
          <w:rFonts w:cs="Times New Roman"/>
          <w:i/>
          <w:iCs/>
          <w:lang w:val="en-US"/>
        </w:rPr>
        <w:t xml:space="preserve"> crucial r</w:t>
      </w:r>
      <w:r w:rsidRPr="00DC0F3F">
        <w:rPr>
          <w:rFonts w:cs="Times New Roman"/>
          <w:i/>
          <w:iCs/>
          <w:lang w:val="en-US"/>
        </w:rPr>
        <w:t xml:space="preserve">ole </w:t>
      </w:r>
      <w:r>
        <w:rPr>
          <w:rFonts w:cs="Times New Roman"/>
          <w:i/>
          <w:iCs/>
          <w:lang w:val="en-US"/>
        </w:rPr>
        <w:t>in FX futures pricing</w:t>
      </w:r>
      <w:r w:rsidR="00BD4220">
        <w:rPr>
          <w:rFonts w:cs="Times New Roman"/>
          <w:lang w:val="en-US"/>
        </w:rPr>
        <w:t>, and is incorporated into FX future pricing formula.</w:t>
      </w:r>
    </w:p>
    <w:p w14:paraId="402F432B" w14:textId="77777777" w:rsidR="00BD4220" w:rsidRDefault="00BD4220" w:rsidP="008226B3">
      <w:pPr>
        <w:spacing w:after="0" w:line="360" w:lineRule="auto"/>
        <w:ind w:firstLine="709"/>
        <w:rPr>
          <w:rFonts w:cs="Times New Roman"/>
          <w:lang w:val="en-US"/>
        </w:rPr>
      </w:pPr>
      <w:r>
        <w:rPr>
          <w:rFonts w:cs="Times New Roman"/>
          <w:lang w:val="en-US"/>
        </w:rPr>
        <w:t>At the same time</w:t>
      </w:r>
      <w:r w:rsidR="00DC0F3F">
        <w:rPr>
          <w:rFonts w:cs="Times New Roman"/>
          <w:lang w:val="en-US"/>
        </w:rPr>
        <w:t xml:space="preserve">, at the time when FX futures were introduced, </w:t>
      </w:r>
      <w:r w:rsidR="00DC0F3F" w:rsidRPr="00830BF2">
        <w:rPr>
          <w:rFonts w:cs="Times New Roman"/>
          <w:i/>
          <w:iCs/>
          <w:lang w:val="en-US"/>
        </w:rPr>
        <w:t>no economy had negative interbank interest rates</w:t>
      </w:r>
      <w:r w:rsidR="00DC0F3F">
        <w:rPr>
          <w:rFonts w:cs="Times New Roman"/>
          <w:lang w:val="en-US"/>
        </w:rPr>
        <w:t xml:space="preserve">. </w:t>
      </w:r>
      <w:r w:rsidR="00830BF2">
        <w:rPr>
          <w:rFonts w:cs="Times New Roman"/>
          <w:lang w:val="en-US"/>
        </w:rPr>
        <w:t>Given that</w:t>
      </w:r>
      <w:r>
        <w:rPr>
          <w:rFonts w:cs="Times New Roman"/>
          <w:lang w:val="en-US"/>
        </w:rPr>
        <w:t xml:space="preserve"> with respect to negative interest rate, so called </w:t>
      </w:r>
      <w:r w:rsidRPr="00BD4220">
        <w:rPr>
          <w:rFonts w:cs="Times New Roman"/>
          <w:lang w:val="en-US"/>
        </w:rPr>
        <w:t>«</w:t>
      </w:r>
      <w:r>
        <w:rPr>
          <w:rFonts w:cs="Times New Roman"/>
          <w:lang w:val="en-US"/>
        </w:rPr>
        <w:t>zero lower bound</w:t>
      </w:r>
      <w:r w:rsidRPr="00BD4220">
        <w:rPr>
          <w:rFonts w:cs="Times New Roman"/>
          <w:lang w:val="en-US"/>
        </w:rPr>
        <w:t>»</w:t>
      </w:r>
      <w:r>
        <w:rPr>
          <w:rFonts w:cs="Times New Roman"/>
          <w:lang w:val="en-US"/>
        </w:rPr>
        <w:t xml:space="preserve"> effect is found</w:t>
      </w:r>
      <w:r>
        <w:rPr>
          <w:rStyle w:val="FootnoteReference"/>
          <w:rFonts w:cs="Times New Roman"/>
          <w:lang w:val="en-US"/>
        </w:rPr>
        <w:footnoteReference w:id="2"/>
      </w:r>
      <w:r>
        <w:rPr>
          <w:rFonts w:cs="Times New Roman"/>
          <w:lang w:val="en-US"/>
        </w:rPr>
        <w:t>,</w:t>
      </w:r>
      <w:r w:rsidR="00830BF2">
        <w:rPr>
          <w:rFonts w:cs="Times New Roman"/>
          <w:lang w:val="en-US"/>
        </w:rPr>
        <w:t xml:space="preserve"> </w:t>
      </w:r>
      <w:r w:rsidR="00F2159D">
        <w:rPr>
          <w:rFonts w:cs="Times New Roman"/>
          <w:lang w:val="en-US"/>
        </w:rPr>
        <w:t xml:space="preserve">the effect of negative interbank interest rates on FX futures pricing may be not as direct as in case of the pricing of FX futures, where both currencies have positive interbank interest rates. </w:t>
      </w:r>
    </w:p>
    <w:p w14:paraId="2785848A" w14:textId="621C0E1B" w:rsidR="003969B1" w:rsidRDefault="00F2159D" w:rsidP="008226B3">
      <w:pPr>
        <w:spacing w:after="0" w:line="360" w:lineRule="auto"/>
        <w:ind w:firstLine="709"/>
        <w:rPr>
          <w:rFonts w:cs="Times New Roman"/>
          <w:lang w:val="en-US"/>
        </w:rPr>
      </w:pPr>
      <w:r>
        <w:rPr>
          <w:rFonts w:cs="Times New Roman"/>
          <w:lang w:val="en-US"/>
        </w:rPr>
        <w:t xml:space="preserve">Currently, total monthly trade volume of FX derivatives (futures, forwards and options) is higher than </w:t>
      </w:r>
      <w:r w:rsidR="00F33F14">
        <w:rPr>
          <w:rFonts w:cs="Times New Roman"/>
          <w:lang w:val="en-US"/>
        </w:rPr>
        <w:t>2.4</w:t>
      </w:r>
      <w:r>
        <w:rPr>
          <w:rFonts w:cs="Times New Roman"/>
          <w:lang w:val="en-US"/>
        </w:rPr>
        <w:t xml:space="preserve"> USD trillion</w:t>
      </w:r>
      <w:r w:rsidR="002B7DFE">
        <w:rPr>
          <w:rStyle w:val="FootnoteReference"/>
          <w:rFonts w:cs="Times New Roman"/>
          <w:lang w:val="en-US"/>
        </w:rPr>
        <w:footnoteReference w:id="3"/>
      </w:r>
      <w:r>
        <w:rPr>
          <w:rFonts w:cs="Times New Roman"/>
          <w:lang w:val="en-US"/>
        </w:rPr>
        <w:t>. And, what is also interesting,</w:t>
      </w:r>
      <w:r w:rsidR="00BD4220">
        <w:rPr>
          <w:rFonts w:cs="Times New Roman"/>
          <w:lang w:val="en-US"/>
        </w:rPr>
        <w:t xml:space="preserve"> </w:t>
      </w:r>
      <w:r w:rsidR="00BD4220" w:rsidRPr="00BD4220">
        <w:rPr>
          <w:rFonts w:cs="Times New Roman"/>
          <w:i/>
          <w:iCs/>
          <w:lang w:val="en-US"/>
        </w:rPr>
        <w:t>up to now</w:t>
      </w:r>
      <w:r w:rsidRPr="00BD4220">
        <w:rPr>
          <w:rFonts w:cs="Times New Roman"/>
          <w:i/>
          <w:iCs/>
          <w:lang w:val="en-US"/>
        </w:rPr>
        <w:t xml:space="preserve"> studies</w:t>
      </w:r>
      <w:r w:rsidRPr="00F2159D">
        <w:rPr>
          <w:rFonts w:cs="Times New Roman"/>
          <w:i/>
          <w:iCs/>
          <w:lang w:val="en-US"/>
        </w:rPr>
        <w:t xml:space="preserve"> of the pricing of </w:t>
      </w:r>
      <w:r w:rsidR="00073E78" w:rsidRPr="00F2159D">
        <w:rPr>
          <w:rFonts w:cs="Times New Roman"/>
          <w:i/>
          <w:iCs/>
          <w:lang w:val="en-US"/>
        </w:rPr>
        <w:t xml:space="preserve">FX derivatives on japanese yen, euro and swiss franc </w:t>
      </w:r>
      <w:r w:rsidRPr="00F2159D">
        <w:rPr>
          <w:rFonts w:cs="Times New Roman"/>
          <w:i/>
          <w:iCs/>
          <w:lang w:val="en-US"/>
        </w:rPr>
        <w:t>are</w:t>
      </w:r>
      <w:r>
        <w:rPr>
          <w:rFonts w:cs="Times New Roman"/>
          <w:i/>
          <w:iCs/>
          <w:lang w:val="en-US"/>
        </w:rPr>
        <w:t xml:space="preserve"> made without explicit refer</w:t>
      </w:r>
      <w:r w:rsidR="00EF0B6A">
        <w:rPr>
          <w:rFonts w:cs="Times New Roman"/>
          <w:i/>
          <w:iCs/>
          <w:lang w:val="en-US"/>
        </w:rPr>
        <w:t>e</w:t>
      </w:r>
      <w:r>
        <w:rPr>
          <w:rFonts w:cs="Times New Roman"/>
          <w:i/>
          <w:iCs/>
          <w:lang w:val="en-US"/>
        </w:rPr>
        <w:t>ncing to the</w:t>
      </w:r>
      <w:r w:rsidR="00073E78" w:rsidRPr="00F2159D">
        <w:rPr>
          <w:rFonts w:cs="Times New Roman"/>
          <w:i/>
          <w:iCs/>
          <w:lang w:val="en-US"/>
        </w:rPr>
        <w:t xml:space="preserve"> nature of monetary policy in these currency zones</w:t>
      </w:r>
      <w:r w:rsidR="00BD4220">
        <w:rPr>
          <w:rFonts w:cs="Times New Roman"/>
          <w:lang w:val="en-US"/>
        </w:rPr>
        <w:t>.</w:t>
      </w:r>
    </w:p>
    <w:p w14:paraId="69561FB0" w14:textId="77777777" w:rsidR="003969B1" w:rsidRDefault="003969B1">
      <w:pPr>
        <w:jc w:val="left"/>
        <w:rPr>
          <w:rFonts w:cs="Times New Roman"/>
          <w:lang w:val="en-US"/>
        </w:rPr>
      </w:pPr>
      <w:r>
        <w:rPr>
          <w:rFonts w:cs="Times New Roman"/>
          <w:lang w:val="en-US"/>
        </w:rPr>
        <w:br w:type="page"/>
      </w:r>
    </w:p>
    <w:p w14:paraId="632B496D" w14:textId="1E225F6E" w:rsidR="00DA430F" w:rsidRDefault="00073E78" w:rsidP="008226B3">
      <w:pPr>
        <w:spacing w:after="0" w:line="360" w:lineRule="auto"/>
        <w:ind w:firstLine="709"/>
        <w:rPr>
          <w:rFonts w:cs="Times New Roman"/>
          <w:lang w:val="en-US"/>
        </w:rPr>
      </w:pPr>
      <w:r>
        <w:rPr>
          <w:rFonts w:cs="Times New Roman"/>
          <w:lang w:val="en-US"/>
        </w:rPr>
        <w:lastRenderedPageBreak/>
        <w:t>Thus, we want to state that:</w:t>
      </w:r>
    </w:p>
    <w:p w14:paraId="7D1BB4AC" w14:textId="6CAAB9DD" w:rsidR="009D5CF0" w:rsidRDefault="009D5CF0" w:rsidP="008226B3">
      <w:pPr>
        <w:spacing w:after="0" w:line="360" w:lineRule="auto"/>
        <w:ind w:firstLine="709"/>
        <w:rPr>
          <w:rFonts w:cs="Times New Roman"/>
          <w:lang w:val="en-US"/>
        </w:rPr>
      </w:pPr>
      <w:r w:rsidRPr="009D5CF0">
        <w:rPr>
          <w:rFonts w:cs="Times New Roman"/>
          <w:b/>
          <w:bCs/>
          <w:lang w:val="en-US"/>
        </w:rPr>
        <w:t>The relevancy</w:t>
      </w:r>
      <w:r w:rsidRPr="009D5CF0">
        <w:rPr>
          <w:rFonts w:cs="Times New Roman"/>
          <w:lang w:val="en-US"/>
        </w:rPr>
        <w:t xml:space="preserve"> of the research is proved by the (a) small amount of prior research conducted on FX derivatives with respect to the negative interest rates</w:t>
      </w:r>
      <w:r>
        <w:rPr>
          <w:rFonts w:cs="Times New Roman"/>
          <w:lang w:val="en-US"/>
        </w:rPr>
        <w:t>;</w:t>
      </w:r>
      <w:r w:rsidRPr="009D5CF0">
        <w:rPr>
          <w:rFonts w:cs="Times New Roman"/>
          <w:lang w:val="en-US"/>
        </w:rPr>
        <w:t xml:space="preserve"> (b) total share of FX derivatives on currencies with negative domestic interbank rates; (c) the relative novelty of negative interbank interest rates, as a monetary policy tool, and (d)</w:t>
      </w:r>
      <w:r>
        <w:rPr>
          <w:rFonts w:cs="Times New Roman"/>
          <w:lang w:val="en-US"/>
        </w:rPr>
        <w:t xml:space="preserve"> expressed interest in implementation of the mentioned policy tool from another major economy (i.e. Great Britain)</w:t>
      </w:r>
      <w:r w:rsidR="00BD4220">
        <w:rPr>
          <w:rFonts w:cs="Times New Roman"/>
          <w:lang w:val="en-US"/>
        </w:rPr>
        <w:t xml:space="preserve"> and possibility for continuation of this trend in the future.</w:t>
      </w:r>
    </w:p>
    <w:p w14:paraId="73EFA0B3" w14:textId="3B1B200E" w:rsidR="00957972" w:rsidRDefault="009D5CF0" w:rsidP="008226B3">
      <w:pPr>
        <w:spacing w:after="0" w:line="360" w:lineRule="auto"/>
        <w:ind w:firstLine="709"/>
        <w:rPr>
          <w:rFonts w:cs="Times New Roman"/>
          <w:lang w:val="en-US"/>
        </w:rPr>
      </w:pPr>
      <w:r w:rsidRPr="009D5CF0">
        <w:rPr>
          <w:rFonts w:cs="Times New Roman"/>
          <w:b/>
          <w:bCs/>
          <w:lang w:val="en-US"/>
        </w:rPr>
        <w:t xml:space="preserve">The managerial application </w:t>
      </w:r>
      <w:r>
        <w:rPr>
          <w:rFonts w:cs="Times New Roman"/>
          <w:lang w:val="en-US"/>
        </w:rPr>
        <w:t>of the research</w:t>
      </w:r>
      <w:r w:rsidR="00957972" w:rsidRPr="00957972">
        <w:rPr>
          <w:rFonts w:cs="Times New Roman"/>
          <w:lang w:val="en-US"/>
        </w:rPr>
        <w:t xml:space="preserve"> </w:t>
      </w:r>
      <w:r w:rsidR="00957972">
        <w:rPr>
          <w:rFonts w:cs="Times New Roman"/>
          <w:lang w:val="en-US"/>
        </w:rPr>
        <w:t>could be prove</w:t>
      </w:r>
      <w:r w:rsidR="001D7651">
        <w:rPr>
          <w:rFonts w:cs="Times New Roman"/>
          <w:lang w:val="en-US"/>
        </w:rPr>
        <w:t>n</w:t>
      </w:r>
      <w:r w:rsidR="00957972">
        <w:rPr>
          <w:rFonts w:cs="Times New Roman"/>
          <w:lang w:val="en-US"/>
        </w:rPr>
        <w:t xml:space="preserve"> by </w:t>
      </w:r>
      <w:r w:rsidR="001D7651">
        <w:rPr>
          <w:rFonts w:cs="Times New Roman"/>
          <w:lang w:val="en-US"/>
        </w:rPr>
        <w:t>(a)</w:t>
      </w:r>
      <w:r w:rsidR="00957972">
        <w:rPr>
          <w:rFonts w:cs="Times New Roman"/>
          <w:lang w:val="en-US"/>
        </w:rPr>
        <w:t xml:space="preserve"> necessity of market participants (both financial and non-financial institutions) to engage in</w:t>
      </w:r>
      <w:r w:rsidR="001D7651">
        <w:rPr>
          <w:rFonts w:cs="Times New Roman"/>
          <w:lang w:val="en-US"/>
        </w:rPr>
        <w:t xml:space="preserve"> hedging currency risk, and (b) the role which major economies in a currency zones with negative interbank rates play in the world economy. Thus, understanding of the drivers of the pricing of derivative contracts that reference these currencies is crucial for efficient hedging currency risk.</w:t>
      </w:r>
    </w:p>
    <w:p w14:paraId="059CBA33" w14:textId="38A5182D" w:rsidR="00ED68AF" w:rsidRPr="00C916D1" w:rsidRDefault="006154C8" w:rsidP="008226B3">
      <w:pPr>
        <w:spacing w:after="0" w:line="360" w:lineRule="auto"/>
        <w:ind w:firstLine="709"/>
        <w:rPr>
          <w:rFonts w:cs="Times New Roman"/>
          <w:lang w:val="en-US"/>
        </w:rPr>
      </w:pPr>
      <w:r>
        <w:rPr>
          <w:rFonts w:cs="Times New Roman"/>
          <w:lang w:val="en-US"/>
        </w:rPr>
        <w:t>Taking into account mentioned facts, we could define our</w:t>
      </w:r>
      <w:r w:rsidR="006B74EB">
        <w:rPr>
          <w:rFonts w:cs="Times New Roman"/>
          <w:lang w:val="en-US"/>
        </w:rPr>
        <w:t xml:space="preserve"> </w:t>
      </w:r>
      <w:r w:rsidR="006B74EB" w:rsidRPr="000D5A0A">
        <w:rPr>
          <w:rFonts w:cs="Times New Roman"/>
          <w:b/>
          <w:bCs/>
          <w:lang w:val="en-US"/>
        </w:rPr>
        <w:t>Research subject</w:t>
      </w:r>
      <w:r w:rsidR="006B74EB">
        <w:rPr>
          <w:rFonts w:cs="Times New Roman"/>
          <w:lang w:val="en-US"/>
        </w:rPr>
        <w:t xml:space="preserve"> as </w:t>
      </w:r>
      <w:r w:rsidR="000D5A0A" w:rsidRPr="000D5A0A">
        <w:rPr>
          <w:rFonts w:cs="Times New Roman"/>
          <w:i/>
          <w:iCs/>
          <w:lang w:val="en-US"/>
        </w:rPr>
        <w:t>FX futures on currencies, where at least one currency has negative interest rate applicable for interbank ledning in the this currency</w:t>
      </w:r>
      <w:r w:rsidR="000D5A0A">
        <w:rPr>
          <w:rFonts w:cs="Times New Roman"/>
          <w:lang w:val="en-US"/>
        </w:rPr>
        <w:t xml:space="preserve"> and </w:t>
      </w:r>
      <w:r w:rsidR="006B74EB" w:rsidRPr="000D5A0A">
        <w:rPr>
          <w:rFonts w:cs="Times New Roman"/>
          <w:b/>
          <w:bCs/>
          <w:lang w:val="en-US"/>
        </w:rPr>
        <w:t>R</w:t>
      </w:r>
      <w:r w:rsidRPr="000D5A0A">
        <w:rPr>
          <w:rFonts w:cs="Times New Roman"/>
          <w:b/>
          <w:bCs/>
          <w:lang w:val="en-US"/>
        </w:rPr>
        <w:t xml:space="preserve">esearch </w:t>
      </w:r>
      <w:r w:rsidR="006B74EB" w:rsidRPr="000D5A0A">
        <w:rPr>
          <w:rFonts w:cs="Times New Roman"/>
          <w:b/>
          <w:bCs/>
          <w:lang w:val="en-US"/>
        </w:rPr>
        <w:t>G</w:t>
      </w:r>
      <w:r w:rsidRPr="000D5A0A">
        <w:rPr>
          <w:rFonts w:cs="Times New Roman"/>
          <w:b/>
          <w:bCs/>
          <w:lang w:val="en-US"/>
        </w:rPr>
        <w:t>oal</w:t>
      </w:r>
      <w:r>
        <w:rPr>
          <w:rFonts w:cs="Times New Roman"/>
          <w:lang w:val="en-US"/>
        </w:rPr>
        <w:t xml:space="preserve"> as</w:t>
      </w:r>
      <w:r w:rsidR="00643B95">
        <w:rPr>
          <w:rFonts w:cs="Times New Roman"/>
          <w:lang w:val="en-US"/>
        </w:rPr>
        <w:t xml:space="preserve"> </w:t>
      </w:r>
      <w:r w:rsidR="00643B95" w:rsidRPr="00643B95">
        <w:rPr>
          <w:rFonts w:cs="Times New Roman"/>
          <w:i/>
          <w:iCs/>
          <w:lang w:val="en-US"/>
        </w:rPr>
        <w:t>identification of the drivers of pricing of FX futures on currencies</w:t>
      </w:r>
      <w:r w:rsidR="00643B95">
        <w:rPr>
          <w:rFonts w:cs="Times New Roman"/>
          <w:i/>
          <w:iCs/>
          <w:lang w:val="en-US"/>
        </w:rPr>
        <w:t xml:space="preserve"> with negative domestic interbank interest rates</w:t>
      </w:r>
      <w:r w:rsidR="00EF0B6A">
        <w:rPr>
          <w:rFonts w:cs="Times New Roman"/>
          <w:i/>
          <w:iCs/>
          <w:lang w:val="en-US"/>
        </w:rPr>
        <w:t>, performed via analysis of the deviations of FX futures prices from the theoretical values</w:t>
      </w:r>
      <w:r w:rsidR="006B74EB">
        <w:rPr>
          <w:rFonts w:cs="Times New Roman"/>
          <w:i/>
          <w:iCs/>
          <w:lang w:val="en-US"/>
        </w:rPr>
        <w:t>.</w:t>
      </w:r>
    </w:p>
    <w:p w14:paraId="41E54BAE" w14:textId="101C03C9" w:rsidR="006154C8" w:rsidRDefault="007473C7" w:rsidP="008226B3">
      <w:pPr>
        <w:spacing w:after="0" w:line="360" w:lineRule="auto"/>
        <w:ind w:firstLine="709"/>
        <w:rPr>
          <w:rFonts w:cs="Times New Roman"/>
          <w:lang w:val="en-US"/>
        </w:rPr>
      </w:pPr>
      <w:r>
        <w:rPr>
          <w:rFonts w:cs="Times New Roman"/>
          <w:lang w:val="en-US"/>
        </w:rPr>
        <w:t>To perform our research, we have to</w:t>
      </w:r>
      <w:r w:rsidR="003969B1">
        <w:rPr>
          <w:rFonts w:cs="Times New Roman"/>
          <w:lang w:val="en-US"/>
        </w:rPr>
        <w:t xml:space="preserve"> (a) identify relevant FX future contracts, (b) collect data on the chosen contracts,</w:t>
      </w:r>
      <w:r>
        <w:rPr>
          <w:rFonts w:cs="Times New Roman"/>
          <w:lang w:val="en-US"/>
        </w:rPr>
        <w:t xml:space="preserve"> (</w:t>
      </w:r>
      <w:r w:rsidR="003969B1">
        <w:rPr>
          <w:rFonts w:cs="Times New Roman"/>
          <w:lang w:val="en-US"/>
        </w:rPr>
        <w:t>c</w:t>
      </w:r>
      <w:r>
        <w:rPr>
          <w:rFonts w:cs="Times New Roman"/>
          <w:lang w:val="en-US"/>
        </w:rPr>
        <w:t>) identify which other features of FX futures prices, besides from deviation from theoretical value, attracted researchers’ attention previously, (</w:t>
      </w:r>
      <w:r w:rsidR="003969B1">
        <w:rPr>
          <w:rFonts w:cs="Times New Roman"/>
          <w:lang w:val="en-US"/>
        </w:rPr>
        <w:t>d</w:t>
      </w:r>
      <w:r>
        <w:rPr>
          <w:rFonts w:cs="Times New Roman"/>
          <w:lang w:val="en-US"/>
        </w:rPr>
        <w:t xml:space="preserve">) to study the current features of monetary policy in currency zones with negative domestic interbank rates: types of interest rates applied, their levels, influence on interbank lending rates, </w:t>
      </w:r>
      <w:r w:rsidR="009739FE">
        <w:rPr>
          <w:rFonts w:cs="Times New Roman"/>
          <w:lang w:val="en-US"/>
        </w:rPr>
        <w:t>other monetary policy tools (asset purchases, etc.), (</w:t>
      </w:r>
      <w:r w:rsidR="003969B1">
        <w:rPr>
          <w:rFonts w:cs="Times New Roman"/>
          <w:lang w:val="en-US"/>
        </w:rPr>
        <w:t>e</w:t>
      </w:r>
      <w:r w:rsidR="009739FE">
        <w:rPr>
          <w:rFonts w:cs="Times New Roman"/>
          <w:lang w:val="en-US"/>
        </w:rPr>
        <w:t>) identify interest rates applicable for FX futures valuation purposes</w:t>
      </w:r>
      <w:r w:rsidR="00FB1282">
        <w:rPr>
          <w:rFonts w:cs="Times New Roman"/>
          <w:lang w:val="en-US"/>
        </w:rPr>
        <w:t xml:space="preserve">, calculate theoretical values of FX futures prices and compare them with the prices of exchange-traded contract </w:t>
      </w:r>
      <w:r w:rsidR="009739FE">
        <w:rPr>
          <w:rFonts w:cs="Times New Roman"/>
          <w:lang w:val="en-US"/>
        </w:rPr>
        <w:t xml:space="preserve">, </w:t>
      </w:r>
      <w:r w:rsidR="009739FE" w:rsidRPr="009739FE">
        <w:rPr>
          <w:rFonts w:cs="Times New Roman"/>
          <w:lang w:val="en-US"/>
        </w:rPr>
        <w:t>(</w:t>
      </w:r>
      <w:r w:rsidR="003969B1">
        <w:rPr>
          <w:rFonts w:cs="Times New Roman"/>
          <w:lang w:val="en-US"/>
        </w:rPr>
        <w:t>f</w:t>
      </w:r>
      <w:r w:rsidR="009739FE">
        <w:rPr>
          <w:rFonts w:cs="Times New Roman"/>
          <w:lang w:val="en-US"/>
        </w:rPr>
        <w:t xml:space="preserve">) test a set of defined hypotheses on the </w:t>
      </w:r>
      <w:r w:rsidR="00801F06">
        <w:rPr>
          <w:rFonts w:cs="Times New Roman"/>
          <w:lang w:val="en-US"/>
        </w:rPr>
        <w:t>chosen set of FX futures, and, finally, (</w:t>
      </w:r>
      <w:r w:rsidR="003969B1">
        <w:rPr>
          <w:rFonts w:cs="Times New Roman"/>
          <w:lang w:val="en-US"/>
        </w:rPr>
        <w:t>g</w:t>
      </w:r>
      <w:r w:rsidR="00801F06">
        <w:rPr>
          <w:rFonts w:cs="Times New Roman"/>
          <w:lang w:val="en-US"/>
        </w:rPr>
        <w:t>) come up to conclusions on the structural aspects of FX futures pricing in a negative interest rates environment</w:t>
      </w:r>
      <w:r w:rsidR="008B1E40">
        <w:rPr>
          <w:rFonts w:cs="Times New Roman"/>
          <w:lang w:val="en-US"/>
        </w:rPr>
        <w:t>.</w:t>
      </w:r>
    </w:p>
    <w:p w14:paraId="4C0A1F47" w14:textId="575482F3" w:rsidR="00843DDB" w:rsidRPr="00843DDB" w:rsidRDefault="00FB1282" w:rsidP="00843DDB">
      <w:pPr>
        <w:spacing w:after="0" w:line="360" w:lineRule="auto"/>
        <w:ind w:firstLine="709"/>
        <w:rPr>
          <w:rFonts w:cs="Times New Roman"/>
        </w:rPr>
      </w:pPr>
      <w:r>
        <w:rPr>
          <w:rFonts w:cs="Times New Roman"/>
          <w:lang w:val="en-US"/>
        </w:rPr>
        <w:t>Main hypotheses tested were broken down by the principle of referencing one of the two components in FX forward pricing formula: FX spot rate and interest rate and include identification of</w:t>
      </w:r>
      <w:r w:rsidR="00473BA2">
        <w:rPr>
          <w:rFonts w:cs="Times New Roman"/>
          <w:lang w:val="en-US"/>
        </w:rPr>
        <w:t xml:space="preserve"> applicability of Interbank Offered rates (LIBOR and EURIBOR) for the valuation of FX futures, </w:t>
      </w:r>
      <w:r w:rsidR="00B67BB3">
        <w:rPr>
          <w:rFonts w:cs="Times New Roman"/>
          <w:lang w:val="en-US"/>
        </w:rPr>
        <w:t xml:space="preserve">sensitivity of FX futures prices to LIBOR rate announcement, </w:t>
      </w:r>
      <w:r w:rsidR="00930158">
        <w:rPr>
          <w:rFonts w:cs="Times New Roman"/>
          <w:lang w:val="en-US"/>
        </w:rPr>
        <w:t xml:space="preserve">influence of </w:t>
      </w:r>
      <w:r w:rsidR="006A2C38">
        <w:rPr>
          <w:rFonts w:cs="Times New Roman"/>
          <w:lang w:val="en-US"/>
        </w:rPr>
        <w:t>correlation between interest rates and FX spot rate to the FX future over/underpricing and other hypotheses.</w:t>
      </w:r>
    </w:p>
    <w:p w14:paraId="443698C6" w14:textId="374CE5C3" w:rsidR="00643B95" w:rsidRDefault="00643B95" w:rsidP="008226B3">
      <w:pPr>
        <w:spacing w:line="360" w:lineRule="auto"/>
        <w:ind w:firstLine="709"/>
        <w:rPr>
          <w:rFonts w:cs="Times New Roman"/>
          <w:lang w:val="en-US"/>
        </w:rPr>
      </w:pPr>
      <w:r>
        <w:rPr>
          <w:rFonts w:cs="Times New Roman"/>
          <w:lang w:val="en-US"/>
        </w:rPr>
        <w:br w:type="page"/>
      </w:r>
    </w:p>
    <w:p w14:paraId="7CE48AC7" w14:textId="644E9D80" w:rsidR="00B016C7" w:rsidRDefault="00467D70" w:rsidP="008226B3">
      <w:pPr>
        <w:pStyle w:val="Heading1"/>
        <w:spacing w:line="360" w:lineRule="auto"/>
        <w:ind w:firstLine="709"/>
        <w:rPr>
          <w:lang w:val="en-US"/>
        </w:rPr>
      </w:pPr>
      <w:bookmarkStart w:id="1" w:name="_Toc73483039"/>
      <w:r>
        <w:rPr>
          <w:lang w:val="en-US"/>
        </w:rPr>
        <w:lastRenderedPageBreak/>
        <w:t>Chapter 1</w:t>
      </w:r>
      <w:r w:rsidR="00B016C7">
        <w:rPr>
          <w:lang w:val="en-US"/>
        </w:rPr>
        <w:t>.</w:t>
      </w:r>
      <w:bookmarkEnd w:id="1"/>
    </w:p>
    <w:p w14:paraId="5F877290" w14:textId="18E443A0" w:rsidR="00D55B9F" w:rsidRPr="00A370EB" w:rsidRDefault="00467D70" w:rsidP="008226B3">
      <w:pPr>
        <w:pStyle w:val="Heading1"/>
        <w:spacing w:line="360" w:lineRule="auto"/>
        <w:ind w:firstLine="709"/>
        <w:rPr>
          <w:lang w:val="en-US"/>
        </w:rPr>
      </w:pPr>
      <w:bookmarkStart w:id="2" w:name="_Toc73483040"/>
      <w:r>
        <w:rPr>
          <w:lang w:val="en-US"/>
        </w:rPr>
        <w:t xml:space="preserve">1.1. </w:t>
      </w:r>
      <w:r w:rsidR="00FB1282" w:rsidRPr="00A370EB">
        <w:rPr>
          <w:lang w:val="en-US"/>
        </w:rPr>
        <w:t>STATEMENT OF RESEARCH PROBLEM</w:t>
      </w:r>
      <w:bookmarkEnd w:id="2"/>
    </w:p>
    <w:p w14:paraId="3FBB65B7" w14:textId="1088A1A0" w:rsidR="005E673E" w:rsidRPr="00A370EB" w:rsidRDefault="00467D70" w:rsidP="008226B3">
      <w:pPr>
        <w:pStyle w:val="Heading2"/>
        <w:spacing w:line="360" w:lineRule="auto"/>
        <w:ind w:firstLine="709"/>
        <w:rPr>
          <w:lang w:val="en-US"/>
        </w:rPr>
      </w:pPr>
      <w:bookmarkStart w:id="3" w:name="_Toc73483041"/>
      <w:r>
        <w:rPr>
          <w:lang w:val="en-US"/>
        </w:rPr>
        <w:t xml:space="preserve">1.1.1. </w:t>
      </w:r>
      <w:r w:rsidR="005E673E" w:rsidRPr="00A370EB">
        <w:rPr>
          <w:lang w:val="en-US"/>
        </w:rPr>
        <w:t>Relevance of currency risk hedging</w:t>
      </w:r>
      <w:bookmarkEnd w:id="3"/>
    </w:p>
    <w:p w14:paraId="74CD3B98" w14:textId="36145A74" w:rsidR="00ED4982" w:rsidRPr="00ED4982" w:rsidRDefault="00ED4982" w:rsidP="008226B3">
      <w:pPr>
        <w:spacing w:after="0" w:line="360" w:lineRule="auto"/>
        <w:ind w:firstLine="709"/>
        <w:rPr>
          <w:rFonts w:cs="Times New Roman"/>
          <w:lang w:val="en-US"/>
        </w:rPr>
      </w:pPr>
      <w:r>
        <w:rPr>
          <w:rFonts w:cs="Times New Roman"/>
          <w:lang w:val="en-US"/>
        </w:rPr>
        <w:t xml:space="preserve">Management of FX volatility was cited as one of the top-3 </w:t>
      </w:r>
      <w:r w:rsidRPr="00ED4982">
        <w:rPr>
          <w:rFonts w:cs="Times New Roman"/>
          <w:lang w:val="en-US"/>
        </w:rPr>
        <w:t>«</w:t>
      </w:r>
      <w:r>
        <w:rPr>
          <w:rFonts w:cs="Times New Roman"/>
          <w:lang w:val="en-US"/>
        </w:rPr>
        <w:t>strategic challenges for treasury organisations</w:t>
      </w:r>
      <w:r w:rsidR="00582F61" w:rsidRPr="00582F61">
        <w:rPr>
          <w:rFonts w:cs="Times New Roman"/>
          <w:lang w:val="en-US"/>
        </w:rPr>
        <w:t>»</w:t>
      </w:r>
      <w:r>
        <w:rPr>
          <w:rFonts w:cs="Times New Roman"/>
          <w:lang w:val="en-US"/>
        </w:rPr>
        <w:t xml:space="preserve">, along with </w:t>
      </w:r>
      <w:r w:rsidR="00582F61" w:rsidRPr="00582F61">
        <w:rPr>
          <w:rFonts w:cs="Times New Roman"/>
          <w:lang w:val="en-US"/>
        </w:rPr>
        <w:t>«</w:t>
      </w:r>
      <w:r>
        <w:rPr>
          <w:rFonts w:cs="Times New Roman"/>
          <w:lang w:val="en-US"/>
        </w:rPr>
        <w:t>managing liquidity and improving data quality</w:t>
      </w:r>
      <w:r w:rsidRPr="00ED4982">
        <w:rPr>
          <w:rFonts w:cs="Times New Roman"/>
          <w:lang w:val="en-US"/>
        </w:rPr>
        <w:t>»</w:t>
      </w:r>
      <w:r>
        <w:rPr>
          <w:rFonts w:cs="Times New Roman"/>
          <w:lang w:val="en-US"/>
        </w:rPr>
        <w:t>, as reported by Deloitte</w:t>
      </w:r>
      <w:r w:rsidR="00582F61" w:rsidRPr="00582F61">
        <w:rPr>
          <w:rFonts w:cs="Times New Roman"/>
          <w:lang w:val="en-US"/>
        </w:rPr>
        <w:t xml:space="preserve"> </w:t>
      </w:r>
      <w:r w:rsidR="00582F61">
        <w:rPr>
          <w:rFonts w:cs="Times New Roman"/>
          <w:lang w:val="en-US"/>
        </w:rPr>
        <w:t>in it’s Corporate Treasury survey</w:t>
      </w:r>
      <w:r w:rsidR="00582F61">
        <w:rPr>
          <w:rStyle w:val="FootnoteReference"/>
          <w:rFonts w:cs="Times New Roman"/>
          <w:lang w:val="en-US"/>
        </w:rPr>
        <w:footnoteReference w:id="4"/>
      </w:r>
      <w:r w:rsidR="00582F61">
        <w:rPr>
          <w:rFonts w:cs="Times New Roman"/>
          <w:lang w:val="en-US"/>
        </w:rPr>
        <w:t>.</w:t>
      </w:r>
      <w:r w:rsidR="006B74EB">
        <w:rPr>
          <w:rFonts w:cs="Times New Roman"/>
          <w:lang w:val="en-US"/>
        </w:rPr>
        <w:t xml:space="preserve"> Additionally,</w:t>
      </w:r>
      <w:r w:rsidR="00582F61">
        <w:rPr>
          <w:rFonts w:cs="Times New Roman"/>
          <w:lang w:val="en-US"/>
        </w:rPr>
        <w:t xml:space="preserve"> </w:t>
      </w:r>
      <w:r>
        <w:rPr>
          <w:rFonts w:cs="Times New Roman"/>
          <w:lang w:val="en-US"/>
        </w:rPr>
        <w:t>Wells Fargo</w:t>
      </w:r>
      <w:r w:rsidR="00582F61">
        <w:rPr>
          <w:rFonts w:cs="Times New Roman"/>
          <w:lang w:val="en-US"/>
        </w:rPr>
        <w:t xml:space="preserve"> provided separate report devoted specifically to FX risk management. Results reported are in line with Deloitte’s results</w:t>
      </w:r>
      <w:r w:rsidR="0071753D">
        <w:rPr>
          <w:rFonts w:cs="Times New Roman"/>
          <w:lang w:val="en-US"/>
        </w:rPr>
        <w:t>:</w:t>
      </w:r>
      <w:r w:rsidR="00B630BE">
        <w:rPr>
          <w:rFonts w:cs="Times New Roman"/>
          <w:lang w:val="en-US"/>
        </w:rPr>
        <w:t xml:space="preserve"> </w:t>
      </w:r>
      <w:r w:rsidR="0071753D">
        <w:rPr>
          <w:rFonts w:cs="Times New Roman"/>
          <w:lang w:val="en-US"/>
        </w:rPr>
        <w:t>respondents</w:t>
      </w:r>
      <w:r>
        <w:rPr>
          <w:rFonts w:cs="Times New Roman"/>
          <w:lang w:val="en-US"/>
        </w:rPr>
        <w:t xml:space="preserve"> also reported</w:t>
      </w:r>
      <w:r w:rsidR="00B630BE">
        <w:rPr>
          <w:rFonts w:cs="Times New Roman"/>
          <w:lang w:val="en-US"/>
        </w:rPr>
        <w:t xml:space="preserve"> currency risk as a topic of</w:t>
      </w:r>
      <w:r w:rsidR="006B74EB">
        <w:rPr>
          <w:rFonts w:cs="Times New Roman"/>
          <w:lang w:val="en-US"/>
        </w:rPr>
        <w:t xml:space="preserve"> their</w:t>
      </w:r>
      <w:r w:rsidR="00B630BE">
        <w:rPr>
          <w:rFonts w:cs="Times New Roman"/>
          <w:lang w:val="en-US"/>
        </w:rPr>
        <w:t xml:space="preserve"> concern</w:t>
      </w:r>
      <w:r w:rsidR="0071753D">
        <w:rPr>
          <w:rFonts w:cs="Times New Roman"/>
          <w:lang w:val="en-US"/>
        </w:rPr>
        <w:t>, especially given the FX volatility in 2020:</w:t>
      </w:r>
      <w:r w:rsidR="00B630BE">
        <w:rPr>
          <w:rFonts w:cs="Times New Roman"/>
          <w:lang w:val="en-US"/>
        </w:rPr>
        <w:t xml:space="preserve"> 38% more respondents “</w:t>
      </w:r>
      <w:r w:rsidR="00B630BE" w:rsidRPr="00B630BE">
        <w:rPr>
          <w:rFonts w:cs="Times New Roman"/>
          <w:lang w:val="en-US"/>
        </w:rPr>
        <w:t>expressed greater concern about FX risk management</w:t>
      </w:r>
      <w:r w:rsidR="00B630BE">
        <w:rPr>
          <w:rFonts w:cs="Times New Roman"/>
          <w:lang w:val="en-US"/>
        </w:rPr>
        <w:t>”</w:t>
      </w:r>
      <w:r w:rsidR="0071753D">
        <w:rPr>
          <w:rFonts w:cs="Times New Roman"/>
          <w:lang w:val="en-US"/>
        </w:rPr>
        <w:t xml:space="preserve"> in 2020</w:t>
      </w:r>
      <w:r w:rsidR="00B630BE">
        <w:rPr>
          <w:rFonts w:cs="Times New Roman"/>
          <w:lang w:val="en-US"/>
        </w:rPr>
        <w:t xml:space="preserve"> compared with the previous year</w:t>
      </w:r>
      <w:r w:rsidR="00B630BE">
        <w:rPr>
          <w:rStyle w:val="FootnoteReference"/>
          <w:rFonts w:cs="Times New Roman"/>
          <w:lang w:val="en-US"/>
        </w:rPr>
        <w:footnoteReference w:id="5"/>
      </w:r>
      <w:r w:rsidR="00B630BE">
        <w:rPr>
          <w:rFonts w:cs="Times New Roman"/>
          <w:lang w:val="en-US"/>
        </w:rPr>
        <w:t>. Given that results from both of the studies were collected from companies from different sectors</w:t>
      </w:r>
      <w:r w:rsidR="0071753D">
        <w:rPr>
          <w:rFonts w:cs="Times New Roman"/>
          <w:lang w:val="en-US"/>
        </w:rPr>
        <w:t>: 208 companies from 6 industries</w:t>
      </w:r>
      <w:r w:rsidR="0071753D">
        <w:rPr>
          <w:rStyle w:val="FootnoteReference"/>
          <w:rFonts w:cs="Times New Roman"/>
          <w:lang w:val="en-US"/>
        </w:rPr>
        <w:footnoteReference w:id="6"/>
      </w:r>
      <w:r w:rsidR="0071753D">
        <w:rPr>
          <w:rFonts w:cs="Times New Roman"/>
          <w:lang w:val="en-US"/>
        </w:rPr>
        <w:t xml:space="preserve"> in Deloitte’s and 175 respondents from 6 industries</w:t>
      </w:r>
      <w:r w:rsidR="0071753D">
        <w:rPr>
          <w:rStyle w:val="FootnoteReference"/>
          <w:rFonts w:cs="Times New Roman"/>
          <w:lang w:val="en-US"/>
        </w:rPr>
        <w:footnoteReference w:id="7"/>
      </w:r>
      <w:r w:rsidR="0071753D">
        <w:rPr>
          <w:rFonts w:cs="Times New Roman"/>
          <w:lang w:val="en-US"/>
        </w:rPr>
        <w:t xml:space="preserve"> in Wells Fargo’s reports, we could conclude that interest for FX risk management is common for the companies in various industries. The key reason for such demand is the exposure of Cash Flows from the operations of companies’ subsidiaries in different currency zones, to the currency risk. </w:t>
      </w:r>
    </w:p>
    <w:p w14:paraId="4D8DE47F" w14:textId="6863A720" w:rsidR="0071753D" w:rsidRDefault="0071753D" w:rsidP="008226B3">
      <w:pPr>
        <w:spacing w:after="0" w:line="360" w:lineRule="auto"/>
        <w:ind w:firstLine="709"/>
        <w:rPr>
          <w:rFonts w:cs="Times New Roman"/>
          <w:lang w:val="en-US"/>
        </w:rPr>
      </w:pPr>
      <w:r>
        <w:rPr>
          <w:rFonts w:cs="Times New Roman"/>
          <w:lang w:val="en-US"/>
        </w:rPr>
        <w:t xml:space="preserve">Basically, </w:t>
      </w:r>
      <w:r w:rsidR="00F3678B">
        <w:rPr>
          <w:rFonts w:cs="Times New Roman"/>
          <w:lang w:val="en-US"/>
        </w:rPr>
        <w:t xml:space="preserve">we could state that the overall exposure of the company to the FX risk is not directly linked with the flows of revenue in foreign currency: part of the FX risk is reduced if costs of production are nominated in the same currency as revenue, another part could be eliminated by </w:t>
      </w:r>
      <w:r w:rsidR="00E43F85">
        <w:rPr>
          <w:rFonts w:cs="Times New Roman"/>
          <w:lang w:val="en-US"/>
        </w:rPr>
        <w:t xml:space="preserve">having part of the corporate debt in foreign currency. But, unfortunately, such types of </w:t>
      </w:r>
      <w:r w:rsidR="00A02A34" w:rsidRPr="00A02A34">
        <w:rPr>
          <w:rFonts w:cs="Times New Roman"/>
          <w:lang w:val="en-US"/>
        </w:rPr>
        <w:t>«</w:t>
      </w:r>
      <w:r w:rsidR="00E43F85">
        <w:rPr>
          <w:rFonts w:cs="Times New Roman"/>
          <w:lang w:val="en-US"/>
        </w:rPr>
        <w:t>natural hedge</w:t>
      </w:r>
      <w:r w:rsidR="00A02A34" w:rsidRPr="00A02A34">
        <w:rPr>
          <w:rFonts w:cs="Times New Roman"/>
          <w:lang w:val="en-US"/>
        </w:rPr>
        <w:t>»</w:t>
      </w:r>
      <w:r w:rsidR="00E43F85">
        <w:rPr>
          <w:rFonts w:cs="Times New Roman"/>
          <w:lang w:val="en-US"/>
        </w:rPr>
        <w:t xml:space="preserve"> does not provide full protection of corporate Cash Flows against FX rates fluctuation. </w:t>
      </w:r>
    </w:p>
    <w:p w14:paraId="2BB2D7A5" w14:textId="77777777" w:rsidR="00E47A84" w:rsidRDefault="00E47A84" w:rsidP="008226B3">
      <w:pPr>
        <w:spacing w:after="0" w:line="360" w:lineRule="auto"/>
        <w:ind w:firstLine="709"/>
        <w:rPr>
          <w:rFonts w:cs="Times New Roman"/>
          <w:lang w:val="en-US"/>
        </w:rPr>
      </w:pPr>
    </w:p>
    <w:p w14:paraId="75BFE0D4" w14:textId="64AD35C3" w:rsidR="00E47A84" w:rsidRPr="00E47A84" w:rsidRDefault="00467D70" w:rsidP="008226B3">
      <w:pPr>
        <w:pStyle w:val="Heading2"/>
        <w:spacing w:line="360" w:lineRule="auto"/>
        <w:ind w:firstLine="709"/>
        <w:rPr>
          <w:lang w:val="en-US"/>
        </w:rPr>
      </w:pPr>
      <w:bookmarkStart w:id="4" w:name="_Toc73483042"/>
      <w:r>
        <w:rPr>
          <w:lang w:val="en-US"/>
        </w:rPr>
        <w:t xml:space="preserve">1.1.2. </w:t>
      </w:r>
      <w:r w:rsidR="00E47A84">
        <w:rPr>
          <w:lang w:val="en-US"/>
        </w:rPr>
        <w:t>OTC and exchange-traded derivatives</w:t>
      </w:r>
      <w:bookmarkEnd w:id="4"/>
    </w:p>
    <w:p w14:paraId="0FE6A840" w14:textId="06A1517D" w:rsidR="00E43F85" w:rsidRDefault="00EF2A99" w:rsidP="008226B3">
      <w:pPr>
        <w:spacing w:after="0" w:line="360" w:lineRule="auto"/>
        <w:ind w:firstLine="709"/>
        <w:rPr>
          <w:rFonts w:cs="Times New Roman"/>
          <w:lang w:val="en-US"/>
        </w:rPr>
      </w:pPr>
      <w:r>
        <w:rPr>
          <w:rFonts w:cs="Times New Roman"/>
          <w:lang w:val="en-US"/>
        </w:rPr>
        <w:t>Hedging</w:t>
      </w:r>
      <w:r w:rsidR="0071753D">
        <w:rPr>
          <w:rFonts w:cs="Times New Roman"/>
          <w:lang w:val="en-US"/>
        </w:rPr>
        <w:t xml:space="preserve"> of</w:t>
      </w:r>
      <w:r w:rsidR="00E43F85">
        <w:rPr>
          <w:rFonts w:cs="Times New Roman"/>
          <w:lang w:val="en-US"/>
        </w:rPr>
        <w:t xml:space="preserve"> this part of</w:t>
      </w:r>
      <w:r w:rsidR="0071753D">
        <w:rPr>
          <w:rFonts w:cs="Times New Roman"/>
          <w:lang w:val="en-US"/>
        </w:rPr>
        <w:t xml:space="preserve"> FX risk</w:t>
      </w:r>
      <w:r>
        <w:rPr>
          <w:rFonts w:cs="Times New Roman"/>
          <w:lang w:val="en-US"/>
        </w:rPr>
        <w:t xml:space="preserve"> could performed by</w:t>
      </w:r>
      <w:r w:rsidR="00E43F85">
        <w:rPr>
          <w:rFonts w:cs="Times New Roman"/>
          <w:lang w:val="en-US"/>
        </w:rPr>
        <w:t xml:space="preserve"> two different ways:</w:t>
      </w:r>
    </w:p>
    <w:p w14:paraId="1311F85C" w14:textId="77777777" w:rsidR="00E43F85" w:rsidRDefault="00E43F85" w:rsidP="009B703B">
      <w:pPr>
        <w:pStyle w:val="-"/>
        <w:ind w:hanging="66"/>
      </w:pPr>
      <w:r>
        <w:t xml:space="preserve">Bying OTC </w:t>
      </w:r>
      <w:r w:rsidR="00EF2A99" w:rsidRPr="00E43F85">
        <w:t>(over-the-counter)</w:t>
      </w:r>
      <w:r>
        <w:t xml:space="preserve"> derivatives from the counterparty, </w:t>
      </w:r>
      <w:r w:rsidR="00EF2A99" w:rsidRPr="00E43F85">
        <w:t>usually market-making investment bank,</w:t>
      </w:r>
    </w:p>
    <w:p w14:paraId="066ABC3F" w14:textId="725A8300" w:rsidR="00E43F85" w:rsidRDefault="00E43F85" w:rsidP="009B703B">
      <w:pPr>
        <w:pStyle w:val="-"/>
        <w:ind w:hanging="66"/>
      </w:pPr>
      <w:r w:rsidRPr="00E43F85">
        <w:t>B</w:t>
      </w:r>
      <w:r w:rsidR="00EF2A99" w:rsidRPr="00E43F85">
        <w:t xml:space="preserve">uying contract at </w:t>
      </w:r>
      <w:r w:rsidR="009B703B">
        <w:t>the</w:t>
      </w:r>
      <w:r w:rsidR="00EF2A99" w:rsidRPr="00E43F85">
        <w:t xml:space="preserve"> exchange. </w:t>
      </w:r>
    </w:p>
    <w:p w14:paraId="709FDB8A" w14:textId="103C3951" w:rsidR="009D6A24" w:rsidRDefault="000B6D7E" w:rsidP="00F148AA">
      <w:pPr>
        <w:spacing w:after="0" w:line="360" w:lineRule="auto"/>
        <w:ind w:firstLine="709"/>
        <w:rPr>
          <w:rFonts w:cs="Times New Roman"/>
          <w:lang w:val="en-US"/>
        </w:rPr>
      </w:pPr>
      <w:r>
        <w:rPr>
          <w:rFonts w:cs="Times New Roman"/>
          <w:lang w:val="en-US"/>
        </w:rPr>
        <w:t>All benefits of each of the types of derivatives (OTC or exchange traded) arise due to the feature of standardization:</w:t>
      </w:r>
      <w:r w:rsidR="009B703B">
        <w:rPr>
          <w:rFonts w:cs="Times New Roman"/>
          <w:lang w:val="en-US"/>
        </w:rPr>
        <w:t xml:space="preserve"> at the exchange-traded contracts</w:t>
      </w:r>
      <w:r>
        <w:rPr>
          <w:rFonts w:cs="Times New Roman"/>
          <w:lang w:val="en-US"/>
        </w:rPr>
        <w:t xml:space="preserve"> such parameters as maturity, volume, margin, minimum price fluctuation are stated as contract parameters and are usually not revised. </w:t>
      </w:r>
      <w:r>
        <w:rPr>
          <w:rFonts w:cs="Times New Roman"/>
          <w:lang w:val="en-US"/>
        </w:rPr>
        <w:lastRenderedPageBreak/>
        <w:t>OTC contracts, on the other hand, could</w:t>
      </w:r>
      <w:r w:rsidR="00266703">
        <w:rPr>
          <w:rFonts w:cs="Times New Roman"/>
          <w:lang w:val="en-US"/>
        </w:rPr>
        <w:t xml:space="preserve"> have</w:t>
      </w:r>
      <w:r>
        <w:rPr>
          <w:rFonts w:cs="Times New Roman"/>
          <w:lang w:val="en-US"/>
        </w:rPr>
        <w:t xml:space="preserve"> </w:t>
      </w:r>
      <w:r w:rsidR="00266703">
        <w:rPr>
          <w:rFonts w:cs="Times New Roman"/>
          <w:lang w:val="en-US"/>
        </w:rPr>
        <w:t>non-standard parameters, but are less liquid</w:t>
      </w:r>
      <w:r w:rsidR="00F148AA">
        <w:rPr>
          <w:rFonts w:cs="Times New Roman"/>
          <w:lang w:val="en-US"/>
        </w:rPr>
        <w:t xml:space="preserve"> (could not be easily sold) </w:t>
      </w:r>
      <w:r w:rsidR="00266703">
        <w:rPr>
          <w:rFonts w:cs="Times New Roman"/>
          <w:lang w:val="en-US"/>
        </w:rPr>
        <w:t xml:space="preserve"> than exchange-traded ones.</w:t>
      </w:r>
      <w:r w:rsidR="00F148AA">
        <w:rPr>
          <w:rFonts w:cs="Times New Roman"/>
          <w:lang w:val="en-US"/>
        </w:rPr>
        <w:t xml:space="preserve"> </w:t>
      </w:r>
      <w:r w:rsidR="00EF2A99" w:rsidRPr="00E43F85">
        <w:rPr>
          <w:rFonts w:cs="Times New Roman"/>
          <w:lang w:val="en-US"/>
        </w:rPr>
        <w:t xml:space="preserve">Statistics </w:t>
      </w:r>
      <w:r w:rsidR="0087242F">
        <w:rPr>
          <w:rFonts w:cs="Times New Roman"/>
          <w:lang w:val="en-US"/>
        </w:rPr>
        <w:t>shows us</w:t>
      </w:r>
      <w:r w:rsidR="00F148AA">
        <w:rPr>
          <w:rFonts w:cs="Times New Roman"/>
          <w:lang w:val="en-US"/>
        </w:rPr>
        <w:t xml:space="preserve"> that</w:t>
      </w:r>
      <w:r w:rsidR="0087242F">
        <w:rPr>
          <w:rFonts w:cs="Times New Roman"/>
          <w:lang w:val="en-US"/>
        </w:rPr>
        <w:t xml:space="preserve"> OTC derivatives market</w:t>
      </w:r>
      <w:r w:rsidR="00EF2A99" w:rsidRPr="00E43F85">
        <w:rPr>
          <w:rFonts w:cs="Times New Roman"/>
          <w:lang w:val="en-US"/>
        </w:rPr>
        <w:t xml:space="preserve"> preva</w:t>
      </w:r>
      <w:r w:rsidR="00F148AA">
        <w:rPr>
          <w:rFonts w:cs="Times New Roman"/>
          <w:lang w:val="en-US"/>
        </w:rPr>
        <w:t>i</w:t>
      </w:r>
      <w:r w:rsidR="00EF2A99" w:rsidRPr="00E43F85">
        <w:rPr>
          <w:rFonts w:cs="Times New Roman"/>
          <w:lang w:val="en-US"/>
        </w:rPr>
        <w:t>l in terms of</w:t>
      </w:r>
      <w:r w:rsidR="0087242F">
        <w:rPr>
          <w:rFonts w:cs="Times New Roman"/>
          <w:lang w:val="en-US"/>
        </w:rPr>
        <w:t xml:space="preserve"> traded</w:t>
      </w:r>
      <w:r w:rsidR="00EF2A99" w:rsidRPr="00E43F85">
        <w:rPr>
          <w:rFonts w:cs="Times New Roman"/>
          <w:lang w:val="en-US"/>
        </w:rPr>
        <w:t xml:space="preserve"> volumes </w:t>
      </w:r>
      <w:r w:rsidR="0087242F">
        <w:rPr>
          <w:rFonts w:cs="Times New Roman"/>
          <w:lang w:val="en-US"/>
        </w:rPr>
        <w:t>for 9 currencies which contribute 89%/93% of trading volume in FX forwards/futures markets</w:t>
      </w:r>
      <w:r w:rsidR="009D6A24">
        <w:rPr>
          <w:rFonts w:cs="Times New Roman"/>
          <w:lang w:val="en-US"/>
        </w:rPr>
        <w:t xml:space="preserve"> and 84%/76% of trading volume in FX OTC/exchange-traded options</w:t>
      </w:r>
      <w:r w:rsidR="0087242F">
        <w:rPr>
          <w:rFonts w:cs="Times New Roman"/>
          <w:lang w:val="en-US"/>
        </w:rPr>
        <w:t xml:space="preserve"> respectively</w:t>
      </w:r>
      <w:r w:rsidR="009D6A24">
        <w:rPr>
          <w:rFonts w:cs="Times New Roman"/>
          <w:lang w:val="en-US"/>
        </w:rPr>
        <w:t>. For the chosen currencies,</w:t>
      </w:r>
      <w:r w:rsidR="002B4795" w:rsidRPr="002B4795">
        <w:rPr>
          <w:rFonts w:cs="Times New Roman"/>
          <w:lang w:val="en-US"/>
        </w:rPr>
        <w:t xml:space="preserve"> </w:t>
      </w:r>
      <w:r w:rsidR="002B4795">
        <w:rPr>
          <w:rFonts w:cs="Times New Roman"/>
          <w:lang w:val="en-US"/>
        </w:rPr>
        <w:t>as could be seen from the graph,</w:t>
      </w:r>
      <w:r w:rsidR="009D6A24">
        <w:rPr>
          <w:rFonts w:cs="Times New Roman"/>
          <w:lang w:val="en-US"/>
        </w:rPr>
        <w:t xml:space="preserve"> trading volume concentrated in OTC market is</w:t>
      </w:r>
      <w:r w:rsidR="00F148AA" w:rsidRPr="00F148AA">
        <w:rPr>
          <w:rFonts w:cs="Times New Roman"/>
          <w:lang w:val="en-US"/>
        </w:rPr>
        <w:t xml:space="preserve"> </w:t>
      </w:r>
      <w:r w:rsidR="009D6A24">
        <w:rPr>
          <w:rFonts w:cs="Times New Roman"/>
          <w:lang w:val="en-US"/>
        </w:rPr>
        <w:t>6.6 times higher for FX futures</w:t>
      </w:r>
      <w:r w:rsidR="00F148AA" w:rsidRPr="00F148AA">
        <w:rPr>
          <w:rFonts w:cs="Times New Roman"/>
          <w:lang w:val="en-US"/>
        </w:rPr>
        <w:t xml:space="preserve"> </w:t>
      </w:r>
      <w:r w:rsidR="00F148AA">
        <w:rPr>
          <w:rFonts w:cs="Times New Roman"/>
          <w:lang w:val="en-US"/>
        </w:rPr>
        <w:t xml:space="preserve">and </w:t>
      </w:r>
      <w:r w:rsidR="009D6A24">
        <w:rPr>
          <w:rFonts w:cs="Times New Roman"/>
          <w:lang w:val="en-US"/>
        </w:rPr>
        <w:t>30.6 times higher for FX options.</w:t>
      </w:r>
    </w:p>
    <w:p w14:paraId="54F9B90F" w14:textId="10436C33" w:rsidR="00C813C6" w:rsidRPr="00261BFC" w:rsidRDefault="00261BFC" w:rsidP="00261BFC">
      <w:pPr>
        <w:pStyle w:val="a0"/>
      </w:pPr>
      <w:r w:rsidRPr="00261BFC">
        <w:t xml:space="preserve">Figure </w:t>
      </w:r>
      <w:r>
        <w:fldChar w:fldCharType="begin"/>
      </w:r>
      <w:r w:rsidRPr="00261BFC">
        <w:instrText xml:space="preserve"> SEQ Figure \* ARABIC </w:instrText>
      </w:r>
      <w:r>
        <w:fldChar w:fldCharType="separate"/>
      </w:r>
      <w:r w:rsidR="004D16C9">
        <w:rPr>
          <w:noProof/>
        </w:rPr>
        <w:t>1</w:t>
      </w:r>
      <w:r>
        <w:fldChar w:fldCharType="end"/>
      </w:r>
      <w:r>
        <w:t xml:space="preserve">. </w:t>
      </w:r>
      <w:r w:rsidR="00C813C6" w:rsidRPr="00261BFC">
        <w:t>FX futures</w:t>
      </w:r>
      <w:r w:rsidR="00956F50" w:rsidRPr="00261BFC">
        <w:t>,</w:t>
      </w:r>
      <w:r w:rsidR="002F6459" w:rsidRPr="00261BFC">
        <w:t xml:space="preserve"> forwards</w:t>
      </w:r>
      <w:r w:rsidR="00956F50" w:rsidRPr="00261BFC">
        <w:t xml:space="preserve"> and options</w:t>
      </w:r>
      <w:r w:rsidR="007D22FB" w:rsidRPr="00261BFC">
        <w:t xml:space="preserve"> average</w:t>
      </w:r>
      <w:r w:rsidR="00C813C6" w:rsidRPr="00261BFC">
        <w:t xml:space="preserve"> daily turnover by currency</w:t>
      </w:r>
      <w:r w:rsidR="00A658C4">
        <w:t xml:space="preserve"> at 2020</w:t>
      </w:r>
      <w:r w:rsidR="00C813C6" w:rsidRPr="00261BFC">
        <w:t>, USD bln.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813C6" w14:paraId="69BE04FF" w14:textId="77777777" w:rsidTr="00C813C6">
        <w:tc>
          <w:tcPr>
            <w:tcW w:w="9345" w:type="dxa"/>
            <w:vAlign w:val="center"/>
          </w:tcPr>
          <w:p w14:paraId="3881E1BE" w14:textId="215E1B41" w:rsidR="00C813C6" w:rsidRDefault="002E18BA" w:rsidP="00F148AA">
            <w:pPr>
              <w:spacing w:line="360" w:lineRule="auto"/>
              <w:ind w:firstLine="709"/>
              <w:jc w:val="left"/>
              <w:rPr>
                <w:rFonts w:cs="Times New Roman"/>
                <w:lang w:val="en-US"/>
              </w:rPr>
            </w:pPr>
            <w:r w:rsidRPr="002E18BA">
              <w:rPr>
                <w:rFonts w:cs="Times New Roman"/>
                <w:noProof/>
                <w:lang w:val="en-US"/>
              </w:rPr>
              <w:drawing>
                <wp:inline distT="0" distB="0" distL="0" distR="0" wp14:anchorId="302A45B6" wp14:editId="16E00B73">
                  <wp:extent cx="5353050" cy="464526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9626" cy="4650971"/>
                          </a:xfrm>
                          <a:prstGeom prst="rect">
                            <a:avLst/>
                          </a:prstGeom>
                          <a:noFill/>
                          <a:ln>
                            <a:noFill/>
                          </a:ln>
                        </pic:spPr>
                      </pic:pic>
                    </a:graphicData>
                  </a:graphic>
                </wp:inline>
              </w:drawing>
            </w:r>
          </w:p>
        </w:tc>
      </w:tr>
    </w:tbl>
    <w:p w14:paraId="362CBCEF" w14:textId="523B9E70" w:rsidR="007B4188" w:rsidRPr="00C813C6" w:rsidRDefault="00C813C6" w:rsidP="00F148AA">
      <w:pPr>
        <w:pStyle w:val="a1"/>
      </w:pPr>
      <w:r w:rsidRPr="00C813C6">
        <w:t>Source: Bank for International Settlements Statistics</w:t>
      </w:r>
      <w:r w:rsidR="00730263">
        <w:t xml:space="preserve"> (BIS)</w:t>
      </w:r>
      <w:r w:rsidR="00E761F0">
        <w:rPr>
          <w:rStyle w:val="FootnoteReference"/>
        </w:rPr>
        <w:footnoteReference w:id="8"/>
      </w:r>
    </w:p>
    <w:p w14:paraId="67E16E5B" w14:textId="5996736A" w:rsidR="00673E8F" w:rsidRDefault="00673E8F" w:rsidP="008226B3">
      <w:pPr>
        <w:spacing w:after="0" w:line="360" w:lineRule="auto"/>
        <w:ind w:firstLine="709"/>
        <w:rPr>
          <w:rFonts w:cs="Times New Roman"/>
          <w:lang w:val="en-US"/>
        </w:rPr>
      </w:pPr>
      <w:r>
        <w:rPr>
          <w:rFonts w:cs="Times New Roman"/>
          <w:lang w:val="en-US"/>
        </w:rPr>
        <w:t>But several features, that</w:t>
      </w:r>
      <w:r w:rsidR="002A01FF">
        <w:rPr>
          <w:rFonts w:cs="Times New Roman"/>
          <w:lang w:val="en-US"/>
        </w:rPr>
        <w:t xml:space="preserve"> also</w:t>
      </w:r>
      <w:r>
        <w:rPr>
          <w:rFonts w:cs="Times New Roman"/>
          <w:lang w:val="en-US"/>
        </w:rPr>
        <w:t xml:space="preserve"> mak</w:t>
      </w:r>
      <w:r w:rsidR="002A01FF">
        <w:rPr>
          <w:rFonts w:cs="Times New Roman"/>
          <w:lang w:val="en-US"/>
        </w:rPr>
        <w:t>ing</w:t>
      </w:r>
      <w:r>
        <w:rPr>
          <w:rFonts w:cs="Times New Roman"/>
          <w:lang w:val="en-US"/>
        </w:rPr>
        <w:t xml:space="preserve"> FX risk management an important topic for research, hinder</w:t>
      </w:r>
      <w:r w:rsidR="002A01FF">
        <w:rPr>
          <w:rFonts w:cs="Times New Roman"/>
          <w:lang w:val="en-US"/>
        </w:rPr>
        <w:t>ing</w:t>
      </w:r>
      <w:r>
        <w:rPr>
          <w:rFonts w:cs="Times New Roman"/>
          <w:lang w:val="en-US"/>
        </w:rPr>
        <w:t xml:space="preserve"> us from using OTC forwards data as inputs for our analysis</w:t>
      </w:r>
      <w:r w:rsidR="00F61F64">
        <w:rPr>
          <w:rFonts w:cs="Times New Roman"/>
          <w:lang w:val="en-US"/>
        </w:rPr>
        <w:t xml:space="preserve"> and move our attention to FX futures:</w:t>
      </w:r>
    </w:p>
    <w:p w14:paraId="4E539909" w14:textId="70A1D1AE" w:rsidR="00673E8F" w:rsidRDefault="00673E8F" w:rsidP="002B4795">
      <w:pPr>
        <w:pStyle w:val="-"/>
      </w:pPr>
      <w:r>
        <w:lastRenderedPageBreak/>
        <w:t>FX rates volatility, being important factor, requires analysis of data with high update frequency, i.e. daily (24h update frequency) closing prices are irrelevant and may not show us important relationships</w:t>
      </w:r>
      <w:r w:rsidR="002A01FF">
        <w:t>;</w:t>
      </w:r>
    </w:p>
    <w:p w14:paraId="7822D166" w14:textId="52808006" w:rsidR="00673E8F" w:rsidRDefault="00673E8F" w:rsidP="002B4795">
      <w:pPr>
        <w:pStyle w:val="-"/>
      </w:pPr>
      <w:r>
        <w:t>Non-standard features of contracts may require additional efforts for pre-analysis and pre-classification of contracts by collateral types, maturity dates</w:t>
      </w:r>
      <w:r w:rsidR="00F61F64">
        <w:t xml:space="preserve"> and, even having such analysis performed, space for non-relevance of potential research findings still present</w:t>
      </w:r>
      <w:r>
        <w:t>;</w:t>
      </w:r>
    </w:p>
    <w:p w14:paraId="6AC81BCE" w14:textId="77777777" w:rsidR="00673E8F" w:rsidRDefault="00673E8F" w:rsidP="002B4795">
      <w:pPr>
        <w:pStyle w:val="-"/>
      </w:pPr>
      <w:r>
        <w:t>OTC transactions data is reported in standardized way and key parameters, which may contribute to the contract pricing, may not be reported.</w:t>
      </w:r>
    </w:p>
    <w:p w14:paraId="19DFA174" w14:textId="3F116303" w:rsidR="00673E8F" w:rsidRDefault="00673E8F" w:rsidP="008226B3">
      <w:pPr>
        <w:spacing w:after="0" w:line="360" w:lineRule="auto"/>
        <w:ind w:firstLine="709"/>
        <w:rPr>
          <w:rFonts w:cs="Times New Roman"/>
          <w:lang w:val="en-US"/>
        </w:rPr>
      </w:pPr>
      <w:r>
        <w:rPr>
          <w:rFonts w:cs="Times New Roman"/>
          <w:lang w:val="en-US"/>
        </w:rPr>
        <w:t>Mentioned factors are crucial for all studies on influence of interest rates and FX spot rates (common pricing parameters included in pricing formulas of both FX futures/forwards and FX options), which are subject to significant changes during the trading day and</w:t>
      </w:r>
      <w:r w:rsidR="003E3069">
        <w:rPr>
          <w:rFonts w:cs="Times New Roman"/>
          <w:lang w:val="en-US"/>
        </w:rPr>
        <w:t xml:space="preserve"> imply that the best possible option will be </w:t>
      </w:r>
      <w:r>
        <w:rPr>
          <w:rFonts w:cs="Times New Roman"/>
          <w:lang w:val="en-US"/>
        </w:rPr>
        <w:t>to limit the scope of our research to exchange traded contracts</w:t>
      </w:r>
      <w:r w:rsidR="00F61F64">
        <w:rPr>
          <w:rFonts w:cs="Times New Roman"/>
          <w:lang w:val="en-US"/>
        </w:rPr>
        <w:t xml:space="preserve"> (i.e. FX futures and not FX forwards)</w:t>
      </w:r>
      <w:r>
        <w:rPr>
          <w:rFonts w:cs="Times New Roman"/>
          <w:lang w:val="en-US"/>
        </w:rPr>
        <w:t xml:space="preserve"> only. </w:t>
      </w:r>
    </w:p>
    <w:p w14:paraId="494B19D1" w14:textId="277FC52E" w:rsidR="00E27ADB" w:rsidRDefault="00673E8F" w:rsidP="00F61F64">
      <w:pPr>
        <w:spacing w:after="0" w:line="360" w:lineRule="auto"/>
        <w:ind w:firstLine="709"/>
        <w:rPr>
          <w:rFonts w:cs="Times New Roman"/>
          <w:lang w:val="en-US"/>
        </w:rPr>
      </w:pPr>
      <w:r>
        <w:rPr>
          <w:rFonts w:cs="Times New Roman"/>
          <w:lang w:val="en-US"/>
        </w:rPr>
        <w:t>Next important decision is about the exchange, which trading data is appropriate for analysis and</w:t>
      </w:r>
      <w:r w:rsidR="00F61F64">
        <w:rPr>
          <w:rFonts w:cs="Times New Roman"/>
          <w:lang w:val="en-US"/>
        </w:rPr>
        <w:t xml:space="preserve"> which could be used as a</w:t>
      </w:r>
      <w:r>
        <w:rPr>
          <w:rFonts w:cs="Times New Roman"/>
          <w:lang w:val="en-US"/>
        </w:rPr>
        <w:t xml:space="preserve"> source of input data. In this choice, we also relied on the available</w:t>
      </w:r>
      <w:r w:rsidR="00B05668">
        <w:rPr>
          <w:rFonts w:cs="Times New Roman"/>
          <w:lang w:val="en-US"/>
        </w:rPr>
        <w:t xml:space="preserve"> derivatives transactions</w:t>
      </w:r>
      <w:r>
        <w:rPr>
          <w:rFonts w:cs="Times New Roman"/>
          <w:lang w:val="en-US"/>
        </w:rPr>
        <w:t xml:space="preserve"> data published by BIS</w:t>
      </w:r>
      <w:r w:rsidR="00730263">
        <w:rPr>
          <w:rFonts w:cs="Times New Roman"/>
          <w:lang w:val="en-US"/>
        </w:rPr>
        <w:t>.</w:t>
      </w:r>
    </w:p>
    <w:p w14:paraId="1A167978" w14:textId="7D24A2CE" w:rsidR="00730263" w:rsidRPr="00730263" w:rsidRDefault="00261BFC" w:rsidP="00261BFC">
      <w:pPr>
        <w:pStyle w:val="a0"/>
      </w:pPr>
      <w:r>
        <w:t xml:space="preserve">Figure </w:t>
      </w:r>
      <w:r>
        <w:fldChar w:fldCharType="begin"/>
      </w:r>
      <w:r>
        <w:instrText xml:space="preserve"> SEQ Figure \* ARABIC </w:instrText>
      </w:r>
      <w:r>
        <w:fldChar w:fldCharType="separate"/>
      </w:r>
      <w:r w:rsidR="004D16C9">
        <w:rPr>
          <w:noProof/>
        </w:rPr>
        <w:t>2</w:t>
      </w:r>
      <w:r>
        <w:fldChar w:fldCharType="end"/>
      </w:r>
      <w:r w:rsidR="00730263" w:rsidRPr="00730263">
        <w:t>. FX futures</w:t>
      </w:r>
      <w:r w:rsidR="00956F50">
        <w:t xml:space="preserve"> and options</w:t>
      </w:r>
      <w:r w:rsidR="00730263" w:rsidRPr="00730263">
        <w:t xml:space="preserve"> daily average turnover by location of exchange, USD bln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30263" w14:paraId="4D4D3A79" w14:textId="77777777" w:rsidTr="00730263">
        <w:tc>
          <w:tcPr>
            <w:tcW w:w="9345" w:type="dxa"/>
          </w:tcPr>
          <w:p w14:paraId="3B9E91D4" w14:textId="7128E4A1" w:rsidR="00730263" w:rsidRDefault="00956F50" w:rsidP="008226B3">
            <w:pPr>
              <w:spacing w:line="360" w:lineRule="auto"/>
              <w:ind w:firstLine="709"/>
              <w:jc w:val="center"/>
              <w:rPr>
                <w:rFonts w:cs="Times New Roman"/>
                <w:lang w:val="en-US"/>
              </w:rPr>
            </w:pPr>
            <w:r w:rsidRPr="00956F50">
              <w:rPr>
                <w:rFonts w:cs="Times New Roman"/>
                <w:noProof/>
                <w:lang w:val="en-US"/>
              </w:rPr>
              <w:drawing>
                <wp:inline distT="0" distB="0" distL="0" distR="0" wp14:anchorId="2017E6EE" wp14:editId="2AD965F3">
                  <wp:extent cx="2941320" cy="369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1320" cy="3695700"/>
                          </a:xfrm>
                          <a:prstGeom prst="rect">
                            <a:avLst/>
                          </a:prstGeom>
                          <a:noFill/>
                          <a:ln>
                            <a:noFill/>
                          </a:ln>
                        </pic:spPr>
                      </pic:pic>
                    </a:graphicData>
                  </a:graphic>
                </wp:inline>
              </w:drawing>
            </w:r>
          </w:p>
        </w:tc>
      </w:tr>
    </w:tbl>
    <w:p w14:paraId="72CB18DD" w14:textId="77777777" w:rsidR="00730263" w:rsidRPr="00C813C6" w:rsidRDefault="00730263" w:rsidP="00F61F64">
      <w:pPr>
        <w:pStyle w:val="a1"/>
      </w:pPr>
      <w:r w:rsidRPr="00C813C6">
        <w:t>Source: Bank for International Settlements Statistics</w:t>
      </w:r>
      <w:r>
        <w:t xml:space="preserve"> (BIS)</w:t>
      </w:r>
    </w:p>
    <w:p w14:paraId="69839546" w14:textId="7A65C01C" w:rsidR="00730263" w:rsidRDefault="00B34B2C" w:rsidP="008226B3">
      <w:pPr>
        <w:spacing w:after="0" w:line="360" w:lineRule="auto"/>
        <w:ind w:firstLine="709"/>
        <w:rPr>
          <w:rFonts w:cs="Times New Roman"/>
          <w:lang w:val="en-US"/>
        </w:rPr>
      </w:pPr>
      <w:r>
        <w:rPr>
          <w:rFonts w:cs="Times New Roman"/>
          <w:lang w:val="en-US"/>
        </w:rPr>
        <w:lastRenderedPageBreak/>
        <w:t>Among the derivatives exchanges with significant trading</w:t>
      </w:r>
      <w:r w:rsidR="00F61F64">
        <w:rPr>
          <w:rFonts w:cs="Times New Roman"/>
          <w:lang w:val="en-US"/>
        </w:rPr>
        <w:t xml:space="preserve"> volumes</w:t>
      </w:r>
      <w:r>
        <w:rPr>
          <w:rFonts w:cs="Times New Roman"/>
          <w:lang w:val="en-US"/>
        </w:rPr>
        <w:t xml:space="preserve"> in FX derivatives, International Monetary Market, part of CME group, is the most prevalent</w:t>
      </w:r>
      <w:r w:rsidR="00AA35ED">
        <w:rPr>
          <w:rStyle w:val="FootnoteReference"/>
          <w:rFonts w:cs="Times New Roman"/>
          <w:lang w:val="en-US"/>
        </w:rPr>
        <w:footnoteReference w:id="9"/>
      </w:r>
      <w:r>
        <w:rPr>
          <w:rFonts w:cs="Times New Roman"/>
          <w:lang w:val="en-US"/>
        </w:rPr>
        <w:t>.</w:t>
      </w:r>
      <w:r w:rsidR="0035259D">
        <w:rPr>
          <w:rFonts w:cs="Times New Roman"/>
          <w:lang w:val="en-US"/>
        </w:rPr>
        <w:t xml:space="preserve"> Thus, we decided to focus our attention at</w:t>
      </w:r>
      <w:r w:rsidR="00F61F64">
        <w:rPr>
          <w:rFonts w:cs="Times New Roman"/>
          <w:lang w:val="en-US"/>
        </w:rPr>
        <w:t xml:space="preserve"> the</w:t>
      </w:r>
      <w:r w:rsidR="0035259D">
        <w:rPr>
          <w:rFonts w:cs="Times New Roman"/>
          <w:lang w:val="en-US"/>
        </w:rPr>
        <w:t xml:space="preserve"> instruments traded at this exchange</w:t>
      </w:r>
      <w:r w:rsidR="00F61F64">
        <w:rPr>
          <w:rFonts w:cs="Times New Roman"/>
          <w:lang w:val="en-US"/>
        </w:rPr>
        <w:t>, because greater liquidity means that the prices are watched out by greater number of participants and all inefficiencies disappear fast enough to contribute to the validity of findings.</w:t>
      </w:r>
    </w:p>
    <w:p w14:paraId="67786BD5" w14:textId="554CFDCF" w:rsidR="00F61F64" w:rsidRPr="00566F83" w:rsidRDefault="00956F50" w:rsidP="00566F83">
      <w:pPr>
        <w:spacing w:after="0" w:line="360" w:lineRule="auto"/>
        <w:ind w:firstLine="709"/>
        <w:rPr>
          <w:rFonts w:cs="Times New Roman"/>
          <w:lang w:val="en-US"/>
        </w:rPr>
      </w:pPr>
      <w:r w:rsidRPr="00566F83">
        <w:rPr>
          <w:rFonts w:cs="Times New Roman"/>
          <w:lang w:val="en-US"/>
        </w:rPr>
        <w:t xml:space="preserve">We also want to outline reasons why FX futures and not FX options are within the scope of our analysis: </w:t>
      </w:r>
      <w:r w:rsidR="00F61F64" w:rsidRPr="00566F83">
        <w:rPr>
          <w:rFonts w:cs="Times New Roman"/>
          <w:lang w:val="en-US"/>
        </w:rPr>
        <w:t>i</w:t>
      </w:r>
      <w:r w:rsidRPr="00566F83">
        <w:rPr>
          <w:rFonts w:cs="Times New Roman"/>
          <w:lang w:val="en-US"/>
        </w:rPr>
        <w:t>n FX options, we have</w:t>
      </w:r>
      <w:r w:rsidR="00F61F64" w:rsidRPr="00566F83">
        <w:rPr>
          <w:rFonts w:cs="Times New Roman"/>
          <w:lang w:val="en-US"/>
        </w:rPr>
        <w:t xml:space="preserve"> several inputs</w:t>
      </w:r>
      <w:r w:rsidRPr="00566F83">
        <w:rPr>
          <w:rFonts w:cs="Times New Roman"/>
          <w:lang w:val="en-US"/>
        </w:rPr>
        <w:t xml:space="preserve"> to apply</w:t>
      </w:r>
      <w:r w:rsidR="00F61F64" w:rsidRPr="00566F83">
        <w:rPr>
          <w:rFonts w:cs="Times New Roman"/>
          <w:lang w:val="en-US"/>
        </w:rPr>
        <w:t xml:space="preserve"> to get the theoretical value of the contract:</w:t>
      </w:r>
      <w:r w:rsidRPr="00566F83">
        <w:rPr>
          <w:rFonts w:cs="Times New Roman"/>
          <w:lang w:val="en-US"/>
        </w:rPr>
        <w:t xml:space="preserve"> interest rate, spot rate, strike price, time until expiration and volatility.</w:t>
      </w:r>
      <w:r w:rsidR="005E6B92" w:rsidRPr="00566F83">
        <w:rPr>
          <w:rFonts w:cs="Times New Roman"/>
          <w:lang w:val="en-US"/>
        </w:rPr>
        <w:t xml:space="preserve"> Unfortunately,</w:t>
      </w:r>
      <w:r w:rsidRPr="00566F83">
        <w:rPr>
          <w:rFonts w:cs="Times New Roman"/>
          <w:lang w:val="en-US"/>
        </w:rPr>
        <w:t xml:space="preserve"> 1 parameter</w:t>
      </w:r>
      <w:r w:rsidR="005E6B92" w:rsidRPr="00566F83">
        <w:rPr>
          <w:rFonts w:cs="Times New Roman"/>
          <w:lang w:val="en-US"/>
        </w:rPr>
        <w:t>, volatility,</w:t>
      </w:r>
      <w:r w:rsidRPr="00566F83">
        <w:rPr>
          <w:rFonts w:cs="Times New Roman"/>
          <w:lang w:val="en-US"/>
        </w:rPr>
        <w:t xml:space="preserve"> out of </w:t>
      </w:r>
      <w:r w:rsidR="00F61F64" w:rsidRPr="00566F83">
        <w:rPr>
          <w:rFonts w:cs="Times New Roman"/>
          <w:lang w:val="en-US"/>
        </w:rPr>
        <w:t>4</w:t>
      </w:r>
      <w:r w:rsidRPr="00566F83">
        <w:rPr>
          <w:rFonts w:cs="Times New Roman"/>
          <w:lang w:val="en-US"/>
        </w:rPr>
        <w:t xml:space="preserve"> is subject to market estimation</w:t>
      </w:r>
      <w:r w:rsidR="005E6B92" w:rsidRPr="00566F83">
        <w:rPr>
          <w:rFonts w:cs="Times New Roman"/>
          <w:lang w:val="en-US"/>
        </w:rPr>
        <w:t xml:space="preserve"> and not observed as directly as others. That is why most studies on options pricing are concentrated on implied volatility. In FX futures we have to know only spot rate and interest rate to get the theoretical value of the contract. All of these parameters are directly observed and could be applied for valuation. Hence, we could focus not on implied volatility, but to </w:t>
      </w:r>
      <w:r w:rsidR="00F61F64" w:rsidRPr="00566F83">
        <w:rPr>
          <w:rFonts w:cs="Times New Roman"/>
          <w:lang w:val="en-US"/>
        </w:rPr>
        <w:t>study</w:t>
      </w:r>
      <w:r w:rsidR="005E6B92" w:rsidRPr="00566F83">
        <w:rPr>
          <w:rFonts w:cs="Times New Roman"/>
          <w:lang w:val="en-US"/>
        </w:rPr>
        <w:t xml:space="preserve"> the deviation (if any) of observed market price</w:t>
      </w:r>
      <w:r w:rsidR="00F61F64" w:rsidRPr="00566F83">
        <w:rPr>
          <w:rFonts w:cs="Times New Roman"/>
          <w:lang w:val="en-US"/>
        </w:rPr>
        <w:t xml:space="preserve"> of the contract</w:t>
      </w:r>
      <w:r w:rsidR="005E6B92" w:rsidRPr="00566F83">
        <w:rPr>
          <w:rFonts w:cs="Times New Roman"/>
          <w:lang w:val="en-US"/>
        </w:rPr>
        <w:t xml:space="preserve"> from</w:t>
      </w:r>
      <w:r w:rsidR="00F61F64" w:rsidRPr="00566F83">
        <w:rPr>
          <w:rFonts w:cs="Times New Roman"/>
          <w:lang w:val="en-US"/>
        </w:rPr>
        <w:t xml:space="preserve"> it’s</w:t>
      </w:r>
      <w:r w:rsidR="005E6B92" w:rsidRPr="00566F83">
        <w:rPr>
          <w:rFonts w:cs="Times New Roman"/>
          <w:lang w:val="en-US"/>
        </w:rPr>
        <w:t xml:space="preserve"> theoretical value.</w:t>
      </w:r>
    </w:p>
    <w:p w14:paraId="05B1C040" w14:textId="77777777" w:rsidR="00F61F64" w:rsidRDefault="00F61F64">
      <w:pPr>
        <w:jc w:val="left"/>
        <w:rPr>
          <w:rFonts w:cs="Times New Roman"/>
          <w:lang w:val="en-US"/>
        </w:rPr>
      </w:pPr>
      <w:r w:rsidRPr="008966FC">
        <w:rPr>
          <w:lang w:val="en-US"/>
        </w:rPr>
        <w:br w:type="page"/>
      </w:r>
    </w:p>
    <w:p w14:paraId="4574C66F" w14:textId="6F266EA2" w:rsidR="008F28D9" w:rsidRPr="00A370EB" w:rsidRDefault="00467D70" w:rsidP="00F61F64">
      <w:pPr>
        <w:pStyle w:val="Heading1"/>
        <w:spacing w:line="360" w:lineRule="auto"/>
        <w:ind w:firstLine="709"/>
        <w:rPr>
          <w:lang w:val="en-US"/>
        </w:rPr>
      </w:pPr>
      <w:bookmarkStart w:id="5" w:name="_Toc73483043"/>
      <w:r>
        <w:rPr>
          <w:lang w:val="en-US"/>
        </w:rPr>
        <w:lastRenderedPageBreak/>
        <w:t xml:space="preserve">1.2. </w:t>
      </w:r>
      <w:r w:rsidR="00F61F64" w:rsidRPr="00A370EB">
        <w:rPr>
          <w:lang w:val="en-US"/>
        </w:rPr>
        <w:t>FX FORWARD PRICING MODEL AND IT’S INHERENT ASSUMPTIONS</w:t>
      </w:r>
      <w:bookmarkEnd w:id="5"/>
    </w:p>
    <w:p w14:paraId="6CFAD728" w14:textId="294FEC91" w:rsidR="00574023" w:rsidRPr="00B12378" w:rsidRDefault="00467D70" w:rsidP="008226B3">
      <w:pPr>
        <w:pStyle w:val="Heading2"/>
        <w:spacing w:line="360" w:lineRule="auto"/>
        <w:ind w:firstLine="709"/>
        <w:rPr>
          <w:lang w:val="en-US"/>
        </w:rPr>
      </w:pPr>
      <w:bookmarkStart w:id="6" w:name="_Toc73483044"/>
      <w:r>
        <w:rPr>
          <w:lang w:val="en-US"/>
        </w:rPr>
        <w:t xml:space="preserve">1.2.1 </w:t>
      </w:r>
      <w:r w:rsidR="00574023" w:rsidRPr="00B12378">
        <w:rPr>
          <w:lang w:val="en-US"/>
        </w:rPr>
        <w:t>FX f</w:t>
      </w:r>
      <w:r w:rsidR="00121FC4">
        <w:rPr>
          <w:lang w:val="en-US"/>
        </w:rPr>
        <w:t>orward</w:t>
      </w:r>
      <w:r w:rsidR="00574023" w:rsidRPr="00B12378">
        <w:rPr>
          <w:lang w:val="en-US"/>
        </w:rPr>
        <w:t xml:space="preserve"> pricing formula</w:t>
      </w:r>
      <w:bookmarkEnd w:id="6"/>
    </w:p>
    <w:p w14:paraId="74D64381" w14:textId="34EF735D" w:rsidR="00060AA7" w:rsidRDefault="007474AF" w:rsidP="008226B3">
      <w:pPr>
        <w:spacing w:after="0" w:line="360" w:lineRule="auto"/>
        <w:ind w:firstLine="709"/>
        <w:rPr>
          <w:rFonts w:cs="Times New Roman"/>
          <w:i/>
          <w:iCs/>
          <w:lang w:val="en-US"/>
        </w:rPr>
      </w:pPr>
      <w:r>
        <w:rPr>
          <w:rFonts w:cs="Times New Roman"/>
          <w:lang w:val="en-US"/>
        </w:rPr>
        <w:t xml:space="preserve">Following classic definition, we could state that FX future is </w:t>
      </w:r>
      <w:r w:rsidR="00060AA7" w:rsidRPr="00060AA7">
        <w:rPr>
          <w:rFonts w:cs="Times New Roman"/>
          <w:i/>
          <w:iCs/>
          <w:lang w:val="en-US"/>
        </w:rPr>
        <w:t>exchange-traded product</w:t>
      </w:r>
      <w:r w:rsidR="00355B32">
        <w:rPr>
          <w:rFonts w:cs="Times New Roman"/>
          <w:i/>
          <w:iCs/>
          <w:lang w:val="en-US"/>
        </w:rPr>
        <w:t>,</w:t>
      </w:r>
      <w:r w:rsidR="00060AA7">
        <w:rPr>
          <w:rFonts w:cs="Times New Roman"/>
          <w:i/>
          <w:iCs/>
          <w:lang w:val="en-US"/>
        </w:rPr>
        <w:t xml:space="preserve"> </w:t>
      </w:r>
      <w:r w:rsidR="00060AA7" w:rsidRPr="00060AA7">
        <w:rPr>
          <w:rFonts w:cs="Times New Roman"/>
          <w:i/>
          <w:iCs/>
          <w:lang w:val="en-US"/>
        </w:rPr>
        <w:t>agreement to buy or sell an asset</w:t>
      </w:r>
      <w:r w:rsidR="00566F83">
        <w:rPr>
          <w:rFonts w:cs="Times New Roman"/>
          <w:i/>
          <w:iCs/>
          <w:lang w:val="en-US"/>
        </w:rPr>
        <w:t xml:space="preserve"> </w:t>
      </w:r>
      <w:r w:rsidR="00060AA7" w:rsidRPr="00060AA7">
        <w:rPr>
          <w:rFonts w:cs="Times New Roman"/>
          <w:i/>
          <w:iCs/>
          <w:lang w:val="en-US"/>
        </w:rPr>
        <w:t>at a future time for a certain</w:t>
      </w:r>
      <w:r w:rsidR="00060AA7">
        <w:rPr>
          <w:rFonts w:cs="Times New Roman"/>
          <w:i/>
          <w:iCs/>
          <w:lang w:val="en-US"/>
        </w:rPr>
        <w:t xml:space="preserve"> </w:t>
      </w:r>
      <w:r w:rsidR="00060AA7" w:rsidRPr="00060AA7">
        <w:rPr>
          <w:rFonts w:cs="Times New Roman"/>
          <w:i/>
          <w:iCs/>
          <w:lang w:val="en-US"/>
        </w:rPr>
        <w:t>price</w:t>
      </w:r>
      <w:r w:rsidR="00355B32">
        <w:rPr>
          <w:rStyle w:val="FootnoteReference"/>
          <w:rFonts w:cs="Times New Roman"/>
          <w:i/>
          <w:iCs/>
          <w:lang w:val="en-US"/>
        </w:rPr>
        <w:footnoteReference w:id="10"/>
      </w:r>
      <w:r w:rsidR="00060AA7">
        <w:rPr>
          <w:rFonts w:cs="Times New Roman"/>
          <w:i/>
          <w:iCs/>
          <w:lang w:val="en-US"/>
        </w:rPr>
        <w:t>.</w:t>
      </w:r>
    </w:p>
    <w:p w14:paraId="02E579DC" w14:textId="46A8D9A6" w:rsidR="004A409E" w:rsidRDefault="004A409E" w:rsidP="008226B3">
      <w:pPr>
        <w:spacing w:after="0" w:line="360" w:lineRule="auto"/>
        <w:ind w:firstLine="709"/>
        <w:rPr>
          <w:rFonts w:cs="Times New Roman"/>
          <w:lang w:val="en-US"/>
        </w:rPr>
      </w:pPr>
      <w:r>
        <w:rPr>
          <w:rFonts w:cs="Times New Roman"/>
          <w:lang w:val="en-US"/>
        </w:rPr>
        <w:t>FX futures are priced taking into account current FX rate and time value of money. Time value of money, in case of FX transactions, is linked to the interest rate which could be earned in either one or another currency</w:t>
      </w:r>
      <w:r w:rsidR="00A726A7">
        <w:rPr>
          <w:rFonts w:cs="Times New Roman"/>
          <w:lang w:val="en-US"/>
        </w:rPr>
        <w:t xml:space="preserve"> in a currency pair.</w:t>
      </w:r>
      <w:r w:rsidR="00856080">
        <w:rPr>
          <w:rFonts w:cs="Times New Roman"/>
          <w:lang w:val="en-US"/>
        </w:rPr>
        <w:t xml:space="preserve"> </w:t>
      </w:r>
      <w:r w:rsidR="00A726A7">
        <w:rPr>
          <w:rFonts w:cs="Times New Roman"/>
          <w:lang w:val="en-US"/>
        </w:rPr>
        <w:t>The formula which links interest rates charged in each of the currency pairs with the spot rate is:</w:t>
      </w:r>
    </w:p>
    <w:p w14:paraId="13E90721" w14:textId="77777777" w:rsidR="003E3069" w:rsidRDefault="003E3069" w:rsidP="008226B3">
      <w:pPr>
        <w:spacing w:after="0" w:line="360" w:lineRule="auto"/>
        <w:ind w:firstLine="709"/>
        <w:jc w:val="center"/>
        <w:rPr>
          <w:rFonts w:eastAsiaTheme="minorEastAsia" w:cs="Times New Roman"/>
          <w:i/>
          <w:lang w:val="en-US"/>
        </w:rPr>
      </w:pPr>
      <w:r w:rsidRPr="003E3069">
        <w:rPr>
          <w:rFonts w:ascii="Cambria Math" w:eastAsiaTheme="minorEastAsia" w:hAnsi="Cambria Math" w:cs="Times New Roman"/>
          <w:i/>
          <w:lang w:val="en-US"/>
        </w:rPr>
        <w:t>FX future =</w:t>
      </w:r>
      <w:r>
        <w:rPr>
          <w:rFonts w:eastAsiaTheme="minorEastAsia" w:cs="Times New Roman"/>
          <w:lang w:val="en-US"/>
        </w:rPr>
        <w:t xml:space="preserve"> </w:t>
      </w:r>
      <m:oMath>
        <m:r>
          <w:rPr>
            <w:rFonts w:ascii="Cambria Math" w:eastAsiaTheme="minorEastAsia" w:hAnsi="Cambria Math" w:cs="Times New Roman"/>
            <w:lang w:val="en-US"/>
          </w:rPr>
          <m:t>FX</m:t>
        </m:r>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q</m:t>
                </m:r>
              </m:sub>
            </m:sSub>
            <m:r>
              <w:rPr>
                <w:rFonts w:ascii="Cambria Math" w:hAnsi="Cambria Math" w:cs="Times New Roman"/>
                <w:lang w:val="en-US"/>
              </w:rPr>
              <m:t>*t)</m:t>
            </m:r>
          </m:num>
          <m:den>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b</m:t>
                </m:r>
              </m:sub>
            </m:sSub>
            <m:r>
              <w:rPr>
                <w:rFonts w:ascii="Cambria Math" w:hAnsi="Cambria Math" w:cs="Times New Roman"/>
                <w:lang w:val="en-US"/>
              </w:rPr>
              <m:t>*t)</m:t>
            </m:r>
          </m:den>
        </m:f>
      </m:oMath>
      <w:r w:rsidR="00A726A7" w:rsidRPr="00A726A7">
        <w:rPr>
          <w:rFonts w:eastAsiaTheme="minorEastAsia" w:cs="Times New Roman"/>
          <w:i/>
          <w:lang w:val="en-US"/>
        </w:rPr>
        <w:t>, or</w:t>
      </w:r>
      <w:r w:rsidR="00A726A7">
        <w:rPr>
          <w:rFonts w:eastAsiaTheme="minorEastAsia" w:cs="Times New Roman"/>
          <w:i/>
          <w:lang w:val="en-US"/>
        </w:rPr>
        <w:t xml:space="preserve">   </w:t>
      </w:r>
      <w:r w:rsidR="00A726A7" w:rsidRPr="00A726A7">
        <w:rPr>
          <w:rFonts w:eastAsiaTheme="minorEastAsia" w:cs="Times New Roman"/>
          <w:i/>
          <w:lang w:val="en-US"/>
        </w:rPr>
        <w:t xml:space="preserve"> </w:t>
      </w:r>
    </w:p>
    <w:p w14:paraId="53FFDD3E" w14:textId="079890B7" w:rsidR="00A726A7" w:rsidRDefault="003E3069" w:rsidP="008226B3">
      <w:pPr>
        <w:spacing w:after="0" w:line="360" w:lineRule="auto"/>
        <w:ind w:firstLine="709"/>
        <w:jc w:val="center"/>
        <w:rPr>
          <w:rFonts w:eastAsiaTheme="minorEastAsia" w:cs="Times New Roman"/>
          <w:i/>
          <w:lang w:val="en-US"/>
        </w:rPr>
      </w:pPr>
      <w:r w:rsidRPr="003E3069">
        <w:rPr>
          <w:rFonts w:ascii="Cambria Math" w:eastAsiaTheme="minorEastAsia" w:hAnsi="Cambria Math" w:cs="Times New Roman"/>
          <w:i/>
          <w:lang w:val="en-US"/>
        </w:rPr>
        <w:t xml:space="preserve">FX future </w:t>
      </w:r>
      <w:r>
        <w:rPr>
          <w:rFonts w:ascii="Cambria Math" w:eastAsiaTheme="minorEastAsia" w:hAnsi="Cambria Math" w:cs="Times New Roman"/>
          <w:i/>
          <w:lang w:val="en-US"/>
        </w:rPr>
        <w:t xml:space="preserve"> = </w:t>
      </w:r>
      <w:r w:rsidR="00856080">
        <w:rPr>
          <w:rFonts w:eastAsiaTheme="minorEastAsia" w:cs="Times New Roman"/>
          <w:i/>
          <w:lang w:val="en-US"/>
        </w:rPr>
        <w:t xml:space="preserve">FX </w:t>
      </w:r>
      <m:oMath>
        <m:r>
          <w:rPr>
            <w:rFonts w:ascii="Cambria Math" w:hAnsi="Cambria Math" w:cs="Times New Roman"/>
            <w:lang w:val="en-US"/>
          </w:rPr>
          <m:t>*</m:t>
        </m:r>
        <m:func>
          <m:funcPr>
            <m:ctrlPr>
              <w:rPr>
                <w:rFonts w:ascii="Cambria Math" w:hAnsi="Cambria Math" w:cs="Times New Roman"/>
                <w:i/>
                <w:lang w:val="en-US"/>
              </w:rPr>
            </m:ctrlPr>
          </m:funcPr>
          <m:fName>
            <m:r>
              <w:rPr>
                <w:rFonts w:ascii="Cambria Math" w:hAnsi="Cambria Math" w:cs="Times New Roman"/>
                <w:lang w:val="en-US"/>
              </w:rPr>
              <m:t>exp</m:t>
            </m:r>
          </m:fName>
          <m:e>
            <m:r>
              <w:rPr>
                <w:rFonts w:ascii="Cambria Math" w:hAnsi="Cambria Math" w:cs="Times New Roman"/>
                <w:lang w:val="en-US"/>
              </w:rPr>
              <m:t>((</m:t>
            </m:r>
          </m:e>
        </m:func>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q</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b</m:t>
            </m:r>
          </m:sub>
        </m:sSub>
        <m:r>
          <w:rPr>
            <w:rFonts w:ascii="Cambria Math" w:hAnsi="Cambria Math" w:cs="Times New Roman"/>
            <w:lang w:val="en-US"/>
          </w:rPr>
          <m:t>)*t)</m:t>
        </m:r>
      </m:oMath>
      <w:r w:rsidR="00A726A7">
        <w:rPr>
          <w:rFonts w:eastAsiaTheme="minorEastAsia" w:cs="Times New Roman"/>
          <w:i/>
          <w:lang w:val="en-US"/>
        </w:rPr>
        <w:t>, where</w:t>
      </w:r>
    </w:p>
    <w:p w14:paraId="08E47CB9" w14:textId="60BD9990" w:rsidR="00A726A7" w:rsidRPr="00C66CFD" w:rsidRDefault="00856080" w:rsidP="008226B3">
      <w:pPr>
        <w:spacing w:after="0" w:line="360" w:lineRule="auto"/>
        <w:ind w:firstLine="709"/>
        <w:rPr>
          <w:rFonts w:eastAsiaTheme="minorEastAsia" w:cs="Times New Roman"/>
          <w:iCs/>
          <w:lang w:val="en-US"/>
        </w:rPr>
      </w:pPr>
      <w:r w:rsidRPr="00856080">
        <w:rPr>
          <w:rFonts w:eastAsiaTheme="minorEastAsia" w:cs="Times New Roman"/>
          <w:i/>
          <w:lang w:val="en-US"/>
        </w:rPr>
        <w:t>FX</w:t>
      </w:r>
      <w:r w:rsidR="00A726A7" w:rsidRPr="00A726A7">
        <w:rPr>
          <w:rFonts w:eastAsiaTheme="minorEastAsia" w:cs="Times New Roman"/>
          <w:iCs/>
          <w:lang w:val="en-US"/>
        </w:rPr>
        <w:t>: spot rate a</w:t>
      </w:r>
      <w:r w:rsidR="00A726A7">
        <w:rPr>
          <w:rFonts w:eastAsiaTheme="minorEastAsia" w:cs="Times New Roman"/>
          <w:iCs/>
          <w:lang w:val="en-US"/>
        </w:rPr>
        <w:t>t the time of contract purchase</w:t>
      </w:r>
      <w:r w:rsidR="00C66CFD">
        <w:rPr>
          <w:rFonts w:eastAsiaTheme="minorEastAsia" w:cs="Times New Roman"/>
          <w:iCs/>
          <w:lang w:val="en-US"/>
        </w:rPr>
        <w:t>;</w:t>
      </w:r>
    </w:p>
    <w:p w14:paraId="09C1D7CF" w14:textId="0EF770D0" w:rsidR="00A726A7" w:rsidRPr="00A726A7" w:rsidRDefault="00A726A7" w:rsidP="008226B3">
      <w:pPr>
        <w:spacing w:after="0" w:line="360" w:lineRule="auto"/>
        <w:ind w:firstLine="709"/>
        <w:rPr>
          <w:rFonts w:eastAsiaTheme="minorEastAsia" w:cs="Times New Roman"/>
          <w:i/>
          <w:lang w:val="en-US"/>
        </w:rPr>
      </w:pPr>
      <w:r w:rsidRPr="00A726A7">
        <w:rPr>
          <w:rFonts w:eastAsiaTheme="minorEastAsia" w:cs="Times New Roman"/>
          <w:i/>
          <w:lang w:val="en-US"/>
        </w:rPr>
        <w:t>r</w:t>
      </w:r>
      <w:r w:rsidRPr="00A726A7">
        <w:rPr>
          <w:rFonts w:eastAsiaTheme="minorEastAsia" w:cs="Times New Roman"/>
          <w:i/>
          <w:vertAlign w:val="subscript"/>
          <w:lang w:val="en-US"/>
        </w:rPr>
        <w:t>b</w:t>
      </w:r>
      <w:r w:rsidRPr="00A726A7">
        <w:rPr>
          <w:rFonts w:eastAsiaTheme="minorEastAsia" w:cs="Times New Roman"/>
          <w:iCs/>
          <w:lang w:val="en-US"/>
        </w:rPr>
        <w:t>:</w:t>
      </w:r>
      <w:r w:rsidRPr="00A726A7">
        <w:rPr>
          <w:rFonts w:eastAsiaTheme="minorEastAsia" w:cs="Times New Roman"/>
          <w:i/>
          <w:lang w:val="en-US"/>
        </w:rPr>
        <w:t xml:space="preserve"> </w:t>
      </w:r>
      <w:r w:rsidRPr="00A726A7">
        <w:rPr>
          <w:rFonts w:eastAsiaTheme="minorEastAsia" w:cs="Times New Roman"/>
          <w:iCs/>
          <w:lang w:val="en-US"/>
        </w:rPr>
        <w:t>risk-free interest rate in base currency</w:t>
      </w:r>
      <w:r w:rsidR="00CC753F">
        <w:rPr>
          <w:rFonts w:eastAsiaTheme="minorEastAsia" w:cs="Times New Roman"/>
          <w:iCs/>
          <w:lang w:val="en-US"/>
        </w:rPr>
        <w:t xml:space="preserve"> (exchanged currency)</w:t>
      </w:r>
      <w:r w:rsidR="00C66CFD">
        <w:rPr>
          <w:rFonts w:eastAsiaTheme="minorEastAsia" w:cs="Times New Roman"/>
          <w:iCs/>
          <w:lang w:val="en-US"/>
        </w:rPr>
        <w:t>;</w:t>
      </w:r>
    </w:p>
    <w:p w14:paraId="30CA1F90" w14:textId="763C5BFA" w:rsidR="00A726A7" w:rsidRPr="00CC753F" w:rsidRDefault="00A726A7" w:rsidP="008226B3">
      <w:pPr>
        <w:spacing w:after="0" w:line="360" w:lineRule="auto"/>
        <w:ind w:firstLine="709"/>
        <w:rPr>
          <w:rFonts w:cs="Times New Roman"/>
          <w:iCs/>
          <w:vertAlign w:val="subscript"/>
          <w:lang w:val="en-US"/>
        </w:rPr>
      </w:pPr>
      <w:r w:rsidRPr="00CC753F">
        <w:rPr>
          <w:rFonts w:cs="Times New Roman"/>
          <w:i/>
          <w:lang w:val="en-US"/>
        </w:rPr>
        <w:t>r</w:t>
      </w:r>
      <w:r w:rsidRPr="00CC753F">
        <w:rPr>
          <w:rFonts w:cs="Times New Roman"/>
          <w:i/>
          <w:vertAlign w:val="subscript"/>
          <w:lang w:val="en-US"/>
        </w:rPr>
        <w:t>q</w:t>
      </w:r>
      <w:r w:rsidR="00CC753F" w:rsidRPr="00CC753F">
        <w:rPr>
          <w:rFonts w:cs="Times New Roman"/>
          <w:iCs/>
          <w:vertAlign w:val="subscript"/>
          <w:lang w:val="en-US"/>
        </w:rPr>
        <w:t xml:space="preserve">: </w:t>
      </w:r>
      <w:r w:rsidR="00CC753F" w:rsidRPr="00A726A7">
        <w:rPr>
          <w:rFonts w:eastAsiaTheme="minorEastAsia" w:cs="Times New Roman"/>
          <w:iCs/>
          <w:lang w:val="en-US"/>
        </w:rPr>
        <w:t xml:space="preserve">risk-free interest rate earned in </w:t>
      </w:r>
      <w:r w:rsidR="00CC753F">
        <w:rPr>
          <w:rFonts w:eastAsiaTheme="minorEastAsia" w:cs="Times New Roman"/>
          <w:iCs/>
          <w:lang w:val="en-US"/>
        </w:rPr>
        <w:t>quote</w:t>
      </w:r>
      <w:r w:rsidR="00CC753F" w:rsidRPr="00A726A7">
        <w:rPr>
          <w:rFonts w:eastAsiaTheme="minorEastAsia" w:cs="Times New Roman"/>
          <w:iCs/>
          <w:lang w:val="en-US"/>
        </w:rPr>
        <w:t xml:space="preserve"> currency</w:t>
      </w:r>
      <w:r w:rsidR="00CC753F">
        <w:rPr>
          <w:rFonts w:eastAsiaTheme="minorEastAsia" w:cs="Times New Roman"/>
          <w:iCs/>
          <w:lang w:val="en-US"/>
        </w:rPr>
        <w:t xml:space="preserve"> (currency to be acquired)</w:t>
      </w:r>
      <w:r w:rsidR="00C66CFD">
        <w:rPr>
          <w:rFonts w:eastAsiaTheme="minorEastAsia" w:cs="Times New Roman"/>
          <w:iCs/>
          <w:lang w:val="en-US"/>
        </w:rPr>
        <w:t>;</w:t>
      </w:r>
    </w:p>
    <w:p w14:paraId="436028C6" w14:textId="45AF89F1" w:rsidR="00C66CFD" w:rsidRDefault="00A726A7" w:rsidP="008226B3">
      <w:pPr>
        <w:spacing w:after="0" w:line="360" w:lineRule="auto"/>
        <w:ind w:firstLine="709"/>
        <w:rPr>
          <w:rFonts w:cs="Times New Roman"/>
          <w:iCs/>
          <w:lang w:val="en-US"/>
        </w:rPr>
      </w:pPr>
      <w:r w:rsidRPr="00CC753F">
        <w:rPr>
          <w:rFonts w:cs="Times New Roman"/>
          <w:i/>
          <w:lang w:val="en-US"/>
        </w:rPr>
        <w:t>t</w:t>
      </w:r>
      <w:r w:rsidR="00CC753F" w:rsidRPr="00CC753F">
        <w:rPr>
          <w:rFonts w:cs="Times New Roman"/>
          <w:iCs/>
          <w:lang w:val="en-US"/>
        </w:rPr>
        <w:t>: time until expiration, e</w:t>
      </w:r>
      <w:r w:rsidR="00CC753F">
        <w:rPr>
          <w:rFonts w:cs="Times New Roman"/>
          <w:iCs/>
          <w:lang w:val="en-US"/>
        </w:rPr>
        <w:t>xpressed as a fraction of year</w:t>
      </w:r>
      <w:r w:rsidR="00C66CFD" w:rsidRPr="00C66CFD">
        <w:rPr>
          <w:rFonts w:cs="Times New Roman"/>
          <w:iCs/>
          <w:lang w:val="en-US"/>
        </w:rPr>
        <w:t>.</w:t>
      </w:r>
    </w:p>
    <w:p w14:paraId="2C7F33D9" w14:textId="741C3D11" w:rsidR="00117CDF" w:rsidRDefault="00C66CFD" w:rsidP="008226B3">
      <w:pPr>
        <w:spacing w:after="0" w:line="360" w:lineRule="auto"/>
        <w:ind w:firstLine="709"/>
        <w:rPr>
          <w:rFonts w:cs="Times New Roman"/>
          <w:iCs/>
          <w:lang w:val="en-US"/>
        </w:rPr>
      </w:pPr>
      <w:r>
        <w:rPr>
          <w:rFonts w:cs="Times New Roman"/>
          <w:iCs/>
          <w:lang w:val="en-US"/>
        </w:rPr>
        <w:t>The theoretical value of the contract provides the single price of the contract which, given the</w:t>
      </w:r>
      <w:r w:rsidR="00574023">
        <w:rPr>
          <w:rFonts w:cs="Times New Roman"/>
          <w:iCs/>
          <w:lang w:val="en-US"/>
        </w:rPr>
        <w:t xml:space="preserve"> </w:t>
      </w:r>
      <w:r>
        <w:rPr>
          <w:rFonts w:cs="Times New Roman"/>
          <w:iCs/>
          <w:lang w:val="en-US"/>
        </w:rPr>
        <w:t xml:space="preserve"> possibility of investor to</w:t>
      </w:r>
      <w:r w:rsidR="00856080">
        <w:rPr>
          <w:rFonts w:cs="Times New Roman"/>
          <w:iCs/>
          <w:lang w:val="en-US"/>
        </w:rPr>
        <w:t xml:space="preserve"> (a) </w:t>
      </w:r>
      <w:r w:rsidRPr="00856080">
        <w:rPr>
          <w:lang w:val="en-US"/>
        </w:rPr>
        <w:t>immediately exchange cash at the spot market and invest in foreign interest rate</w:t>
      </w:r>
      <w:r w:rsidR="00856080">
        <w:rPr>
          <w:lang w:val="en-US"/>
        </w:rPr>
        <w:t xml:space="preserve">, (b) </w:t>
      </w:r>
      <w:r w:rsidR="00574023" w:rsidRPr="00856080">
        <w:rPr>
          <w:lang w:val="en-US"/>
        </w:rPr>
        <w:t>invest cash in base currency at the</w:t>
      </w:r>
      <w:r w:rsidR="00856080" w:rsidRPr="00856080">
        <w:rPr>
          <w:lang w:val="en-US"/>
        </w:rPr>
        <w:t xml:space="preserve"> domestic</w:t>
      </w:r>
      <w:r w:rsidR="00574023" w:rsidRPr="00856080">
        <w:rPr>
          <w:lang w:val="en-US"/>
        </w:rPr>
        <w:t xml:space="preserve"> interbank rate</w:t>
      </w:r>
      <w:r w:rsidR="00856080">
        <w:rPr>
          <w:lang w:val="en-US"/>
        </w:rPr>
        <w:t xml:space="preserve">, (c) </w:t>
      </w:r>
      <w:r w:rsidR="00574023" w:rsidRPr="00856080">
        <w:rPr>
          <w:lang w:val="en-US"/>
        </w:rPr>
        <w:t>enter into both short and long position in FX future</w:t>
      </w:r>
      <w:r w:rsidR="00856080">
        <w:rPr>
          <w:lang w:val="en-US"/>
        </w:rPr>
        <w:t xml:space="preserve">, </w:t>
      </w:r>
      <w:r>
        <w:rPr>
          <w:rFonts w:cs="Times New Roman"/>
          <w:iCs/>
          <w:lang w:val="en-US"/>
        </w:rPr>
        <w:t>provides, no arbitrage possibility for market participant</w:t>
      </w:r>
      <w:r w:rsidR="00574023">
        <w:rPr>
          <w:rFonts w:cs="Times New Roman"/>
          <w:iCs/>
          <w:lang w:val="en-US"/>
        </w:rPr>
        <w:t>.</w:t>
      </w:r>
      <w:r w:rsidR="00117CDF">
        <w:rPr>
          <w:rFonts w:cs="Times New Roman"/>
          <w:iCs/>
          <w:lang w:val="en-US"/>
        </w:rPr>
        <w:t xml:space="preserve"> In our calculations we decided to use the second type of formula, as suggested by Hull, J. In reality, though, </w:t>
      </w:r>
      <w:r w:rsidR="00841E35">
        <w:rPr>
          <w:rFonts w:cs="Times New Roman"/>
          <w:iCs/>
          <w:lang w:val="en-US"/>
        </w:rPr>
        <w:t>futures</w:t>
      </w:r>
      <w:r w:rsidR="00117CDF">
        <w:rPr>
          <w:rFonts w:cs="Times New Roman"/>
          <w:iCs/>
          <w:lang w:val="en-US"/>
        </w:rPr>
        <w:t xml:space="preserve"> contracts have rather short live</w:t>
      </w:r>
      <w:r w:rsidR="00841E35">
        <w:rPr>
          <w:rFonts w:cs="Times New Roman"/>
          <w:iCs/>
          <w:lang w:val="en-US"/>
        </w:rPr>
        <w:t xml:space="preserve"> (rarely exceeds 180 days)</w:t>
      </w:r>
      <w:r w:rsidR="00117CDF">
        <w:rPr>
          <w:rFonts w:cs="Times New Roman"/>
          <w:iCs/>
          <w:lang w:val="en-US"/>
        </w:rPr>
        <w:t xml:space="preserve"> for the difference between continuous comp</w:t>
      </w:r>
      <w:r w:rsidR="00841E35">
        <w:rPr>
          <w:rFonts w:cs="Times New Roman"/>
          <w:iCs/>
          <w:lang w:val="en-US"/>
        </w:rPr>
        <w:t>o</w:t>
      </w:r>
      <w:r w:rsidR="00117CDF">
        <w:rPr>
          <w:rFonts w:cs="Times New Roman"/>
          <w:iCs/>
          <w:lang w:val="en-US"/>
        </w:rPr>
        <w:t>unding (exponential type of formula)</w:t>
      </w:r>
      <w:r w:rsidR="00841E35">
        <w:rPr>
          <w:rFonts w:cs="Times New Roman"/>
          <w:iCs/>
          <w:lang w:val="en-US"/>
        </w:rPr>
        <w:t xml:space="preserve"> and simple compounding to be meaningful</w:t>
      </w:r>
      <w:r w:rsidR="00841E35">
        <w:rPr>
          <w:rStyle w:val="FootnoteReference"/>
          <w:rFonts w:cs="Times New Roman"/>
          <w:iCs/>
          <w:lang w:val="en-US"/>
        </w:rPr>
        <w:footnoteReference w:id="11"/>
      </w:r>
      <w:r w:rsidR="00841E35">
        <w:rPr>
          <w:rFonts w:cs="Times New Roman"/>
          <w:iCs/>
          <w:lang w:val="en-US"/>
        </w:rPr>
        <w:t>.</w:t>
      </w:r>
    </w:p>
    <w:p w14:paraId="18FCF298" w14:textId="77777777" w:rsidR="009068A5" w:rsidRDefault="009068A5" w:rsidP="008226B3">
      <w:pPr>
        <w:spacing w:after="0" w:line="360" w:lineRule="auto"/>
        <w:ind w:firstLine="709"/>
        <w:rPr>
          <w:rFonts w:cs="Times New Roman"/>
          <w:iCs/>
          <w:lang w:val="en-US"/>
        </w:rPr>
      </w:pPr>
    </w:p>
    <w:p w14:paraId="04A0B6DA" w14:textId="7120C286" w:rsidR="003E7E8F" w:rsidRPr="00B12378" w:rsidRDefault="00467D70" w:rsidP="008226B3">
      <w:pPr>
        <w:pStyle w:val="Heading2"/>
        <w:spacing w:line="360" w:lineRule="auto"/>
        <w:ind w:firstLine="709"/>
        <w:rPr>
          <w:lang w:val="en-US"/>
        </w:rPr>
      </w:pPr>
      <w:bookmarkStart w:id="7" w:name="_Toc73483045"/>
      <w:r>
        <w:rPr>
          <w:lang w:val="en-US"/>
        </w:rPr>
        <w:t xml:space="preserve">1.2.3 </w:t>
      </w:r>
      <w:r w:rsidR="003E7E8F" w:rsidRPr="00B12378">
        <w:rPr>
          <w:lang w:val="en-US"/>
        </w:rPr>
        <w:t>Arbitrage argument</w:t>
      </w:r>
      <w:bookmarkEnd w:id="7"/>
    </w:p>
    <w:p w14:paraId="2FBB486D" w14:textId="2894C25D" w:rsidR="003E7E8F" w:rsidRDefault="003E7E8F" w:rsidP="008226B3">
      <w:pPr>
        <w:spacing w:after="0" w:line="360" w:lineRule="auto"/>
        <w:ind w:firstLine="709"/>
        <w:rPr>
          <w:rFonts w:cs="Times New Roman"/>
          <w:iCs/>
          <w:lang w:val="en-US"/>
        </w:rPr>
      </w:pPr>
      <w:r>
        <w:rPr>
          <w:rFonts w:cs="Times New Roman"/>
          <w:iCs/>
          <w:lang w:val="en-US"/>
        </w:rPr>
        <w:t>We are going to demonstrate the classi</w:t>
      </w:r>
      <w:r w:rsidR="00856080">
        <w:rPr>
          <w:rFonts w:cs="Times New Roman"/>
          <w:iCs/>
          <w:lang w:val="en-US"/>
        </w:rPr>
        <w:t>c</w:t>
      </w:r>
      <w:r>
        <w:rPr>
          <w:rFonts w:cs="Times New Roman"/>
          <w:iCs/>
          <w:lang w:val="en-US"/>
        </w:rPr>
        <w:t xml:space="preserve"> example used to </w:t>
      </w:r>
      <w:r w:rsidR="00856080">
        <w:rPr>
          <w:rFonts w:cs="Times New Roman"/>
          <w:iCs/>
          <w:lang w:val="en-US"/>
        </w:rPr>
        <w:t>show</w:t>
      </w:r>
      <w:r>
        <w:rPr>
          <w:rFonts w:cs="Times New Roman"/>
          <w:iCs/>
          <w:lang w:val="en-US"/>
        </w:rPr>
        <w:t xml:space="preserve"> the validity of pricing formula. In our calculations we use real data from our sample. This could be interesting </w:t>
      </w:r>
      <w:r w:rsidR="00856080">
        <w:rPr>
          <w:rFonts w:cs="Times New Roman"/>
          <w:iCs/>
          <w:lang w:val="en-US"/>
        </w:rPr>
        <w:t>to</w:t>
      </w:r>
      <w:r>
        <w:rPr>
          <w:rFonts w:cs="Times New Roman"/>
          <w:iCs/>
          <w:lang w:val="en-US"/>
        </w:rPr>
        <w:t xml:space="preserve"> </w:t>
      </w:r>
      <w:r w:rsidR="00856080">
        <w:rPr>
          <w:rFonts w:cs="Times New Roman"/>
          <w:iCs/>
          <w:lang w:val="en-US"/>
        </w:rPr>
        <w:t>see</w:t>
      </w:r>
      <w:r w:rsidR="00E64B3B">
        <w:rPr>
          <w:rFonts w:cs="Times New Roman"/>
          <w:iCs/>
          <w:lang w:val="en-US"/>
        </w:rPr>
        <w:t xml:space="preserve"> that some deviations from theoretical value are possible even at the most liquid exchanges, but during the proof procedure we can also derive important inherent assumptions in pricing formula used. Such assumptions are rarely mentioned in the literature, but we deem them as crucial.  </w:t>
      </w:r>
    </w:p>
    <w:p w14:paraId="3BF4B5B1" w14:textId="73377ECF" w:rsidR="00ED329B" w:rsidRPr="00856080" w:rsidRDefault="00ED329B" w:rsidP="008226B3">
      <w:pPr>
        <w:spacing w:after="0" w:line="360" w:lineRule="auto"/>
        <w:ind w:firstLine="709"/>
        <w:rPr>
          <w:rFonts w:cs="Times New Roman"/>
          <w:i/>
          <w:lang w:val="en-US"/>
        </w:rPr>
      </w:pPr>
      <w:r w:rsidRPr="00856080">
        <w:rPr>
          <w:rFonts w:cs="Times New Roman"/>
          <w:i/>
          <w:lang w:val="en-US"/>
        </w:rPr>
        <w:lastRenderedPageBreak/>
        <w:t xml:space="preserve">Case 1. </w:t>
      </w:r>
      <w:r w:rsidR="007E0474" w:rsidRPr="00856080">
        <w:rPr>
          <w:rFonts w:cs="Times New Roman"/>
          <w:i/>
          <w:lang w:val="en-US"/>
        </w:rPr>
        <w:t>Over</w:t>
      </w:r>
      <w:r w:rsidRPr="00856080">
        <w:rPr>
          <w:rFonts w:cs="Times New Roman"/>
          <w:i/>
          <w:lang w:val="en-US"/>
        </w:rPr>
        <w:t>priced FX future</w:t>
      </w:r>
    </w:p>
    <w:p w14:paraId="44E2B6F2" w14:textId="33ECF394" w:rsidR="000C0A8C" w:rsidRPr="00A15B50" w:rsidRDefault="003E7E8F" w:rsidP="008226B3">
      <w:pPr>
        <w:spacing w:after="0" w:line="360" w:lineRule="auto"/>
        <w:ind w:firstLine="709"/>
        <w:rPr>
          <w:rFonts w:cs="Times New Roman"/>
          <w:iCs/>
          <w:lang w:val="en-US"/>
        </w:rPr>
      </w:pPr>
      <w:r w:rsidRPr="0020426D">
        <w:rPr>
          <w:rFonts w:cs="Times New Roman"/>
          <w:iCs/>
          <w:lang w:val="en-US"/>
        </w:rPr>
        <w:t xml:space="preserve">At </w:t>
      </w:r>
      <w:r w:rsidR="00E64B3B" w:rsidRPr="0020426D">
        <w:rPr>
          <w:rFonts w:cs="Times New Roman"/>
          <w:iCs/>
          <w:lang w:val="en-US"/>
        </w:rPr>
        <w:t xml:space="preserve">19.10.2020, 0:00:00, March </w:t>
      </w:r>
      <w:r w:rsidR="00B27A79" w:rsidRPr="0020426D">
        <w:rPr>
          <w:rFonts w:cs="Times New Roman"/>
          <w:iCs/>
          <w:lang w:val="en-US"/>
        </w:rPr>
        <w:t>CHF</w:t>
      </w:r>
      <w:r w:rsidR="00E64B3B" w:rsidRPr="0020426D">
        <w:rPr>
          <w:rFonts w:cs="Times New Roman"/>
          <w:iCs/>
          <w:lang w:val="en-US"/>
        </w:rPr>
        <w:t>/</w:t>
      </w:r>
      <w:r w:rsidR="00B27A79" w:rsidRPr="0020426D">
        <w:rPr>
          <w:rFonts w:cs="Times New Roman"/>
          <w:iCs/>
          <w:lang w:val="en-US"/>
        </w:rPr>
        <w:t>USD</w:t>
      </w:r>
      <w:r w:rsidR="00E64B3B" w:rsidRPr="0020426D">
        <w:rPr>
          <w:rFonts w:cs="Times New Roman"/>
          <w:iCs/>
          <w:lang w:val="en-US"/>
        </w:rPr>
        <w:t xml:space="preserve"> future had closing price of 1.1088, while spot was traded at 1.09697. Given the number of days until expiration of 147 and interbank interest rates at -0.74</w:t>
      </w:r>
      <w:r w:rsidR="000C0A8C" w:rsidRPr="0020426D">
        <w:rPr>
          <w:rFonts w:cs="Times New Roman"/>
          <w:iCs/>
          <w:lang w:val="en-US"/>
        </w:rPr>
        <w:t>00</w:t>
      </w:r>
      <w:r w:rsidR="00E64B3B" w:rsidRPr="0020426D">
        <w:rPr>
          <w:rFonts w:cs="Times New Roman"/>
          <w:iCs/>
          <w:lang w:val="en-US"/>
        </w:rPr>
        <w:t>% for CHF and 0.2375% for USD</w:t>
      </w:r>
      <w:r w:rsidR="00E64B3B" w:rsidRPr="0020426D">
        <w:rPr>
          <w:rStyle w:val="FootnoteReference"/>
          <w:rFonts w:cs="Times New Roman"/>
          <w:iCs/>
          <w:lang w:val="en-US"/>
        </w:rPr>
        <w:footnoteReference w:id="12"/>
      </w:r>
      <w:r w:rsidR="00ED329B" w:rsidRPr="0020426D">
        <w:rPr>
          <w:rFonts w:cs="Times New Roman"/>
          <w:iCs/>
          <w:lang w:val="en-US"/>
        </w:rPr>
        <w:t>, t</w:t>
      </w:r>
      <w:r w:rsidR="000C0A8C" w:rsidRPr="0020426D">
        <w:rPr>
          <w:rFonts w:cs="Times New Roman"/>
          <w:iCs/>
          <w:lang w:val="en-US"/>
        </w:rPr>
        <w:t>he</w:t>
      </w:r>
      <w:r w:rsidR="00ED329B" w:rsidRPr="0020426D">
        <w:rPr>
          <w:rFonts w:cs="Times New Roman"/>
          <w:iCs/>
          <w:lang w:val="en-US"/>
        </w:rPr>
        <w:t>o</w:t>
      </w:r>
      <w:r w:rsidR="000C0A8C" w:rsidRPr="0020426D">
        <w:rPr>
          <w:rFonts w:cs="Times New Roman"/>
          <w:iCs/>
          <w:lang w:val="en-US"/>
        </w:rPr>
        <w:t>retical value of FX future is given as 1.10129</w:t>
      </w:r>
      <w:r w:rsidR="008F39D7">
        <w:rPr>
          <w:rFonts w:cs="Times New Roman"/>
          <w:iCs/>
          <w:lang w:val="en-US"/>
        </w:rPr>
        <w:t>7</w:t>
      </w:r>
      <w:r w:rsidR="000C0A8C" w:rsidRPr="0020426D">
        <w:rPr>
          <w:rStyle w:val="FootnoteReference"/>
          <w:rFonts w:cs="Times New Roman"/>
          <w:iCs/>
          <w:lang w:val="en-US"/>
        </w:rPr>
        <w:footnoteReference w:id="13"/>
      </w:r>
      <w:r w:rsidR="000C0A8C" w:rsidRPr="0020426D">
        <w:rPr>
          <w:rFonts w:cs="Times New Roman"/>
          <w:iCs/>
          <w:lang w:val="en-US"/>
        </w:rPr>
        <w:t xml:space="preserve"> and hence actual price of exchange-traded contract deviates from the theoretical value by </w:t>
      </w:r>
      <w:r w:rsidR="001E53DD">
        <w:rPr>
          <w:rFonts w:cs="Times New Roman"/>
          <w:iCs/>
          <w:lang w:val="en-US"/>
        </w:rPr>
        <w:t xml:space="preserve">+ </w:t>
      </w:r>
      <w:r w:rsidR="000C0A8C" w:rsidRPr="0020426D">
        <w:rPr>
          <w:rFonts w:cs="Times New Roman"/>
          <w:iCs/>
          <w:lang w:val="en-US"/>
        </w:rPr>
        <w:t>68.1 b.p.</w:t>
      </w:r>
      <w:r w:rsidR="000C0A8C" w:rsidRPr="0020426D">
        <w:rPr>
          <w:rStyle w:val="FootnoteReference"/>
          <w:rFonts w:cs="Times New Roman"/>
          <w:iCs/>
          <w:lang w:val="en-US"/>
        </w:rPr>
        <w:footnoteReference w:id="14"/>
      </w:r>
      <w:r w:rsidR="000C0A8C" w:rsidRPr="0020426D">
        <w:rPr>
          <w:rFonts w:cs="Times New Roman"/>
          <w:iCs/>
          <w:lang w:val="en-US"/>
        </w:rPr>
        <w:t xml:space="preserve">, which is unusually large </w:t>
      </w:r>
      <w:r w:rsidR="000C0A8C" w:rsidRPr="00A15B50">
        <w:rPr>
          <w:rFonts w:cs="Times New Roman"/>
          <w:iCs/>
          <w:lang w:val="en-US"/>
        </w:rPr>
        <w:t>deviation, one of the largest observed by us</w:t>
      </w:r>
      <w:r w:rsidR="00B80C7C" w:rsidRPr="00A15B50">
        <w:rPr>
          <w:rFonts w:cs="Times New Roman"/>
          <w:iCs/>
          <w:lang w:val="en-US"/>
        </w:rPr>
        <w:t xml:space="preserve"> in our sample</w:t>
      </w:r>
      <w:r w:rsidR="00B27A79" w:rsidRPr="00A15B50">
        <w:rPr>
          <w:rFonts w:cs="Times New Roman"/>
          <w:iCs/>
          <w:lang w:val="en-US"/>
        </w:rPr>
        <w:t xml:space="preserve">: given the contract size of 125 000 CHF, this deviation is equivalent to </w:t>
      </w:r>
      <w:r w:rsidR="008F39D7">
        <w:rPr>
          <w:rFonts w:cs="Times New Roman"/>
          <w:iCs/>
          <w:lang w:val="en-US"/>
        </w:rPr>
        <w:t>1028</w:t>
      </w:r>
      <w:r w:rsidR="00B27A79" w:rsidRPr="00A15B50">
        <w:rPr>
          <w:rFonts w:cs="Times New Roman"/>
          <w:iCs/>
          <w:lang w:val="en-US"/>
        </w:rPr>
        <w:t>.</w:t>
      </w:r>
      <w:r w:rsidR="008F39D7">
        <w:rPr>
          <w:rFonts w:cs="Times New Roman"/>
          <w:iCs/>
          <w:lang w:val="en-US"/>
        </w:rPr>
        <w:t>82</w:t>
      </w:r>
      <w:r w:rsidR="00B27A79" w:rsidRPr="00A15B50">
        <w:rPr>
          <w:rFonts w:cs="Times New Roman"/>
          <w:iCs/>
          <w:lang w:val="en-US"/>
        </w:rPr>
        <w:t xml:space="preserve"> CHF.</w:t>
      </w:r>
    </w:p>
    <w:p w14:paraId="0B00B0C5" w14:textId="3F9B8CFA" w:rsidR="00B27A79" w:rsidRPr="00A15B50" w:rsidRDefault="00B27A79" w:rsidP="008226B3">
      <w:pPr>
        <w:spacing w:after="0" w:line="360" w:lineRule="auto"/>
        <w:ind w:firstLine="709"/>
        <w:rPr>
          <w:rFonts w:cs="Times New Roman"/>
          <w:iCs/>
          <w:lang w:val="en-US"/>
        </w:rPr>
      </w:pPr>
      <w:r w:rsidRPr="00A15B50">
        <w:rPr>
          <w:rFonts w:cs="Times New Roman"/>
          <w:iCs/>
          <w:lang w:val="en-US"/>
        </w:rPr>
        <w:t>In th</w:t>
      </w:r>
      <w:r w:rsidR="00B80C7C" w:rsidRPr="00A15B50">
        <w:rPr>
          <w:rFonts w:cs="Times New Roman"/>
          <w:iCs/>
          <w:lang w:val="en-US"/>
        </w:rPr>
        <w:t>e</w:t>
      </w:r>
      <w:r w:rsidRPr="00A15B50">
        <w:rPr>
          <w:rFonts w:cs="Times New Roman"/>
          <w:iCs/>
          <w:lang w:val="en-US"/>
        </w:rPr>
        <w:t>s</w:t>
      </w:r>
      <w:r w:rsidR="00B80C7C" w:rsidRPr="00A15B50">
        <w:rPr>
          <w:rFonts w:cs="Times New Roman"/>
          <w:iCs/>
          <w:lang w:val="en-US"/>
        </w:rPr>
        <w:t>e</w:t>
      </w:r>
      <w:r w:rsidRPr="00A15B50">
        <w:rPr>
          <w:rFonts w:cs="Times New Roman"/>
          <w:iCs/>
          <w:lang w:val="en-US"/>
        </w:rPr>
        <w:t xml:space="preserve"> circumstanes of FX future </w:t>
      </w:r>
      <w:r w:rsidR="00B80C7C" w:rsidRPr="00A15B50">
        <w:rPr>
          <w:rFonts w:cs="Times New Roman"/>
          <w:iCs/>
          <w:lang w:val="en-US"/>
        </w:rPr>
        <w:t>over</w:t>
      </w:r>
      <w:r w:rsidRPr="00A15B50">
        <w:rPr>
          <w:rFonts w:cs="Times New Roman"/>
          <w:iCs/>
          <w:lang w:val="en-US"/>
        </w:rPr>
        <w:t>pricing we could perform following actions from the point of view of US investor:</w:t>
      </w:r>
    </w:p>
    <w:p w14:paraId="4D7C276A" w14:textId="42D9A2A0" w:rsidR="007E0474" w:rsidRPr="00A15B50" w:rsidRDefault="007E0474" w:rsidP="008226B3">
      <w:pPr>
        <w:spacing w:after="0" w:line="360" w:lineRule="auto"/>
        <w:ind w:firstLine="709"/>
        <w:rPr>
          <w:rFonts w:cs="Times New Roman"/>
          <w:iCs/>
          <w:lang w:val="en-US"/>
        </w:rPr>
      </w:pPr>
      <w:r w:rsidRPr="00A15B50">
        <w:rPr>
          <w:rFonts w:cs="Times New Roman"/>
          <w:iCs/>
          <w:lang w:val="en-US"/>
        </w:rPr>
        <w:t>At 19</w:t>
      </w:r>
      <w:r w:rsidRPr="00A15B50">
        <w:rPr>
          <w:rFonts w:cs="Times New Roman"/>
          <w:iCs/>
          <w:vertAlign w:val="superscript"/>
          <w:lang w:val="en-US"/>
        </w:rPr>
        <w:t>th</w:t>
      </w:r>
      <w:r w:rsidRPr="00A15B50">
        <w:rPr>
          <w:rFonts w:cs="Times New Roman"/>
          <w:iCs/>
          <w:lang w:val="en-US"/>
        </w:rPr>
        <w:t xml:space="preserve"> October:</w:t>
      </w:r>
    </w:p>
    <w:p w14:paraId="469A4505" w14:textId="18E1C1E8" w:rsidR="001E53DD" w:rsidRPr="00A15B50" w:rsidRDefault="001E53DD" w:rsidP="008F39D7">
      <w:pPr>
        <w:pStyle w:val="-"/>
      </w:pPr>
      <w:r w:rsidRPr="00A15B50">
        <w:t>Borrow 137</w:t>
      </w:r>
      <w:r w:rsidR="00461417">
        <w:t> </w:t>
      </w:r>
      <w:r w:rsidR="009068A5">
        <w:t>531</w:t>
      </w:r>
      <w:r w:rsidR="00461417">
        <w:t>.</w:t>
      </w:r>
      <w:r w:rsidR="009068A5">
        <w:t>13</w:t>
      </w:r>
      <w:r w:rsidRPr="00A15B50">
        <w:t xml:space="preserve"> USD at 0.2375%. Hence, 137</w:t>
      </w:r>
      <w:r w:rsidR="00461417">
        <w:t> </w:t>
      </w:r>
      <w:r w:rsidR="009068A5">
        <w:t>762</w:t>
      </w:r>
      <w:r w:rsidR="00461417">
        <w:t>.</w:t>
      </w:r>
      <w:r w:rsidR="009068A5">
        <w:t>7</w:t>
      </w:r>
      <w:r w:rsidRPr="00A15B50">
        <w:t xml:space="preserve"> USD are to be paid at 15</w:t>
      </w:r>
      <w:r w:rsidRPr="00A15B50">
        <w:rPr>
          <w:vertAlign w:val="superscript"/>
        </w:rPr>
        <w:t>th</w:t>
      </w:r>
      <w:r w:rsidRPr="00A15B50">
        <w:t xml:space="preserve"> of March;</w:t>
      </w:r>
    </w:p>
    <w:p w14:paraId="6D934A63" w14:textId="501D1B8B" w:rsidR="001E53DD" w:rsidRPr="00A15B50" w:rsidRDefault="001E53DD" w:rsidP="008F39D7">
      <w:pPr>
        <w:pStyle w:val="-"/>
      </w:pPr>
      <w:r w:rsidRPr="00A15B50">
        <w:t xml:space="preserve">Purchase 125 </w:t>
      </w:r>
      <w:r w:rsidR="009068A5">
        <w:t>373</w:t>
      </w:r>
      <w:r w:rsidRPr="00A15B50">
        <w:t xml:space="preserve"> CHF (at existing spot rate)</w:t>
      </w:r>
      <w:r w:rsidR="009068A5">
        <w:t>;</w:t>
      </w:r>
    </w:p>
    <w:p w14:paraId="41910F0A" w14:textId="76816DEF" w:rsidR="001E53DD" w:rsidRPr="00A15B50" w:rsidRDefault="001E53DD" w:rsidP="008F39D7">
      <w:pPr>
        <w:pStyle w:val="-"/>
      </w:pPr>
      <w:r w:rsidRPr="00A15B50">
        <w:t>Inter into Swiss interbank market and lend 125 </w:t>
      </w:r>
      <w:r w:rsidR="009068A5">
        <w:t>373</w:t>
      </w:r>
      <w:r w:rsidRPr="00A15B50">
        <w:t xml:space="preserve"> CHF at -0.7400%. Hence, 12</w:t>
      </w:r>
      <w:r w:rsidR="009068A5">
        <w:t>5</w:t>
      </w:r>
      <w:r w:rsidRPr="00A15B50">
        <w:t> </w:t>
      </w:r>
      <w:r w:rsidR="009068A5">
        <w:t>000</w:t>
      </w:r>
      <w:r w:rsidRPr="00A15B50">
        <w:t xml:space="preserve"> CHF are to be </w:t>
      </w:r>
      <w:r w:rsidR="00901784">
        <w:t>r</w:t>
      </w:r>
      <w:r w:rsidRPr="00A15B50">
        <w:t>eceived at 15</w:t>
      </w:r>
      <w:r w:rsidRPr="00A15B50">
        <w:rPr>
          <w:vertAlign w:val="superscript"/>
        </w:rPr>
        <w:t>th</w:t>
      </w:r>
      <w:r w:rsidRPr="00A15B50">
        <w:t xml:space="preserve"> of March</w:t>
      </w:r>
      <w:r w:rsidR="009068A5">
        <w:t>;</w:t>
      </w:r>
    </w:p>
    <w:p w14:paraId="22D95F46" w14:textId="154A9EA8" w:rsidR="00D666D6" w:rsidRPr="00A15B50" w:rsidRDefault="001E53DD" w:rsidP="008F39D7">
      <w:pPr>
        <w:pStyle w:val="-"/>
      </w:pPr>
      <w:r w:rsidRPr="00A15B50">
        <w:t xml:space="preserve">Sell FX future at </w:t>
      </w:r>
      <w:r w:rsidR="007E0474" w:rsidRPr="00A15B50">
        <w:t>existing rate of 1.1088</w:t>
      </w:r>
      <w:r w:rsidR="00F10012" w:rsidRPr="00A15B50">
        <w:t xml:space="preserve">: equivalent to acquire obligation to </w:t>
      </w:r>
      <w:r w:rsidR="00D666D6" w:rsidRPr="00A15B50">
        <w:t>sell 125 000 CHF at 1.1088 rate</w:t>
      </w:r>
      <w:r w:rsidR="00F10012" w:rsidRPr="00A15B50">
        <w:t xml:space="preserve"> </w:t>
      </w:r>
      <w:r w:rsidR="009068A5">
        <w:t>(exactly equal to the amount to be received from Swiss interbank market);</w:t>
      </w:r>
    </w:p>
    <w:p w14:paraId="31CAC86E" w14:textId="04FF1B6D" w:rsidR="007E0474" w:rsidRPr="00A15B50" w:rsidRDefault="00D666D6" w:rsidP="008F39D7">
      <w:pPr>
        <w:pStyle w:val="-"/>
        <w:numPr>
          <w:ilvl w:val="0"/>
          <w:numId w:val="0"/>
        </w:numPr>
        <w:ind w:left="780"/>
      </w:pPr>
      <w:r w:rsidRPr="00A15B50">
        <w:t>A</w:t>
      </w:r>
      <w:r w:rsidR="007E0474" w:rsidRPr="00A15B50">
        <w:t>t 15</w:t>
      </w:r>
      <w:r w:rsidR="007E0474" w:rsidRPr="00A15B50">
        <w:rPr>
          <w:vertAlign w:val="superscript"/>
        </w:rPr>
        <w:t>th</w:t>
      </w:r>
      <w:r w:rsidR="007E0474" w:rsidRPr="00A15B50">
        <w:t xml:space="preserve"> of March:</w:t>
      </w:r>
    </w:p>
    <w:p w14:paraId="0FD93ADB" w14:textId="01876E84" w:rsidR="00D666D6" w:rsidRPr="009068A5" w:rsidRDefault="00D666D6" w:rsidP="008F39D7">
      <w:pPr>
        <w:pStyle w:val="-"/>
      </w:pPr>
      <w:r w:rsidRPr="009068A5">
        <w:t>Receive 12</w:t>
      </w:r>
      <w:r w:rsidR="009068A5" w:rsidRPr="009068A5">
        <w:t>5</w:t>
      </w:r>
      <w:r w:rsidRPr="009068A5">
        <w:t> </w:t>
      </w:r>
      <w:r w:rsidR="009068A5" w:rsidRPr="009068A5">
        <w:t>000</w:t>
      </w:r>
      <w:r w:rsidRPr="009068A5">
        <w:t xml:space="preserve"> CHF</w:t>
      </w:r>
      <w:r w:rsidR="00A15B50" w:rsidRPr="009068A5">
        <w:t>;</w:t>
      </w:r>
    </w:p>
    <w:p w14:paraId="11A4557A" w14:textId="7F2B8427" w:rsidR="00461417" w:rsidRPr="00A15B50" w:rsidRDefault="00461417" w:rsidP="008F39D7">
      <w:pPr>
        <w:pStyle w:val="-"/>
      </w:pPr>
      <w:r>
        <w:t>Deliver 125 000 CHF at the pre-agreed rate of 1.1088. Receive 138 600</w:t>
      </w:r>
      <w:r>
        <w:rPr>
          <w:rStyle w:val="FootnoteReference"/>
        </w:rPr>
        <w:footnoteReference w:id="15"/>
      </w:r>
      <w:r>
        <w:t xml:space="preserve"> USD in exchange of delivered CHF</w:t>
      </w:r>
      <w:r w:rsidR="00D227F8">
        <w:t>;</w:t>
      </w:r>
    </w:p>
    <w:p w14:paraId="0CFAD111" w14:textId="4379CB3F" w:rsidR="00A15B50" w:rsidRPr="00A15B50" w:rsidRDefault="00A15B50" w:rsidP="008F39D7">
      <w:pPr>
        <w:pStyle w:val="-"/>
      </w:pPr>
      <w:r w:rsidRPr="00A15B50">
        <w:t>Pay 137</w:t>
      </w:r>
      <w:r w:rsidR="00461417">
        <w:t> </w:t>
      </w:r>
      <w:r w:rsidR="009068A5">
        <w:t>662</w:t>
      </w:r>
      <w:r w:rsidR="00461417">
        <w:t>.</w:t>
      </w:r>
      <w:r w:rsidR="009068A5">
        <w:t>7</w:t>
      </w:r>
      <w:r w:rsidRPr="00A15B50">
        <w:t xml:space="preserve"> USD</w:t>
      </w:r>
      <w:r w:rsidR="00461417">
        <w:t xml:space="preserve"> under loan obligation</w:t>
      </w:r>
      <w:r w:rsidR="00D227F8">
        <w:t>;</w:t>
      </w:r>
    </w:p>
    <w:p w14:paraId="14E6F137" w14:textId="32770C20" w:rsidR="00A15B50" w:rsidRPr="009068A5" w:rsidRDefault="009068A5" w:rsidP="008226B3">
      <w:pPr>
        <w:spacing w:after="0" w:line="360" w:lineRule="auto"/>
        <w:ind w:firstLine="709"/>
        <w:rPr>
          <w:rFonts w:cs="Times New Roman"/>
          <w:iCs/>
          <w:lang w:val="en-US"/>
        </w:rPr>
      </w:pPr>
      <w:r w:rsidRPr="009068A5">
        <w:rPr>
          <w:rFonts w:cs="Times New Roman"/>
          <w:iCs/>
          <w:lang w:val="en-US"/>
        </w:rPr>
        <w:t xml:space="preserve">Net profit: 138 600 received – 137 662.7 delivered = </w:t>
      </w:r>
      <w:r>
        <w:rPr>
          <w:rFonts w:cs="Times New Roman"/>
          <w:iCs/>
          <w:lang w:val="en-US"/>
        </w:rPr>
        <w:t>937.32 USD</w:t>
      </w:r>
      <w:r w:rsidR="00D227F8">
        <w:rPr>
          <w:rFonts w:cs="Times New Roman"/>
          <w:iCs/>
          <w:lang w:val="en-US"/>
        </w:rPr>
        <w:t>.</w:t>
      </w:r>
    </w:p>
    <w:p w14:paraId="298F7B2F" w14:textId="6A2FD22D" w:rsidR="00AA1A47" w:rsidRDefault="00AA1A47">
      <w:pPr>
        <w:jc w:val="left"/>
        <w:rPr>
          <w:rFonts w:cs="Times New Roman"/>
          <w:i/>
          <w:lang w:val="en-US"/>
        </w:rPr>
      </w:pPr>
      <w:r>
        <w:rPr>
          <w:rFonts w:cs="Times New Roman"/>
          <w:i/>
          <w:lang w:val="en-US"/>
        </w:rPr>
        <w:br w:type="page"/>
      </w:r>
    </w:p>
    <w:p w14:paraId="41DE1D35" w14:textId="7AC3187D" w:rsidR="00DA1AD3" w:rsidRPr="009068A5" w:rsidRDefault="00DA1AD3" w:rsidP="008226B3">
      <w:pPr>
        <w:spacing w:after="0" w:line="360" w:lineRule="auto"/>
        <w:ind w:firstLine="709"/>
        <w:rPr>
          <w:rFonts w:cs="Times New Roman"/>
          <w:i/>
          <w:lang w:val="en-US"/>
        </w:rPr>
      </w:pPr>
      <w:r w:rsidRPr="009068A5">
        <w:rPr>
          <w:rFonts w:cs="Times New Roman"/>
          <w:i/>
          <w:lang w:val="en-US"/>
        </w:rPr>
        <w:lastRenderedPageBreak/>
        <w:t>Case 2. Underpriced FX future</w:t>
      </w:r>
    </w:p>
    <w:p w14:paraId="20669C94" w14:textId="77777777" w:rsidR="00F965A5" w:rsidRPr="00DA1AD3" w:rsidRDefault="00073432" w:rsidP="008226B3">
      <w:pPr>
        <w:spacing w:after="0" w:line="360" w:lineRule="auto"/>
        <w:ind w:firstLine="709"/>
        <w:rPr>
          <w:rFonts w:cs="Times New Roman"/>
          <w:iCs/>
          <w:lang w:val="en-US"/>
        </w:rPr>
      </w:pPr>
      <w:r w:rsidRPr="00DA1AD3">
        <w:rPr>
          <w:rFonts w:cs="Times New Roman"/>
          <w:iCs/>
          <w:lang w:val="en-US"/>
        </w:rPr>
        <w:t xml:space="preserve">In case of underpriced FX future </w:t>
      </w:r>
      <w:r w:rsidR="00F965A5" w:rsidRPr="00DA1AD3">
        <w:rPr>
          <w:rFonts w:cs="Times New Roman"/>
          <w:iCs/>
          <w:lang w:val="en-US"/>
        </w:rPr>
        <w:t xml:space="preserve">all transactions could be «inverted»: </w:t>
      </w:r>
    </w:p>
    <w:p w14:paraId="723E9123" w14:textId="5096BA4B" w:rsidR="00F965A5" w:rsidRPr="00DA1AD3" w:rsidRDefault="00F965A5" w:rsidP="008226B3">
      <w:pPr>
        <w:spacing w:after="0" w:line="360" w:lineRule="auto"/>
        <w:ind w:firstLine="709"/>
        <w:rPr>
          <w:rFonts w:cs="Times New Roman"/>
          <w:iCs/>
          <w:lang w:val="en-US"/>
        </w:rPr>
      </w:pPr>
      <w:r w:rsidRPr="00DA1AD3">
        <w:rPr>
          <w:rFonts w:cs="Times New Roman"/>
          <w:iCs/>
          <w:lang w:val="en-US"/>
        </w:rPr>
        <w:t>at the trade date:</w:t>
      </w:r>
    </w:p>
    <w:p w14:paraId="3842E9DB" w14:textId="3DD55CA4" w:rsidR="00F965A5" w:rsidRPr="00841E35" w:rsidRDefault="00F965A5" w:rsidP="00841E35">
      <w:pPr>
        <w:pStyle w:val="-"/>
      </w:pPr>
      <w:r w:rsidRPr="00841E35">
        <w:t xml:space="preserve">Borrow foreign currency, </w:t>
      </w:r>
    </w:p>
    <w:p w14:paraId="781DC314" w14:textId="50D4E1BC" w:rsidR="00A15B50" w:rsidRPr="00841E35" w:rsidRDefault="00B12378" w:rsidP="00841E35">
      <w:pPr>
        <w:pStyle w:val="-"/>
      </w:pPr>
      <w:r w:rsidRPr="00841E35">
        <w:t>C</w:t>
      </w:r>
      <w:r w:rsidR="00F965A5" w:rsidRPr="00841E35">
        <w:t>onvert it into domestic currency at the spot rate</w:t>
      </w:r>
    </w:p>
    <w:p w14:paraId="2AC5D4B0" w14:textId="6F5ED187" w:rsidR="00F965A5" w:rsidRPr="00841E35" w:rsidRDefault="00F965A5" w:rsidP="00841E35">
      <w:pPr>
        <w:pStyle w:val="-"/>
      </w:pPr>
      <w:r w:rsidRPr="00841E35">
        <w:t>Enter into domestic interbank market and lend domestic currency</w:t>
      </w:r>
    </w:p>
    <w:p w14:paraId="23991883" w14:textId="13BA4D10" w:rsidR="00F965A5" w:rsidRPr="00841E35" w:rsidRDefault="00F965A5" w:rsidP="00841E35">
      <w:pPr>
        <w:pStyle w:val="-"/>
      </w:pPr>
      <w:r w:rsidRPr="00841E35">
        <w:t>Buy FX future at existing rate;</w:t>
      </w:r>
    </w:p>
    <w:p w14:paraId="6D2B0CF7" w14:textId="07DF58EB" w:rsidR="00F965A5" w:rsidRPr="00DA1AD3" w:rsidRDefault="00F965A5" w:rsidP="008226B3">
      <w:pPr>
        <w:spacing w:after="0" w:line="360" w:lineRule="auto"/>
        <w:ind w:firstLine="709"/>
        <w:rPr>
          <w:rFonts w:cs="Times New Roman"/>
          <w:iCs/>
          <w:lang w:val="en-US"/>
        </w:rPr>
      </w:pPr>
      <w:r w:rsidRPr="00DA1AD3">
        <w:rPr>
          <w:rFonts w:cs="Times New Roman"/>
          <w:iCs/>
          <w:lang w:val="en-US"/>
        </w:rPr>
        <w:t>At the contract expiration date:</w:t>
      </w:r>
    </w:p>
    <w:p w14:paraId="1E62D54A" w14:textId="2F897C60" w:rsidR="00F965A5" w:rsidRPr="00841E35" w:rsidRDefault="00B73F72" w:rsidP="00841E35">
      <w:pPr>
        <w:pStyle w:val="-"/>
      </w:pPr>
      <w:r w:rsidRPr="00841E35">
        <w:t>Receive domestic currency with accrued interest</w:t>
      </w:r>
    </w:p>
    <w:p w14:paraId="7318AB83" w14:textId="4A9F8558" w:rsidR="00B73F72" w:rsidRPr="00841E35" w:rsidRDefault="00B73F72" w:rsidP="00841E35">
      <w:pPr>
        <w:pStyle w:val="-"/>
      </w:pPr>
      <w:r w:rsidRPr="00841E35">
        <w:t>Receive foreign currency at FX future rate</w:t>
      </w:r>
    </w:p>
    <w:p w14:paraId="64CB6333" w14:textId="14B80C53" w:rsidR="00B73F72" w:rsidRPr="00841E35" w:rsidRDefault="00B73F72" w:rsidP="00841E35">
      <w:pPr>
        <w:pStyle w:val="-"/>
      </w:pPr>
      <w:r w:rsidRPr="00841E35">
        <w:t>Repay foreign currency loan</w:t>
      </w:r>
    </w:p>
    <w:p w14:paraId="49C39CEA" w14:textId="246CF5BC" w:rsidR="003E7E8F" w:rsidRDefault="009068A5" w:rsidP="008226B3">
      <w:pPr>
        <w:spacing w:after="0" w:line="360" w:lineRule="auto"/>
        <w:ind w:firstLine="709"/>
        <w:rPr>
          <w:rFonts w:cs="Times New Roman"/>
          <w:iCs/>
          <w:lang w:val="en-US"/>
        </w:rPr>
      </w:pPr>
      <w:r>
        <w:rPr>
          <w:rFonts w:cs="Times New Roman"/>
          <w:iCs/>
          <w:lang w:val="en-US"/>
        </w:rPr>
        <w:t>As we could see, FX future underpricing cause arbitrageurs to buy contract and overpricing cause arbitrageurs to sell contract</w:t>
      </w:r>
      <w:r w:rsidR="00B12378">
        <w:rPr>
          <w:rFonts w:cs="Times New Roman"/>
          <w:iCs/>
          <w:lang w:val="en-US"/>
        </w:rPr>
        <w:t>.</w:t>
      </w:r>
      <w:r>
        <w:rPr>
          <w:rFonts w:cs="Times New Roman"/>
          <w:iCs/>
          <w:lang w:val="en-US"/>
        </w:rPr>
        <w:t xml:space="preserve"> That creates pressure to the market and, theoretically, deviation from theoretical price should thus converge to zero. But if we look close</w:t>
      </w:r>
      <w:r w:rsidR="00117CDF">
        <w:rPr>
          <w:rFonts w:cs="Times New Roman"/>
          <w:iCs/>
          <w:lang w:val="en-US"/>
        </w:rPr>
        <w:t>r</w:t>
      </w:r>
      <w:r>
        <w:rPr>
          <w:rFonts w:cs="Times New Roman"/>
          <w:iCs/>
          <w:lang w:val="en-US"/>
        </w:rPr>
        <w:t xml:space="preserve"> to the actions performed, we could see the following problems: (a) </w:t>
      </w:r>
      <w:r w:rsidR="00841E35">
        <w:rPr>
          <w:rFonts w:cs="Times New Roman"/>
          <w:iCs/>
          <w:lang w:val="en-US"/>
        </w:rPr>
        <w:t>the interbank market for the loans with term greater than overnight should exist, (b) it should be liquid enough to absorb huge demand and supply</w:t>
      </w:r>
      <w:r w:rsidR="00841E35">
        <w:rPr>
          <w:rStyle w:val="FootnoteReference"/>
          <w:rFonts w:cs="Times New Roman"/>
          <w:iCs/>
          <w:lang w:val="en-US"/>
        </w:rPr>
        <w:footnoteReference w:id="16"/>
      </w:r>
      <w:r w:rsidR="00841E35">
        <w:rPr>
          <w:rFonts w:cs="Times New Roman"/>
          <w:iCs/>
          <w:lang w:val="en-US"/>
        </w:rPr>
        <w:t xml:space="preserve">, (c) for researcher, rates at which institutions really lend each other in non-overnight market should be observable and applicable for the valuation of contracts. </w:t>
      </w:r>
      <w:r w:rsidR="00774ACA">
        <w:rPr>
          <w:rFonts w:cs="Times New Roman"/>
          <w:iCs/>
          <w:lang w:val="en-US"/>
        </w:rPr>
        <w:t xml:space="preserve"> That is why review of interest rates is crucial for our analysis.</w:t>
      </w:r>
    </w:p>
    <w:p w14:paraId="2A3F063D" w14:textId="77777777" w:rsidR="009068A5" w:rsidRDefault="009068A5" w:rsidP="008226B3">
      <w:pPr>
        <w:spacing w:after="0" w:line="360" w:lineRule="auto"/>
        <w:ind w:firstLine="709"/>
        <w:rPr>
          <w:rFonts w:cs="Times New Roman"/>
          <w:iCs/>
          <w:lang w:val="en-US"/>
        </w:rPr>
      </w:pPr>
    </w:p>
    <w:p w14:paraId="6A2BD185" w14:textId="50F1944A" w:rsidR="00774ACA" w:rsidRPr="00574023" w:rsidRDefault="00467D70" w:rsidP="008226B3">
      <w:pPr>
        <w:pStyle w:val="Heading2"/>
        <w:spacing w:line="360" w:lineRule="auto"/>
        <w:ind w:firstLine="709"/>
        <w:rPr>
          <w:lang w:val="en-US"/>
        </w:rPr>
      </w:pPr>
      <w:bookmarkStart w:id="8" w:name="_Toc73483046"/>
      <w:r>
        <w:rPr>
          <w:lang w:val="en-US"/>
        </w:rPr>
        <w:t xml:space="preserve">1.2.4. </w:t>
      </w:r>
      <w:r w:rsidR="00774ACA" w:rsidRPr="00574023">
        <w:rPr>
          <w:lang w:val="en-US"/>
        </w:rPr>
        <w:t>Risk-free rates</w:t>
      </w:r>
      <w:bookmarkEnd w:id="8"/>
    </w:p>
    <w:p w14:paraId="2E11D201" w14:textId="031BEB91" w:rsidR="00774ACA" w:rsidRDefault="00774ACA" w:rsidP="008226B3">
      <w:pPr>
        <w:spacing w:after="0" w:line="360" w:lineRule="auto"/>
        <w:ind w:firstLine="709"/>
        <w:rPr>
          <w:rFonts w:cs="Times New Roman"/>
          <w:lang w:val="en-US"/>
        </w:rPr>
      </w:pPr>
      <w:r>
        <w:rPr>
          <w:rFonts w:cs="Times New Roman"/>
          <w:lang w:val="en-US"/>
        </w:rPr>
        <w:t>Countered the ordinary definition of risk free rate as a zero-coupon rate on bonds of the local government in the local currency, future</w:t>
      </w:r>
      <w:r w:rsidR="00841E35">
        <w:rPr>
          <w:rFonts w:cs="Times New Roman"/>
          <w:lang w:val="en-US"/>
        </w:rPr>
        <w:t>s</w:t>
      </w:r>
      <w:r>
        <w:rPr>
          <w:rFonts w:cs="Times New Roman"/>
          <w:lang w:val="en-US"/>
        </w:rPr>
        <w:t xml:space="preserve"> market participants rely on other risk-free rates. The reason is that arbitrage argument is valid as long as market participant are able not only to lend money at risk-free rate, </w:t>
      </w:r>
      <w:r w:rsidRPr="00841E35">
        <w:rPr>
          <w:rFonts w:cs="Times New Roman"/>
          <w:i/>
          <w:iCs/>
          <w:lang w:val="en-US"/>
        </w:rPr>
        <w:t>but also to borrow</w:t>
      </w:r>
      <w:r>
        <w:rPr>
          <w:rFonts w:cs="Times New Roman"/>
          <w:lang w:val="en-US"/>
        </w:rPr>
        <w:t xml:space="preserve">. Given that almost no market participants could borrow in local currencies at the </w:t>
      </w:r>
      <w:r w:rsidR="00466285">
        <w:rPr>
          <w:rFonts w:cs="Times New Roman"/>
          <w:lang w:val="en-US"/>
        </w:rPr>
        <w:t>interest rate on</w:t>
      </w:r>
      <w:r>
        <w:rPr>
          <w:rFonts w:cs="Times New Roman"/>
          <w:lang w:val="en-US"/>
        </w:rPr>
        <w:t xml:space="preserve"> government bonds, another source of risk-free rate is needed. Historically, interbank lending rates are used for these purposes, but several problems arise in practice:</w:t>
      </w:r>
    </w:p>
    <w:p w14:paraId="7CB23F69" w14:textId="77777777" w:rsidR="00774ACA" w:rsidRDefault="00774ACA" w:rsidP="00841E35">
      <w:pPr>
        <w:pStyle w:val="-"/>
      </w:pPr>
      <w:r>
        <w:t xml:space="preserve">Arbitrage argument implies that </w:t>
      </w:r>
      <w:r w:rsidRPr="00841E35">
        <w:rPr>
          <w:i/>
          <w:iCs/>
        </w:rPr>
        <w:t>it is possible</w:t>
      </w:r>
      <w:r>
        <w:t xml:space="preserve"> to enter into short-term (maturity from 1 day up to 1 year) interbank lending market in the local currency zone;</w:t>
      </w:r>
    </w:p>
    <w:p w14:paraId="5D37912F" w14:textId="28485B91" w:rsidR="00774ACA" w:rsidRDefault="00774ACA" w:rsidP="00841E35">
      <w:pPr>
        <w:pStyle w:val="-"/>
      </w:pPr>
      <w:r>
        <w:t xml:space="preserve">Published interest rates are representative as true </w:t>
      </w:r>
      <w:r w:rsidRPr="00A71842">
        <w:rPr>
          <w:i/>
          <w:iCs/>
        </w:rPr>
        <w:t>borrowing and lending</w:t>
      </w:r>
      <w:r>
        <w:t xml:space="preserve"> rate for each of the market participants;</w:t>
      </w:r>
    </w:p>
    <w:p w14:paraId="1750A8E8" w14:textId="07D7E869" w:rsidR="00466285" w:rsidRDefault="00774ACA" w:rsidP="008226B3">
      <w:pPr>
        <w:spacing w:after="0" w:line="360" w:lineRule="auto"/>
        <w:ind w:firstLine="709"/>
        <w:rPr>
          <w:rFonts w:cs="Times New Roman"/>
          <w:lang w:val="en-US"/>
        </w:rPr>
      </w:pPr>
      <w:r>
        <w:rPr>
          <w:rFonts w:cs="Times New Roman"/>
          <w:lang w:val="en-US"/>
        </w:rPr>
        <w:lastRenderedPageBreak/>
        <w:t>In reality, though, these assumption does not hold even in the most developed economies such as USA, Switzerland, Japan, etc, especially following the financial crisis of 2008.</w:t>
      </w:r>
      <w:r w:rsidR="00466285">
        <w:rPr>
          <w:rFonts w:cs="Times New Roman"/>
          <w:lang w:val="en-US"/>
        </w:rPr>
        <w:t xml:space="preserve"> The reasons are as follows</w:t>
      </w:r>
      <w:r w:rsidR="0017278B">
        <w:rPr>
          <w:rStyle w:val="FootnoteReference"/>
          <w:rFonts w:cs="Times New Roman"/>
          <w:lang w:val="en-US"/>
        </w:rPr>
        <w:footnoteReference w:id="17"/>
      </w:r>
      <w:r w:rsidR="00466285">
        <w:rPr>
          <w:rFonts w:cs="Times New Roman"/>
          <w:lang w:val="en-US"/>
        </w:rPr>
        <w:t>:</w:t>
      </w:r>
    </w:p>
    <w:p w14:paraId="279060E3" w14:textId="56CDFCA7" w:rsidR="00466285" w:rsidRDefault="00466285" w:rsidP="008226B3">
      <w:pPr>
        <w:spacing w:after="0" w:line="360" w:lineRule="auto"/>
        <w:ind w:firstLine="709"/>
        <w:rPr>
          <w:rFonts w:cs="Times New Roman"/>
          <w:lang w:val="en-US"/>
        </w:rPr>
      </w:pPr>
      <w:r w:rsidRPr="00A71842">
        <w:rPr>
          <w:rFonts w:cs="Times New Roman"/>
          <w:i/>
          <w:iCs/>
          <w:lang w:val="en-US"/>
        </w:rPr>
        <w:t>First</w:t>
      </w:r>
      <w:r>
        <w:rPr>
          <w:rFonts w:cs="Times New Roman"/>
          <w:lang w:val="en-US"/>
        </w:rPr>
        <w:t xml:space="preserve">, interbank rates are quoted as </w:t>
      </w:r>
      <w:r w:rsidR="00A71842" w:rsidRPr="00A71842">
        <w:rPr>
          <w:rFonts w:cs="Times New Roman"/>
          <w:lang w:val="en-US"/>
        </w:rPr>
        <w:t>«</w:t>
      </w:r>
      <w:r>
        <w:rPr>
          <w:rFonts w:cs="Times New Roman"/>
          <w:lang w:val="en-US"/>
        </w:rPr>
        <w:t>offered</w:t>
      </w:r>
      <w:r w:rsidR="00A71842" w:rsidRPr="00A71842">
        <w:rPr>
          <w:rFonts w:cs="Times New Roman"/>
          <w:lang w:val="en-US"/>
        </w:rPr>
        <w:t>»</w:t>
      </w:r>
      <w:r>
        <w:rPr>
          <w:rFonts w:cs="Times New Roman"/>
          <w:lang w:val="en-US"/>
        </w:rPr>
        <w:t xml:space="preserve"> rates</w:t>
      </w:r>
      <w:r w:rsidR="00A71842">
        <w:rPr>
          <w:rFonts w:cs="Times New Roman"/>
          <w:lang w:val="en-US"/>
        </w:rPr>
        <w:t xml:space="preserve"> (rates at which banks are </w:t>
      </w:r>
      <w:r w:rsidR="00A71842" w:rsidRPr="00A71842">
        <w:rPr>
          <w:rFonts w:cs="Times New Roman"/>
          <w:i/>
          <w:iCs/>
          <w:lang w:val="en-US"/>
        </w:rPr>
        <w:t xml:space="preserve">ready to provide </w:t>
      </w:r>
      <w:r w:rsidR="00A71842">
        <w:rPr>
          <w:rFonts w:cs="Times New Roman"/>
          <w:lang w:val="en-US"/>
        </w:rPr>
        <w:t>lending to each other)</w:t>
      </w:r>
      <w:r>
        <w:rPr>
          <w:rFonts w:cs="Times New Roman"/>
          <w:lang w:val="en-US"/>
        </w:rPr>
        <w:t xml:space="preserve"> and not always derived from the actual transactions;</w:t>
      </w:r>
    </w:p>
    <w:p w14:paraId="7F9026BE" w14:textId="5E7F586C" w:rsidR="00466285" w:rsidRDefault="00466285" w:rsidP="008226B3">
      <w:pPr>
        <w:spacing w:after="0" w:line="360" w:lineRule="auto"/>
        <w:ind w:firstLine="709"/>
        <w:rPr>
          <w:rFonts w:cs="Times New Roman"/>
          <w:lang w:val="en-US"/>
        </w:rPr>
      </w:pPr>
      <w:r w:rsidRPr="00A71842">
        <w:rPr>
          <w:rFonts w:cs="Times New Roman"/>
          <w:i/>
          <w:iCs/>
          <w:lang w:val="en-US"/>
        </w:rPr>
        <w:t>Second</w:t>
      </w:r>
      <w:r>
        <w:rPr>
          <w:rFonts w:cs="Times New Roman"/>
          <w:lang w:val="en-US"/>
        </w:rPr>
        <w:t xml:space="preserve">, interbank rates </w:t>
      </w:r>
      <w:r w:rsidR="008F60C6">
        <w:rPr>
          <w:rFonts w:cs="Times New Roman"/>
          <w:lang w:val="en-US"/>
        </w:rPr>
        <w:t>are intended to measure cost of funding within the pre-defined set of banks (</w:t>
      </w:r>
      <w:r w:rsidR="00A71842" w:rsidRPr="00A71842">
        <w:rPr>
          <w:rFonts w:cs="Times New Roman"/>
          <w:lang w:val="en-US"/>
        </w:rPr>
        <w:t>«</w:t>
      </w:r>
      <w:r w:rsidR="008F60C6">
        <w:rPr>
          <w:rFonts w:cs="Times New Roman"/>
          <w:lang w:val="en-US"/>
        </w:rPr>
        <w:t>panel</w:t>
      </w:r>
      <w:r w:rsidR="00A71842" w:rsidRPr="00A71842">
        <w:rPr>
          <w:rFonts w:cs="Times New Roman"/>
          <w:lang w:val="en-US"/>
        </w:rPr>
        <w:t>»</w:t>
      </w:r>
      <w:r w:rsidR="008F60C6">
        <w:rPr>
          <w:rFonts w:cs="Times New Roman"/>
          <w:lang w:val="en-US"/>
        </w:rPr>
        <w:t xml:space="preserve">), i.e. it is relevant when one bank within the panel provides loan to the other bank witrhin the panel. With respect to the financial markets, it creates a problem, because institutional traders, having different credit ratings, could access financing at the rates </w:t>
      </w:r>
      <w:r w:rsidR="008F60C6" w:rsidRPr="00A71842">
        <w:rPr>
          <w:rFonts w:cs="Times New Roman"/>
          <w:i/>
          <w:iCs/>
          <w:lang w:val="en-US"/>
        </w:rPr>
        <w:t>higher than the IBOR</w:t>
      </w:r>
      <w:r w:rsidR="008F60C6">
        <w:rPr>
          <w:rFonts w:cs="Times New Roman"/>
          <w:lang w:val="en-US"/>
        </w:rPr>
        <w:t xml:space="preserve">, but have to provide risk-free loans at the rate </w:t>
      </w:r>
      <w:r w:rsidR="008F60C6" w:rsidRPr="00A71842">
        <w:rPr>
          <w:rFonts w:cs="Times New Roman"/>
          <w:i/>
          <w:iCs/>
          <w:lang w:val="en-US"/>
        </w:rPr>
        <w:t>close to the IBOR</w:t>
      </w:r>
      <w:r w:rsidR="008F60C6">
        <w:rPr>
          <w:rFonts w:cs="Times New Roman"/>
          <w:lang w:val="en-US"/>
        </w:rPr>
        <w:t>.</w:t>
      </w:r>
    </w:p>
    <w:p w14:paraId="7BEAE46C" w14:textId="34A58E0B" w:rsidR="008F60C6" w:rsidRDefault="008F60C6" w:rsidP="008226B3">
      <w:pPr>
        <w:spacing w:after="0" w:line="360" w:lineRule="auto"/>
        <w:ind w:firstLine="709"/>
        <w:rPr>
          <w:rFonts w:cs="Times New Roman"/>
          <w:lang w:val="en-US"/>
        </w:rPr>
      </w:pPr>
      <w:r w:rsidRPr="00A71842">
        <w:rPr>
          <w:rFonts w:cs="Times New Roman"/>
          <w:i/>
          <w:iCs/>
          <w:lang w:val="en-US"/>
        </w:rPr>
        <w:t>Third</w:t>
      </w:r>
      <w:r>
        <w:rPr>
          <w:rFonts w:cs="Times New Roman"/>
          <w:lang w:val="en-US"/>
        </w:rPr>
        <w:t xml:space="preserve">, term structure of risk-free rates creates non-even distribution of liquidity among the yield-curve: for example, even if within the trade day only overnight loans were provided, IBOR is still quoted for the whole yield curve. Thus, rates for the loans with maturity higher than overnight are essentially </w:t>
      </w:r>
      <w:r w:rsidR="00BB6810">
        <w:rPr>
          <w:rFonts w:cs="Times New Roman"/>
          <w:lang w:val="en-US"/>
        </w:rPr>
        <w:t xml:space="preserve">artificial and not derived from the actual transactions, thus providing </w:t>
      </w:r>
      <w:r w:rsidR="00BB6810" w:rsidRPr="00A71842">
        <w:rPr>
          <w:rFonts w:cs="Times New Roman"/>
          <w:i/>
          <w:iCs/>
          <w:lang w:val="en-US"/>
        </w:rPr>
        <w:t>only supply, but not demand side of the market</w:t>
      </w:r>
      <w:r w:rsidR="00BB6810">
        <w:rPr>
          <w:rFonts w:cs="Times New Roman"/>
          <w:lang w:val="en-US"/>
        </w:rPr>
        <w:t>.</w:t>
      </w:r>
    </w:p>
    <w:p w14:paraId="005FEFCC" w14:textId="56A6CCED" w:rsidR="00310E5E" w:rsidRPr="00461196" w:rsidRDefault="00310E5E" w:rsidP="008226B3">
      <w:pPr>
        <w:spacing w:after="0" w:line="360" w:lineRule="auto"/>
        <w:ind w:firstLine="709"/>
        <w:rPr>
          <w:rFonts w:cs="Times New Roman"/>
          <w:lang w:val="en-US"/>
        </w:rPr>
      </w:pPr>
      <w:r>
        <w:rPr>
          <w:rFonts w:cs="Times New Roman"/>
          <w:lang w:val="en-US"/>
        </w:rPr>
        <w:t>Nevertheless, even in the presence of the following problems, IBOR rates are still used for derivatives valuation</w:t>
      </w:r>
      <w:r w:rsidR="00AE66BE">
        <w:rPr>
          <w:rFonts w:cs="Times New Roman"/>
          <w:lang w:val="en-US"/>
        </w:rPr>
        <w:t xml:space="preserve"> and IBOR rates are also extensively used in interest rates derivatives</w:t>
      </w:r>
      <w:r w:rsidR="00AE66BE">
        <w:rPr>
          <w:rStyle w:val="FootnoteReference"/>
          <w:rFonts w:cs="Times New Roman"/>
          <w:lang w:val="en-US"/>
        </w:rPr>
        <w:footnoteReference w:id="18"/>
      </w:r>
      <w:r w:rsidR="00AE66BE">
        <w:rPr>
          <w:rFonts w:cs="Times New Roman"/>
          <w:lang w:val="en-US"/>
        </w:rPr>
        <w:t xml:space="preserve"> </w:t>
      </w:r>
      <w:r>
        <w:rPr>
          <w:rFonts w:cs="Times New Roman"/>
          <w:lang w:val="en-US"/>
        </w:rPr>
        <w:t xml:space="preserve">. The most prominent worldwide accepted benchmark is LIBOR, London Interbank Offered Rate, submitted by 16 financial institutions with high credit ratings and provided in 5 currencies. It is </w:t>
      </w:r>
      <w:r w:rsidRPr="00461196">
        <w:rPr>
          <w:rFonts w:cs="Times New Roman"/>
          <w:lang w:val="en-US"/>
        </w:rPr>
        <w:t>«normally published for each currency and tenor combination at 11:55 am London time on each applicable London business day»</w:t>
      </w:r>
      <w:r>
        <w:rPr>
          <w:rStyle w:val="FootnoteReference"/>
          <w:rFonts w:cs="Times New Roman"/>
          <w:lang w:val="en-US"/>
        </w:rPr>
        <w:footnoteReference w:id="19"/>
      </w:r>
      <w:r w:rsidRPr="00461196">
        <w:rPr>
          <w:rFonts w:cs="Times New Roman"/>
          <w:lang w:val="en-US"/>
        </w:rPr>
        <w:t>.</w:t>
      </w:r>
      <w:r>
        <w:rPr>
          <w:rFonts w:cs="Times New Roman"/>
          <w:lang w:val="en-US"/>
        </w:rPr>
        <w:t xml:space="preserve"> The following banks makes the whole list of panel banks for each of the currencies:</w:t>
      </w:r>
    </w:p>
    <w:tbl>
      <w:tblPr>
        <w:tblW w:w="935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329"/>
        <w:gridCol w:w="1005"/>
        <w:gridCol w:w="1005"/>
        <w:gridCol w:w="1005"/>
        <w:gridCol w:w="1005"/>
        <w:gridCol w:w="1005"/>
      </w:tblGrid>
      <w:tr w:rsidR="00A71842" w:rsidRPr="00566F83" w14:paraId="63B4C24F" w14:textId="77777777" w:rsidTr="00A71842">
        <w:trPr>
          <w:trHeight w:val="227"/>
        </w:trPr>
        <w:tc>
          <w:tcPr>
            <w:tcW w:w="9354" w:type="dxa"/>
            <w:gridSpan w:val="6"/>
            <w:tcBorders>
              <w:top w:val="nil"/>
            </w:tcBorders>
            <w:shd w:val="clear" w:color="auto" w:fill="auto"/>
            <w:noWrap/>
            <w:vAlign w:val="center"/>
          </w:tcPr>
          <w:p w14:paraId="4C2C89F1" w14:textId="20D58C9D" w:rsidR="00A71842" w:rsidRPr="00A71842" w:rsidRDefault="00D227F8" w:rsidP="00A71842">
            <w:pPr>
              <w:pStyle w:val="a0"/>
              <w:rPr>
                <w:lang w:eastAsia="ru-RU"/>
              </w:rPr>
            </w:pPr>
            <w:r>
              <w:t xml:space="preserve">Table </w:t>
            </w:r>
            <w:r>
              <w:fldChar w:fldCharType="begin"/>
            </w:r>
            <w:r>
              <w:instrText xml:space="preserve"> SEQ Table \* ARABIC </w:instrText>
            </w:r>
            <w:r>
              <w:fldChar w:fldCharType="separate"/>
            </w:r>
            <w:r w:rsidR="004D16C9">
              <w:rPr>
                <w:noProof/>
              </w:rPr>
              <w:t>1</w:t>
            </w:r>
            <w:r>
              <w:fldChar w:fldCharType="end"/>
            </w:r>
            <w:r w:rsidR="008E2721">
              <w:t>.</w:t>
            </w:r>
            <w:r>
              <w:t xml:space="preserve"> </w:t>
            </w:r>
            <w:r w:rsidR="00A71842">
              <w:rPr>
                <w:lang w:eastAsia="ru-RU"/>
              </w:rPr>
              <w:t>List of Panel banks for London Interbank Offered Rate (LIBOR) for each of the quoted currencies</w:t>
            </w:r>
          </w:p>
        </w:tc>
      </w:tr>
      <w:tr w:rsidR="00310E5E" w:rsidRPr="00461196" w14:paraId="32923374" w14:textId="77777777" w:rsidTr="00A71842">
        <w:trPr>
          <w:trHeight w:val="227"/>
        </w:trPr>
        <w:tc>
          <w:tcPr>
            <w:tcW w:w="4329" w:type="dxa"/>
            <w:shd w:val="clear" w:color="auto" w:fill="auto"/>
            <w:noWrap/>
            <w:vAlign w:val="center"/>
            <w:hideMark/>
          </w:tcPr>
          <w:p w14:paraId="57280254" w14:textId="77777777" w:rsidR="00310E5E" w:rsidRPr="00A71842" w:rsidRDefault="00310E5E" w:rsidP="00A71842">
            <w:pPr>
              <w:spacing w:after="0" w:line="360" w:lineRule="auto"/>
              <w:ind w:firstLine="709"/>
              <w:jc w:val="center"/>
              <w:rPr>
                <w:rFonts w:eastAsia="Times New Roman" w:cs="Times New Roman"/>
                <w:b/>
                <w:bCs/>
                <w:color w:val="000000"/>
                <w:sz w:val="20"/>
                <w:szCs w:val="20"/>
                <w:lang w:eastAsia="ru-RU"/>
              </w:rPr>
            </w:pPr>
            <w:r w:rsidRPr="00A71842">
              <w:rPr>
                <w:rFonts w:eastAsia="Times New Roman" w:cs="Times New Roman"/>
                <w:b/>
                <w:bCs/>
                <w:color w:val="000000"/>
                <w:sz w:val="20"/>
                <w:szCs w:val="20"/>
                <w:lang w:eastAsia="ru-RU"/>
              </w:rPr>
              <w:t>Bank / Currency</w:t>
            </w:r>
          </w:p>
        </w:tc>
        <w:tc>
          <w:tcPr>
            <w:tcW w:w="1005" w:type="dxa"/>
            <w:shd w:val="clear" w:color="auto" w:fill="auto"/>
            <w:noWrap/>
            <w:vAlign w:val="center"/>
            <w:hideMark/>
          </w:tcPr>
          <w:p w14:paraId="34EE2F00" w14:textId="77777777" w:rsidR="00310E5E" w:rsidRPr="00A71842" w:rsidRDefault="00310E5E" w:rsidP="00A71842">
            <w:pPr>
              <w:spacing w:after="0" w:line="360" w:lineRule="auto"/>
              <w:jc w:val="center"/>
              <w:rPr>
                <w:rFonts w:eastAsia="Times New Roman" w:cs="Times New Roman"/>
                <w:b/>
                <w:bCs/>
                <w:color w:val="000000"/>
                <w:sz w:val="20"/>
                <w:szCs w:val="20"/>
                <w:lang w:eastAsia="ru-RU"/>
              </w:rPr>
            </w:pPr>
            <w:r w:rsidRPr="00A71842">
              <w:rPr>
                <w:rFonts w:eastAsia="Times New Roman" w:cs="Times New Roman"/>
                <w:b/>
                <w:bCs/>
                <w:color w:val="000000"/>
                <w:sz w:val="20"/>
                <w:szCs w:val="20"/>
                <w:lang w:eastAsia="ru-RU"/>
              </w:rPr>
              <w:t>USD</w:t>
            </w:r>
          </w:p>
        </w:tc>
        <w:tc>
          <w:tcPr>
            <w:tcW w:w="1005" w:type="dxa"/>
            <w:shd w:val="clear" w:color="auto" w:fill="auto"/>
            <w:noWrap/>
            <w:vAlign w:val="center"/>
            <w:hideMark/>
          </w:tcPr>
          <w:p w14:paraId="308DEEB7" w14:textId="77777777" w:rsidR="00310E5E" w:rsidRPr="00A71842" w:rsidRDefault="00310E5E" w:rsidP="00A71842">
            <w:pPr>
              <w:spacing w:after="0" w:line="360" w:lineRule="auto"/>
              <w:jc w:val="center"/>
              <w:rPr>
                <w:rFonts w:eastAsia="Times New Roman" w:cs="Times New Roman"/>
                <w:b/>
                <w:bCs/>
                <w:color w:val="000000"/>
                <w:sz w:val="20"/>
                <w:szCs w:val="20"/>
                <w:lang w:eastAsia="ru-RU"/>
              </w:rPr>
            </w:pPr>
            <w:r w:rsidRPr="00A71842">
              <w:rPr>
                <w:rFonts w:eastAsia="Times New Roman" w:cs="Times New Roman"/>
                <w:b/>
                <w:bCs/>
                <w:color w:val="000000"/>
                <w:sz w:val="20"/>
                <w:szCs w:val="20"/>
                <w:lang w:eastAsia="ru-RU"/>
              </w:rPr>
              <w:t>GBP</w:t>
            </w:r>
          </w:p>
        </w:tc>
        <w:tc>
          <w:tcPr>
            <w:tcW w:w="1005" w:type="dxa"/>
            <w:shd w:val="clear" w:color="auto" w:fill="auto"/>
            <w:noWrap/>
            <w:vAlign w:val="center"/>
            <w:hideMark/>
          </w:tcPr>
          <w:p w14:paraId="500BA28B" w14:textId="77777777" w:rsidR="00310E5E" w:rsidRPr="00A71842" w:rsidRDefault="00310E5E" w:rsidP="00A71842">
            <w:pPr>
              <w:spacing w:after="0" w:line="360" w:lineRule="auto"/>
              <w:jc w:val="center"/>
              <w:rPr>
                <w:rFonts w:eastAsia="Times New Roman" w:cs="Times New Roman"/>
                <w:b/>
                <w:bCs/>
                <w:color w:val="000000"/>
                <w:sz w:val="20"/>
                <w:szCs w:val="20"/>
                <w:lang w:eastAsia="ru-RU"/>
              </w:rPr>
            </w:pPr>
            <w:r w:rsidRPr="00A71842">
              <w:rPr>
                <w:rFonts w:eastAsia="Times New Roman" w:cs="Times New Roman"/>
                <w:b/>
                <w:bCs/>
                <w:color w:val="000000"/>
                <w:sz w:val="20"/>
                <w:szCs w:val="20"/>
                <w:lang w:eastAsia="ru-RU"/>
              </w:rPr>
              <w:t>EUR</w:t>
            </w:r>
          </w:p>
        </w:tc>
        <w:tc>
          <w:tcPr>
            <w:tcW w:w="1005" w:type="dxa"/>
            <w:shd w:val="clear" w:color="auto" w:fill="auto"/>
            <w:noWrap/>
            <w:vAlign w:val="center"/>
            <w:hideMark/>
          </w:tcPr>
          <w:p w14:paraId="696793F2" w14:textId="77777777" w:rsidR="00310E5E" w:rsidRPr="00A71842" w:rsidRDefault="00310E5E" w:rsidP="00A71842">
            <w:pPr>
              <w:spacing w:after="0" w:line="360" w:lineRule="auto"/>
              <w:jc w:val="center"/>
              <w:rPr>
                <w:rFonts w:eastAsia="Times New Roman" w:cs="Times New Roman"/>
                <w:b/>
                <w:bCs/>
                <w:color w:val="000000"/>
                <w:sz w:val="20"/>
                <w:szCs w:val="20"/>
                <w:lang w:eastAsia="ru-RU"/>
              </w:rPr>
            </w:pPr>
            <w:r w:rsidRPr="00A71842">
              <w:rPr>
                <w:rFonts w:eastAsia="Times New Roman" w:cs="Times New Roman"/>
                <w:b/>
                <w:bCs/>
                <w:color w:val="000000"/>
                <w:sz w:val="20"/>
                <w:szCs w:val="20"/>
                <w:lang w:eastAsia="ru-RU"/>
              </w:rPr>
              <w:t>CHF</w:t>
            </w:r>
          </w:p>
        </w:tc>
        <w:tc>
          <w:tcPr>
            <w:tcW w:w="1005" w:type="dxa"/>
            <w:shd w:val="clear" w:color="auto" w:fill="auto"/>
            <w:noWrap/>
            <w:vAlign w:val="center"/>
            <w:hideMark/>
          </w:tcPr>
          <w:p w14:paraId="45A3A8DE" w14:textId="77777777" w:rsidR="00310E5E" w:rsidRPr="00A71842" w:rsidRDefault="00310E5E" w:rsidP="00A71842">
            <w:pPr>
              <w:spacing w:after="0" w:line="360" w:lineRule="auto"/>
              <w:jc w:val="center"/>
              <w:rPr>
                <w:rFonts w:eastAsia="Times New Roman" w:cs="Times New Roman"/>
                <w:b/>
                <w:bCs/>
                <w:color w:val="000000"/>
                <w:sz w:val="20"/>
                <w:szCs w:val="20"/>
                <w:lang w:eastAsia="ru-RU"/>
              </w:rPr>
            </w:pPr>
            <w:r w:rsidRPr="00A71842">
              <w:rPr>
                <w:rFonts w:eastAsia="Times New Roman" w:cs="Times New Roman"/>
                <w:b/>
                <w:bCs/>
                <w:color w:val="000000"/>
                <w:sz w:val="20"/>
                <w:szCs w:val="20"/>
                <w:lang w:eastAsia="ru-RU"/>
              </w:rPr>
              <w:t>JPY</w:t>
            </w:r>
          </w:p>
        </w:tc>
      </w:tr>
      <w:tr w:rsidR="00310E5E" w:rsidRPr="00461196" w14:paraId="16E8A43B" w14:textId="77777777" w:rsidTr="00A71842">
        <w:trPr>
          <w:trHeight w:val="227"/>
        </w:trPr>
        <w:tc>
          <w:tcPr>
            <w:tcW w:w="4329" w:type="dxa"/>
            <w:shd w:val="clear" w:color="auto" w:fill="auto"/>
            <w:noWrap/>
            <w:vAlign w:val="bottom"/>
            <w:hideMark/>
          </w:tcPr>
          <w:p w14:paraId="2DCCA4B6" w14:textId="77777777" w:rsidR="00310E5E" w:rsidRPr="00A71842" w:rsidRDefault="00310E5E" w:rsidP="00A71842">
            <w:pPr>
              <w:spacing w:after="0" w:line="360" w:lineRule="auto"/>
              <w:rPr>
                <w:rFonts w:eastAsia="Times New Roman" w:cs="Times New Roman"/>
                <w:color w:val="000000"/>
                <w:sz w:val="20"/>
                <w:szCs w:val="20"/>
                <w:lang w:val="en-US" w:eastAsia="ru-RU"/>
              </w:rPr>
            </w:pPr>
            <w:r w:rsidRPr="00A71842">
              <w:rPr>
                <w:rFonts w:eastAsia="Times New Roman" w:cs="Times New Roman"/>
                <w:color w:val="000000"/>
                <w:sz w:val="20"/>
                <w:szCs w:val="20"/>
                <w:lang w:val="en-US" w:eastAsia="ru-RU"/>
              </w:rPr>
              <w:t>Bank of America N.A. (London Branch)</w:t>
            </w:r>
          </w:p>
        </w:tc>
        <w:tc>
          <w:tcPr>
            <w:tcW w:w="1005" w:type="dxa"/>
            <w:shd w:val="clear" w:color="auto" w:fill="auto"/>
            <w:noWrap/>
            <w:vAlign w:val="bottom"/>
            <w:hideMark/>
          </w:tcPr>
          <w:p w14:paraId="1ED79D1B"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50B2D71F"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77F39095"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55FE998A" w14:textId="77777777" w:rsidR="00310E5E" w:rsidRPr="00A71842" w:rsidRDefault="00310E5E" w:rsidP="00A71842">
            <w:pPr>
              <w:spacing w:after="0" w:line="360" w:lineRule="auto"/>
              <w:ind w:firstLine="709"/>
              <w:jc w:val="center"/>
              <w:rPr>
                <w:rFonts w:eastAsia="Times New Roman" w:cs="Times New Roman"/>
                <w:color w:val="000000"/>
                <w:sz w:val="20"/>
                <w:szCs w:val="20"/>
                <w:lang w:eastAsia="ru-RU"/>
              </w:rPr>
            </w:pPr>
          </w:p>
        </w:tc>
        <w:tc>
          <w:tcPr>
            <w:tcW w:w="1005" w:type="dxa"/>
            <w:shd w:val="clear" w:color="auto" w:fill="auto"/>
            <w:noWrap/>
            <w:vAlign w:val="bottom"/>
            <w:hideMark/>
          </w:tcPr>
          <w:p w14:paraId="23553540" w14:textId="77777777" w:rsidR="00310E5E" w:rsidRPr="00A71842" w:rsidRDefault="00310E5E" w:rsidP="00A71842">
            <w:pPr>
              <w:spacing w:after="0" w:line="360" w:lineRule="auto"/>
              <w:ind w:firstLine="709"/>
              <w:jc w:val="center"/>
              <w:rPr>
                <w:rFonts w:eastAsia="Times New Roman" w:cs="Times New Roman"/>
                <w:color w:val="000000"/>
                <w:sz w:val="20"/>
                <w:szCs w:val="20"/>
                <w:lang w:eastAsia="ru-RU"/>
              </w:rPr>
            </w:pPr>
          </w:p>
        </w:tc>
      </w:tr>
      <w:tr w:rsidR="00310E5E" w:rsidRPr="00461196" w14:paraId="0627EB86" w14:textId="77777777" w:rsidTr="00A71842">
        <w:trPr>
          <w:trHeight w:val="227"/>
        </w:trPr>
        <w:tc>
          <w:tcPr>
            <w:tcW w:w="4329" w:type="dxa"/>
            <w:shd w:val="clear" w:color="auto" w:fill="auto"/>
            <w:noWrap/>
            <w:vAlign w:val="bottom"/>
            <w:hideMark/>
          </w:tcPr>
          <w:p w14:paraId="75F125F3" w14:textId="77777777" w:rsidR="00310E5E" w:rsidRPr="00A71842" w:rsidRDefault="00310E5E" w:rsidP="00A71842">
            <w:pPr>
              <w:spacing w:after="0" w:line="360" w:lineRule="auto"/>
              <w:rPr>
                <w:rFonts w:eastAsia="Times New Roman" w:cs="Times New Roman"/>
                <w:color w:val="000000"/>
                <w:sz w:val="20"/>
                <w:szCs w:val="20"/>
                <w:lang w:eastAsia="ru-RU"/>
              </w:rPr>
            </w:pPr>
            <w:r w:rsidRPr="00A71842">
              <w:rPr>
                <w:rFonts w:eastAsia="Times New Roman" w:cs="Times New Roman"/>
                <w:color w:val="000000"/>
                <w:sz w:val="20"/>
                <w:szCs w:val="20"/>
                <w:lang w:eastAsia="ru-RU"/>
              </w:rPr>
              <w:t>Barclays Bank plc</w:t>
            </w:r>
          </w:p>
        </w:tc>
        <w:tc>
          <w:tcPr>
            <w:tcW w:w="1005" w:type="dxa"/>
            <w:shd w:val="clear" w:color="auto" w:fill="auto"/>
            <w:noWrap/>
            <w:vAlign w:val="bottom"/>
            <w:hideMark/>
          </w:tcPr>
          <w:p w14:paraId="3F49D629"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0EA9B88A"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20195137"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064D5E9C"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61333FEA"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r>
      <w:tr w:rsidR="00310E5E" w:rsidRPr="00461196" w14:paraId="5BC2CE84" w14:textId="77777777" w:rsidTr="00A71842">
        <w:trPr>
          <w:trHeight w:val="227"/>
        </w:trPr>
        <w:tc>
          <w:tcPr>
            <w:tcW w:w="4329" w:type="dxa"/>
            <w:shd w:val="clear" w:color="auto" w:fill="auto"/>
            <w:noWrap/>
            <w:vAlign w:val="bottom"/>
            <w:hideMark/>
          </w:tcPr>
          <w:p w14:paraId="44831C4A" w14:textId="77777777" w:rsidR="00310E5E" w:rsidRPr="00A71842" w:rsidRDefault="00310E5E" w:rsidP="00A71842">
            <w:pPr>
              <w:spacing w:after="0" w:line="360" w:lineRule="auto"/>
              <w:rPr>
                <w:rFonts w:eastAsia="Times New Roman" w:cs="Times New Roman"/>
                <w:color w:val="000000"/>
                <w:sz w:val="20"/>
                <w:szCs w:val="20"/>
                <w:lang w:val="en-US" w:eastAsia="ru-RU"/>
              </w:rPr>
            </w:pPr>
            <w:r w:rsidRPr="00A71842">
              <w:rPr>
                <w:rFonts w:eastAsia="Times New Roman" w:cs="Times New Roman"/>
                <w:color w:val="000000"/>
                <w:sz w:val="20"/>
                <w:szCs w:val="20"/>
                <w:lang w:val="en-US" w:eastAsia="ru-RU"/>
              </w:rPr>
              <w:t>BNP Paribas SA (London Branch)</w:t>
            </w:r>
          </w:p>
        </w:tc>
        <w:tc>
          <w:tcPr>
            <w:tcW w:w="1005" w:type="dxa"/>
            <w:shd w:val="clear" w:color="auto" w:fill="auto"/>
            <w:noWrap/>
            <w:vAlign w:val="bottom"/>
            <w:hideMark/>
          </w:tcPr>
          <w:p w14:paraId="74E12DF4" w14:textId="77777777" w:rsidR="00310E5E" w:rsidRPr="008966FC" w:rsidRDefault="00310E5E" w:rsidP="00A71842">
            <w:pPr>
              <w:spacing w:after="0" w:line="360" w:lineRule="auto"/>
              <w:jc w:val="center"/>
              <w:rPr>
                <w:rFonts w:eastAsia="Times New Roman" w:cs="Times New Roman"/>
                <w:color w:val="000000"/>
                <w:sz w:val="20"/>
                <w:szCs w:val="20"/>
                <w:lang w:val="en-US" w:eastAsia="ru-RU"/>
              </w:rPr>
            </w:pPr>
          </w:p>
        </w:tc>
        <w:tc>
          <w:tcPr>
            <w:tcW w:w="1005" w:type="dxa"/>
            <w:shd w:val="clear" w:color="auto" w:fill="auto"/>
            <w:noWrap/>
            <w:vAlign w:val="bottom"/>
            <w:hideMark/>
          </w:tcPr>
          <w:p w14:paraId="7DACD921"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6B12D1FA"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4C0E61ED"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5ECF8F8C"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r>
      <w:tr w:rsidR="00310E5E" w:rsidRPr="00461196" w14:paraId="0C2A17E0" w14:textId="77777777" w:rsidTr="00A71842">
        <w:trPr>
          <w:trHeight w:val="227"/>
        </w:trPr>
        <w:tc>
          <w:tcPr>
            <w:tcW w:w="4329" w:type="dxa"/>
            <w:shd w:val="clear" w:color="auto" w:fill="auto"/>
            <w:noWrap/>
            <w:vAlign w:val="bottom"/>
            <w:hideMark/>
          </w:tcPr>
          <w:p w14:paraId="5B7983EE" w14:textId="77777777" w:rsidR="00310E5E" w:rsidRPr="00A71842" w:rsidRDefault="00310E5E" w:rsidP="00A71842">
            <w:pPr>
              <w:spacing w:after="0" w:line="360" w:lineRule="auto"/>
              <w:rPr>
                <w:rFonts w:eastAsia="Times New Roman" w:cs="Times New Roman"/>
                <w:color w:val="000000"/>
                <w:sz w:val="20"/>
                <w:szCs w:val="20"/>
                <w:lang w:val="en-US" w:eastAsia="ru-RU"/>
              </w:rPr>
            </w:pPr>
            <w:r w:rsidRPr="00A71842">
              <w:rPr>
                <w:rFonts w:eastAsia="Times New Roman" w:cs="Times New Roman"/>
                <w:color w:val="000000"/>
                <w:sz w:val="20"/>
                <w:szCs w:val="20"/>
                <w:lang w:val="en-US" w:eastAsia="ru-RU"/>
              </w:rPr>
              <w:t>Citibank N.A. (London Branch)</w:t>
            </w:r>
          </w:p>
        </w:tc>
        <w:tc>
          <w:tcPr>
            <w:tcW w:w="1005" w:type="dxa"/>
            <w:shd w:val="clear" w:color="auto" w:fill="auto"/>
            <w:noWrap/>
            <w:vAlign w:val="bottom"/>
            <w:hideMark/>
          </w:tcPr>
          <w:p w14:paraId="5FC72377"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75A87C8C"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5BBEEB69"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465A125B"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087F0687"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r>
      <w:tr w:rsidR="00310E5E" w:rsidRPr="00461196" w14:paraId="39E5AE16" w14:textId="77777777" w:rsidTr="00A71842">
        <w:trPr>
          <w:trHeight w:val="227"/>
        </w:trPr>
        <w:tc>
          <w:tcPr>
            <w:tcW w:w="4329" w:type="dxa"/>
            <w:shd w:val="clear" w:color="auto" w:fill="auto"/>
            <w:noWrap/>
            <w:vAlign w:val="bottom"/>
            <w:hideMark/>
          </w:tcPr>
          <w:p w14:paraId="45E2B402" w14:textId="77777777" w:rsidR="00310E5E" w:rsidRPr="00A71842" w:rsidRDefault="00310E5E" w:rsidP="00A71842">
            <w:pPr>
              <w:spacing w:after="0" w:line="360" w:lineRule="auto"/>
              <w:rPr>
                <w:rFonts w:eastAsia="Times New Roman" w:cs="Times New Roman"/>
                <w:color w:val="000000"/>
                <w:sz w:val="20"/>
                <w:szCs w:val="20"/>
                <w:lang w:eastAsia="ru-RU"/>
              </w:rPr>
            </w:pPr>
            <w:r w:rsidRPr="00A71842">
              <w:rPr>
                <w:rFonts w:eastAsia="Times New Roman" w:cs="Times New Roman"/>
                <w:color w:val="000000"/>
                <w:sz w:val="20"/>
                <w:szCs w:val="20"/>
                <w:lang w:eastAsia="ru-RU"/>
              </w:rPr>
              <w:t>Cooperatieve Rabobank U.A.</w:t>
            </w:r>
          </w:p>
        </w:tc>
        <w:tc>
          <w:tcPr>
            <w:tcW w:w="1005" w:type="dxa"/>
            <w:shd w:val="clear" w:color="auto" w:fill="auto"/>
            <w:noWrap/>
            <w:vAlign w:val="bottom"/>
            <w:hideMark/>
          </w:tcPr>
          <w:p w14:paraId="25207D15"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6A6B45A0"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305AF167"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2BEBD3F0"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112E57A9"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r>
      <w:tr w:rsidR="00310E5E" w:rsidRPr="00461196" w14:paraId="6835602A" w14:textId="77777777" w:rsidTr="00A71842">
        <w:trPr>
          <w:trHeight w:val="227"/>
        </w:trPr>
        <w:tc>
          <w:tcPr>
            <w:tcW w:w="4329" w:type="dxa"/>
            <w:shd w:val="clear" w:color="auto" w:fill="auto"/>
            <w:noWrap/>
            <w:vAlign w:val="bottom"/>
            <w:hideMark/>
          </w:tcPr>
          <w:p w14:paraId="3B54449B" w14:textId="77777777" w:rsidR="00310E5E" w:rsidRPr="00A71842" w:rsidRDefault="00310E5E" w:rsidP="00A71842">
            <w:pPr>
              <w:spacing w:after="0" w:line="360" w:lineRule="auto"/>
              <w:rPr>
                <w:rFonts w:eastAsia="Times New Roman" w:cs="Times New Roman"/>
                <w:color w:val="000000"/>
                <w:sz w:val="20"/>
                <w:szCs w:val="20"/>
                <w:lang w:val="en-US" w:eastAsia="ru-RU"/>
              </w:rPr>
            </w:pPr>
            <w:r w:rsidRPr="00A71842">
              <w:rPr>
                <w:rFonts w:eastAsia="Times New Roman" w:cs="Times New Roman"/>
                <w:color w:val="000000"/>
                <w:sz w:val="20"/>
                <w:szCs w:val="20"/>
                <w:lang w:val="en-US" w:eastAsia="ru-RU"/>
              </w:rPr>
              <w:t>Crédit Agricole Corporate &amp; Investment Bank</w:t>
            </w:r>
          </w:p>
        </w:tc>
        <w:tc>
          <w:tcPr>
            <w:tcW w:w="1005" w:type="dxa"/>
            <w:shd w:val="clear" w:color="auto" w:fill="auto"/>
            <w:noWrap/>
            <w:vAlign w:val="bottom"/>
            <w:hideMark/>
          </w:tcPr>
          <w:p w14:paraId="2AD8B425"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5683AE01"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14B74FE8"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57812E34"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11D66034"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r>
      <w:tr w:rsidR="00310E5E" w:rsidRPr="00461196" w14:paraId="24E82346" w14:textId="77777777" w:rsidTr="00A71842">
        <w:trPr>
          <w:trHeight w:val="227"/>
        </w:trPr>
        <w:tc>
          <w:tcPr>
            <w:tcW w:w="4329" w:type="dxa"/>
            <w:shd w:val="clear" w:color="auto" w:fill="auto"/>
            <w:noWrap/>
            <w:vAlign w:val="bottom"/>
            <w:hideMark/>
          </w:tcPr>
          <w:p w14:paraId="62B70AB7" w14:textId="77777777" w:rsidR="00310E5E" w:rsidRPr="00A71842" w:rsidRDefault="00310E5E" w:rsidP="00A71842">
            <w:pPr>
              <w:spacing w:after="0" w:line="360" w:lineRule="auto"/>
              <w:rPr>
                <w:rFonts w:eastAsia="Times New Roman" w:cs="Times New Roman"/>
                <w:color w:val="000000"/>
                <w:sz w:val="20"/>
                <w:szCs w:val="20"/>
                <w:lang w:val="en-US" w:eastAsia="ru-RU"/>
              </w:rPr>
            </w:pPr>
            <w:r w:rsidRPr="00A71842">
              <w:rPr>
                <w:rFonts w:eastAsia="Times New Roman" w:cs="Times New Roman"/>
                <w:color w:val="000000"/>
                <w:sz w:val="20"/>
                <w:szCs w:val="20"/>
                <w:lang w:val="en-US" w:eastAsia="ru-RU"/>
              </w:rPr>
              <w:lastRenderedPageBreak/>
              <w:t>Credit Suisse AG (London Branch)</w:t>
            </w:r>
          </w:p>
        </w:tc>
        <w:tc>
          <w:tcPr>
            <w:tcW w:w="1005" w:type="dxa"/>
            <w:shd w:val="clear" w:color="auto" w:fill="auto"/>
            <w:noWrap/>
            <w:vAlign w:val="bottom"/>
            <w:hideMark/>
          </w:tcPr>
          <w:p w14:paraId="2322F80E"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0F93084E"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16B25C4C"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538B9FC8"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2E7DA322"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r>
      <w:tr w:rsidR="00310E5E" w:rsidRPr="00461196" w14:paraId="5A9FDF2F" w14:textId="77777777" w:rsidTr="00A71842">
        <w:trPr>
          <w:trHeight w:val="227"/>
        </w:trPr>
        <w:tc>
          <w:tcPr>
            <w:tcW w:w="4329" w:type="dxa"/>
            <w:shd w:val="clear" w:color="auto" w:fill="auto"/>
            <w:noWrap/>
            <w:vAlign w:val="bottom"/>
            <w:hideMark/>
          </w:tcPr>
          <w:p w14:paraId="789DF8B0" w14:textId="77777777" w:rsidR="00310E5E" w:rsidRPr="00A71842" w:rsidRDefault="00310E5E" w:rsidP="00A71842">
            <w:pPr>
              <w:spacing w:after="0" w:line="360" w:lineRule="auto"/>
              <w:rPr>
                <w:rFonts w:eastAsia="Times New Roman" w:cs="Times New Roman"/>
                <w:color w:val="000000"/>
                <w:sz w:val="20"/>
                <w:szCs w:val="20"/>
                <w:lang w:val="de-DE" w:eastAsia="ru-RU"/>
              </w:rPr>
            </w:pPr>
            <w:r w:rsidRPr="00A71842">
              <w:rPr>
                <w:rFonts w:eastAsia="Times New Roman" w:cs="Times New Roman"/>
                <w:color w:val="000000"/>
                <w:sz w:val="20"/>
                <w:szCs w:val="20"/>
                <w:lang w:val="de-DE" w:eastAsia="ru-RU"/>
              </w:rPr>
              <w:t>Deutsche Bank AG (London Branch)</w:t>
            </w:r>
          </w:p>
        </w:tc>
        <w:tc>
          <w:tcPr>
            <w:tcW w:w="1005" w:type="dxa"/>
            <w:shd w:val="clear" w:color="auto" w:fill="auto"/>
            <w:noWrap/>
            <w:vAlign w:val="bottom"/>
            <w:hideMark/>
          </w:tcPr>
          <w:p w14:paraId="5F5A63FC"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29BA91B1"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7573F04A"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7BD64189"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659D324F"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r>
      <w:tr w:rsidR="00310E5E" w:rsidRPr="00461196" w14:paraId="30E2325E" w14:textId="77777777" w:rsidTr="00A71842">
        <w:trPr>
          <w:trHeight w:val="227"/>
        </w:trPr>
        <w:tc>
          <w:tcPr>
            <w:tcW w:w="4329" w:type="dxa"/>
            <w:shd w:val="clear" w:color="auto" w:fill="auto"/>
            <w:noWrap/>
            <w:vAlign w:val="bottom"/>
            <w:hideMark/>
          </w:tcPr>
          <w:p w14:paraId="4241E9C9" w14:textId="77777777" w:rsidR="00310E5E" w:rsidRPr="00A71842" w:rsidRDefault="00310E5E" w:rsidP="00A71842">
            <w:pPr>
              <w:spacing w:after="0" w:line="360" w:lineRule="auto"/>
              <w:rPr>
                <w:rFonts w:eastAsia="Times New Roman" w:cs="Times New Roman"/>
                <w:color w:val="000000"/>
                <w:sz w:val="20"/>
                <w:szCs w:val="20"/>
                <w:lang w:eastAsia="ru-RU"/>
              </w:rPr>
            </w:pPr>
            <w:r w:rsidRPr="00A71842">
              <w:rPr>
                <w:rFonts w:eastAsia="Times New Roman" w:cs="Times New Roman"/>
                <w:color w:val="000000"/>
                <w:sz w:val="20"/>
                <w:szCs w:val="20"/>
                <w:lang w:eastAsia="ru-RU"/>
              </w:rPr>
              <w:t>HSBC Bank plc</w:t>
            </w:r>
          </w:p>
        </w:tc>
        <w:tc>
          <w:tcPr>
            <w:tcW w:w="1005" w:type="dxa"/>
            <w:shd w:val="clear" w:color="auto" w:fill="auto"/>
            <w:noWrap/>
            <w:vAlign w:val="bottom"/>
            <w:hideMark/>
          </w:tcPr>
          <w:p w14:paraId="75B2AA72"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6241BCDD"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0EF76865"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446C92B4"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1444DD15"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r>
      <w:tr w:rsidR="00310E5E" w:rsidRPr="00461196" w14:paraId="3311719E" w14:textId="77777777" w:rsidTr="00A71842">
        <w:trPr>
          <w:trHeight w:val="227"/>
        </w:trPr>
        <w:tc>
          <w:tcPr>
            <w:tcW w:w="4329" w:type="dxa"/>
            <w:shd w:val="clear" w:color="auto" w:fill="auto"/>
            <w:noWrap/>
            <w:vAlign w:val="bottom"/>
            <w:hideMark/>
          </w:tcPr>
          <w:p w14:paraId="70B2FB6A" w14:textId="77777777" w:rsidR="00310E5E" w:rsidRPr="00A71842" w:rsidRDefault="00310E5E" w:rsidP="00A71842">
            <w:pPr>
              <w:spacing w:after="0" w:line="360" w:lineRule="auto"/>
              <w:rPr>
                <w:rFonts w:eastAsia="Times New Roman" w:cs="Times New Roman"/>
                <w:color w:val="000000"/>
                <w:sz w:val="20"/>
                <w:szCs w:val="20"/>
                <w:lang w:val="en-US" w:eastAsia="ru-RU"/>
              </w:rPr>
            </w:pPr>
            <w:r w:rsidRPr="00A71842">
              <w:rPr>
                <w:rFonts w:eastAsia="Times New Roman" w:cs="Times New Roman"/>
                <w:color w:val="000000"/>
                <w:sz w:val="20"/>
                <w:szCs w:val="20"/>
                <w:lang w:val="en-US" w:eastAsia="ru-RU"/>
              </w:rPr>
              <w:t>JPMorgan Chase Bank, N.A. (London Branch)</w:t>
            </w:r>
          </w:p>
        </w:tc>
        <w:tc>
          <w:tcPr>
            <w:tcW w:w="1005" w:type="dxa"/>
            <w:shd w:val="clear" w:color="auto" w:fill="auto"/>
            <w:noWrap/>
            <w:vAlign w:val="bottom"/>
            <w:hideMark/>
          </w:tcPr>
          <w:p w14:paraId="1D640559"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212DFA48"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7BE7528D"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7456E67A"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44D4CEE1"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r>
      <w:tr w:rsidR="00310E5E" w:rsidRPr="00461196" w14:paraId="1FCF4623" w14:textId="77777777" w:rsidTr="00A71842">
        <w:trPr>
          <w:trHeight w:val="227"/>
        </w:trPr>
        <w:tc>
          <w:tcPr>
            <w:tcW w:w="4329" w:type="dxa"/>
            <w:shd w:val="clear" w:color="auto" w:fill="auto"/>
            <w:noWrap/>
            <w:vAlign w:val="bottom"/>
            <w:hideMark/>
          </w:tcPr>
          <w:p w14:paraId="3F40991C" w14:textId="77777777" w:rsidR="00310E5E" w:rsidRPr="00A71842" w:rsidRDefault="00310E5E" w:rsidP="00A71842">
            <w:pPr>
              <w:spacing w:after="0" w:line="360" w:lineRule="auto"/>
              <w:rPr>
                <w:rFonts w:eastAsia="Times New Roman" w:cs="Times New Roman"/>
                <w:color w:val="000000"/>
                <w:sz w:val="20"/>
                <w:szCs w:val="20"/>
                <w:lang w:eastAsia="ru-RU"/>
              </w:rPr>
            </w:pPr>
            <w:r w:rsidRPr="00A71842">
              <w:rPr>
                <w:rFonts w:eastAsia="Times New Roman" w:cs="Times New Roman"/>
                <w:color w:val="000000"/>
                <w:sz w:val="20"/>
                <w:szCs w:val="20"/>
                <w:lang w:eastAsia="ru-RU"/>
              </w:rPr>
              <w:t>Lloyds Bank plc</w:t>
            </w:r>
          </w:p>
        </w:tc>
        <w:tc>
          <w:tcPr>
            <w:tcW w:w="1005" w:type="dxa"/>
            <w:shd w:val="clear" w:color="auto" w:fill="auto"/>
            <w:noWrap/>
            <w:vAlign w:val="bottom"/>
            <w:hideMark/>
          </w:tcPr>
          <w:p w14:paraId="2C3E916D"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775DDCA9"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66E725F8"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4CA88E8F"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7971DA43"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r>
      <w:tr w:rsidR="00310E5E" w:rsidRPr="00461196" w14:paraId="024BEEDD" w14:textId="77777777" w:rsidTr="00A71842">
        <w:trPr>
          <w:trHeight w:val="227"/>
        </w:trPr>
        <w:tc>
          <w:tcPr>
            <w:tcW w:w="4329" w:type="dxa"/>
            <w:shd w:val="clear" w:color="auto" w:fill="auto"/>
            <w:noWrap/>
            <w:vAlign w:val="bottom"/>
            <w:hideMark/>
          </w:tcPr>
          <w:p w14:paraId="6DC261B0" w14:textId="77777777" w:rsidR="00310E5E" w:rsidRPr="00A71842" w:rsidRDefault="00310E5E" w:rsidP="00A71842">
            <w:pPr>
              <w:spacing w:after="0" w:line="360" w:lineRule="auto"/>
              <w:rPr>
                <w:rFonts w:eastAsia="Times New Roman" w:cs="Times New Roman"/>
                <w:color w:val="000000"/>
                <w:sz w:val="20"/>
                <w:szCs w:val="20"/>
                <w:lang w:eastAsia="ru-RU"/>
              </w:rPr>
            </w:pPr>
            <w:r w:rsidRPr="00A71842">
              <w:rPr>
                <w:rFonts w:eastAsia="Times New Roman" w:cs="Times New Roman"/>
                <w:color w:val="000000"/>
                <w:sz w:val="20"/>
                <w:szCs w:val="20"/>
                <w:lang w:eastAsia="ru-RU"/>
              </w:rPr>
              <w:t>Mizuho Bank, Ltd.</w:t>
            </w:r>
          </w:p>
        </w:tc>
        <w:tc>
          <w:tcPr>
            <w:tcW w:w="1005" w:type="dxa"/>
            <w:shd w:val="clear" w:color="auto" w:fill="auto"/>
            <w:noWrap/>
            <w:vAlign w:val="bottom"/>
            <w:hideMark/>
          </w:tcPr>
          <w:p w14:paraId="552A86E3"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5B85864F"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2C7E685B"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087634DE"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39D6D8E7"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r>
      <w:tr w:rsidR="00310E5E" w:rsidRPr="00461196" w14:paraId="5A4DE186" w14:textId="77777777" w:rsidTr="00A71842">
        <w:trPr>
          <w:trHeight w:val="227"/>
        </w:trPr>
        <w:tc>
          <w:tcPr>
            <w:tcW w:w="4329" w:type="dxa"/>
            <w:shd w:val="clear" w:color="auto" w:fill="auto"/>
            <w:noWrap/>
            <w:vAlign w:val="bottom"/>
            <w:hideMark/>
          </w:tcPr>
          <w:p w14:paraId="361738B4" w14:textId="77777777" w:rsidR="00310E5E" w:rsidRPr="00A71842" w:rsidRDefault="00310E5E" w:rsidP="00A71842">
            <w:pPr>
              <w:spacing w:after="0" w:line="360" w:lineRule="auto"/>
              <w:rPr>
                <w:rFonts w:eastAsia="Times New Roman" w:cs="Times New Roman"/>
                <w:color w:val="000000"/>
                <w:sz w:val="20"/>
                <w:szCs w:val="20"/>
                <w:lang w:eastAsia="ru-RU"/>
              </w:rPr>
            </w:pPr>
            <w:r w:rsidRPr="00A71842">
              <w:rPr>
                <w:rFonts w:eastAsia="Times New Roman" w:cs="Times New Roman"/>
                <w:color w:val="000000"/>
                <w:sz w:val="20"/>
                <w:szCs w:val="20"/>
                <w:lang w:eastAsia="ru-RU"/>
              </w:rPr>
              <w:t>MUFG Bank, Ltd</w:t>
            </w:r>
          </w:p>
        </w:tc>
        <w:tc>
          <w:tcPr>
            <w:tcW w:w="1005" w:type="dxa"/>
            <w:shd w:val="clear" w:color="auto" w:fill="auto"/>
            <w:noWrap/>
            <w:vAlign w:val="bottom"/>
            <w:hideMark/>
          </w:tcPr>
          <w:p w14:paraId="33E70F82"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424ACEF6"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4AF279F3"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533D3D29"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6F603E96"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r>
      <w:tr w:rsidR="00310E5E" w:rsidRPr="00461196" w14:paraId="3E6A98E4" w14:textId="77777777" w:rsidTr="00A71842">
        <w:trPr>
          <w:trHeight w:val="227"/>
        </w:trPr>
        <w:tc>
          <w:tcPr>
            <w:tcW w:w="4329" w:type="dxa"/>
            <w:shd w:val="clear" w:color="auto" w:fill="auto"/>
            <w:noWrap/>
            <w:vAlign w:val="bottom"/>
            <w:hideMark/>
          </w:tcPr>
          <w:p w14:paraId="78D1B435" w14:textId="77777777" w:rsidR="00310E5E" w:rsidRPr="00A71842" w:rsidRDefault="00310E5E" w:rsidP="00A71842">
            <w:pPr>
              <w:spacing w:after="0" w:line="360" w:lineRule="auto"/>
              <w:rPr>
                <w:rFonts w:eastAsia="Times New Roman" w:cs="Times New Roman"/>
                <w:color w:val="000000"/>
                <w:sz w:val="20"/>
                <w:szCs w:val="20"/>
                <w:lang w:eastAsia="ru-RU"/>
              </w:rPr>
            </w:pPr>
            <w:r w:rsidRPr="00A71842">
              <w:rPr>
                <w:rFonts w:eastAsia="Times New Roman" w:cs="Times New Roman"/>
                <w:color w:val="000000"/>
                <w:sz w:val="20"/>
                <w:szCs w:val="20"/>
                <w:lang w:eastAsia="ru-RU"/>
              </w:rPr>
              <w:t>National Westminster Bank plc</w:t>
            </w:r>
          </w:p>
        </w:tc>
        <w:tc>
          <w:tcPr>
            <w:tcW w:w="1005" w:type="dxa"/>
            <w:shd w:val="clear" w:color="auto" w:fill="auto"/>
            <w:noWrap/>
            <w:vAlign w:val="bottom"/>
            <w:hideMark/>
          </w:tcPr>
          <w:p w14:paraId="1FFB4FFD"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073864C5"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197E9476"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281243DE"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5FC25CAF"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r>
      <w:tr w:rsidR="00310E5E" w:rsidRPr="00461196" w14:paraId="35D000F5" w14:textId="77777777" w:rsidTr="00A71842">
        <w:trPr>
          <w:trHeight w:val="227"/>
        </w:trPr>
        <w:tc>
          <w:tcPr>
            <w:tcW w:w="4329" w:type="dxa"/>
            <w:shd w:val="clear" w:color="auto" w:fill="auto"/>
            <w:noWrap/>
            <w:vAlign w:val="bottom"/>
            <w:hideMark/>
          </w:tcPr>
          <w:p w14:paraId="1A782B36" w14:textId="77777777" w:rsidR="00310E5E" w:rsidRPr="00A71842" w:rsidRDefault="00310E5E" w:rsidP="00A71842">
            <w:pPr>
              <w:spacing w:after="0" w:line="360" w:lineRule="auto"/>
              <w:rPr>
                <w:rFonts w:eastAsia="Times New Roman" w:cs="Times New Roman"/>
                <w:color w:val="000000"/>
                <w:sz w:val="20"/>
                <w:szCs w:val="20"/>
                <w:lang w:eastAsia="ru-RU"/>
              </w:rPr>
            </w:pPr>
            <w:r w:rsidRPr="00A71842">
              <w:rPr>
                <w:rFonts w:eastAsia="Times New Roman" w:cs="Times New Roman"/>
                <w:color w:val="000000"/>
                <w:sz w:val="20"/>
                <w:szCs w:val="20"/>
                <w:lang w:eastAsia="ru-RU"/>
              </w:rPr>
              <w:t>Royal Bank of Canada</w:t>
            </w:r>
          </w:p>
        </w:tc>
        <w:tc>
          <w:tcPr>
            <w:tcW w:w="1005" w:type="dxa"/>
            <w:shd w:val="clear" w:color="auto" w:fill="auto"/>
            <w:noWrap/>
            <w:vAlign w:val="bottom"/>
            <w:hideMark/>
          </w:tcPr>
          <w:p w14:paraId="0F1E7BEE"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1F850D9D"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4E6803B2"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07629E55"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6D60CE1C"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r>
      <w:tr w:rsidR="00310E5E" w:rsidRPr="00461196" w14:paraId="7F897DC3" w14:textId="77777777" w:rsidTr="00A71842">
        <w:trPr>
          <w:trHeight w:val="227"/>
        </w:trPr>
        <w:tc>
          <w:tcPr>
            <w:tcW w:w="4329" w:type="dxa"/>
            <w:shd w:val="clear" w:color="auto" w:fill="auto"/>
            <w:noWrap/>
            <w:vAlign w:val="bottom"/>
            <w:hideMark/>
          </w:tcPr>
          <w:p w14:paraId="07C1895B" w14:textId="77777777" w:rsidR="00310E5E" w:rsidRPr="00A71842" w:rsidRDefault="00310E5E" w:rsidP="00A71842">
            <w:pPr>
              <w:spacing w:after="0" w:line="360" w:lineRule="auto"/>
              <w:rPr>
                <w:rFonts w:eastAsia="Times New Roman" w:cs="Times New Roman"/>
                <w:color w:val="000000"/>
                <w:sz w:val="20"/>
                <w:szCs w:val="20"/>
                <w:lang w:eastAsia="ru-RU"/>
              </w:rPr>
            </w:pPr>
            <w:r w:rsidRPr="00A71842">
              <w:rPr>
                <w:rFonts w:eastAsia="Times New Roman" w:cs="Times New Roman"/>
                <w:color w:val="000000"/>
                <w:sz w:val="20"/>
                <w:szCs w:val="20"/>
                <w:lang w:eastAsia="ru-RU"/>
              </w:rPr>
              <w:t>Santander UK Plc</w:t>
            </w:r>
          </w:p>
        </w:tc>
        <w:tc>
          <w:tcPr>
            <w:tcW w:w="1005" w:type="dxa"/>
            <w:shd w:val="clear" w:color="auto" w:fill="auto"/>
            <w:noWrap/>
            <w:vAlign w:val="bottom"/>
            <w:hideMark/>
          </w:tcPr>
          <w:p w14:paraId="26BF0D13"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0A656168"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6E567B8A"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06CE5625"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34CB8A68"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r>
      <w:tr w:rsidR="00310E5E" w:rsidRPr="00461196" w14:paraId="1FD572BC" w14:textId="77777777" w:rsidTr="00A71842">
        <w:trPr>
          <w:trHeight w:val="227"/>
        </w:trPr>
        <w:tc>
          <w:tcPr>
            <w:tcW w:w="4329" w:type="dxa"/>
            <w:shd w:val="clear" w:color="auto" w:fill="auto"/>
            <w:noWrap/>
            <w:vAlign w:val="bottom"/>
            <w:hideMark/>
          </w:tcPr>
          <w:p w14:paraId="58AA94B4" w14:textId="77777777" w:rsidR="00310E5E" w:rsidRPr="00A71842" w:rsidRDefault="00310E5E" w:rsidP="00A71842">
            <w:pPr>
              <w:spacing w:after="0" w:line="360" w:lineRule="auto"/>
              <w:rPr>
                <w:rFonts w:eastAsia="Times New Roman" w:cs="Times New Roman"/>
                <w:color w:val="000000"/>
                <w:sz w:val="20"/>
                <w:szCs w:val="20"/>
                <w:lang w:eastAsia="ru-RU"/>
              </w:rPr>
            </w:pPr>
            <w:r w:rsidRPr="00A71842">
              <w:rPr>
                <w:rFonts w:eastAsia="Times New Roman" w:cs="Times New Roman"/>
                <w:color w:val="000000"/>
                <w:sz w:val="20"/>
                <w:szCs w:val="20"/>
                <w:lang w:eastAsia="ru-RU"/>
              </w:rPr>
              <w:t>SMBC Bank International plc</w:t>
            </w:r>
          </w:p>
        </w:tc>
        <w:tc>
          <w:tcPr>
            <w:tcW w:w="1005" w:type="dxa"/>
            <w:shd w:val="clear" w:color="auto" w:fill="auto"/>
            <w:noWrap/>
            <w:vAlign w:val="bottom"/>
            <w:hideMark/>
          </w:tcPr>
          <w:p w14:paraId="2317A8C4"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5DB225D7"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1662A39E"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612B9733"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60545F36"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r>
      <w:tr w:rsidR="00310E5E" w:rsidRPr="00461196" w14:paraId="0E7A4CED" w14:textId="77777777" w:rsidTr="00A71842">
        <w:trPr>
          <w:trHeight w:val="227"/>
        </w:trPr>
        <w:tc>
          <w:tcPr>
            <w:tcW w:w="4329" w:type="dxa"/>
            <w:shd w:val="clear" w:color="auto" w:fill="auto"/>
            <w:noWrap/>
            <w:vAlign w:val="bottom"/>
            <w:hideMark/>
          </w:tcPr>
          <w:p w14:paraId="5A9F6126" w14:textId="77777777" w:rsidR="00310E5E" w:rsidRPr="00A71842" w:rsidRDefault="00310E5E" w:rsidP="00A71842">
            <w:pPr>
              <w:spacing w:after="0" w:line="360" w:lineRule="auto"/>
              <w:rPr>
                <w:rFonts w:eastAsia="Times New Roman" w:cs="Times New Roman"/>
                <w:color w:val="000000"/>
                <w:sz w:val="20"/>
                <w:szCs w:val="20"/>
                <w:lang w:eastAsia="ru-RU"/>
              </w:rPr>
            </w:pPr>
            <w:r w:rsidRPr="00A71842">
              <w:rPr>
                <w:rFonts w:eastAsia="Times New Roman" w:cs="Times New Roman"/>
                <w:color w:val="000000"/>
                <w:sz w:val="20"/>
                <w:szCs w:val="20"/>
                <w:lang w:eastAsia="ru-RU"/>
              </w:rPr>
              <w:t>Société Générale (London Branch)</w:t>
            </w:r>
          </w:p>
        </w:tc>
        <w:tc>
          <w:tcPr>
            <w:tcW w:w="1005" w:type="dxa"/>
            <w:shd w:val="clear" w:color="auto" w:fill="auto"/>
            <w:noWrap/>
            <w:vAlign w:val="bottom"/>
            <w:hideMark/>
          </w:tcPr>
          <w:p w14:paraId="2F5EDA41"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64E7B538"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28201BBB"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72D4AE78"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6436341E"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r>
      <w:tr w:rsidR="00310E5E" w:rsidRPr="00461196" w14:paraId="217EAB67" w14:textId="77777777" w:rsidTr="00A71842">
        <w:trPr>
          <w:trHeight w:val="227"/>
        </w:trPr>
        <w:tc>
          <w:tcPr>
            <w:tcW w:w="4329" w:type="dxa"/>
            <w:shd w:val="clear" w:color="auto" w:fill="auto"/>
            <w:noWrap/>
            <w:vAlign w:val="bottom"/>
            <w:hideMark/>
          </w:tcPr>
          <w:p w14:paraId="04E5D467" w14:textId="77777777" w:rsidR="00310E5E" w:rsidRPr="00A71842" w:rsidRDefault="00310E5E" w:rsidP="00A71842">
            <w:pPr>
              <w:spacing w:after="0" w:line="360" w:lineRule="auto"/>
              <w:rPr>
                <w:rFonts w:eastAsia="Times New Roman" w:cs="Times New Roman"/>
                <w:color w:val="000000"/>
                <w:sz w:val="20"/>
                <w:szCs w:val="20"/>
                <w:lang w:eastAsia="ru-RU"/>
              </w:rPr>
            </w:pPr>
            <w:r w:rsidRPr="00A71842">
              <w:rPr>
                <w:rFonts w:eastAsia="Times New Roman" w:cs="Times New Roman"/>
                <w:color w:val="000000"/>
                <w:sz w:val="20"/>
                <w:szCs w:val="20"/>
                <w:lang w:eastAsia="ru-RU"/>
              </w:rPr>
              <w:t>The Norinchukin Bank</w:t>
            </w:r>
          </w:p>
        </w:tc>
        <w:tc>
          <w:tcPr>
            <w:tcW w:w="1005" w:type="dxa"/>
            <w:shd w:val="clear" w:color="auto" w:fill="auto"/>
            <w:noWrap/>
            <w:vAlign w:val="bottom"/>
            <w:hideMark/>
          </w:tcPr>
          <w:p w14:paraId="00121EA8"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522EBF17"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6665A7B3"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64DF7D67" w14:textId="77777777" w:rsidR="00310E5E" w:rsidRPr="00A71842" w:rsidRDefault="00310E5E" w:rsidP="00A71842">
            <w:pPr>
              <w:spacing w:after="0" w:line="360" w:lineRule="auto"/>
              <w:jc w:val="center"/>
              <w:rPr>
                <w:rFonts w:eastAsia="Times New Roman" w:cs="Times New Roman"/>
                <w:color w:val="000000"/>
                <w:sz w:val="20"/>
                <w:szCs w:val="20"/>
                <w:lang w:eastAsia="ru-RU"/>
              </w:rPr>
            </w:pPr>
          </w:p>
        </w:tc>
        <w:tc>
          <w:tcPr>
            <w:tcW w:w="1005" w:type="dxa"/>
            <w:shd w:val="clear" w:color="auto" w:fill="auto"/>
            <w:noWrap/>
            <w:vAlign w:val="bottom"/>
            <w:hideMark/>
          </w:tcPr>
          <w:p w14:paraId="6CDAD087"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r>
      <w:tr w:rsidR="00310E5E" w:rsidRPr="00461196" w14:paraId="49B59682" w14:textId="77777777" w:rsidTr="00A71842">
        <w:trPr>
          <w:trHeight w:val="227"/>
        </w:trPr>
        <w:tc>
          <w:tcPr>
            <w:tcW w:w="4329" w:type="dxa"/>
            <w:shd w:val="clear" w:color="auto" w:fill="auto"/>
            <w:noWrap/>
            <w:vAlign w:val="bottom"/>
            <w:hideMark/>
          </w:tcPr>
          <w:p w14:paraId="138258AD" w14:textId="77777777" w:rsidR="00310E5E" w:rsidRPr="00A71842" w:rsidRDefault="00310E5E" w:rsidP="00A71842">
            <w:pPr>
              <w:spacing w:after="0" w:line="360" w:lineRule="auto"/>
              <w:rPr>
                <w:rFonts w:eastAsia="Times New Roman" w:cs="Times New Roman"/>
                <w:color w:val="000000"/>
                <w:sz w:val="20"/>
                <w:szCs w:val="20"/>
                <w:lang w:eastAsia="ru-RU"/>
              </w:rPr>
            </w:pPr>
            <w:r w:rsidRPr="00A71842">
              <w:rPr>
                <w:rFonts w:eastAsia="Times New Roman" w:cs="Times New Roman"/>
                <w:color w:val="000000"/>
                <w:sz w:val="20"/>
                <w:szCs w:val="20"/>
                <w:lang w:eastAsia="ru-RU"/>
              </w:rPr>
              <w:t>UBS AG</w:t>
            </w:r>
          </w:p>
        </w:tc>
        <w:tc>
          <w:tcPr>
            <w:tcW w:w="1005" w:type="dxa"/>
            <w:shd w:val="clear" w:color="auto" w:fill="auto"/>
            <w:noWrap/>
            <w:vAlign w:val="bottom"/>
            <w:hideMark/>
          </w:tcPr>
          <w:p w14:paraId="0A90988D"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6839196F"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7191AAB6"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7C4EFDD4"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c>
          <w:tcPr>
            <w:tcW w:w="1005" w:type="dxa"/>
            <w:shd w:val="clear" w:color="auto" w:fill="auto"/>
            <w:noWrap/>
            <w:vAlign w:val="bottom"/>
            <w:hideMark/>
          </w:tcPr>
          <w:p w14:paraId="7D6C95A3" w14:textId="77777777" w:rsidR="00310E5E" w:rsidRPr="00A71842" w:rsidRDefault="00310E5E" w:rsidP="00A71842">
            <w:pPr>
              <w:spacing w:after="0" w:line="360" w:lineRule="auto"/>
              <w:jc w:val="center"/>
              <w:rPr>
                <w:rFonts w:eastAsia="Times New Roman" w:cs="Times New Roman"/>
                <w:color w:val="000000"/>
                <w:sz w:val="20"/>
                <w:szCs w:val="20"/>
                <w:lang w:eastAsia="ru-RU"/>
              </w:rPr>
            </w:pPr>
            <w:r w:rsidRPr="00A71842">
              <w:rPr>
                <w:rFonts w:eastAsia="Times New Roman" w:cs="Times New Roman"/>
                <w:color w:val="000000"/>
                <w:sz w:val="20"/>
                <w:szCs w:val="20"/>
                <w:lang w:eastAsia="ru-RU"/>
              </w:rPr>
              <w:t>+</w:t>
            </w:r>
          </w:p>
        </w:tc>
      </w:tr>
      <w:tr w:rsidR="00310E5E" w:rsidRPr="00461196" w14:paraId="6AF9952E" w14:textId="77777777" w:rsidTr="00A71842">
        <w:trPr>
          <w:trHeight w:val="227"/>
        </w:trPr>
        <w:tc>
          <w:tcPr>
            <w:tcW w:w="4329" w:type="dxa"/>
            <w:shd w:val="clear" w:color="auto" w:fill="auto"/>
            <w:noWrap/>
            <w:vAlign w:val="bottom"/>
            <w:hideMark/>
          </w:tcPr>
          <w:p w14:paraId="565BE2A6" w14:textId="77777777" w:rsidR="00310E5E" w:rsidRPr="00A71842" w:rsidRDefault="00310E5E" w:rsidP="00A71842">
            <w:pPr>
              <w:spacing w:after="0" w:line="360" w:lineRule="auto"/>
              <w:rPr>
                <w:rFonts w:eastAsia="Times New Roman" w:cs="Times New Roman"/>
                <w:b/>
                <w:bCs/>
                <w:color w:val="000000"/>
                <w:sz w:val="20"/>
                <w:szCs w:val="20"/>
                <w:lang w:val="en-US" w:eastAsia="ru-RU"/>
              </w:rPr>
            </w:pPr>
            <w:r w:rsidRPr="00A71842">
              <w:rPr>
                <w:rFonts w:eastAsia="Times New Roman" w:cs="Times New Roman"/>
                <w:b/>
                <w:bCs/>
                <w:color w:val="000000"/>
                <w:sz w:val="20"/>
                <w:szCs w:val="20"/>
                <w:lang w:val="en-US" w:eastAsia="ru-RU"/>
              </w:rPr>
              <w:t>Number of banks for each currency</w:t>
            </w:r>
          </w:p>
        </w:tc>
        <w:tc>
          <w:tcPr>
            <w:tcW w:w="1005" w:type="dxa"/>
            <w:shd w:val="clear" w:color="auto" w:fill="auto"/>
            <w:noWrap/>
            <w:vAlign w:val="bottom"/>
            <w:hideMark/>
          </w:tcPr>
          <w:p w14:paraId="1E12E9F3" w14:textId="77777777" w:rsidR="00310E5E" w:rsidRPr="00A71842" w:rsidRDefault="00310E5E" w:rsidP="00A71842">
            <w:pPr>
              <w:spacing w:after="0" w:line="360" w:lineRule="auto"/>
              <w:jc w:val="center"/>
              <w:rPr>
                <w:rFonts w:eastAsia="Times New Roman" w:cs="Times New Roman"/>
                <w:b/>
                <w:bCs/>
                <w:color w:val="000000"/>
                <w:sz w:val="20"/>
                <w:szCs w:val="20"/>
                <w:lang w:eastAsia="ru-RU"/>
              </w:rPr>
            </w:pPr>
            <w:r w:rsidRPr="00A71842">
              <w:rPr>
                <w:rFonts w:eastAsia="Times New Roman" w:cs="Times New Roman"/>
                <w:b/>
                <w:bCs/>
                <w:color w:val="000000"/>
                <w:sz w:val="20"/>
                <w:szCs w:val="20"/>
                <w:lang w:eastAsia="ru-RU"/>
              </w:rPr>
              <w:t>16</w:t>
            </w:r>
          </w:p>
        </w:tc>
        <w:tc>
          <w:tcPr>
            <w:tcW w:w="1005" w:type="dxa"/>
            <w:shd w:val="clear" w:color="auto" w:fill="auto"/>
            <w:noWrap/>
            <w:vAlign w:val="bottom"/>
            <w:hideMark/>
          </w:tcPr>
          <w:p w14:paraId="56A5DB7A" w14:textId="77777777" w:rsidR="00310E5E" w:rsidRPr="00A71842" w:rsidRDefault="00310E5E" w:rsidP="00A71842">
            <w:pPr>
              <w:spacing w:after="0" w:line="360" w:lineRule="auto"/>
              <w:jc w:val="center"/>
              <w:rPr>
                <w:rFonts w:eastAsia="Times New Roman" w:cs="Times New Roman"/>
                <w:b/>
                <w:bCs/>
                <w:color w:val="000000"/>
                <w:sz w:val="20"/>
                <w:szCs w:val="20"/>
                <w:lang w:eastAsia="ru-RU"/>
              </w:rPr>
            </w:pPr>
            <w:r w:rsidRPr="00A71842">
              <w:rPr>
                <w:rFonts w:eastAsia="Times New Roman" w:cs="Times New Roman"/>
                <w:b/>
                <w:bCs/>
                <w:color w:val="000000"/>
                <w:sz w:val="20"/>
                <w:szCs w:val="20"/>
                <w:lang w:eastAsia="ru-RU"/>
              </w:rPr>
              <w:t>16</w:t>
            </w:r>
          </w:p>
        </w:tc>
        <w:tc>
          <w:tcPr>
            <w:tcW w:w="1005" w:type="dxa"/>
            <w:shd w:val="clear" w:color="auto" w:fill="auto"/>
            <w:noWrap/>
            <w:vAlign w:val="bottom"/>
            <w:hideMark/>
          </w:tcPr>
          <w:p w14:paraId="33E1CD1C" w14:textId="77777777" w:rsidR="00310E5E" w:rsidRPr="00A71842" w:rsidRDefault="00310E5E" w:rsidP="00A71842">
            <w:pPr>
              <w:spacing w:after="0" w:line="360" w:lineRule="auto"/>
              <w:jc w:val="center"/>
              <w:rPr>
                <w:rFonts w:eastAsia="Times New Roman" w:cs="Times New Roman"/>
                <w:b/>
                <w:bCs/>
                <w:color w:val="000000"/>
                <w:sz w:val="20"/>
                <w:szCs w:val="20"/>
                <w:lang w:eastAsia="ru-RU"/>
              </w:rPr>
            </w:pPr>
            <w:r w:rsidRPr="00A71842">
              <w:rPr>
                <w:rFonts w:eastAsia="Times New Roman" w:cs="Times New Roman"/>
                <w:b/>
                <w:bCs/>
                <w:color w:val="000000"/>
                <w:sz w:val="20"/>
                <w:szCs w:val="20"/>
                <w:lang w:eastAsia="ru-RU"/>
              </w:rPr>
              <w:t>15</w:t>
            </w:r>
          </w:p>
        </w:tc>
        <w:tc>
          <w:tcPr>
            <w:tcW w:w="1005" w:type="dxa"/>
            <w:shd w:val="clear" w:color="auto" w:fill="auto"/>
            <w:noWrap/>
            <w:vAlign w:val="bottom"/>
            <w:hideMark/>
          </w:tcPr>
          <w:p w14:paraId="78867353" w14:textId="77777777" w:rsidR="00310E5E" w:rsidRPr="00A71842" w:rsidRDefault="00310E5E" w:rsidP="00A71842">
            <w:pPr>
              <w:spacing w:after="0" w:line="360" w:lineRule="auto"/>
              <w:jc w:val="center"/>
              <w:rPr>
                <w:rFonts w:eastAsia="Times New Roman" w:cs="Times New Roman"/>
                <w:b/>
                <w:bCs/>
                <w:color w:val="000000"/>
                <w:sz w:val="20"/>
                <w:szCs w:val="20"/>
                <w:lang w:eastAsia="ru-RU"/>
              </w:rPr>
            </w:pPr>
            <w:r w:rsidRPr="00A71842">
              <w:rPr>
                <w:rFonts w:eastAsia="Times New Roman" w:cs="Times New Roman"/>
                <w:b/>
                <w:bCs/>
                <w:color w:val="000000"/>
                <w:sz w:val="20"/>
                <w:szCs w:val="20"/>
                <w:lang w:eastAsia="ru-RU"/>
              </w:rPr>
              <w:t>11</w:t>
            </w:r>
          </w:p>
        </w:tc>
        <w:tc>
          <w:tcPr>
            <w:tcW w:w="1005" w:type="dxa"/>
            <w:shd w:val="clear" w:color="auto" w:fill="auto"/>
            <w:noWrap/>
            <w:vAlign w:val="bottom"/>
            <w:hideMark/>
          </w:tcPr>
          <w:p w14:paraId="59033448" w14:textId="77777777" w:rsidR="00310E5E" w:rsidRPr="00A71842" w:rsidRDefault="00310E5E" w:rsidP="00A71842">
            <w:pPr>
              <w:spacing w:after="0" w:line="360" w:lineRule="auto"/>
              <w:jc w:val="center"/>
              <w:rPr>
                <w:rFonts w:eastAsia="Times New Roman" w:cs="Times New Roman"/>
                <w:b/>
                <w:bCs/>
                <w:color w:val="000000"/>
                <w:sz w:val="20"/>
                <w:szCs w:val="20"/>
                <w:lang w:eastAsia="ru-RU"/>
              </w:rPr>
            </w:pPr>
            <w:r w:rsidRPr="00A71842">
              <w:rPr>
                <w:rFonts w:eastAsia="Times New Roman" w:cs="Times New Roman"/>
                <w:b/>
                <w:bCs/>
                <w:color w:val="000000"/>
                <w:sz w:val="20"/>
                <w:szCs w:val="20"/>
                <w:lang w:eastAsia="ru-RU"/>
              </w:rPr>
              <w:t>12</w:t>
            </w:r>
          </w:p>
        </w:tc>
      </w:tr>
    </w:tbl>
    <w:p w14:paraId="6FBAA147" w14:textId="79F83A6A" w:rsidR="00466285" w:rsidRDefault="00AD1607" w:rsidP="008226B3">
      <w:pPr>
        <w:spacing w:after="0" w:line="360" w:lineRule="auto"/>
        <w:ind w:firstLine="709"/>
        <w:rPr>
          <w:rFonts w:cs="Times New Roman"/>
          <w:lang w:val="en-US"/>
        </w:rPr>
      </w:pPr>
      <w:r>
        <w:rPr>
          <w:rFonts w:cs="Times New Roman"/>
          <w:lang w:val="en-US"/>
        </w:rPr>
        <w:t>The problems</w:t>
      </w:r>
      <w:r w:rsidR="00310E5E">
        <w:rPr>
          <w:rFonts w:cs="Times New Roman"/>
          <w:lang w:val="en-US"/>
        </w:rPr>
        <w:t xml:space="preserve"> mentioned with the usage of LIBOR rate for the FX futures valuation</w:t>
      </w:r>
      <w:r>
        <w:rPr>
          <w:rFonts w:cs="Times New Roman"/>
          <w:lang w:val="en-US"/>
        </w:rPr>
        <w:t xml:space="preserve"> are conceptually solved if another approach, called OIS discounting, is used for the valuation.</w:t>
      </w:r>
    </w:p>
    <w:p w14:paraId="6719F354" w14:textId="5E65C94B" w:rsidR="00A403D7" w:rsidRDefault="00A403D7" w:rsidP="008226B3">
      <w:pPr>
        <w:spacing w:after="0" w:line="360" w:lineRule="auto"/>
        <w:ind w:firstLine="709"/>
        <w:rPr>
          <w:rFonts w:cs="Times New Roman"/>
          <w:lang w:val="en-US"/>
        </w:rPr>
      </w:pPr>
      <w:r>
        <w:rPr>
          <w:rFonts w:cs="Times New Roman"/>
          <w:lang w:val="en-US"/>
        </w:rPr>
        <w:t xml:space="preserve">The core idea of OIS discounting is </w:t>
      </w:r>
      <w:r w:rsidRPr="00A403D7">
        <w:rPr>
          <w:rFonts w:cs="Times New Roman"/>
          <w:i/>
          <w:iCs/>
          <w:lang w:val="en-US"/>
        </w:rPr>
        <w:t>using the expected cumulative interest accrued through the le</w:t>
      </w:r>
      <w:r w:rsidR="00653677">
        <w:rPr>
          <w:rFonts w:cs="Times New Roman"/>
          <w:i/>
          <w:iCs/>
          <w:lang w:val="en-US"/>
        </w:rPr>
        <w:t>nd</w:t>
      </w:r>
      <w:r w:rsidRPr="00A403D7">
        <w:rPr>
          <w:rFonts w:cs="Times New Roman"/>
          <w:i/>
          <w:iCs/>
          <w:lang w:val="en-US"/>
        </w:rPr>
        <w:t>ing/borrowing during the life of the contract as the discount rate</w:t>
      </w:r>
      <w:r>
        <w:rPr>
          <w:rFonts w:cs="Times New Roman"/>
          <w:lang w:val="en-US"/>
        </w:rPr>
        <w:t xml:space="preserve"> for FX future valuation.</w:t>
      </w:r>
    </w:p>
    <w:p w14:paraId="72F4A1EF" w14:textId="77777777" w:rsidR="002C3D82" w:rsidRDefault="00A403D7" w:rsidP="002C3D82">
      <w:pPr>
        <w:spacing w:after="0" w:line="360" w:lineRule="auto"/>
        <w:ind w:firstLine="709"/>
        <w:rPr>
          <w:rFonts w:cs="Times New Roman"/>
          <w:lang w:val="en-US"/>
        </w:rPr>
      </w:pPr>
      <w:r>
        <w:rPr>
          <w:rFonts w:cs="Times New Roman"/>
          <w:lang w:val="en-US"/>
        </w:rPr>
        <w:t xml:space="preserve">OIS (Overnight Index Swap) is </w:t>
      </w:r>
    </w:p>
    <w:p w14:paraId="69C9E781" w14:textId="2DF53620" w:rsidR="002C3D82" w:rsidRPr="00653677" w:rsidRDefault="002C3D82" w:rsidP="002C3D82">
      <w:pPr>
        <w:spacing w:after="0" w:line="360" w:lineRule="auto"/>
        <w:ind w:firstLine="709"/>
        <w:rPr>
          <w:rFonts w:cs="Times New Roman"/>
          <w:lang w:val="en-US"/>
        </w:rPr>
      </w:pPr>
      <w:r w:rsidRPr="002C3D82">
        <w:rPr>
          <w:rFonts w:cs="Times New Roman"/>
          <w:i/>
          <w:iCs/>
          <w:lang w:val="en-US"/>
        </w:rPr>
        <w:t>interest rate swap in which a fixed rate of interest is exchanged for a floating rate that is the geometric mean of a daily overnight rate. The calculation of the payment on the floating side is designed to replicate the aggregate interest that would be earned from rolling over a sequence daily loans at the overnight rate</w:t>
      </w:r>
      <w:r w:rsidRPr="002C3D82">
        <w:rPr>
          <w:rFonts w:cs="Times New Roman"/>
          <w:lang w:val="en-US"/>
        </w:rPr>
        <w:t>.</w:t>
      </w:r>
      <w:r>
        <w:rPr>
          <w:rStyle w:val="FootnoteReference"/>
          <w:rFonts w:cs="Times New Roman"/>
          <w:lang w:val="en-US"/>
        </w:rPr>
        <w:footnoteReference w:id="20"/>
      </w:r>
    </w:p>
    <w:p w14:paraId="1D694029" w14:textId="1554A0B2" w:rsidR="00A403D7" w:rsidRDefault="00A403D7" w:rsidP="008226B3">
      <w:pPr>
        <w:spacing w:after="0" w:line="360" w:lineRule="auto"/>
        <w:ind w:firstLine="709"/>
        <w:rPr>
          <w:rFonts w:cs="Times New Roman"/>
          <w:lang w:val="en-US"/>
        </w:rPr>
      </w:pPr>
      <w:r>
        <w:rPr>
          <w:rFonts w:cs="Times New Roman"/>
          <w:lang w:val="en-US"/>
        </w:rPr>
        <w:t xml:space="preserve">If we assume that on average swap contract provides no return to both the seller, or market-maker, and buyer, than the fixed leg of the swap is equal to the cumulative </w:t>
      </w:r>
      <w:r w:rsidRPr="007E47E6">
        <w:rPr>
          <w:rFonts w:cs="Times New Roman"/>
          <w:i/>
          <w:iCs/>
          <w:lang w:val="en-US"/>
        </w:rPr>
        <w:t>expected value of overnight rate</w:t>
      </w:r>
      <w:r w:rsidR="007E47E6" w:rsidRPr="007E47E6">
        <w:rPr>
          <w:rFonts w:cs="Times New Roman"/>
          <w:i/>
          <w:iCs/>
          <w:lang w:val="en-US"/>
        </w:rPr>
        <w:t xml:space="preserve"> during the term of the contract</w:t>
      </w:r>
      <w:r w:rsidR="007E47E6">
        <w:rPr>
          <w:rFonts w:cs="Times New Roman"/>
          <w:lang w:val="en-US"/>
        </w:rPr>
        <w:t xml:space="preserve">. It could be concluded, that it makes economic sense to use OIS rates for the valuation of FX futures if traditional interbank loan is expected to be replaced by a set of overnight loans, which are rolled every trade day during the term of the contract and </w:t>
      </w:r>
      <w:r w:rsidR="007E47E6" w:rsidRPr="00D227F8">
        <w:rPr>
          <w:rFonts w:cs="Times New Roman"/>
          <w:i/>
          <w:iCs/>
          <w:lang w:val="en-US"/>
        </w:rPr>
        <w:t>where the amount of the loan is constant</w:t>
      </w:r>
      <w:r w:rsidR="007E47E6">
        <w:rPr>
          <w:rFonts w:cs="Times New Roman"/>
          <w:lang w:val="en-US"/>
        </w:rPr>
        <w:t>.</w:t>
      </w:r>
      <w:r w:rsidR="00653677">
        <w:rPr>
          <w:rFonts w:cs="Times New Roman"/>
          <w:lang w:val="en-US"/>
        </w:rPr>
        <w:t xml:space="preserve"> Additionally, the total incurred interest on this loan could be known in advance, if market participant choose to hedge his overnight rate exposure by purchasing OIS.</w:t>
      </w:r>
    </w:p>
    <w:p w14:paraId="1C33B80E" w14:textId="0480EBBA" w:rsidR="007E47E6" w:rsidRDefault="007E47E6" w:rsidP="008226B3">
      <w:pPr>
        <w:spacing w:after="0" w:line="360" w:lineRule="auto"/>
        <w:ind w:firstLine="709"/>
        <w:rPr>
          <w:rFonts w:cs="Times New Roman"/>
          <w:lang w:val="en-US"/>
        </w:rPr>
      </w:pPr>
      <w:r>
        <w:rPr>
          <w:rFonts w:cs="Times New Roman"/>
          <w:lang w:val="en-US"/>
        </w:rPr>
        <w:lastRenderedPageBreak/>
        <w:t>If we express OIS discounting as a methodological substitution for the traditional interbank rate discounting, the following equation should holds</w:t>
      </w:r>
      <w:r w:rsidR="006D45FB">
        <w:rPr>
          <w:rStyle w:val="FootnoteReference"/>
          <w:rFonts w:cs="Times New Roman"/>
          <w:lang w:val="en-US"/>
        </w:rPr>
        <w:footnoteReference w:id="21"/>
      </w:r>
      <w:r>
        <w:rPr>
          <w:rFonts w:cs="Times New Roman"/>
          <w:lang w:val="en-US"/>
        </w:rPr>
        <w:t>:</w:t>
      </w:r>
    </w:p>
    <w:p w14:paraId="71FAB896" w14:textId="135E0940" w:rsidR="007E47E6" w:rsidRDefault="00D01F34" w:rsidP="008226B3">
      <w:pPr>
        <w:spacing w:after="0" w:line="360" w:lineRule="auto"/>
        <w:ind w:firstLine="709"/>
        <w:jc w:val="center"/>
        <w:rPr>
          <w:rFonts w:eastAsiaTheme="minorEastAsia" w:cs="Times New Roman"/>
          <w:lang w:val="en-US"/>
        </w:rPr>
      </w:pPr>
      <m:oMath>
        <m:sSup>
          <m:sSupPr>
            <m:ctrlPr>
              <w:rPr>
                <w:rFonts w:ascii="Cambria Math" w:hAnsi="Cambria Math" w:cs="Times New Roman"/>
                <w:i/>
                <w:lang w:val="en-US"/>
              </w:rPr>
            </m:ctrlPr>
          </m:sSupPr>
          <m:e>
            <m:r>
              <w:rPr>
                <w:rFonts w:ascii="Cambria Math" w:hAnsi="Cambria Math" w:cs="Times New Roman"/>
                <w:lang w:val="en-US"/>
              </w:rPr>
              <m:t>((1+</m:t>
            </m:r>
            <m:f>
              <m:fPr>
                <m:ctrlPr>
                  <w:rPr>
                    <w:rFonts w:ascii="Cambria Math" w:hAnsi="Cambria Math" w:cs="Times New Roman"/>
                    <w:i/>
                    <w:lang w:val="en-US"/>
                  </w:rPr>
                </m:ctrlPr>
              </m:fPr>
              <m:num>
                <m:r>
                  <w:rPr>
                    <w:rFonts w:ascii="Cambria Math" w:hAnsi="Cambria Math" w:cs="Times New Roman"/>
                    <w:lang w:val="en-US"/>
                  </w:rPr>
                  <m:t>OIS</m:t>
                </m:r>
              </m:num>
              <m:den>
                <m:r>
                  <w:rPr>
                    <w:rFonts w:ascii="Cambria Math" w:hAnsi="Cambria Math" w:cs="Times New Roman"/>
                    <w:lang w:val="en-US"/>
                  </w:rPr>
                  <m:t>365</m:t>
                </m:r>
              </m:den>
            </m:f>
            <m:r>
              <w:rPr>
                <w:rFonts w:ascii="Cambria Math" w:hAnsi="Cambria Math" w:cs="Times New Roman"/>
                <w:lang w:val="en-US"/>
              </w:rPr>
              <m:t>)</m:t>
            </m:r>
          </m:e>
          <m:sup>
            <m:r>
              <w:rPr>
                <w:rFonts w:ascii="Cambria Math" w:hAnsi="Cambria Math" w:cs="Times New Roman"/>
                <w:lang w:val="en-US"/>
              </w:rPr>
              <m:t>bd</m:t>
            </m:r>
          </m:sup>
        </m:sSup>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OIS</m:t>
            </m:r>
          </m:num>
          <m:den>
            <m:r>
              <w:rPr>
                <w:rFonts w:ascii="Cambria Math" w:hAnsi="Cambria Math" w:cs="Times New Roman"/>
                <w:lang w:val="en-US"/>
              </w:rPr>
              <m:t>365</m:t>
            </m:r>
          </m:den>
        </m:f>
        <m:r>
          <w:rPr>
            <w:rFonts w:ascii="Cambria Math" w:hAnsi="Cambria Math" w:cs="Times New Roman"/>
            <w:lang w:val="en-US"/>
          </w:rPr>
          <m:t>*nbd)-1 +spread =IBOR*</m:t>
        </m:r>
        <m:f>
          <m:fPr>
            <m:ctrlPr>
              <w:rPr>
                <w:rFonts w:ascii="Cambria Math" w:hAnsi="Cambria Math" w:cs="Times New Roman"/>
                <w:i/>
                <w:lang w:val="en-US"/>
              </w:rPr>
            </m:ctrlPr>
          </m:fPr>
          <m:num>
            <m:r>
              <w:rPr>
                <w:rFonts w:ascii="Cambria Math" w:hAnsi="Cambria Math" w:cs="Times New Roman"/>
                <w:lang w:val="en-US"/>
              </w:rPr>
              <m:t>bd+nbd</m:t>
            </m:r>
          </m:num>
          <m:den>
            <m:r>
              <w:rPr>
                <w:rFonts w:ascii="Cambria Math" w:hAnsi="Cambria Math" w:cs="Times New Roman"/>
                <w:lang w:val="en-US"/>
              </w:rPr>
              <m:t>365</m:t>
            </m:r>
          </m:den>
        </m:f>
        <m:r>
          <w:rPr>
            <w:rFonts w:ascii="Cambria Math" w:hAnsi="Cambria Math" w:cs="Times New Roman"/>
            <w:lang w:val="en-US"/>
          </w:rPr>
          <m:t xml:space="preserve">, </m:t>
        </m:r>
      </m:oMath>
      <w:r w:rsidR="006D45FB">
        <w:rPr>
          <w:rFonts w:eastAsiaTheme="minorEastAsia" w:cs="Times New Roman"/>
          <w:lang w:val="en-US"/>
        </w:rPr>
        <w:t>where</w:t>
      </w:r>
    </w:p>
    <w:p w14:paraId="6B2A09A2" w14:textId="35485A66" w:rsidR="006D45FB" w:rsidRDefault="006D45FB" w:rsidP="008226B3">
      <w:pPr>
        <w:spacing w:after="0" w:line="360" w:lineRule="auto"/>
        <w:ind w:firstLine="709"/>
        <w:rPr>
          <w:rFonts w:eastAsiaTheme="minorEastAsia" w:cs="Times New Roman"/>
          <w:lang w:val="en-US"/>
        </w:rPr>
      </w:pPr>
      <m:oMath>
        <m:r>
          <w:rPr>
            <w:rFonts w:ascii="Cambria Math" w:hAnsi="Cambria Math" w:cs="Times New Roman"/>
            <w:lang w:val="en-US"/>
          </w:rPr>
          <m:t>OIS</m:t>
        </m:r>
      </m:oMath>
      <w:r>
        <w:rPr>
          <w:rFonts w:eastAsiaTheme="minorEastAsia" w:cs="Times New Roman"/>
          <w:lang w:val="en-US"/>
        </w:rPr>
        <w:t xml:space="preserve"> – fixed leg of OIS, expressed in percentages per annum,</w:t>
      </w:r>
    </w:p>
    <w:p w14:paraId="33C0BF8A" w14:textId="2DDE6D29" w:rsidR="006D45FB" w:rsidRDefault="006D45FB" w:rsidP="008226B3">
      <w:pPr>
        <w:spacing w:after="0" w:line="360" w:lineRule="auto"/>
        <w:ind w:firstLine="709"/>
        <w:rPr>
          <w:rFonts w:eastAsiaTheme="minorEastAsia" w:cs="Times New Roman"/>
          <w:lang w:val="en-US"/>
        </w:rPr>
      </w:pPr>
      <m:oMath>
        <m:r>
          <w:rPr>
            <w:rFonts w:ascii="Cambria Math" w:hAnsi="Cambria Math" w:cs="Times New Roman"/>
            <w:lang w:val="en-US"/>
          </w:rPr>
          <m:t>bd</m:t>
        </m:r>
      </m:oMath>
      <w:r>
        <w:rPr>
          <w:rFonts w:eastAsiaTheme="minorEastAsia" w:cs="Times New Roman"/>
          <w:lang w:val="en-US"/>
        </w:rPr>
        <w:t xml:space="preserve"> – number of bank days during the term of the contract, where cumulative interest is applied</w:t>
      </w:r>
    </w:p>
    <w:p w14:paraId="61B533D0" w14:textId="783FF11D" w:rsidR="006D45FB" w:rsidRDefault="006D45FB" w:rsidP="008226B3">
      <w:pPr>
        <w:spacing w:after="0" w:line="360" w:lineRule="auto"/>
        <w:ind w:firstLine="709"/>
        <w:rPr>
          <w:rFonts w:eastAsiaTheme="minorEastAsia" w:cs="Times New Roman"/>
          <w:lang w:val="en-US"/>
        </w:rPr>
      </w:pPr>
      <m:oMath>
        <m:r>
          <w:rPr>
            <w:rFonts w:ascii="Cambria Math" w:hAnsi="Cambria Math" w:cs="Times New Roman"/>
            <w:lang w:val="en-US"/>
          </w:rPr>
          <m:t>nbd</m:t>
        </m:r>
      </m:oMath>
      <w:r>
        <w:rPr>
          <w:rFonts w:eastAsiaTheme="minorEastAsia" w:cs="Times New Roman"/>
          <w:lang w:val="en-US"/>
        </w:rPr>
        <w:t xml:space="preserve"> – number of non-banking days</w:t>
      </w:r>
      <w:r w:rsidR="005B6872">
        <w:rPr>
          <w:rFonts w:eastAsiaTheme="minorEastAsia" w:cs="Times New Roman"/>
          <w:lang w:val="en-US"/>
        </w:rPr>
        <w:t xml:space="preserve"> during the term of the contract, where simple interest is applied</w:t>
      </w:r>
    </w:p>
    <w:p w14:paraId="4811D973" w14:textId="6331B815" w:rsidR="00653677" w:rsidRPr="00653677" w:rsidRDefault="00653677" w:rsidP="008226B3">
      <w:pPr>
        <w:spacing w:after="0" w:line="360" w:lineRule="auto"/>
        <w:ind w:firstLine="709"/>
        <w:rPr>
          <w:rFonts w:eastAsiaTheme="minorEastAsia" w:cs="Times New Roman"/>
          <w:lang w:val="en-US"/>
        </w:rPr>
      </w:pPr>
      <m:oMath>
        <m:r>
          <w:rPr>
            <w:rFonts w:ascii="Cambria Math" w:hAnsi="Cambria Math" w:cs="Times New Roman"/>
            <w:lang w:val="en-US"/>
          </w:rPr>
          <m:t>spread</m:t>
        </m:r>
      </m:oMath>
      <w:r>
        <w:rPr>
          <w:rFonts w:eastAsiaTheme="minorEastAsia" w:cs="Times New Roman"/>
          <w:lang w:val="en-US"/>
        </w:rPr>
        <w:t xml:space="preserve"> </w:t>
      </w:r>
      <w:r w:rsidR="002875DA">
        <w:rPr>
          <w:rFonts w:eastAsiaTheme="minorEastAsia" w:cs="Times New Roman"/>
          <w:lang w:val="en-US"/>
        </w:rPr>
        <w:t>–</w:t>
      </w:r>
      <w:r>
        <w:rPr>
          <w:rFonts w:eastAsiaTheme="minorEastAsia" w:cs="Times New Roman"/>
          <w:lang w:val="en-US"/>
        </w:rPr>
        <w:t xml:space="preserve"> </w:t>
      </w:r>
      <w:r w:rsidR="002875DA">
        <w:rPr>
          <w:rFonts w:eastAsiaTheme="minorEastAsia" w:cs="Times New Roman"/>
          <w:lang w:val="en-US"/>
        </w:rPr>
        <w:t>expected spread over OIS, which is expected to reflect term component of replaced IBOR rate, may be different for different replaced terms.</w:t>
      </w:r>
    </w:p>
    <w:p w14:paraId="272787A5" w14:textId="730DECBD" w:rsidR="005B6872" w:rsidRPr="00653677" w:rsidRDefault="00D01F34" w:rsidP="008226B3">
      <w:pPr>
        <w:spacing w:after="0" w:line="360" w:lineRule="auto"/>
        <w:ind w:firstLine="709"/>
        <w:rPr>
          <w:rFonts w:eastAsiaTheme="minorEastAsia" w:cs="Times New Roman"/>
          <w:lang w:val="en-US"/>
        </w:rPr>
      </w:pPr>
      <m:oMath>
        <m:f>
          <m:fPr>
            <m:ctrlPr>
              <w:rPr>
                <w:rFonts w:ascii="Cambria Math" w:hAnsi="Cambria Math" w:cs="Times New Roman"/>
                <w:i/>
                <w:lang w:val="en-US"/>
              </w:rPr>
            </m:ctrlPr>
          </m:fPr>
          <m:num>
            <m:r>
              <w:rPr>
                <w:rFonts w:ascii="Cambria Math" w:hAnsi="Cambria Math" w:cs="Times New Roman"/>
                <w:lang w:val="en-US"/>
              </w:rPr>
              <m:t>bd+nbd</m:t>
            </m:r>
          </m:num>
          <m:den>
            <m:r>
              <w:rPr>
                <w:rFonts w:ascii="Cambria Math" w:hAnsi="Cambria Math" w:cs="Times New Roman"/>
                <w:lang w:val="en-US"/>
              </w:rPr>
              <m:t>365</m:t>
            </m:r>
          </m:den>
        </m:f>
      </m:oMath>
      <w:r w:rsidR="005B6872">
        <w:rPr>
          <w:rFonts w:eastAsiaTheme="minorEastAsia" w:cs="Times New Roman"/>
          <w:lang w:val="en-US"/>
        </w:rPr>
        <w:t xml:space="preserve"> –</w:t>
      </w:r>
      <w:r w:rsidR="00653677">
        <w:rPr>
          <w:rFonts w:eastAsiaTheme="minorEastAsia" w:cs="Times New Roman"/>
          <w:lang w:val="en-US"/>
        </w:rPr>
        <w:t xml:space="preserve"> substitution for</w:t>
      </w:r>
      <w:r w:rsidR="005B6872">
        <w:rPr>
          <w:rFonts w:eastAsiaTheme="minorEastAsia" w:cs="Times New Roman"/>
          <w:lang w:val="en-US"/>
        </w:rPr>
        <w:t xml:space="preserve"> </w:t>
      </w:r>
      <w:r w:rsidR="00653677" w:rsidRPr="00653677">
        <w:rPr>
          <w:rFonts w:eastAsiaTheme="minorEastAsia" w:cs="Times New Roman"/>
          <w:lang w:val="en-US"/>
        </w:rPr>
        <w:t>«</w:t>
      </w:r>
      <w:r w:rsidR="005B6872">
        <w:rPr>
          <w:rFonts w:eastAsiaTheme="minorEastAsia" w:cs="Times New Roman"/>
          <w:lang w:val="en-US"/>
        </w:rPr>
        <w:t>act/365</w:t>
      </w:r>
      <w:r w:rsidR="00653677" w:rsidRPr="00653677">
        <w:rPr>
          <w:rFonts w:eastAsiaTheme="minorEastAsia" w:cs="Times New Roman"/>
          <w:lang w:val="en-US"/>
        </w:rPr>
        <w:t>»</w:t>
      </w:r>
      <w:r w:rsidR="00653677">
        <w:rPr>
          <w:rFonts w:eastAsiaTheme="minorEastAsia" w:cs="Times New Roman"/>
          <w:lang w:val="en-US"/>
        </w:rPr>
        <w:t>, where actual number of days is expressed as the sum of bank and non-bank days</w:t>
      </w:r>
    </w:p>
    <w:p w14:paraId="7EFAD9C8" w14:textId="0971631C" w:rsidR="007E47E6" w:rsidRDefault="005B6872" w:rsidP="008226B3">
      <w:pPr>
        <w:spacing w:after="0" w:line="360" w:lineRule="auto"/>
        <w:ind w:firstLine="709"/>
        <w:rPr>
          <w:rFonts w:cs="Times New Roman"/>
          <w:lang w:val="en-US"/>
        </w:rPr>
      </w:pPr>
      <w:r>
        <w:rPr>
          <w:rFonts w:cs="Times New Roman"/>
          <w:lang w:val="en-US"/>
        </w:rPr>
        <w:t>In reality, several things could lead to the deviation of the mentioned equation</w:t>
      </w:r>
      <w:r w:rsidR="004F5DD5">
        <w:rPr>
          <w:rFonts w:cs="Times New Roman"/>
          <w:lang w:val="en-US"/>
        </w:rPr>
        <w:t>:</w:t>
      </w:r>
    </w:p>
    <w:p w14:paraId="5DF3DEAB" w14:textId="2AC60E74" w:rsidR="004F5DD5" w:rsidRDefault="004F5DD5" w:rsidP="008226B3">
      <w:pPr>
        <w:spacing w:after="0" w:line="360" w:lineRule="auto"/>
        <w:ind w:firstLine="709"/>
        <w:rPr>
          <w:rFonts w:cs="Times New Roman"/>
          <w:lang w:val="en-US"/>
        </w:rPr>
      </w:pPr>
      <w:r w:rsidRPr="00D227F8">
        <w:rPr>
          <w:rFonts w:cs="Times New Roman"/>
          <w:i/>
          <w:iCs/>
          <w:lang w:val="en-US"/>
        </w:rPr>
        <w:t>First</w:t>
      </w:r>
      <w:r>
        <w:rPr>
          <w:rFonts w:cs="Times New Roman"/>
          <w:lang w:val="en-US"/>
        </w:rPr>
        <w:t>, IBOR rate, as a term rate, has expectation component: if market participants expect interest rates to rise during the life of the loan, than long term rates should reflect this expectations</w:t>
      </w:r>
    </w:p>
    <w:p w14:paraId="09906248" w14:textId="23C608B9" w:rsidR="004F5DD5" w:rsidRDefault="004F5DD5" w:rsidP="008226B3">
      <w:pPr>
        <w:spacing w:after="0" w:line="360" w:lineRule="auto"/>
        <w:ind w:firstLine="709"/>
        <w:rPr>
          <w:rFonts w:cs="Times New Roman"/>
          <w:lang w:val="en-US"/>
        </w:rPr>
      </w:pPr>
      <w:r w:rsidRPr="00D227F8">
        <w:rPr>
          <w:rFonts w:cs="Times New Roman"/>
          <w:i/>
          <w:iCs/>
          <w:lang w:val="en-US"/>
        </w:rPr>
        <w:t>Second</w:t>
      </w:r>
      <w:r>
        <w:rPr>
          <w:rFonts w:cs="Times New Roman"/>
          <w:lang w:val="en-US"/>
        </w:rPr>
        <w:t>, OIS rate may be derived from actual transactions, where supply and demand both influence the price, while IBOR is</w:t>
      </w:r>
      <w:r w:rsidR="00D227F8">
        <w:rPr>
          <w:rFonts w:cs="Times New Roman"/>
          <w:lang w:val="en-US"/>
        </w:rPr>
        <w:t xml:space="preserve"> (in general)</w:t>
      </w:r>
      <w:r>
        <w:rPr>
          <w:rFonts w:cs="Times New Roman"/>
          <w:lang w:val="en-US"/>
        </w:rPr>
        <w:t xml:space="preserve"> quoted from demand side only</w:t>
      </w:r>
      <w:r w:rsidR="00D227F8">
        <w:rPr>
          <w:rFonts w:cs="Times New Roman"/>
          <w:lang w:val="en-US"/>
        </w:rPr>
        <w:t>;</w:t>
      </w:r>
    </w:p>
    <w:p w14:paraId="316EA2CB" w14:textId="62773E94" w:rsidR="004F5DD5" w:rsidRDefault="004F5DD5" w:rsidP="008226B3">
      <w:pPr>
        <w:spacing w:after="0" w:line="360" w:lineRule="auto"/>
        <w:ind w:firstLine="709"/>
        <w:rPr>
          <w:rFonts w:cs="Times New Roman"/>
          <w:lang w:val="en-US"/>
        </w:rPr>
      </w:pPr>
      <w:r w:rsidRPr="00D227F8">
        <w:rPr>
          <w:rFonts w:cs="Times New Roman"/>
          <w:i/>
          <w:iCs/>
          <w:lang w:val="en-US"/>
        </w:rPr>
        <w:t>Third</w:t>
      </w:r>
      <w:r>
        <w:rPr>
          <w:rFonts w:cs="Times New Roman"/>
          <w:lang w:val="en-US"/>
        </w:rPr>
        <w:t>,  overnight rate in many currency zones (e.g., Switzerland) is based on secured lending, while LIBOR is by definition unsecured lending rate;</w:t>
      </w:r>
    </w:p>
    <w:p w14:paraId="13A8A270" w14:textId="0E235A29" w:rsidR="004F5DD5" w:rsidRDefault="004F5DD5" w:rsidP="008226B3">
      <w:pPr>
        <w:spacing w:after="0" w:line="360" w:lineRule="auto"/>
        <w:ind w:firstLine="709"/>
        <w:rPr>
          <w:rFonts w:cs="Times New Roman"/>
          <w:lang w:val="en-US"/>
        </w:rPr>
      </w:pPr>
      <w:r>
        <w:rPr>
          <w:rFonts w:cs="Times New Roman"/>
          <w:lang w:val="en-US"/>
        </w:rPr>
        <w:t xml:space="preserve">Another conceptual aspect worthful to mention is that FX future contracts are short-term: </w:t>
      </w:r>
      <w:r w:rsidR="00B706E6">
        <w:rPr>
          <w:rFonts w:cs="Times New Roman"/>
          <w:lang w:val="en-US"/>
        </w:rPr>
        <w:t>among the most liquid contracts in CME, none in our sample</w:t>
      </w:r>
      <w:r>
        <w:rPr>
          <w:rFonts w:cs="Times New Roman"/>
          <w:lang w:val="en-US"/>
        </w:rPr>
        <w:t xml:space="preserve"> have </w:t>
      </w:r>
      <w:r w:rsidR="00F52998">
        <w:rPr>
          <w:rFonts w:cs="Times New Roman"/>
          <w:lang w:val="en-US"/>
        </w:rPr>
        <w:t xml:space="preserve">the life longer then </w:t>
      </w:r>
      <w:r w:rsidR="00B706E6">
        <w:rPr>
          <w:rFonts w:cs="Times New Roman"/>
          <w:lang w:val="en-US"/>
        </w:rPr>
        <w:t>180 days. It is not long enough for the OIS discounting rate, calculated with cumulative interest</w:t>
      </w:r>
      <w:r w:rsidR="00B706E6">
        <w:rPr>
          <w:rStyle w:val="FootnoteReference"/>
          <w:rFonts w:cs="Times New Roman"/>
          <w:lang w:val="en-US"/>
        </w:rPr>
        <w:footnoteReference w:id="22"/>
      </w:r>
      <w:r w:rsidR="00B706E6">
        <w:rPr>
          <w:rFonts w:cs="Times New Roman"/>
          <w:lang w:val="en-US"/>
        </w:rPr>
        <w:t xml:space="preserve"> to become significantly higher than the </w:t>
      </w:r>
      <m:oMath>
        <m:r>
          <w:rPr>
            <w:rFonts w:ascii="Cambria Math" w:hAnsi="Cambria Math" w:cs="Times New Roman"/>
            <w:lang w:val="en-US"/>
          </w:rPr>
          <m:t>OIS*act/365</m:t>
        </m:r>
      </m:oMath>
      <w:r w:rsidR="0096056A">
        <w:rPr>
          <w:rFonts w:cs="Times New Roman"/>
          <w:lang w:val="en-US"/>
        </w:rPr>
        <w:t xml:space="preserve">, or </w:t>
      </w:r>
      <w:r w:rsidR="0096056A" w:rsidRPr="0096056A">
        <w:rPr>
          <w:rFonts w:cs="Times New Roman"/>
          <w:lang w:val="en-US"/>
        </w:rPr>
        <w:t>«</w:t>
      </w:r>
      <w:r w:rsidR="0096056A">
        <w:rPr>
          <w:rFonts w:cs="Times New Roman"/>
          <w:lang w:val="en-US"/>
        </w:rPr>
        <w:t>simple discounting</w:t>
      </w:r>
      <w:r w:rsidR="0096056A" w:rsidRPr="0096056A">
        <w:rPr>
          <w:rFonts w:cs="Times New Roman"/>
          <w:lang w:val="en-US"/>
        </w:rPr>
        <w:t>».</w:t>
      </w:r>
      <w:r w:rsidR="007D4860">
        <w:rPr>
          <w:rFonts w:cs="Times New Roman"/>
          <w:lang w:val="en-US"/>
        </w:rPr>
        <w:t xml:space="preserve"> We will show the difference in calculations for </w:t>
      </w:r>
      <w:r w:rsidR="005D3637">
        <w:rPr>
          <w:rFonts w:cs="Times New Roman"/>
          <w:lang w:val="en-US"/>
        </w:rPr>
        <w:t>RUB</w:t>
      </w:r>
      <w:r w:rsidR="007D4860">
        <w:rPr>
          <w:rFonts w:cs="Times New Roman"/>
          <w:lang w:val="en-US"/>
        </w:rPr>
        <w:t>/</w:t>
      </w:r>
      <w:r w:rsidR="005D3637">
        <w:rPr>
          <w:rFonts w:cs="Times New Roman"/>
          <w:lang w:val="en-US"/>
        </w:rPr>
        <w:t>USD</w:t>
      </w:r>
      <w:r w:rsidR="007D4860">
        <w:rPr>
          <w:rFonts w:cs="Times New Roman"/>
          <w:lang w:val="en-US"/>
        </w:rPr>
        <w:t xml:space="preserve"> FX future</w:t>
      </w:r>
      <w:r w:rsidR="002875DA">
        <w:rPr>
          <w:rFonts w:cs="Times New Roman"/>
          <w:lang w:val="en-US"/>
        </w:rPr>
        <w:t>.</w:t>
      </w:r>
    </w:p>
    <w:p w14:paraId="7D468546" w14:textId="1573B8FB" w:rsidR="00566F83" w:rsidRDefault="00566F83" w:rsidP="008226B3">
      <w:pPr>
        <w:spacing w:after="0" w:line="360" w:lineRule="auto"/>
        <w:ind w:firstLine="709"/>
        <w:rPr>
          <w:rFonts w:cs="Times New Roman"/>
          <w:lang w:val="en-US"/>
        </w:rPr>
      </w:pPr>
    </w:p>
    <w:p w14:paraId="138C340D" w14:textId="04B5996A" w:rsidR="00566F83" w:rsidRDefault="00566F83" w:rsidP="008226B3">
      <w:pPr>
        <w:spacing w:after="0" w:line="360" w:lineRule="auto"/>
        <w:ind w:firstLine="709"/>
        <w:rPr>
          <w:rFonts w:cs="Times New Roman"/>
          <w:lang w:val="en-US"/>
        </w:rPr>
      </w:pPr>
    </w:p>
    <w:p w14:paraId="45CB1DF2" w14:textId="1C48ADB9" w:rsidR="00566F83" w:rsidRDefault="00566F83" w:rsidP="008226B3">
      <w:pPr>
        <w:spacing w:after="0" w:line="360" w:lineRule="auto"/>
        <w:ind w:firstLine="709"/>
        <w:rPr>
          <w:rFonts w:cs="Times New Roman"/>
          <w:lang w:val="en-US"/>
        </w:rPr>
      </w:pPr>
    </w:p>
    <w:p w14:paraId="2B3D5FC2" w14:textId="6C8F6F3D" w:rsidR="00566F83" w:rsidRDefault="00566F83" w:rsidP="008226B3">
      <w:pPr>
        <w:spacing w:after="0" w:line="360" w:lineRule="auto"/>
        <w:ind w:firstLine="709"/>
        <w:rPr>
          <w:rFonts w:cs="Times New Roman"/>
          <w:lang w:val="en-US"/>
        </w:rPr>
      </w:pPr>
    </w:p>
    <w:p w14:paraId="55AB683A" w14:textId="2BCA56A8" w:rsidR="00566F83" w:rsidRDefault="00566F83" w:rsidP="008226B3">
      <w:pPr>
        <w:spacing w:after="0" w:line="360" w:lineRule="auto"/>
        <w:ind w:firstLine="709"/>
        <w:rPr>
          <w:rFonts w:cs="Times New Roman"/>
          <w:lang w:val="en-US"/>
        </w:rPr>
      </w:pPr>
    </w:p>
    <w:p w14:paraId="0C6B3FDB" w14:textId="097D595A" w:rsidR="00566F83" w:rsidRDefault="00566F83" w:rsidP="008226B3">
      <w:pPr>
        <w:spacing w:after="0" w:line="360" w:lineRule="auto"/>
        <w:ind w:firstLine="709"/>
        <w:rPr>
          <w:rFonts w:cs="Times New Roman"/>
          <w:lang w:val="en-US"/>
        </w:rPr>
      </w:pPr>
    </w:p>
    <w:p w14:paraId="28D98C4A" w14:textId="3CE7CE5F" w:rsidR="00566F83" w:rsidRDefault="00566F83" w:rsidP="008226B3">
      <w:pPr>
        <w:spacing w:after="0" w:line="360" w:lineRule="auto"/>
        <w:ind w:firstLine="709"/>
        <w:rPr>
          <w:rFonts w:cs="Times New Roman"/>
          <w:lang w:val="en-US"/>
        </w:rPr>
      </w:pPr>
    </w:p>
    <w:p w14:paraId="670B0FDA" w14:textId="6CB16E50" w:rsidR="00D227F8" w:rsidRPr="008E2721" w:rsidRDefault="008E2721" w:rsidP="00261BFC">
      <w:pPr>
        <w:pStyle w:val="a0"/>
      </w:pPr>
      <w:r w:rsidRPr="008E2721">
        <w:lastRenderedPageBreak/>
        <w:t xml:space="preserve">Figure </w:t>
      </w:r>
      <w:r>
        <w:fldChar w:fldCharType="begin"/>
      </w:r>
      <w:r w:rsidRPr="008E2721">
        <w:instrText xml:space="preserve"> SEQ Figure \* ARABIC </w:instrText>
      </w:r>
      <w:r>
        <w:fldChar w:fldCharType="separate"/>
      </w:r>
      <w:r w:rsidR="004D16C9">
        <w:rPr>
          <w:noProof/>
        </w:rPr>
        <w:t>3</w:t>
      </w:r>
      <w:r>
        <w:fldChar w:fldCharType="end"/>
      </w:r>
      <w:r>
        <w:t>. Difference between</w:t>
      </w:r>
      <w:r w:rsidR="00261BFC">
        <w:t xml:space="preserve"> theoretical price of </w:t>
      </w:r>
      <w:r w:rsidR="005D3637">
        <w:t>RUB</w:t>
      </w:r>
      <w:r w:rsidR="00261BFC">
        <w:t>/</w:t>
      </w:r>
      <w:r w:rsidR="005D3637">
        <w:t>USD</w:t>
      </w:r>
      <w:r w:rsidR="00261BFC">
        <w:t xml:space="preserve"> FX future calculated with </w:t>
      </w:r>
      <w:r>
        <w:t xml:space="preserve"> simple discounting and OIS discounting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40F48" w14:paraId="379B54D1" w14:textId="77777777" w:rsidTr="00B2028B">
        <w:tc>
          <w:tcPr>
            <w:tcW w:w="9345" w:type="dxa"/>
            <w:tcBorders>
              <w:bottom w:val="single" w:sz="4" w:space="0" w:color="auto"/>
            </w:tcBorders>
          </w:tcPr>
          <w:p w14:paraId="2C3991CE" w14:textId="737D4028" w:rsidR="00A40F48" w:rsidRDefault="00310E5E" w:rsidP="008226B3">
            <w:pPr>
              <w:spacing w:line="360" w:lineRule="auto"/>
              <w:ind w:firstLine="709"/>
              <w:jc w:val="center"/>
              <w:rPr>
                <w:rFonts w:cs="Times New Roman"/>
                <w:lang w:val="en-US"/>
              </w:rPr>
            </w:pPr>
            <w:r>
              <w:rPr>
                <w:rFonts w:cs="Times New Roman"/>
                <w:noProof/>
                <w:lang w:val="en-US"/>
              </w:rPr>
              <w:drawing>
                <wp:inline distT="0" distB="0" distL="0" distR="0" wp14:anchorId="5EF816BF" wp14:editId="2F6290DE">
                  <wp:extent cx="4724400" cy="283036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6618" cy="2831698"/>
                          </a:xfrm>
                          <a:prstGeom prst="rect">
                            <a:avLst/>
                          </a:prstGeom>
                          <a:noFill/>
                        </pic:spPr>
                      </pic:pic>
                    </a:graphicData>
                  </a:graphic>
                </wp:inline>
              </w:drawing>
            </w:r>
          </w:p>
        </w:tc>
      </w:tr>
      <w:tr w:rsidR="00B2028B" w14:paraId="0FB1F21A" w14:textId="77777777" w:rsidTr="00B2028B">
        <w:tc>
          <w:tcPr>
            <w:tcW w:w="9345" w:type="dxa"/>
            <w:tcBorders>
              <w:top w:val="single" w:sz="4" w:space="0" w:color="auto"/>
              <w:bottom w:val="nil"/>
            </w:tcBorders>
          </w:tcPr>
          <w:p w14:paraId="38898B4E" w14:textId="1A0B7519" w:rsidR="00B2028B" w:rsidRPr="00B2028B" w:rsidRDefault="00B2028B" w:rsidP="008226B3">
            <w:pPr>
              <w:spacing w:line="360" w:lineRule="auto"/>
              <w:ind w:firstLine="709"/>
              <w:jc w:val="center"/>
              <w:rPr>
                <w:rFonts w:cs="Times New Roman"/>
                <w:i/>
                <w:iCs/>
                <w:noProof/>
                <w:sz w:val="20"/>
                <w:szCs w:val="20"/>
                <w:lang w:val="en-US"/>
              </w:rPr>
            </w:pPr>
            <w:r w:rsidRPr="00B2028B">
              <w:rPr>
                <w:rFonts w:cs="Times New Roman"/>
                <w:i/>
                <w:iCs/>
                <w:noProof/>
                <w:sz w:val="20"/>
                <w:szCs w:val="20"/>
                <w:lang w:val="en-US"/>
              </w:rPr>
              <w:t>Source: Author’s calculations</w:t>
            </w:r>
          </w:p>
        </w:tc>
      </w:tr>
    </w:tbl>
    <w:p w14:paraId="6C215F46" w14:textId="78D10940" w:rsidR="007D4860" w:rsidRDefault="00310E5E" w:rsidP="008226B3">
      <w:pPr>
        <w:spacing w:after="0" w:line="360" w:lineRule="auto"/>
        <w:ind w:firstLine="709"/>
        <w:rPr>
          <w:rFonts w:cs="Times New Roman"/>
          <w:lang w:val="en-US"/>
        </w:rPr>
      </w:pPr>
      <w:r>
        <w:rPr>
          <w:rFonts w:cs="Times New Roman"/>
          <w:lang w:val="en-US"/>
        </w:rPr>
        <w:t>Generally, we could state, that even if Russian Ruble overnight rate (higher than 4% p.a.</w:t>
      </w:r>
      <w:r w:rsidR="002875DA">
        <w:rPr>
          <w:rFonts w:cs="Times New Roman"/>
          <w:lang w:val="en-US"/>
        </w:rPr>
        <w:t xml:space="preserve"> at the time of calculation</w:t>
      </w:r>
      <w:r>
        <w:rPr>
          <w:rFonts w:cs="Times New Roman"/>
          <w:lang w:val="en-US"/>
        </w:rPr>
        <w:t>) is higher than any other overnight rate in the chosen currency zones, the difference between OIS discounting and simple discounting is sufficiently small and could be ignored for the FX futures valuation purposes.</w:t>
      </w:r>
    </w:p>
    <w:p w14:paraId="66A60A16" w14:textId="2E8889AD" w:rsidR="00B706E6" w:rsidRDefault="00310E5E" w:rsidP="008226B3">
      <w:pPr>
        <w:spacing w:after="0" w:line="360" w:lineRule="auto"/>
        <w:ind w:firstLine="709"/>
        <w:rPr>
          <w:rFonts w:cs="Times New Roman"/>
          <w:lang w:val="en-US"/>
        </w:rPr>
      </w:pPr>
      <w:r>
        <w:rPr>
          <w:rFonts w:cs="Times New Roman"/>
          <w:lang w:val="en-US"/>
        </w:rPr>
        <w:t>Later we</w:t>
      </w:r>
      <w:r w:rsidR="004B4CB5">
        <w:rPr>
          <w:rFonts w:cs="Times New Roman"/>
          <w:lang w:val="en-US"/>
        </w:rPr>
        <w:t xml:space="preserve"> see that for USD, GBP, JPY and CHF, observed FX futures prices are closer to their theoretical values computed using LIBOR rates than to the their theoretical values computed using OIS rates.</w:t>
      </w:r>
    </w:p>
    <w:p w14:paraId="70060967" w14:textId="23EAC06C" w:rsidR="00B12378" w:rsidRPr="00B7634C" w:rsidRDefault="00467D70" w:rsidP="008226B3">
      <w:pPr>
        <w:pStyle w:val="Heading2"/>
        <w:spacing w:line="360" w:lineRule="auto"/>
        <w:ind w:firstLine="709"/>
        <w:rPr>
          <w:lang w:val="en-US"/>
        </w:rPr>
      </w:pPr>
      <w:bookmarkStart w:id="9" w:name="_Toc73483047"/>
      <w:r>
        <w:rPr>
          <w:lang w:val="en-US"/>
        </w:rPr>
        <w:t xml:space="preserve">1.2.5 </w:t>
      </w:r>
      <w:r w:rsidR="00B7634C" w:rsidRPr="00B7634C">
        <w:rPr>
          <w:lang w:val="en-US"/>
        </w:rPr>
        <w:t>FX futures and FX forwards</w:t>
      </w:r>
      <w:bookmarkEnd w:id="9"/>
    </w:p>
    <w:p w14:paraId="62E3943D" w14:textId="0A4B83DB" w:rsidR="00566F83" w:rsidRDefault="00574023" w:rsidP="008226B3">
      <w:pPr>
        <w:spacing w:after="0" w:line="360" w:lineRule="auto"/>
        <w:ind w:firstLine="709"/>
        <w:rPr>
          <w:rFonts w:cs="Times New Roman"/>
          <w:iCs/>
          <w:lang w:val="en-US"/>
        </w:rPr>
      </w:pPr>
      <w:r>
        <w:rPr>
          <w:rFonts w:cs="Times New Roman"/>
          <w:iCs/>
          <w:lang w:val="en-US"/>
        </w:rPr>
        <w:t>Another meaningful aspect of FX future is it’s relation with FX forwards</w:t>
      </w:r>
      <w:r w:rsidR="00AA47F5">
        <w:rPr>
          <w:rFonts w:cs="Times New Roman"/>
          <w:iCs/>
          <w:lang w:val="en-US"/>
        </w:rPr>
        <w:t>. FX forwards</w:t>
      </w:r>
      <w:r>
        <w:rPr>
          <w:rFonts w:cs="Times New Roman"/>
          <w:iCs/>
          <w:lang w:val="en-US"/>
        </w:rPr>
        <w:t xml:space="preserve"> provide market participants the same possibility to acquire asset in the future at a pre-determined FX rate, but traded in OTC market rather than in exchange. The key events during the lifetime of a contract are summarized in the table below:</w:t>
      </w:r>
    </w:p>
    <w:p w14:paraId="0E0E1212" w14:textId="77777777" w:rsidR="00566F83" w:rsidRDefault="00566F83">
      <w:pPr>
        <w:jc w:val="left"/>
        <w:rPr>
          <w:rFonts w:cs="Times New Roman"/>
          <w:iCs/>
          <w:lang w:val="en-US"/>
        </w:rPr>
      </w:pPr>
      <w:r>
        <w:rPr>
          <w:rFonts w:cs="Times New Roman"/>
          <w:iCs/>
          <w:lang w:val="en-US"/>
        </w:rPr>
        <w:br w:type="page"/>
      </w:r>
    </w:p>
    <w:p w14:paraId="20CFA6E7" w14:textId="51CD761A" w:rsidR="003407F2" w:rsidRPr="003407F2" w:rsidRDefault="003407F2" w:rsidP="003407F2">
      <w:pPr>
        <w:pStyle w:val="a0"/>
      </w:pPr>
      <w:r w:rsidRPr="003407F2">
        <w:lastRenderedPageBreak/>
        <w:t xml:space="preserve">Table </w:t>
      </w:r>
      <w:r>
        <w:fldChar w:fldCharType="begin"/>
      </w:r>
      <w:r w:rsidRPr="003407F2">
        <w:instrText xml:space="preserve"> SEQ Table \* ARABIC </w:instrText>
      </w:r>
      <w:r>
        <w:fldChar w:fldCharType="separate"/>
      </w:r>
      <w:r w:rsidR="004D16C9">
        <w:rPr>
          <w:noProof/>
        </w:rPr>
        <w:t>2</w:t>
      </w:r>
      <w:r>
        <w:fldChar w:fldCharType="end"/>
      </w:r>
      <w:r>
        <w:t>. Key events during the lifetime of FX future and FX forward held to expriration</w:t>
      </w:r>
    </w:p>
    <w:tbl>
      <w:tblPr>
        <w:tblStyle w:val="TableGrid"/>
        <w:tblW w:w="9356" w:type="dxa"/>
        <w:tblBorders>
          <w:left w:val="none" w:sz="0" w:space="0" w:color="auto"/>
          <w:right w:val="none" w:sz="0" w:space="0" w:color="auto"/>
        </w:tblBorders>
        <w:tblLook w:val="04A0" w:firstRow="1" w:lastRow="0" w:firstColumn="1" w:lastColumn="0" w:noHBand="0" w:noVBand="1"/>
      </w:tblPr>
      <w:tblGrid>
        <w:gridCol w:w="1027"/>
        <w:gridCol w:w="1916"/>
        <w:gridCol w:w="1135"/>
        <w:gridCol w:w="16"/>
        <w:gridCol w:w="2456"/>
        <w:gridCol w:w="1677"/>
        <w:gridCol w:w="1129"/>
      </w:tblGrid>
      <w:tr w:rsidR="00313487" w:rsidRPr="00223861" w14:paraId="0EA9DA65" w14:textId="7D2A8AEB" w:rsidTr="0005699F">
        <w:tc>
          <w:tcPr>
            <w:tcW w:w="1027" w:type="dxa"/>
            <w:vMerge w:val="restart"/>
            <w:vAlign w:val="center"/>
          </w:tcPr>
          <w:p w14:paraId="57DA0DC7" w14:textId="20AF9397" w:rsidR="00313487" w:rsidRPr="00223861" w:rsidRDefault="00313487" w:rsidP="008E4E51">
            <w:pPr>
              <w:spacing w:line="360" w:lineRule="auto"/>
              <w:jc w:val="center"/>
              <w:rPr>
                <w:rFonts w:cs="Times New Roman"/>
                <w:b/>
                <w:bCs/>
                <w:sz w:val="20"/>
                <w:szCs w:val="20"/>
                <w:lang w:val="en-US"/>
              </w:rPr>
            </w:pPr>
            <w:r w:rsidRPr="00223861">
              <w:rPr>
                <w:rFonts w:cs="Times New Roman"/>
                <w:b/>
                <w:bCs/>
                <w:sz w:val="20"/>
                <w:szCs w:val="20"/>
                <w:lang w:val="en-US"/>
              </w:rPr>
              <w:t>Stage</w:t>
            </w:r>
          </w:p>
        </w:tc>
        <w:tc>
          <w:tcPr>
            <w:tcW w:w="1834" w:type="dxa"/>
            <w:vMerge w:val="restart"/>
            <w:vAlign w:val="center"/>
          </w:tcPr>
          <w:p w14:paraId="634F6116" w14:textId="6BC4A1DE" w:rsidR="00313487" w:rsidRPr="00223861" w:rsidRDefault="00574023" w:rsidP="008E4E51">
            <w:pPr>
              <w:spacing w:line="360" w:lineRule="auto"/>
              <w:ind w:left="-104" w:right="-172"/>
              <w:jc w:val="center"/>
              <w:rPr>
                <w:rFonts w:cs="Times New Roman"/>
                <w:b/>
                <w:bCs/>
                <w:sz w:val="20"/>
                <w:szCs w:val="20"/>
                <w:lang w:val="en-US"/>
              </w:rPr>
            </w:pPr>
            <w:r w:rsidRPr="00223861">
              <w:rPr>
                <w:rFonts w:cs="Times New Roman"/>
                <w:b/>
                <w:bCs/>
                <w:sz w:val="20"/>
                <w:szCs w:val="20"/>
                <w:lang w:val="en-US"/>
              </w:rPr>
              <w:t>FX rate</w:t>
            </w:r>
            <w:r w:rsidR="00313487" w:rsidRPr="00223861">
              <w:rPr>
                <w:rFonts w:cs="Times New Roman"/>
                <w:b/>
                <w:bCs/>
                <w:sz w:val="20"/>
                <w:szCs w:val="20"/>
                <w:lang w:val="en-US"/>
              </w:rPr>
              <w:t>/ base rate/ quote rate</w:t>
            </w:r>
            <w:r w:rsidR="008E4E51" w:rsidRPr="00223861">
              <w:rPr>
                <w:rFonts w:cs="Times New Roman"/>
                <w:b/>
                <w:bCs/>
                <w:sz w:val="20"/>
                <w:szCs w:val="20"/>
                <w:lang w:val="en-US"/>
              </w:rPr>
              <w:t xml:space="preserve"> </w:t>
            </w:r>
            <w:r w:rsidR="00313487" w:rsidRPr="00223861">
              <w:rPr>
                <w:rFonts w:cs="Times New Roman"/>
                <w:b/>
                <w:bCs/>
                <w:sz w:val="20"/>
                <w:szCs w:val="20"/>
                <w:lang w:val="en-US"/>
              </w:rPr>
              <w:t xml:space="preserve">/ t </w:t>
            </w:r>
            <w:r w:rsidR="003407F2" w:rsidRPr="00223861">
              <w:rPr>
                <w:rFonts w:cs="Times New Roman"/>
                <w:b/>
                <w:bCs/>
                <w:sz w:val="20"/>
                <w:szCs w:val="20"/>
                <w:lang w:val="en-US"/>
              </w:rPr>
              <w:t>(</w:t>
            </w:r>
            <w:r w:rsidR="00313487" w:rsidRPr="00223861">
              <w:rPr>
                <w:rFonts w:cs="Times New Roman"/>
                <w:b/>
                <w:bCs/>
                <w:sz w:val="20"/>
                <w:szCs w:val="20"/>
                <w:lang w:val="en-US"/>
              </w:rPr>
              <w:t>in years</w:t>
            </w:r>
            <w:r w:rsidR="003407F2" w:rsidRPr="00223861">
              <w:rPr>
                <w:rFonts w:cs="Times New Roman"/>
                <w:b/>
                <w:bCs/>
                <w:sz w:val="20"/>
                <w:szCs w:val="20"/>
                <w:lang w:val="en-US"/>
              </w:rPr>
              <w:t>)</w:t>
            </w:r>
            <w:r w:rsidR="003407F2" w:rsidRPr="00223861">
              <w:rPr>
                <w:rStyle w:val="FootnoteReference"/>
                <w:rFonts w:cs="Times New Roman"/>
                <w:b/>
                <w:bCs/>
                <w:sz w:val="20"/>
                <w:szCs w:val="20"/>
                <w:lang w:val="en-US"/>
              </w:rPr>
              <w:footnoteReference w:id="23"/>
            </w:r>
          </w:p>
        </w:tc>
        <w:tc>
          <w:tcPr>
            <w:tcW w:w="1137" w:type="dxa"/>
            <w:vMerge w:val="restart"/>
            <w:vAlign w:val="center"/>
          </w:tcPr>
          <w:p w14:paraId="774C6201" w14:textId="0158C8F1" w:rsidR="00313487" w:rsidRPr="00223861" w:rsidRDefault="00313487" w:rsidP="008E4E51">
            <w:pPr>
              <w:spacing w:line="360" w:lineRule="auto"/>
              <w:jc w:val="center"/>
              <w:rPr>
                <w:rFonts w:cs="Times New Roman"/>
                <w:b/>
                <w:bCs/>
                <w:sz w:val="20"/>
                <w:szCs w:val="20"/>
                <w:lang w:val="en-US"/>
              </w:rPr>
            </w:pPr>
            <w:r w:rsidRPr="00223861">
              <w:rPr>
                <w:rFonts w:cs="Times New Roman"/>
                <w:b/>
                <w:bCs/>
                <w:sz w:val="20"/>
                <w:szCs w:val="20"/>
                <w:lang w:val="en-US"/>
              </w:rPr>
              <w:t xml:space="preserve">FX Forward theor. </w:t>
            </w:r>
            <w:r w:rsidR="00FC0F42" w:rsidRPr="00223861">
              <w:rPr>
                <w:rFonts w:cs="Times New Roman"/>
                <w:b/>
                <w:bCs/>
                <w:sz w:val="20"/>
                <w:szCs w:val="20"/>
                <w:lang w:val="en-US"/>
              </w:rPr>
              <w:t>v</w:t>
            </w:r>
            <w:r w:rsidRPr="00223861">
              <w:rPr>
                <w:rFonts w:cs="Times New Roman"/>
                <w:b/>
                <w:bCs/>
                <w:sz w:val="20"/>
                <w:szCs w:val="20"/>
                <w:lang w:val="en-US"/>
              </w:rPr>
              <w:t>alue</w:t>
            </w:r>
          </w:p>
        </w:tc>
        <w:tc>
          <w:tcPr>
            <w:tcW w:w="4224" w:type="dxa"/>
            <w:gridSpan w:val="3"/>
            <w:vAlign w:val="center"/>
          </w:tcPr>
          <w:p w14:paraId="4858B879" w14:textId="693BF1D2" w:rsidR="00313487" w:rsidRPr="00223861" w:rsidRDefault="00313487" w:rsidP="008E4E51">
            <w:pPr>
              <w:spacing w:line="360" w:lineRule="auto"/>
              <w:jc w:val="center"/>
              <w:rPr>
                <w:rFonts w:cs="Times New Roman"/>
                <w:b/>
                <w:bCs/>
                <w:sz w:val="20"/>
                <w:szCs w:val="20"/>
                <w:lang w:val="en-US"/>
              </w:rPr>
            </w:pPr>
            <w:r w:rsidRPr="00223861">
              <w:rPr>
                <w:rFonts w:cs="Times New Roman"/>
                <w:b/>
                <w:bCs/>
                <w:sz w:val="20"/>
                <w:szCs w:val="20"/>
                <w:lang w:val="en-US"/>
              </w:rPr>
              <w:t>Events</w:t>
            </w:r>
          </w:p>
        </w:tc>
        <w:tc>
          <w:tcPr>
            <w:tcW w:w="1134" w:type="dxa"/>
            <w:vAlign w:val="center"/>
          </w:tcPr>
          <w:p w14:paraId="64204351" w14:textId="2D66C902" w:rsidR="00313487" w:rsidRPr="00223861" w:rsidRDefault="00313487" w:rsidP="008E4E51">
            <w:pPr>
              <w:spacing w:line="360" w:lineRule="auto"/>
              <w:jc w:val="center"/>
              <w:rPr>
                <w:rFonts w:cs="Times New Roman"/>
                <w:b/>
                <w:bCs/>
                <w:sz w:val="20"/>
                <w:szCs w:val="20"/>
                <w:lang w:val="en-US"/>
              </w:rPr>
            </w:pPr>
            <w:r w:rsidRPr="00223861">
              <w:rPr>
                <w:rFonts w:cs="Times New Roman"/>
                <w:b/>
                <w:bCs/>
                <w:sz w:val="20"/>
                <w:szCs w:val="20"/>
                <w:lang w:val="en-US"/>
              </w:rPr>
              <w:t>Margin account balance</w:t>
            </w:r>
          </w:p>
        </w:tc>
      </w:tr>
      <w:tr w:rsidR="00313487" w:rsidRPr="00223861" w14:paraId="4BEDD8A1" w14:textId="44C374A2" w:rsidTr="0005699F">
        <w:trPr>
          <w:trHeight w:val="168"/>
        </w:trPr>
        <w:tc>
          <w:tcPr>
            <w:tcW w:w="1027" w:type="dxa"/>
            <w:vMerge/>
            <w:vAlign w:val="center"/>
          </w:tcPr>
          <w:p w14:paraId="252BFF67" w14:textId="77777777" w:rsidR="00313487" w:rsidRPr="00223861" w:rsidRDefault="00313487" w:rsidP="008E4E51">
            <w:pPr>
              <w:spacing w:line="360" w:lineRule="auto"/>
              <w:ind w:firstLine="709"/>
              <w:jc w:val="center"/>
              <w:rPr>
                <w:rFonts w:cs="Times New Roman"/>
                <w:sz w:val="20"/>
                <w:szCs w:val="20"/>
                <w:lang w:val="en-US"/>
              </w:rPr>
            </w:pPr>
          </w:p>
        </w:tc>
        <w:tc>
          <w:tcPr>
            <w:tcW w:w="1834" w:type="dxa"/>
            <w:vMerge/>
            <w:vAlign w:val="center"/>
          </w:tcPr>
          <w:p w14:paraId="23F1DA6D" w14:textId="77777777" w:rsidR="00313487" w:rsidRPr="00223861" w:rsidRDefault="00313487" w:rsidP="008E4E51">
            <w:pPr>
              <w:spacing w:line="360" w:lineRule="auto"/>
              <w:ind w:firstLine="709"/>
              <w:jc w:val="center"/>
              <w:rPr>
                <w:rFonts w:cs="Times New Roman"/>
                <w:sz w:val="20"/>
                <w:szCs w:val="20"/>
                <w:lang w:val="en-US"/>
              </w:rPr>
            </w:pPr>
          </w:p>
        </w:tc>
        <w:tc>
          <w:tcPr>
            <w:tcW w:w="1137" w:type="dxa"/>
            <w:vMerge/>
            <w:vAlign w:val="center"/>
          </w:tcPr>
          <w:p w14:paraId="1055506E" w14:textId="77777777" w:rsidR="00313487" w:rsidRPr="00223861" w:rsidRDefault="00313487" w:rsidP="008E4E51">
            <w:pPr>
              <w:spacing w:line="360" w:lineRule="auto"/>
              <w:ind w:firstLine="709"/>
              <w:jc w:val="center"/>
              <w:rPr>
                <w:rFonts w:cs="Times New Roman"/>
                <w:sz w:val="20"/>
                <w:szCs w:val="20"/>
                <w:lang w:val="en-US"/>
              </w:rPr>
            </w:pPr>
          </w:p>
        </w:tc>
        <w:tc>
          <w:tcPr>
            <w:tcW w:w="2523" w:type="dxa"/>
            <w:gridSpan w:val="2"/>
            <w:vAlign w:val="center"/>
          </w:tcPr>
          <w:p w14:paraId="3DEF5834" w14:textId="63E4CA74" w:rsidR="00313487" w:rsidRPr="00223861" w:rsidRDefault="00313487" w:rsidP="008E4E51">
            <w:pPr>
              <w:spacing w:line="360" w:lineRule="auto"/>
              <w:jc w:val="center"/>
              <w:rPr>
                <w:rFonts w:cs="Times New Roman"/>
                <w:b/>
                <w:bCs/>
                <w:sz w:val="20"/>
                <w:szCs w:val="20"/>
                <w:lang w:val="en-US"/>
              </w:rPr>
            </w:pPr>
            <w:r w:rsidRPr="00223861">
              <w:rPr>
                <w:rFonts w:cs="Times New Roman"/>
                <w:b/>
                <w:bCs/>
                <w:sz w:val="20"/>
                <w:szCs w:val="20"/>
                <w:lang w:val="en-US"/>
              </w:rPr>
              <w:t>FX future</w:t>
            </w:r>
          </w:p>
        </w:tc>
        <w:tc>
          <w:tcPr>
            <w:tcW w:w="1701" w:type="dxa"/>
            <w:vAlign w:val="center"/>
          </w:tcPr>
          <w:p w14:paraId="33FB54B8" w14:textId="1FDDEF2D" w:rsidR="00313487" w:rsidRPr="00223861" w:rsidRDefault="00313487" w:rsidP="008E4E51">
            <w:pPr>
              <w:spacing w:line="360" w:lineRule="auto"/>
              <w:jc w:val="center"/>
              <w:rPr>
                <w:rFonts w:cs="Times New Roman"/>
                <w:b/>
                <w:bCs/>
                <w:sz w:val="20"/>
                <w:szCs w:val="20"/>
                <w:lang w:val="en-US"/>
              </w:rPr>
            </w:pPr>
            <w:r w:rsidRPr="00223861">
              <w:rPr>
                <w:rFonts w:cs="Times New Roman"/>
                <w:b/>
                <w:bCs/>
                <w:sz w:val="20"/>
                <w:szCs w:val="20"/>
                <w:lang w:val="en-US"/>
              </w:rPr>
              <w:t>FX forward</w:t>
            </w:r>
          </w:p>
        </w:tc>
        <w:tc>
          <w:tcPr>
            <w:tcW w:w="1134" w:type="dxa"/>
            <w:vAlign w:val="center"/>
          </w:tcPr>
          <w:p w14:paraId="195E4E82" w14:textId="77777777" w:rsidR="00313487" w:rsidRPr="00223861" w:rsidRDefault="00313487" w:rsidP="008E4E51">
            <w:pPr>
              <w:spacing w:line="360" w:lineRule="auto"/>
              <w:ind w:firstLine="709"/>
              <w:jc w:val="center"/>
              <w:rPr>
                <w:rFonts w:cs="Times New Roman"/>
                <w:sz w:val="20"/>
                <w:szCs w:val="20"/>
                <w:lang w:val="en-US"/>
              </w:rPr>
            </w:pPr>
          </w:p>
        </w:tc>
      </w:tr>
      <w:tr w:rsidR="00313487" w:rsidRPr="00223861" w14:paraId="231C660D" w14:textId="51F69B08" w:rsidTr="0005699F">
        <w:tc>
          <w:tcPr>
            <w:tcW w:w="1027" w:type="dxa"/>
            <w:vAlign w:val="center"/>
          </w:tcPr>
          <w:p w14:paraId="7E9C84C2" w14:textId="6B005C27" w:rsidR="00313487" w:rsidRPr="00223861" w:rsidRDefault="00313487" w:rsidP="005203BE">
            <w:pPr>
              <w:spacing w:line="360" w:lineRule="auto"/>
              <w:rPr>
                <w:rFonts w:cs="Times New Roman"/>
                <w:sz w:val="20"/>
                <w:szCs w:val="20"/>
                <w:lang w:val="en-US"/>
              </w:rPr>
            </w:pPr>
            <w:r w:rsidRPr="00223861">
              <w:rPr>
                <w:rFonts w:cs="Times New Roman"/>
                <w:sz w:val="20"/>
                <w:szCs w:val="20"/>
                <w:lang w:val="en-US"/>
              </w:rPr>
              <w:t>Contract purchase</w:t>
            </w:r>
          </w:p>
        </w:tc>
        <w:tc>
          <w:tcPr>
            <w:tcW w:w="1834" w:type="dxa"/>
            <w:vAlign w:val="center"/>
          </w:tcPr>
          <w:p w14:paraId="559DF25F" w14:textId="177A6CA3" w:rsidR="00313487" w:rsidRPr="00223861" w:rsidRDefault="00313487" w:rsidP="008E4E51">
            <w:pPr>
              <w:spacing w:line="360" w:lineRule="auto"/>
              <w:rPr>
                <w:rFonts w:cs="Times New Roman"/>
                <w:sz w:val="20"/>
                <w:szCs w:val="20"/>
                <w:lang w:val="en-US"/>
              </w:rPr>
            </w:pPr>
            <w:r w:rsidRPr="00223861">
              <w:rPr>
                <w:rFonts w:cs="Times New Roman"/>
                <w:sz w:val="20"/>
                <w:szCs w:val="20"/>
                <w:lang w:val="en-US"/>
              </w:rPr>
              <w:t>1/5%/7%/0.25</w:t>
            </w:r>
          </w:p>
        </w:tc>
        <w:tc>
          <w:tcPr>
            <w:tcW w:w="1137" w:type="dxa"/>
            <w:vAlign w:val="center"/>
          </w:tcPr>
          <w:p w14:paraId="276815EF" w14:textId="03D72480" w:rsidR="00313487" w:rsidRPr="00223861" w:rsidRDefault="00313487" w:rsidP="005203BE">
            <w:pPr>
              <w:spacing w:line="360" w:lineRule="auto"/>
              <w:rPr>
                <w:rFonts w:cs="Times New Roman"/>
                <w:sz w:val="20"/>
                <w:szCs w:val="20"/>
                <w:lang w:val="en-US"/>
              </w:rPr>
            </w:pPr>
            <w:r w:rsidRPr="00223861">
              <w:rPr>
                <w:rFonts w:cs="Times New Roman"/>
                <w:sz w:val="20"/>
                <w:szCs w:val="20"/>
                <w:lang w:val="en-US"/>
              </w:rPr>
              <w:t>0.995086</w:t>
            </w:r>
            <w:r w:rsidRPr="00223861">
              <w:rPr>
                <w:rStyle w:val="FootnoteReference"/>
                <w:rFonts w:cs="Times New Roman"/>
                <w:sz w:val="20"/>
                <w:szCs w:val="20"/>
                <w:lang w:val="en-US"/>
              </w:rPr>
              <w:footnoteReference w:id="24"/>
            </w:r>
          </w:p>
        </w:tc>
        <w:tc>
          <w:tcPr>
            <w:tcW w:w="2523" w:type="dxa"/>
            <w:gridSpan w:val="2"/>
            <w:vAlign w:val="center"/>
          </w:tcPr>
          <w:p w14:paraId="00F28BF1" w14:textId="04334BE2" w:rsidR="00313487" w:rsidRPr="00223861" w:rsidRDefault="00313487" w:rsidP="005203BE">
            <w:pPr>
              <w:spacing w:line="360" w:lineRule="auto"/>
              <w:rPr>
                <w:rFonts w:cs="Times New Roman"/>
                <w:sz w:val="20"/>
                <w:szCs w:val="20"/>
                <w:lang w:val="en-US"/>
              </w:rPr>
            </w:pPr>
            <w:r w:rsidRPr="00223861">
              <w:rPr>
                <w:rFonts w:cs="Times New Roman"/>
                <w:sz w:val="20"/>
                <w:szCs w:val="20"/>
                <w:lang w:val="en-US"/>
              </w:rPr>
              <w:t>Buyer increases his margin account by 0.4</w:t>
            </w:r>
          </w:p>
        </w:tc>
        <w:tc>
          <w:tcPr>
            <w:tcW w:w="1701" w:type="dxa"/>
            <w:vAlign w:val="center"/>
          </w:tcPr>
          <w:p w14:paraId="5F1E291F" w14:textId="56F5CEB1" w:rsidR="00313487" w:rsidRPr="00223861" w:rsidRDefault="0068641B" w:rsidP="005203BE">
            <w:pPr>
              <w:spacing w:line="360" w:lineRule="auto"/>
              <w:rPr>
                <w:rFonts w:cs="Times New Roman"/>
                <w:sz w:val="20"/>
                <w:szCs w:val="20"/>
                <w:lang w:val="en-US"/>
              </w:rPr>
            </w:pPr>
            <w:r w:rsidRPr="00223861">
              <w:rPr>
                <w:rFonts w:cs="Times New Roman"/>
                <w:sz w:val="20"/>
                <w:szCs w:val="20"/>
                <w:lang w:val="en-US"/>
              </w:rPr>
              <w:t xml:space="preserve">Buyer </w:t>
            </w:r>
            <w:r w:rsidR="0027709C" w:rsidRPr="00223861">
              <w:rPr>
                <w:rFonts w:cs="Times New Roman"/>
                <w:sz w:val="20"/>
                <w:szCs w:val="20"/>
                <w:lang w:val="en-US"/>
              </w:rPr>
              <w:t>increases his initial margin</w:t>
            </w:r>
            <w:r w:rsidR="005203BE" w:rsidRPr="00223861">
              <w:rPr>
                <w:rFonts w:cs="Times New Roman"/>
                <w:sz w:val="20"/>
                <w:szCs w:val="20"/>
                <w:lang w:val="en-US"/>
              </w:rPr>
              <w:t xml:space="preserve"> or </w:t>
            </w:r>
            <w:r w:rsidR="0027709C" w:rsidRPr="00223861">
              <w:rPr>
                <w:rFonts w:cs="Times New Roman"/>
                <w:sz w:val="20"/>
                <w:szCs w:val="20"/>
                <w:lang w:val="en-US"/>
              </w:rPr>
              <w:t>collateral account by 0.4</w:t>
            </w:r>
          </w:p>
        </w:tc>
        <w:tc>
          <w:tcPr>
            <w:tcW w:w="1134" w:type="dxa"/>
            <w:vAlign w:val="center"/>
          </w:tcPr>
          <w:p w14:paraId="7CA65885" w14:textId="0FC13D09" w:rsidR="00313487" w:rsidRPr="00223861" w:rsidRDefault="00313487" w:rsidP="003407F2">
            <w:pPr>
              <w:spacing w:line="360" w:lineRule="auto"/>
              <w:rPr>
                <w:rFonts w:cs="Times New Roman"/>
                <w:sz w:val="20"/>
                <w:szCs w:val="20"/>
                <w:lang w:val="en-US"/>
              </w:rPr>
            </w:pPr>
            <w:r w:rsidRPr="00223861">
              <w:rPr>
                <w:rFonts w:cs="Times New Roman"/>
                <w:sz w:val="20"/>
                <w:szCs w:val="20"/>
                <w:lang w:val="en-US"/>
              </w:rPr>
              <w:t>0.40000</w:t>
            </w:r>
            <w:r w:rsidR="004A409E" w:rsidRPr="00223861">
              <w:rPr>
                <w:rStyle w:val="FootnoteReference"/>
                <w:rFonts w:cs="Times New Roman"/>
                <w:b/>
                <w:bCs/>
                <w:sz w:val="20"/>
                <w:szCs w:val="20"/>
                <w:lang w:val="en-US"/>
              </w:rPr>
              <w:footnoteReference w:id="25"/>
            </w:r>
          </w:p>
        </w:tc>
      </w:tr>
      <w:tr w:rsidR="00313487" w:rsidRPr="00223861" w14:paraId="363684A5" w14:textId="149EE59F" w:rsidTr="0005699F">
        <w:tc>
          <w:tcPr>
            <w:tcW w:w="1027" w:type="dxa"/>
            <w:vAlign w:val="center"/>
          </w:tcPr>
          <w:p w14:paraId="1383C7C2" w14:textId="6988CF4B" w:rsidR="00313487" w:rsidRPr="00223861" w:rsidRDefault="00313487" w:rsidP="005203BE">
            <w:pPr>
              <w:spacing w:line="360" w:lineRule="auto"/>
              <w:rPr>
                <w:rFonts w:cs="Times New Roman"/>
                <w:sz w:val="20"/>
                <w:szCs w:val="20"/>
                <w:lang w:val="en-US"/>
              </w:rPr>
            </w:pPr>
            <w:r w:rsidRPr="00223861">
              <w:rPr>
                <w:rFonts w:cs="Times New Roman"/>
                <w:sz w:val="20"/>
                <w:szCs w:val="20"/>
                <w:lang w:val="en-US"/>
              </w:rPr>
              <w:t>Contract live</w:t>
            </w:r>
          </w:p>
        </w:tc>
        <w:tc>
          <w:tcPr>
            <w:tcW w:w="1834" w:type="dxa"/>
            <w:vAlign w:val="center"/>
          </w:tcPr>
          <w:p w14:paraId="41931872" w14:textId="6C9DA8F6" w:rsidR="00313487" w:rsidRPr="00223861" w:rsidRDefault="00313487" w:rsidP="008E4E51">
            <w:pPr>
              <w:spacing w:line="360" w:lineRule="auto"/>
              <w:rPr>
                <w:rFonts w:cs="Times New Roman"/>
                <w:sz w:val="20"/>
                <w:szCs w:val="20"/>
                <w:lang w:val="en-US"/>
              </w:rPr>
            </w:pPr>
            <w:r w:rsidRPr="00223861">
              <w:rPr>
                <w:rFonts w:cs="Times New Roman"/>
                <w:sz w:val="20"/>
                <w:szCs w:val="20"/>
                <w:lang w:val="en-US"/>
              </w:rPr>
              <w:t>1.2/4.95%/7.1%/0.15</w:t>
            </w:r>
          </w:p>
        </w:tc>
        <w:tc>
          <w:tcPr>
            <w:tcW w:w="1137" w:type="dxa"/>
            <w:vAlign w:val="center"/>
          </w:tcPr>
          <w:p w14:paraId="431DA561" w14:textId="56409C4A" w:rsidR="00313487" w:rsidRPr="00223861" w:rsidRDefault="00313487" w:rsidP="005203BE">
            <w:pPr>
              <w:spacing w:line="360" w:lineRule="auto"/>
              <w:rPr>
                <w:rFonts w:cs="Times New Roman"/>
                <w:sz w:val="20"/>
                <w:szCs w:val="20"/>
                <w:lang w:val="en-US"/>
              </w:rPr>
            </w:pPr>
            <w:r w:rsidRPr="00223861">
              <w:rPr>
                <w:rFonts w:cs="Times New Roman"/>
                <w:sz w:val="20"/>
                <w:szCs w:val="20"/>
                <w:lang w:val="en-US"/>
              </w:rPr>
              <w:t>1.196170</w:t>
            </w:r>
          </w:p>
        </w:tc>
        <w:tc>
          <w:tcPr>
            <w:tcW w:w="2523" w:type="dxa"/>
            <w:gridSpan w:val="2"/>
          </w:tcPr>
          <w:p w14:paraId="40C3B85C" w14:textId="5F927382" w:rsidR="00313487" w:rsidRPr="00223861" w:rsidRDefault="00313487" w:rsidP="005203BE">
            <w:pPr>
              <w:spacing w:line="360" w:lineRule="auto"/>
              <w:rPr>
                <w:rFonts w:cs="Times New Roman"/>
                <w:sz w:val="20"/>
                <w:szCs w:val="20"/>
                <w:lang w:val="en-US"/>
              </w:rPr>
            </w:pPr>
            <w:r w:rsidRPr="00223861">
              <w:rPr>
                <w:rFonts w:cs="Times New Roman"/>
                <w:sz w:val="20"/>
                <w:szCs w:val="20"/>
                <w:lang w:val="en-US"/>
              </w:rPr>
              <w:t xml:space="preserve">Difference between FX future </w:t>
            </w:r>
            <w:r w:rsidR="00B30051" w:rsidRPr="00223861">
              <w:rPr>
                <w:rFonts w:cs="Times New Roman"/>
                <w:sz w:val="20"/>
                <w:szCs w:val="20"/>
                <w:lang w:val="en-US"/>
              </w:rPr>
              <w:t>settlement</w:t>
            </w:r>
            <w:r w:rsidRPr="00223861">
              <w:rPr>
                <w:rFonts w:cs="Times New Roman"/>
                <w:sz w:val="20"/>
                <w:szCs w:val="20"/>
                <w:lang w:val="en-US"/>
              </w:rPr>
              <w:t xml:space="preserve"> price at t</w:t>
            </w:r>
            <w:r w:rsidRPr="00223861">
              <w:rPr>
                <w:rFonts w:cs="Times New Roman"/>
                <w:sz w:val="20"/>
                <w:szCs w:val="20"/>
                <w:vertAlign w:val="subscript"/>
                <w:lang w:val="en-US"/>
              </w:rPr>
              <w:t>1</w:t>
            </w:r>
            <w:r w:rsidRPr="00223861">
              <w:rPr>
                <w:rFonts w:cs="Times New Roman"/>
                <w:sz w:val="20"/>
                <w:szCs w:val="20"/>
                <w:lang w:val="en-US"/>
              </w:rPr>
              <w:t xml:space="preserve"> and t</w:t>
            </w:r>
            <w:r w:rsidRPr="00223861">
              <w:rPr>
                <w:rFonts w:cs="Times New Roman"/>
                <w:sz w:val="20"/>
                <w:szCs w:val="20"/>
                <w:vertAlign w:val="subscript"/>
                <w:lang w:val="en-US"/>
              </w:rPr>
              <w:t>2</w:t>
            </w:r>
            <w:r w:rsidRPr="00223861">
              <w:rPr>
                <w:rFonts w:cs="Times New Roman"/>
                <w:sz w:val="20"/>
                <w:szCs w:val="20"/>
                <w:lang w:val="en-US"/>
              </w:rPr>
              <w:t xml:space="preserve"> is transferred to the margin account balance</w:t>
            </w:r>
            <w:r w:rsidR="00FC0F42" w:rsidRPr="00223861">
              <w:rPr>
                <w:rStyle w:val="FootnoteReference"/>
                <w:rFonts w:cs="Times New Roman"/>
                <w:sz w:val="20"/>
                <w:szCs w:val="20"/>
                <w:lang w:val="en-US"/>
              </w:rPr>
              <w:footnoteReference w:id="26"/>
            </w:r>
          </w:p>
        </w:tc>
        <w:tc>
          <w:tcPr>
            <w:tcW w:w="1701" w:type="dxa"/>
            <w:vAlign w:val="center"/>
          </w:tcPr>
          <w:p w14:paraId="635E5D84" w14:textId="324370AA" w:rsidR="00313487" w:rsidRPr="00223861" w:rsidRDefault="003F7388" w:rsidP="008226B3">
            <w:pPr>
              <w:spacing w:line="360" w:lineRule="auto"/>
              <w:ind w:firstLine="709"/>
              <w:rPr>
                <w:rFonts w:cs="Times New Roman"/>
                <w:sz w:val="20"/>
                <w:szCs w:val="20"/>
              </w:rPr>
            </w:pPr>
            <w:r w:rsidRPr="00223861">
              <w:rPr>
                <w:rFonts w:cs="Times New Roman"/>
                <w:sz w:val="20"/>
                <w:szCs w:val="20"/>
              </w:rPr>
              <w:t>-</w:t>
            </w:r>
          </w:p>
        </w:tc>
        <w:tc>
          <w:tcPr>
            <w:tcW w:w="1134" w:type="dxa"/>
            <w:vAlign w:val="center"/>
          </w:tcPr>
          <w:p w14:paraId="2EDBCF9E" w14:textId="45CE8CAD" w:rsidR="00313487" w:rsidRPr="00223861" w:rsidRDefault="00313487" w:rsidP="003407F2">
            <w:pPr>
              <w:spacing w:line="360" w:lineRule="auto"/>
              <w:rPr>
                <w:rFonts w:cs="Times New Roman"/>
                <w:sz w:val="20"/>
                <w:szCs w:val="20"/>
                <w:lang w:val="en-US"/>
              </w:rPr>
            </w:pPr>
            <w:r w:rsidRPr="00223861">
              <w:rPr>
                <w:rFonts w:cs="Times New Roman"/>
                <w:sz w:val="20"/>
                <w:szCs w:val="20"/>
                <w:lang w:val="en-US"/>
              </w:rPr>
              <w:t>0.</w:t>
            </w:r>
            <w:r w:rsidR="004A409E" w:rsidRPr="00223861">
              <w:rPr>
                <w:rFonts w:cs="Times New Roman"/>
                <w:sz w:val="20"/>
                <w:szCs w:val="20"/>
                <w:lang w:val="en-US"/>
              </w:rPr>
              <w:t>60</w:t>
            </w:r>
            <w:r w:rsidR="00C97D16" w:rsidRPr="00223861">
              <w:rPr>
                <w:rFonts w:cs="Times New Roman"/>
                <w:sz w:val="20"/>
                <w:szCs w:val="20"/>
                <w:lang w:val="en-US"/>
              </w:rPr>
              <w:t>1</w:t>
            </w:r>
            <w:r w:rsidR="004A409E" w:rsidRPr="00223861">
              <w:rPr>
                <w:rFonts w:cs="Times New Roman"/>
                <w:sz w:val="20"/>
                <w:szCs w:val="20"/>
                <w:lang w:val="en-US"/>
              </w:rPr>
              <w:t>0</w:t>
            </w:r>
            <w:r w:rsidR="00C97D16" w:rsidRPr="00223861">
              <w:rPr>
                <w:rFonts w:cs="Times New Roman"/>
                <w:sz w:val="20"/>
                <w:szCs w:val="20"/>
                <w:lang w:val="en-US"/>
              </w:rPr>
              <w:t>8</w:t>
            </w:r>
          </w:p>
        </w:tc>
      </w:tr>
      <w:tr w:rsidR="00313487" w:rsidRPr="00223861" w14:paraId="36F411A9" w14:textId="41B8A57C" w:rsidTr="0005699F">
        <w:tc>
          <w:tcPr>
            <w:tcW w:w="1027" w:type="dxa"/>
            <w:vAlign w:val="center"/>
          </w:tcPr>
          <w:p w14:paraId="648B72CC" w14:textId="5833E4EE" w:rsidR="00313487" w:rsidRPr="00223861" w:rsidRDefault="002D4BB3" w:rsidP="005203BE">
            <w:pPr>
              <w:spacing w:line="360" w:lineRule="auto"/>
              <w:rPr>
                <w:rFonts w:cs="Times New Roman"/>
                <w:sz w:val="20"/>
                <w:szCs w:val="20"/>
                <w:lang w:val="en-US"/>
              </w:rPr>
            </w:pPr>
            <w:r w:rsidRPr="00223861">
              <w:rPr>
                <w:rFonts w:cs="Times New Roman"/>
                <w:sz w:val="20"/>
                <w:szCs w:val="20"/>
                <w:lang w:val="en-US"/>
              </w:rPr>
              <w:t>Contract before expiration</w:t>
            </w:r>
          </w:p>
        </w:tc>
        <w:tc>
          <w:tcPr>
            <w:tcW w:w="1834" w:type="dxa"/>
            <w:vAlign w:val="center"/>
          </w:tcPr>
          <w:p w14:paraId="54BFF98A" w14:textId="023C348A" w:rsidR="00313487" w:rsidRPr="00223861" w:rsidRDefault="002D4BB3" w:rsidP="008E4E51">
            <w:pPr>
              <w:spacing w:line="360" w:lineRule="auto"/>
              <w:rPr>
                <w:rFonts w:cs="Times New Roman"/>
                <w:sz w:val="20"/>
                <w:szCs w:val="20"/>
                <w:lang w:val="en-US"/>
              </w:rPr>
            </w:pPr>
            <w:r w:rsidRPr="00223861">
              <w:rPr>
                <w:rFonts w:cs="Times New Roman"/>
                <w:sz w:val="20"/>
                <w:szCs w:val="20"/>
                <w:lang w:val="en-US"/>
              </w:rPr>
              <w:t>1.1/4.9%/6.9%/0.01</w:t>
            </w:r>
          </w:p>
        </w:tc>
        <w:tc>
          <w:tcPr>
            <w:tcW w:w="1137" w:type="dxa"/>
            <w:vAlign w:val="center"/>
          </w:tcPr>
          <w:p w14:paraId="63D4FF84" w14:textId="46DA8A51" w:rsidR="00313487" w:rsidRPr="00223861" w:rsidRDefault="002D4BB3" w:rsidP="005203BE">
            <w:pPr>
              <w:spacing w:line="360" w:lineRule="auto"/>
              <w:rPr>
                <w:rFonts w:cs="Times New Roman"/>
                <w:sz w:val="20"/>
                <w:szCs w:val="20"/>
                <w:lang w:val="en-US"/>
              </w:rPr>
            </w:pPr>
            <w:r w:rsidRPr="00223861">
              <w:rPr>
                <w:rFonts w:cs="Times New Roman"/>
                <w:sz w:val="20"/>
                <w:szCs w:val="20"/>
                <w:lang w:val="en-US"/>
              </w:rPr>
              <w:t>1.009780</w:t>
            </w:r>
          </w:p>
        </w:tc>
        <w:tc>
          <w:tcPr>
            <w:tcW w:w="2523" w:type="dxa"/>
            <w:gridSpan w:val="2"/>
          </w:tcPr>
          <w:p w14:paraId="0942C1F6" w14:textId="76068CA3" w:rsidR="00313487" w:rsidRPr="00223861" w:rsidRDefault="00FC0F42" w:rsidP="005203BE">
            <w:pPr>
              <w:spacing w:line="360" w:lineRule="auto"/>
              <w:rPr>
                <w:rFonts w:cs="Times New Roman"/>
                <w:sz w:val="20"/>
                <w:szCs w:val="20"/>
                <w:lang w:val="en-US"/>
              </w:rPr>
            </w:pPr>
            <w:r w:rsidRPr="00223861">
              <w:rPr>
                <w:rFonts w:cs="Times New Roman"/>
                <w:sz w:val="20"/>
                <w:szCs w:val="20"/>
                <w:lang w:val="en-US"/>
              </w:rPr>
              <w:t xml:space="preserve">Difference between FX future </w:t>
            </w:r>
            <w:r w:rsidR="00B30051" w:rsidRPr="00223861">
              <w:rPr>
                <w:rFonts w:cs="Times New Roman"/>
                <w:sz w:val="20"/>
                <w:szCs w:val="20"/>
                <w:lang w:val="en-US"/>
              </w:rPr>
              <w:t>settlement</w:t>
            </w:r>
            <w:r w:rsidRPr="00223861">
              <w:rPr>
                <w:rFonts w:cs="Times New Roman"/>
                <w:sz w:val="20"/>
                <w:szCs w:val="20"/>
                <w:lang w:val="en-US"/>
              </w:rPr>
              <w:t xml:space="preserve"> price at t</w:t>
            </w:r>
            <w:r w:rsidRPr="00223861">
              <w:rPr>
                <w:rFonts w:cs="Times New Roman"/>
                <w:sz w:val="20"/>
                <w:szCs w:val="20"/>
                <w:vertAlign w:val="subscript"/>
                <w:lang w:val="en-US"/>
              </w:rPr>
              <w:t xml:space="preserve">2 </w:t>
            </w:r>
            <w:r w:rsidRPr="00223861">
              <w:rPr>
                <w:rFonts w:cs="Times New Roman"/>
                <w:sz w:val="20"/>
                <w:szCs w:val="20"/>
                <w:lang w:val="en-US"/>
              </w:rPr>
              <w:t>and t</w:t>
            </w:r>
            <w:r w:rsidRPr="00223861">
              <w:rPr>
                <w:rFonts w:cs="Times New Roman"/>
                <w:sz w:val="20"/>
                <w:szCs w:val="20"/>
                <w:vertAlign w:val="subscript"/>
                <w:lang w:val="en-US"/>
              </w:rPr>
              <w:t>3</w:t>
            </w:r>
            <w:r w:rsidRPr="00223861">
              <w:rPr>
                <w:rFonts w:cs="Times New Roman"/>
                <w:sz w:val="20"/>
                <w:szCs w:val="20"/>
                <w:lang w:val="en-US"/>
              </w:rPr>
              <w:t xml:space="preserve"> is transferred to the margin account balance</w:t>
            </w:r>
          </w:p>
        </w:tc>
        <w:tc>
          <w:tcPr>
            <w:tcW w:w="1701" w:type="dxa"/>
            <w:vAlign w:val="center"/>
          </w:tcPr>
          <w:p w14:paraId="7D5B69BA" w14:textId="6045FB0E" w:rsidR="00313487" w:rsidRPr="00223861" w:rsidRDefault="003F7388" w:rsidP="008226B3">
            <w:pPr>
              <w:spacing w:line="360" w:lineRule="auto"/>
              <w:ind w:firstLine="709"/>
              <w:rPr>
                <w:rFonts w:cs="Times New Roman"/>
                <w:sz w:val="20"/>
                <w:szCs w:val="20"/>
              </w:rPr>
            </w:pPr>
            <w:r w:rsidRPr="00223861">
              <w:rPr>
                <w:rFonts w:cs="Times New Roman"/>
                <w:sz w:val="20"/>
                <w:szCs w:val="20"/>
              </w:rPr>
              <w:t>-</w:t>
            </w:r>
          </w:p>
        </w:tc>
        <w:tc>
          <w:tcPr>
            <w:tcW w:w="1134" w:type="dxa"/>
            <w:vAlign w:val="center"/>
          </w:tcPr>
          <w:p w14:paraId="562CC4BA" w14:textId="1FF7A05E" w:rsidR="002D4BB3" w:rsidRPr="00223861" w:rsidRDefault="008B6293" w:rsidP="003407F2">
            <w:pPr>
              <w:spacing w:line="360" w:lineRule="auto"/>
              <w:rPr>
                <w:rFonts w:cs="Times New Roman"/>
                <w:sz w:val="20"/>
                <w:szCs w:val="20"/>
                <w:lang w:val="en-US"/>
              </w:rPr>
            </w:pPr>
            <w:r w:rsidRPr="00223861">
              <w:rPr>
                <w:rFonts w:cs="Times New Roman"/>
                <w:sz w:val="20"/>
                <w:szCs w:val="20"/>
                <w:lang w:val="en-US"/>
              </w:rPr>
              <w:t>0.</w:t>
            </w:r>
            <w:r w:rsidR="00183257" w:rsidRPr="00223861">
              <w:rPr>
                <w:rFonts w:cs="Times New Roman"/>
                <w:sz w:val="20"/>
                <w:szCs w:val="20"/>
                <w:lang w:val="en-US"/>
              </w:rPr>
              <w:t>41469</w:t>
            </w:r>
          </w:p>
          <w:p w14:paraId="63B14BA7" w14:textId="77777777" w:rsidR="00313487" w:rsidRPr="00223861" w:rsidRDefault="00313487" w:rsidP="008226B3">
            <w:pPr>
              <w:spacing w:line="360" w:lineRule="auto"/>
              <w:ind w:firstLine="709"/>
              <w:jc w:val="right"/>
              <w:rPr>
                <w:rFonts w:cs="Times New Roman"/>
                <w:sz w:val="20"/>
                <w:szCs w:val="20"/>
                <w:lang w:val="en-US"/>
              </w:rPr>
            </w:pPr>
          </w:p>
        </w:tc>
      </w:tr>
      <w:tr w:rsidR="002D4BB3" w:rsidRPr="00223861" w14:paraId="7970170D" w14:textId="77777777" w:rsidTr="0005699F">
        <w:tc>
          <w:tcPr>
            <w:tcW w:w="1027" w:type="dxa"/>
            <w:vAlign w:val="center"/>
          </w:tcPr>
          <w:p w14:paraId="2D5523BA" w14:textId="084C956A" w:rsidR="002D4BB3" w:rsidRPr="00223861" w:rsidRDefault="002D4BB3" w:rsidP="005203BE">
            <w:pPr>
              <w:spacing w:line="360" w:lineRule="auto"/>
              <w:rPr>
                <w:rFonts w:cs="Times New Roman"/>
                <w:sz w:val="20"/>
                <w:szCs w:val="20"/>
                <w:lang w:val="en-US"/>
              </w:rPr>
            </w:pPr>
            <w:r w:rsidRPr="00223861">
              <w:rPr>
                <w:rFonts w:cs="Times New Roman"/>
                <w:sz w:val="20"/>
                <w:szCs w:val="20"/>
                <w:lang w:val="en-US"/>
              </w:rPr>
              <w:t>Contract expiration</w:t>
            </w:r>
          </w:p>
        </w:tc>
        <w:tc>
          <w:tcPr>
            <w:tcW w:w="1834" w:type="dxa"/>
            <w:vAlign w:val="center"/>
          </w:tcPr>
          <w:p w14:paraId="364862EC" w14:textId="2BE5AE10" w:rsidR="002D4BB3" w:rsidRPr="00223861" w:rsidRDefault="002D4BB3" w:rsidP="008E4E51">
            <w:pPr>
              <w:spacing w:line="360" w:lineRule="auto"/>
              <w:rPr>
                <w:rFonts w:cs="Times New Roman"/>
                <w:sz w:val="20"/>
                <w:szCs w:val="20"/>
                <w:lang w:val="en-US"/>
              </w:rPr>
            </w:pPr>
            <w:r w:rsidRPr="00223861">
              <w:rPr>
                <w:rFonts w:cs="Times New Roman"/>
                <w:sz w:val="20"/>
                <w:szCs w:val="20"/>
                <w:lang w:val="en-US"/>
              </w:rPr>
              <w:t>1.1/4.9%/6.9%/0.00</w:t>
            </w:r>
          </w:p>
        </w:tc>
        <w:tc>
          <w:tcPr>
            <w:tcW w:w="1137" w:type="dxa"/>
            <w:vAlign w:val="center"/>
          </w:tcPr>
          <w:p w14:paraId="1207D519" w14:textId="63101B35" w:rsidR="002D4BB3" w:rsidRPr="00223861" w:rsidRDefault="002D4BB3" w:rsidP="005203BE">
            <w:pPr>
              <w:spacing w:line="360" w:lineRule="auto"/>
              <w:rPr>
                <w:rFonts w:cs="Times New Roman"/>
                <w:sz w:val="20"/>
                <w:szCs w:val="20"/>
                <w:lang w:val="en-US"/>
              </w:rPr>
            </w:pPr>
            <w:r w:rsidRPr="00223861">
              <w:rPr>
                <w:rFonts w:cs="Times New Roman"/>
                <w:sz w:val="20"/>
                <w:szCs w:val="20"/>
                <w:lang w:val="en-US"/>
              </w:rPr>
              <w:t>1.1</w:t>
            </w:r>
            <w:r w:rsidR="008B6293" w:rsidRPr="00223861">
              <w:rPr>
                <w:rFonts w:cs="Times New Roman"/>
                <w:sz w:val="20"/>
                <w:szCs w:val="20"/>
                <w:lang w:val="en-US"/>
              </w:rPr>
              <w:t>00000</w:t>
            </w:r>
          </w:p>
        </w:tc>
        <w:tc>
          <w:tcPr>
            <w:tcW w:w="2523" w:type="dxa"/>
            <w:gridSpan w:val="2"/>
          </w:tcPr>
          <w:p w14:paraId="5186DFFF" w14:textId="59A02F0E" w:rsidR="002D4BB3" w:rsidRPr="00223861" w:rsidRDefault="008B6293" w:rsidP="005203BE">
            <w:pPr>
              <w:spacing w:line="360" w:lineRule="auto"/>
              <w:rPr>
                <w:rFonts w:cs="Times New Roman"/>
                <w:sz w:val="20"/>
                <w:szCs w:val="20"/>
                <w:lang w:val="en-US"/>
              </w:rPr>
            </w:pPr>
            <w:r w:rsidRPr="00223861">
              <w:rPr>
                <w:rFonts w:cs="Times New Roman"/>
                <w:sz w:val="20"/>
                <w:szCs w:val="20"/>
                <w:lang w:val="en-US"/>
              </w:rPr>
              <w:t>Asset is delivered to the buyer</w:t>
            </w:r>
            <w:r w:rsidR="0068641B" w:rsidRPr="00223861">
              <w:rPr>
                <w:rFonts w:cs="Times New Roman"/>
                <w:sz w:val="20"/>
                <w:szCs w:val="20"/>
                <w:lang w:val="en-US"/>
              </w:rPr>
              <w:t xml:space="preserve"> at the settlement price of </w:t>
            </w:r>
            <w:r w:rsidR="004A409E" w:rsidRPr="00223861">
              <w:rPr>
                <w:rFonts w:cs="Times New Roman"/>
                <w:sz w:val="20"/>
                <w:szCs w:val="20"/>
                <w:lang w:val="en-US"/>
              </w:rPr>
              <w:t>0.995086</w:t>
            </w:r>
            <w:r w:rsidR="0068641B" w:rsidRPr="00223861">
              <w:rPr>
                <w:rStyle w:val="FootnoteReference"/>
                <w:rFonts w:cs="Times New Roman"/>
                <w:sz w:val="20"/>
                <w:szCs w:val="20"/>
                <w:lang w:val="en-US"/>
              </w:rPr>
              <w:footnoteReference w:id="27"/>
            </w:r>
            <w:r w:rsidRPr="00223861">
              <w:rPr>
                <w:rFonts w:cs="Times New Roman"/>
                <w:sz w:val="20"/>
                <w:szCs w:val="20"/>
                <w:lang w:val="en-US"/>
              </w:rPr>
              <w:t xml:space="preserve"> </w:t>
            </w:r>
          </w:p>
        </w:tc>
        <w:tc>
          <w:tcPr>
            <w:tcW w:w="1701" w:type="dxa"/>
          </w:tcPr>
          <w:p w14:paraId="3E4C1127" w14:textId="5E4C128B" w:rsidR="002D4BB3" w:rsidRPr="00223861" w:rsidRDefault="004A409E" w:rsidP="000A060E">
            <w:pPr>
              <w:spacing w:line="360" w:lineRule="auto"/>
              <w:rPr>
                <w:rFonts w:cs="Times New Roman"/>
                <w:sz w:val="20"/>
                <w:szCs w:val="20"/>
                <w:lang w:val="en-US"/>
              </w:rPr>
            </w:pPr>
            <w:r w:rsidRPr="00223861">
              <w:rPr>
                <w:rFonts w:cs="Times New Roman"/>
                <w:sz w:val="20"/>
                <w:szCs w:val="20"/>
                <w:lang w:val="en-US"/>
              </w:rPr>
              <w:t>Asset is delivered to the buyer at the settlement price of 0.995086</w:t>
            </w:r>
          </w:p>
        </w:tc>
        <w:tc>
          <w:tcPr>
            <w:tcW w:w="1134" w:type="dxa"/>
            <w:vAlign w:val="center"/>
          </w:tcPr>
          <w:p w14:paraId="073AE501" w14:textId="79CFEF9E" w:rsidR="002D4BB3" w:rsidRPr="00223861" w:rsidRDefault="008B6293" w:rsidP="003407F2">
            <w:pPr>
              <w:spacing w:line="360" w:lineRule="auto"/>
              <w:rPr>
                <w:rFonts w:cs="Times New Roman"/>
                <w:sz w:val="20"/>
                <w:szCs w:val="20"/>
                <w:lang w:val="en-US"/>
              </w:rPr>
            </w:pPr>
            <w:r w:rsidRPr="00223861">
              <w:rPr>
                <w:rFonts w:cs="Times New Roman"/>
                <w:sz w:val="20"/>
                <w:szCs w:val="20"/>
                <w:lang w:val="en-US"/>
              </w:rPr>
              <w:t>0.50</w:t>
            </w:r>
            <w:r w:rsidR="00183257" w:rsidRPr="00223861">
              <w:rPr>
                <w:rFonts w:cs="Times New Roman"/>
                <w:sz w:val="20"/>
                <w:szCs w:val="20"/>
                <w:lang w:val="en-US"/>
              </w:rPr>
              <w:t>491</w:t>
            </w:r>
          </w:p>
        </w:tc>
      </w:tr>
      <w:tr w:rsidR="008B6293" w:rsidRPr="00223861" w14:paraId="449DAB1E" w14:textId="77777777" w:rsidTr="0005699F">
        <w:tc>
          <w:tcPr>
            <w:tcW w:w="4014" w:type="dxa"/>
            <w:gridSpan w:val="4"/>
          </w:tcPr>
          <w:p w14:paraId="777C25CF" w14:textId="77BA1D9A" w:rsidR="008B6293" w:rsidRPr="00223861" w:rsidRDefault="008B6293" w:rsidP="008226B3">
            <w:pPr>
              <w:spacing w:line="360" w:lineRule="auto"/>
              <w:ind w:firstLine="709"/>
              <w:rPr>
                <w:rFonts w:cs="Times New Roman"/>
                <w:sz w:val="20"/>
                <w:szCs w:val="20"/>
                <w:lang w:val="en-US"/>
              </w:rPr>
            </w:pPr>
            <w:r w:rsidRPr="00223861">
              <w:rPr>
                <w:rFonts w:cs="Times New Roman"/>
                <w:b/>
                <w:bCs/>
                <w:sz w:val="20"/>
                <w:szCs w:val="20"/>
                <w:lang w:val="en-US"/>
              </w:rPr>
              <w:t>Total gain</w:t>
            </w:r>
          </w:p>
        </w:tc>
        <w:tc>
          <w:tcPr>
            <w:tcW w:w="2507" w:type="dxa"/>
            <w:vAlign w:val="center"/>
          </w:tcPr>
          <w:p w14:paraId="70C377D3" w14:textId="6FEC6FD8" w:rsidR="008B6293" w:rsidRPr="00223861" w:rsidRDefault="004A409E" w:rsidP="005203BE">
            <w:pPr>
              <w:spacing w:line="360" w:lineRule="auto"/>
              <w:rPr>
                <w:rFonts w:cs="Times New Roman"/>
                <w:sz w:val="20"/>
                <w:szCs w:val="20"/>
                <w:lang w:val="en-US"/>
              </w:rPr>
            </w:pPr>
            <w:r w:rsidRPr="00223861">
              <w:rPr>
                <w:rFonts w:cs="Times New Roman"/>
                <w:sz w:val="20"/>
                <w:szCs w:val="20"/>
                <w:lang w:val="en-US"/>
              </w:rPr>
              <w:t>0.104914</w:t>
            </w:r>
          </w:p>
        </w:tc>
        <w:tc>
          <w:tcPr>
            <w:tcW w:w="1701" w:type="dxa"/>
            <w:vAlign w:val="center"/>
          </w:tcPr>
          <w:p w14:paraId="15D8BCC9" w14:textId="4EB40977" w:rsidR="008B6293" w:rsidRPr="00223861" w:rsidRDefault="004A409E" w:rsidP="005203BE">
            <w:pPr>
              <w:spacing w:line="360" w:lineRule="auto"/>
              <w:rPr>
                <w:rFonts w:cs="Times New Roman"/>
                <w:sz w:val="20"/>
                <w:szCs w:val="20"/>
                <w:lang w:val="en-US"/>
              </w:rPr>
            </w:pPr>
            <w:r w:rsidRPr="00223861">
              <w:rPr>
                <w:rFonts w:cs="Times New Roman"/>
                <w:sz w:val="20"/>
                <w:szCs w:val="20"/>
                <w:lang w:val="en-US"/>
              </w:rPr>
              <w:t>0.104914</w:t>
            </w:r>
          </w:p>
        </w:tc>
        <w:tc>
          <w:tcPr>
            <w:tcW w:w="1134" w:type="dxa"/>
            <w:vAlign w:val="center"/>
          </w:tcPr>
          <w:p w14:paraId="36CF2A7C" w14:textId="5994375A" w:rsidR="008B6293" w:rsidRPr="00223861" w:rsidRDefault="008B6293" w:rsidP="008226B3">
            <w:pPr>
              <w:spacing w:line="360" w:lineRule="auto"/>
              <w:ind w:firstLine="709"/>
              <w:jc w:val="center"/>
              <w:rPr>
                <w:rFonts w:cs="Times New Roman"/>
                <w:sz w:val="20"/>
                <w:szCs w:val="20"/>
                <w:lang w:val="en-US"/>
              </w:rPr>
            </w:pPr>
            <w:r w:rsidRPr="00223861">
              <w:rPr>
                <w:rFonts w:cs="Times New Roman"/>
                <w:sz w:val="20"/>
                <w:szCs w:val="20"/>
                <w:lang w:val="en-US"/>
              </w:rPr>
              <w:t>-</w:t>
            </w:r>
          </w:p>
        </w:tc>
      </w:tr>
    </w:tbl>
    <w:p w14:paraId="788F9858" w14:textId="77BD24FE" w:rsidR="000047EE" w:rsidRDefault="000047EE" w:rsidP="008226B3">
      <w:pPr>
        <w:spacing w:after="0" w:line="360" w:lineRule="auto"/>
        <w:ind w:firstLine="709"/>
        <w:rPr>
          <w:rFonts w:cs="Times New Roman"/>
          <w:lang w:val="en-US"/>
        </w:rPr>
      </w:pPr>
    </w:p>
    <w:p w14:paraId="5CB61158" w14:textId="06744DF6" w:rsidR="008D49FF" w:rsidRDefault="003F7388" w:rsidP="008226B3">
      <w:pPr>
        <w:spacing w:after="0" w:line="360" w:lineRule="auto"/>
        <w:ind w:firstLine="709"/>
        <w:rPr>
          <w:rFonts w:cs="Times New Roman"/>
          <w:lang w:val="en-US"/>
        </w:rPr>
      </w:pPr>
      <w:r>
        <w:rPr>
          <w:rFonts w:cs="Times New Roman"/>
          <w:lang w:val="en-US"/>
        </w:rPr>
        <w:t>Using this model and following Hull, we could state several</w:t>
      </w:r>
      <w:r w:rsidR="008D49FF">
        <w:rPr>
          <w:rFonts w:cs="Times New Roman"/>
          <w:lang w:val="en-US"/>
        </w:rPr>
        <w:t xml:space="preserve"> key features of</w:t>
      </w:r>
      <w:r>
        <w:rPr>
          <w:rFonts w:cs="Times New Roman"/>
          <w:lang w:val="en-US"/>
        </w:rPr>
        <w:t xml:space="preserve"> FX futures</w:t>
      </w:r>
      <w:r w:rsidR="008D49FF">
        <w:rPr>
          <w:rFonts w:cs="Times New Roman"/>
          <w:lang w:val="en-US"/>
        </w:rPr>
        <w:t xml:space="preserve"> as opposed to</w:t>
      </w:r>
      <w:r>
        <w:rPr>
          <w:rFonts w:cs="Times New Roman"/>
          <w:lang w:val="en-US"/>
        </w:rPr>
        <w:t xml:space="preserve"> FX forwards: </w:t>
      </w:r>
      <w:r w:rsidR="008D49FF">
        <w:rPr>
          <w:rFonts w:cs="Times New Roman"/>
          <w:lang w:val="en-US"/>
        </w:rPr>
        <w:t>it is p</w:t>
      </w:r>
      <w:r>
        <w:rPr>
          <w:rFonts w:cs="Times New Roman"/>
          <w:lang w:val="en-US"/>
        </w:rPr>
        <w:t>resence of daily settlement to reduce credit risk</w:t>
      </w:r>
      <w:r w:rsidR="008D49FF">
        <w:rPr>
          <w:rFonts w:cs="Times New Roman"/>
          <w:lang w:val="en-US"/>
        </w:rPr>
        <w:t xml:space="preserve"> and a p</w:t>
      </w:r>
      <w:r>
        <w:rPr>
          <w:rFonts w:cs="Times New Roman"/>
          <w:lang w:val="en-US"/>
        </w:rPr>
        <w:t>re-specified delivery date</w:t>
      </w:r>
      <w:r w:rsidR="008D49FF">
        <w:rPr>
          <w:rStyle w:val="FootnoteReference"/>
          <w:rFonts w:cs="Times New Roman"/>
          <w:lang w:val="en-US"/>
        </w:rPr>
        <w:footnoteReference w:id="28"/>
      </w:r>
      <w:r w:rsidR="008D49FF">
        <w:rPr>
          <w:rFonts w:cs="Times New Roman"/>
          <w:lang w:val="en-US"/>
        </w:rPr>
        <w:t>.</w:t>
      </w:r>
    </w:p>
    <w:p w14:paraId="36DF8A5E" w14:textId="1BEB0A2E" w:rsidR="008D49FF" w:rsidRDefault="008D49FF" w:rsidP="008226B3">
      <w:pPr>
        <w:spacing w:after="0" w:line="360" w:lineRule="auto"/>
        <w:ind w:firstLine="709"/>
        <w:rPr>
          <w:rFonts w:cs="Times New Roman"/>
          <w:lang w:val="en-US"/>
        </w:rPr>
      </w:pPr>
      <w:r>
        <w:rPr>
          <w:rFonts w:cs="Times New Roman"/>
          <w:lang w:val="en-US"/>
        </w:rPr>
        <w:t xml:space="preserve">But, as could be seen from the table, the variation in daily margin, being the different between future prices at different days, is subject to risk of changes in interest rates and spot rate. But this variation could not be predicted in advance. </w:t>
      </w:r>
      <w:r w:rsidR="007474AF">
        <w:rPr>
          <w:rFonts w:cs="Times New Roman"/>
          <w:lang w:val="en-US"/>
        </w:rPr>
        <w:t>Given this</w:t>
      </w:r>
      <w:r>
        <w:rPr>
          <w:rFonts w:cs="Times New Roman"/>
          <w:lang w:val="en-US"/>
        </w:rPr>
        <w:t xml:space="preserve">, market participants used to price FX futures using the same pricing formula as </w:t>
      </w:r>
      <w:r w:rsidR="007474AF">
        <w:rPr>
          <w:rFonts w:cs="Times New Roman"/>
          <w:lang w:val="en-US"/>
        </w:rPr>
        <w:t>for FX forwards and no special widespread formula specifically for FX futures exists.</w:t>
      </w:r>
    </w:p>
    <w:p w14:paraId="22F23CD0" w14:textId="4213B095" w:rsidR="00D9498B" w:rsidRDefault="00D9498B" w:rsidP="008226B3">
      <w:pPr>
        <w:spacing w:after="0" w:line="360" w:lineRule="auto"/>
        <w:ind w:firstLine="709"/>
        <w:rPr>
          <w:rFonts w:cs="Times New Roman"/>
          <w:lang w:val="en-US"/>
        </w:rPr>
      </w:pPr>
    </w:p>
    <w:p w14:paraId="12510075" w14:textId="77777777" w:rsidR="0070258D" w:rsidRDefault="00D9498B" w:rsidP="008226B3">
      <w:pPr>
        <w:spacing w:after="0" w:line="360" w:lineRule="auto"/>
        <w:ind w:firstLine="709"/>
        <w:rPr>
          <w:rFonts w:cs="Times New Roman"/>
          <w:lang w:val="en-US"/>
        </w:rPr>
      </w:pPr>
      <w:r>
        <w:rPr>
          <w:rFonts w:cs="Times New Roman"/>
          <w:lang w:val="en-US"/>
        </w:rPr>
        <w:lastRenderedPageBreak/>
        <w:t xml:space="preserve">Having stated that the </w:t>
      </w:r>
      <w:r w:rsidR="000011A9">
        <w:rPr>
          <w:rFonts w:cs="Times New Roman"/>
          <w:lang w:val="en-US"/>
        </w:rPr>
        <w:t>universe of interest rates, theoretically applicable for FX futures’ valuation consists of quoted Interbank Offered Rates and OIS rates, we should take care of further application of these rates for our calculations</w:t>
      </w:r>
      <w:r w:rsidR="001C2D7B">
        <w:rPr>
          <w:rFonts w:cs="Times New Roman"/>
          <w:lang w:val="en-US"/>
        </w:rPr>
        <w:t>. We have determined that the interest rates which are used by market participants for FX futures valuation are designed to reflect real incurred interest on borrowing and lending and may differ from</w:t>
      </w:r>
      <w:r w:rsidR="0070258D">
        <w:rPr>
          <w:rFonts w:cs="Times New Roman"/>
          <w:lang w:val="en-US"/>
        </w:rPr>
        <w:t xml:space="preserve"> either</w:t>
      </w:r>
      <w:r w:rsidR="001C2D7B">
        <w:rPr>
          <w:rFonts w:cs="Times New Roman"/>
          <w:lang w:val="en-US"/>
        </w:rPr>
        <w:t xml:space="preserve"> LIBOR </w:t>
      </w:r>
      <w:r w:rsidR="0070258D">
        <w:rPr>
          <w:rFonts w:cs="Times New Roman"/>
          <w:lang w:val="en-US"/>
        </w:rPr>
        <w:t>or</w:t>
      </w:r>
      <w:r w:rsidR="001C2D7B">
        <w:rPr>
          <w:rFonts w:cs="Times New Roman"/>
          <w:lang w:val="en-US"/>
        </w:rPr>
        <w:t xml:space="preserve"> EURIBOR</w:t>
      </w:r>
      <w:r w:rsidR="0070258D">
        <w:rPr>
          <w:rFonts w:cs="Times New Roman"/>
          <w:lang w:val="en-US"/>
        </w:rPr>
        <w:t xml:space="preserve"> or OIS or all other quoted rates,</w:t>
      </w:r>
      <w:r w:rsidR="001C2D7B">
        <w:rPr>
          <w:rFonts w:cs="Times New Roman"/>
          <w:lang w:val="en-US"/>
        </w:rPr>
        <w:t xml:space="preserve"> depending from market circumstances and credit quality of the borrower.</w:t>
      </w:r>
      <w:r w:rsidR="00056177">
        <w:rPr>
          <w:rFonts w:cs="Times New Roman"/>
          <w:lang w:val="en-US"/>
        </w:rPr>
        <w:t xml:space="preserve"> </w:t>
      </w:r>
    </w:p>
    <w:p w14:paraId="608A1F93" w14:textId="77777777" w:rsidR="0070258D" w:rsidRDefault="00056177" w:rsidP="008226B3">
      <w:pPr>
        <w:spacing w:after="0" w:line="360" w:lineRule="auto"/>
        <w:ind w:firstLine="709"/>
        <w:rPr>
          <w:rFonts w:cs="Times New Roman"/>
          <w:lang w:val="en-US"/>
        </w:rPr>
      </w:pPr>
      <w:r>
        <w:rPr>
          <w:rFonts w:cs="Times New Roman"/>
          <w:lang w:val="en-US"/>
        </w:rPr>
        <w:t>Hence,</w:t>
      </w:r>
      <w:r w:rsidR="0070258D">
        <w:rPr>
          <w:rFonts w:cs="Times New Roman"/>
          <w:lang w:val="en-US"/>
        </w:rPr>
        <w:t xml:space="preserve"> theoretically,</w:t>
      </w:r>
      <w:r>
        <w:rPr>
          <w:rFonts w:cs="Times New Roman"/>
          <w:lang w:val="en-US"/>
        </w:rPr>
        <w:t xml:space="preserve"> to value FX futures correctly, we need</w:t>
      </w:r>
      <w:r w:rsidR="0070258D">
        <w:rPr>
          <w:rFonts w:cs="Times New Roman"/>
          <w:lang w:val="en-US"/>
        </w:rPr>
        <w:t xml:space="preserve"> to know</w:t>
      </w:r>
      <w:r>
        <w:rPr>
          <w:rFonts w:cs="Times New Roman"/>
          <w:lang w:val="en-US"/>
        </w:rPr>
        <w:t xml:space="preserve"> both the structure of market participants in the FX futures market, and their borrowing costs in each of the currencies. This information is closed and could not be obtained anywhere on a regularly updated basis</w:t>
      </w:r>
      <w:r w:rsidR="0070258D">
        <w:rPr>
          <w:rFonts w:cs="Times New Roman"/>
          <w:lang w:val="en-US"/>
        </w:rPr>
        <w:t>.</w:t>
      </w:r>
      <w:r>
        <w:rPr>
          <w:rFonts w:cs="Times New Roman"/>
          <w:lang w:val="en-US"/>
        </w:rPr>
        <w:t xml:space="preserve"> </w:t>
      </w:r>
    </w:p>
    <w:p w14:paraId="086A26BD" w14:textId="3110CD81" w:rsidR="00D9498B" w:rsidRPr="008966FC" w:rsidRDefault="0070258D" w:rsidP="008226B3">
      <w:pPr>
        <w:spacing w:after="0" w:line="360" w:lineRule="auto"/>
        <w:ind w:firstLine="709"/>
        <w:rPr>
          <w:rFonts w:cs="Times New Roman"/>
          <w:lang w:val="en-US"/>
        </w:rPr>
      </w:pPr>
      <w:r>
        <w:rPr>
          <w:rFonts w:cs="Times New Roman"/>
          <w:lang w:val="en-US"/>
        </w:rPr>
        <w:t>T</w:t>
      </w:r>
      <w:r w:rsidR="00056177">
        <w:rPr>
          <w:rFonts w:cs="Times New Roman"/>
          <w:lang w:val="en-US"/>
        </w:rPr>
        <w:t xml:space="preserve">hus we need to take into account that for the purposes of our research, </w:t>
      </w:r>
      <w:r w:rsidR="0084768D">
        <w:rPr>
          <w:rFonts w:cs="Times New Roman"/>
          <w:lang w:val="en-US"/>
        </w:rPr>
        <w:t xml:space="preserve">we should test applicability of both LIBOR rates and OIS rates, but should keep in mind that, </w:t>
      </w:r>
      <w:r w:rsidR="0084768D" w:rsidRPr="0070258D">
        <w:rPr>
          <w:rFonts w:cs="Times New Roman"/>
          <w:i/>
          <w:iCs/>
          <w:lang w:val="en-US"/>
        </w:rPr>
        <w:t xml:space="preserve">if some deviations </w:t>
      </w:r>
      <w:r>
        <w:rPr>
          <w:rFonts w:cs="Times New Roman"/>
          <w:i/>
          <w:iCs/>
          <w:lang w:val="en-US"/>
        </w:rPr>
        <w:t xml:space="preserve">of FX future price from it’s </w:t>
      </w:r>
      <w:r w:rsidR="0084768D" w:rsidRPr="0070258D">
        <w:rPr>
          <w:rFonts w:cs="Times New Roman"/>
          <w:i/>
          <w:iCs/>
          <w:lang w:val="en-US"/>
        </w:rPr>
        <w:t>theoretical value are observed,</w:t>
      </w:r>
      <w:r>
        <w:rPr>
          <w:rFonts w:cs="Times New Roman"/>
          <w:i/>
          <w:iCs/>
          <w:lang w:val="en-US"/>
        </w:rPr>
        <w:t xml:space="preserve"> than</w:t>
      </w:r>
      <w:r w:rsidR="0084768D" w:rsidRPr="0070258D">
        <w:rPr>
          <w:rFonts w:cs="Times New Roman"/>
          <w:i/>
          <w:iCs/>
          <w:lang w:val="en-US"/>
        </w:rPr>
        <w:t xml:space="preserve"> these deviations </w:t>
      </w:r>
      <w:r w:rsidR="0084768D" w:rsidRPr="0070258D">
        <w:rPr>
          <w:rFonts w:cs="Times New Roman"/>
          <w:b/>
          <w:bCs/>
          <w:i/>
          <w:iCs/>
          <w:lang w:val="en-US"/>
        </w:rPr>
        <w:t>may</w:t>
      </w:r>
      <w:r w:rsidRPr="0070258D">
        <w:rPr>
          <w:rFonts w:cs="Times New Roman"/>
          <w:b/>
          <w:bCs/>
          <w:i/>
          <w:iCs/>
          <w:lang w:val="en-US"/>
        </w:rPr>
        <w:t xml:space="preserve"> or may not</w:t>
      </w:r>
      <w:r w:rsidRPr="0070258D">
        <w:rPr>
          <w:rFonts w:cs="Times New Roman"/>
          <w:i/>
          <w:iCs/>
          <w:lang w:val="en-US"/>
        </w:rPr>
        <w:t xml:space="preserve"> </w:t>
      </w:r>
      <w:r w:rsidR="0084768D" w:rsidRPr="0070258D">
        <w:rPr>
          <w:rFonts w:cs="Times New Roman"/>
          <w:i/>
          <w:iCs/>
          <w:lang w:val="en-US"/>
        </w:rPr>
        <w:t xml:space="preserve"> </w:t>
      </w:r>
      <w:r w:rsidRPr="0070258D">
        <w:rPr>
          <w:rFonts w:cs="Times New Roman"/>
          <w:i/>
          <w:iCs/>
          <w:lang w:val="en-US"/>
        </w:rPr>
        <w:t>represent</w:t>
      </w:r>
      <w:r w:rsidR="0084768D" w:rsidRPr="0070258D">
        <w:rPr>
          <w:rFonts w:cs="Times New Roman"/>
          <w:i/>
          <w:iCs/>
          <w:lang w:val="en-US"/>
        </w:rPr>
        <w:t xml:space="preserve"> arbitrage opportunity</w:t>
      </w:r>
      <w:r>
        <w:rPr>
          <w:rFonts w:cs="Times New Roman"/>
          <w:i/>
          <w:iCs/>
          <w:lang w:val="en-US"/>
        </w:rPr>
        <w:t xml:space="preserve">. </w:t>
      </w:r>
      <w:r w:rsidRPr="006B4E3C">
        <w:rPr>
          <w:rFonts w:cs="Times New Roman"/>
          <w:lang w:val="en-US"/>
        </w:rPr>
        <w:t>For example,</w:t>
      </w:r>
      <w:r w:rsidR="006B4E3C">
        <w:rPr>
          <w:rFonts w:cs="Times New Roman"/>
          <w:lang w:val="en-US"/>
        </w:rPr>
        <w:t xml:space="preserve"> such</w:t>
      </w:r>
      <w:r w:rsidRPr="006B4E3C">
        <w:rPr>
          <w:rFonts w:cs="Times New Roman"/>
          <w:lang w:val="en-US"/>
        </w:rPr>
        <w:t xml:space="preserve"> systematical deviations</w:t>
      </w:r>
      <w:r w:rsidR="0084768D" w:rsidRPr="006B4E3C">
        <w:rPr>
          <w:rFonts w:cs="Times New Roman"/>
          <w:lang w:val="en-US"/>
        </w:rPr>
        <w:t xml:space="preserve"> </w:t>
      </w:r>
      <w:r w:rsidR="006B4E3C" w:rsidRPr="006B4E3C">
        <w:rPr>
          <w:rFonts w:cs="Times New Roman"/>
          <w:lang w:val="en-US"/>
        </w:rPr>
        <w:t>may</w:t>
      </w:r>
      <w:r w:rsidR="0084768D" w:rsidRPr="006B4E3C">
        <w:rPr>
          <w:rFonts w:cs="Times New Roman"/>
          <w:lang w:val="en-US"/>
        </w:rPr>
        <w:t xml:space="preserve"> represent the situation, when </w:t>
      </w:r>
      <w:r w:rsidR="00773299" w:rsidRPr="006B4E3C">
        <w:rPr>
          <w:rFonts w:cs="Times New Roman"/>
          <w:lang w:val="en-US"/>
        </w:rPr>
        <w:t>LIBOR or OIS interest rate differs from interest rate, applied by market participant.</w:t>
      </w:r>
    </w:p>
    <w:p w14:paraId="41F3EE6F" w14:textId="634B07E0" w:rsidR="0060316D" w:rsidRDefault="0060316D">
      <w:pPr>
        <w:jc w:val="left"/>
        <w:rPr>
          <w:rFonts w:cs="Times New Roman"/>
          <w:lang w:val="en-US"/>
        </w:rPr>
      </w:pPr>
      <w:r>
        <w:rPr>
          <w:rFonts w:cs="Times New Roman"/>
          <w:lang w:val="en-US"/>
        </w:rPr>
        <w:br w:type="page"/>
      </w:r>
    </w:p>
    <w:p w14:paraId="10F110CE" w14:textId="016E29BA" w:rsidR="006B6861" w:rsidRPr="006B6861" w:rsidRDefault="00467D70" w:rsidP="008226B3">
      <w:pPr>
        <w:pStyle w:val="Heading1"/>
        <w:spacing w:line="360" w:lineRule="auto"/>
        <w:ind w:firstLine="709"/>
        <w:rPr>
          <w:lang w:val="en-US"/>
        </w:rPr>
      </w:pPr>
      <w:bookmarkStart w:id="10" w:name="_Toc73483048"/>
      <w:r>
        <w:rPr>
          <w:lang w:val="en-US"/>
        </w:rPr>
        <w:lastRenderedPageBreak/>
        <w:t xml:space="preserve">1.3. </w:t>
      </w:r>
      <w:r w:rsidR="00EB7882">
        <w:rPr>
          <w:lang w:val="en-US"/>
        </w:rPr>
        <w:t>REVIEW OF EMPIRICAL STUDIE</w:t>
      </w:r>
      <w:r w:rsidR="00365A03">
        <w:rPr>
          <w:lang w:val="en-US"/>
        </w:rPr>
        <w:t>S</w:t>
      </w:r>
      <w:bookmarkEnd w:id="10"/>
    </w:p>
    <w:p w14:paraId="3C79ED3C" w14:textId="7781EAF6" w:rsidR="0070654F" w:rsidRDefault="0070654F" w:rsidP="008226B3">
      <w:pPr>
        <w:spacing w:after="0" w:line="360" w:lineRule="auto"/>
        <w:ind w:firstLine="709"/>
        <w:rPr>
          <w:rFonts w:cs="Times New Roman"/>
          <w:lang w:val="en-US"/>
        </w:rPr>
      </w:pPr>
      <w:r>
        <w:rPr>
          <w:rFonts w:cs="Times New Roman"/>
          <w:lang w:val="en-US"/>
        </w:rPr>
        <w:t>The scope of our research is acknowledgement of key pricing drivers of FX futures under negative interest rates environment. Thus, literature</w:t>
      </w:r>
      <w:r w:rsidR="0060316D">
        <w:rPr>
          <w:rFonts w:cs="Times New Roman"/>
          <w:lang w:val="en-US"/>
        </w:rPr>
        <w:t xml:space="preserve"> relevant for ous research</w:t>
      </w:r>
      <w:r>
        <w:rPr>
          <w:rFonts w:cs="Times New Roman"/>
          <w:lang w:val="en-US"/>
        </w:rPr>
        <w:t xml:space="preserve"> covers either</w:t>
      </w:r>
      <w:r w:rsidR="00B07735">
        <w:rPr>
          <w:rFonts w:cs="Times New Roman"/>
          <w:lang w:val="en-US"/>
        </w:rPr>
        <w:t xml:space="preserve"> (a)</w:t>
      </w:r>
      <w:r>
        <w:rPr>
          <w:rFonts w:cs="Times New Roman"/>
          <w:lang w:val="en-US"/>
        </w:rPr>
        <w:t xml:space="preserve"> various topics of futures pricing</w:t>
      </w:r>
      <w:r w:rsidR="0060316D">
        <w:rPr>
          <w:rFonts w:cs="Times New Roman"/>
          <w:lang w:val="en-US"/>
        </w:rPr>
        <w:t xml:space="preserve"> (not necessarily on FX futures)</w:t>
      </w:r>
      <w:r>
        <w:rPr>
          <w:rFonts w:cs="Times New Roman"/>
          <w:lang w:val="en-US"/>
        </w:rPr>
        <w:t>, or</w:t>
      </w:r>
      <w:r w:rsidR="00B07735">
        <w:rPr>
          <w:rFonts w:cs="Times New Roman"/>
          <w:lang w:val="en-US"/>
        </w:rPr>
        <w:t xml:space="preserve"> (b)</w:t>
      </w:r>
      <w:r>
        <w:rPr>
          <w:rFonts w:cs="Times New Roman"/>
          <w:lang w:val="en-US"/>
        </w:rPr>
        <w:t xml:space="preserve"> interest rates policy of Central Banks. Proper review of existing approaches and findings on two mentioned topics could help us to set right </w:t>
      </w:r>
      <w:r w:rsidR="00B07735">
        <w:rPr>
          <w:rFonts w:cs="Times New Roman"/>
          <w:lang w:val="en-US"/>
        </w:rPr>
        <w:t>research goals, questions and hypotheses</w:t>
      </w:r>
      <w:r w:rsidR="0060316D">
        <w:rPr>
          <w:rFonts w:cs="Times New Roman"/>
          <w:lang w:val="en-US"/>
        </w:rPr>
        <w:t>. They are presented immediately after the Literature review.</w:t>
      </w:r>
    </w:p>
    <w:p w14:paraId="520CC908" w14:textId="44A09CFB" w:rsidR="00815A70" w:rsidRPr="00D652E5" w:rsidRDefault="002D33AB" w:rsidP="008226B3">
      <w:pPr>
        <w:spacing w:after="0" w:line="360" w:lineRule="auto"/>
        <w:ind w:firstLine="709"/>
        <w:rPr>
          <w:rFonts w:cs="Times New Roman"/>
          <w:lang w:val="en-US"/>
        </w:rPr>
      </w:pPr>
      <w:r>
        <w:rPr>
          <w:rFonts w:cs="Times New Roman"/>
          <w:lang w:val="en-US"/>
        </w:rPr>
        <w:t>Futures pricing attracts researchers’ attention from various different points</w:t>
      </w:r>
      <w:r w:rsidR="00DC7327">
        <w:rPr>
          <w:rFonts w:cs="Times New Roman"/>
          <w:lang w:val="en-US"/>
        </w:rPr>
        <w:t>, depending on whether the theoretical price of the contract could be directly calculated (stock index and FX futures) or not (commodity futures).</w:t>
      </w:r>
      <w:r w:rsidR="0060316D">
        <w:rPr>
          <w:rFonts w:cs="Times New Roman"/>
          <w:lang w:val="en-US"/>
        </w:rPr>
        <w:t xml:space="preserve"> </w:t>
      </w:r>
      <w:r w:rsidR="00DC7327">
        <w:rPr>
          <w:rFonts w:cs="Times New Roman"/>
          <w:lang w:val="en-US"/>
        </w:rPr>
        <w:t xml:space="preserve">In case of non-ability to calculate theoretical price of the contract, not the deviation from the theoretical value, but another parameters are studied. For example, </w:t>
      </w:r>
      <w:r w:rsidR="00D62751">
        <w:rPr>
          <w:rFonts w:cs="Times New Roman"/>
          <w:lang w:val="en-US"/>
        </w:rPr>
        <w:t>futures</w:t>
      </w:r>
      <w:r w:rsidR="00DC7327">
        <w:rPr>
          <w:rFonts w:cs="Times New Roman"/>
          <w:lang w:val="en-US"/>
        </w:rPr>
        <w:t>’</w:t>
      </w:r>
      <w:r w:rsidR="00D62751">
        <w:rPr>
          <w:rFonts w:cs="Times New Roman"/>
          <w:lang w:val="en-US"/>
        </w:rPr>
        <w:t xml:space="preserve"> prices volatility</w:t>
      </w:r>
      <w:r w:rsidR="00DC7327">
        <w:rPr>
          <w:rFonts w:cs="Times New Roman"/>
          <w:lang w:val="en-US"/>
        </w:rPr>
        <w:t xml:space="preserve"> with regard to some </w:t>
      </w:r>
      <w:r w:rsidR="00B07735">
        <w:rPr>
          <w:rFonts w:cs="Times New Roman"/>
          <w:lang w:val="en-US"/>
        </w:rPr>
        <w:t xml:space="preserve">behavioral </w:t>
      </w:r>
      <w:r w:rsidR="00DC7327">
        <w:rPr>
          <w:rFonts w:cs="Times New Roman"/>
          <w:lang w:val="en-US"/>
        </w:rPr>
        <w:t>context</w:t>
      </w:r>
      <w:r w:rsidR="00B07735">
        <w:rPr>
          <w:rFonts w:cs="Times New Roman"/>
          <w:lang w:val="en-US"/>
        </w:rPr>
        <w:t xml:space="preserve"> of pricing </w:t>
      </w:r>
      <w:r w:rsidR="00DC7327">
        <w:rPr>
          <w:rFonts w:cs="Times New Roman"/>
          <w:lang w:val="en-US"/>
        </w:rPr>
        <w:t xml:space="preserve">could be within </w:t>
      </w:r>
      <w:r w:rsidR="00B07735">
        <w:rPr>
          <w:rFonts w:cs="Times New Roman"/>
          <w:lang w:val="en-US"/>
        </w:rPr>
        <w:t>the scope of analysis.</w:t>
      </w:r>
      <w:r w:rsidR="00815A70">
        <w:rPr>
          <w:rFonts w:cs="Times New Roman"/>
          <w:lang w:val="en-US"/>
        </w:rPr>
        <w:t xml:space="preserve"> </w:t>
      </w:r>
      <w:r w:rsidR="00B07735">
        <w:rPr>
          <w:rFonts w:cs="Times New Roman"/>
          <w:lang w:val="en-US"/>
        </w:rPr>
        <w:t>In</w:t>
      </w:r>
      <w:r w:rsidR="00815A70">
        <w:rPr>
          <w:rFonts w:cs="Times New Roman"/>
          <w:lang w:val="en-US"/>
        </w:rPr>
        <w:t xml:space="preserve"> the work </w:t>
      </w:r>
      <w:r w:rsidR="00815A70" w:rsidRPr="00815A70">
        <w:rPr>
          <w:rFonts w:cs="Times New Roman"/>
          <w:lang w:val="en-US"/>
        </w:rPr>
        <w:t>«</w:t>
      </w:r>
      <w:r w:rsidR="00815A70" w:rsidRPr="00A46EF4">
        <w:rPr>
          <w:rFonts w:cs="Times New Roman"/>
          <w:lang w:val="en-US"/>
        </w:rPr>
        <w:t>The time‐to‐maturity pattern of futures price sensitivity to news</w:t>
      </w:r>
      <w:r w:rsidR="00815A70" w:rsidRPr="00815A70">
        <w:rPr>
          <w:rFonts w:cs="Times New Roman"/>
          <w:lang w:val="en-US"/>
        </w:rPr>
        <w:t xml:space="preserve">» </w:t>
      </w:r>
      <w:r w:rsidR="00815A70">
        <w:rPr>
          <w:rFonts w:cs="Times New Roman"/>
          <w:lang w:val="en-US"/>
        </w:rPr>
        <w:t xml:space="preserve">by Phan H-L. and </w:t>
      </w:r>
      <w:r w:rsidR="00815A70" w:rsidRPr="00A46EF4">
        <w:rPr>
          <w:rFonts w:cs="Times New Roman"/>
          <w:lang w:val="en-US"/>
        </w:rPr>
        <w:t>Zurbruegg</w:t>
      </w:r>
      <w:r w:rsidR="00815A70">
        <w:rPr>
          <w:rFonts w:cs="Times New Roman"/>
          <w:lang w:val="en-US"/>
        </w:rPr>
        <w:t xml:space="preserve"> R.</w:t>
      </w:r>
      <w:r w:rsidR="00B07735">
        <w:rPr>
          <w:rFonts w:cs="Times New Roman"/>
          <w:lang w:val="en-US"/>
        </w:rPr>
        <w:t>,</w:t>
      </w:r>
      <w:r w:rsidR="00815A70">
        <w:rPr>
          <w:rFonts w:cs="Times New Roman"/>
          <w:lang w:val="en-US"/>
        </w:rPr>
        <w:t xml:space="preserve"> </w:t>
      </w:r>
      <w:r w:rsidR="00B07735">
        <w:rPr>
          <w:rFonts w:cs="Times New Roman"/>
          <w:lang w:val="en-US"/>
        </w:rPr>
        <w:t>a</w:t>
      </w:r>
      <w:r w:rsidR="00815A70">
        <w:rPr>
          <w:rFonts w:cs="Times New Roman"/>
          <w:lang w:val="en-US"/>
        </w:rPr>
        <w:t xml:space="preserve">uthors studied how the volatility of 12 commodity futures is related to the  </w:t>
      </w:r>
      <w:r w:rsidR="00815A70" w:rsidRPr="00A46EF4">
        <w:rPr>
          <w:rFonts w:cs="Times New Roman"/>
          <w:lang w:val="en-US"/>
        </w:rPr>
        <w:t>daily number of news on underlying asset value</w:t>
      </w:r>
      <w:r w:rsidR="00815A70">
        <w:rPr>
          <w:rFonts w:cs="Times New Roman"/>
          <w:lang w:val="en-US"/>
        </w:rPr>
        <w:t xml:space="preserve">, </w:t>
      </w:r>
      <w:r w:rsidR="00815A70" w:rsidRPr="00A46EF4">
        <w:rPr>
          <w:rFonts w:cs="Times New Roman"/>
          <w:lang w:val="en-US"/>
        </w:rPr>
        <w:t>where (in the number of days until expiration) this volatility</w:t>
      </w:r>
      <w:r w:rsidR="00815A70">
        <w:rPr>
          <w:rStyle w:val="FootnoteReference"/>
          <w:rFonts w:cs="Times New Roman"/>
          <w:lang w:val="en-US"/>
        </w:rPr>
        <w:footnoteReference w:id="29"/>
      </w:r>
      <w:r w:rsidR="00815A70" w:rsidRPr="00A46EF4">
        <w:rPr>
          <w:rFonts w:cs="Times New Roman"/>
          <w:lang w:val="en-US"/>
        </w:rPr>
        <w:t xml:space="preserve"> is concentrated</w:t>
      </w:r>
      <w:r w:rsidR="00815A70">
        <w:rPr>
          <w:rFonts w:cs="Times New Roman"/>
          <w:lang w:val="en-US"/>
        </w:rPr>
        <w:t xml:space="preserve"> and </w:t>
      </w:r>
      <w:r w:rsidR="00815A70" w:rsidRPr="00A46EF4">
        <w:rPr>
          <w:rFonts w:cs="Times New Roman"/>
          <w:lang w:val="en-US"/>
        </w:rPr>
        <w:t>whether this concentration varies between different "clusters" of underlying commodities</w:t>
      </w:r>
      <w:r w:rsidR="00815A70">
        <w:rPr>
          <w:rFonts w:cs="Times New Roman"/>
          <w:lang w:val="en-US"/>
        </w:rPr>
        <w:t>. Given the broad time range from 2003-2014 and data with 5 min update frequency, authors were able to study quick price changes. Authors found, that</w:t>
      </w:r>
    </w:p>
    <w:p w14:paraId="4F89120B" w14:textId="46C410C0" w:rsidR="00815A70" w:rsidRPr="00A46EF4" w:rsidRDefault="00815A70" w:rsidP="008226B3">
      <w:pPr>
        <w:pStyle w:val="ListParagraph"/>
        <w:numPr>
          <w:ilvl w:val="0"/>
          <w:numId w:val="4"/>
        </w:numPr>
        <w:spacing w:after="0" w:line="360" w:lineRule="auto"/>
        <w:ind w:left="284" w:firstLine="709"/>
        <w:rPr>
          <w:rFonts w:cs="Times New Roman"/>
          <w:lang w:val="en-US"/>
        </w:rPr>
      </w:pPr>
      <w:r>
        <w:rPr>
          <w:rFonts w:cs="Times New Roman"/>
          <w:lang w:val="en-US"/>
        </w:rPr>
        <w:t>V</w:t>
      </w:r>
      <w:r w:rsidRPr="00A46EF4">
        <w:rPr>
          <w:rFonts w:cs="Times New Roman"/>
          <w:lang w:val="en-US"/>
        </w:rPr>
        <w:t>olatility changes over the life of the contract and tends to follow inverted u-shaped pattern</w:t>
      </w:r>
      <w:r>
        <w:rPr>
          <w:rFonts w:cs="Times New Roman"/>
          <w:lang w:val="en-US"/>
        </w:rPr>
        <w:t xml:space="preserve">: </w:t>
      </w:r>
      <w:r w:rsidRPr="00A46EF4">
        <w:rPr>
          <w:rFonts w:cs="Times New Roman"/>
          <w:lang w:val="en-US"/>
        </w:rPr>
        <w:t>peak of volatility lies in a certain number of days until expiration</w:t>
      </w:r>
      <w:r>
        <w:rPr>
          <w:rStyle w:val="FootnoteReference"/>
          <w:rFonts w:cs="Times New Roman"/>
          <w:lang w:val="en-US"/>
        </w:rPr>
        <w:footnoteReference w:id="30"/>
      </w:r>
      <w:r>
        <w:rPr>
          <w:rFonts w:cs="Times New Roman"/>
          <w:lang w:val="en-US"/>
        </w:rPr>
        <w:t>;</w:t>
      </w:r>
    </w:p>
    <w:p w14:paraId="58861D8A" w14:textId="1BED77C2" w:rsidR="00815A70" w:rsidRPr="00754DB8" w:rsidRDefault="00815A70" w:rsidP="008226B3">
      <w:pPr>
        <w:pStyle w:val="ListParagraph"/>
        <w:numPr>
          <w:ilvl w:val="0"/>
          <w:numId w:val="4"/>
        </w:numPr>
        <w:spacing w:after="0" w:line="360" w:lineRule="auto"/>
        <w:ind w:left="284" w:firstLine="709"/>
        <w:rPr>
          <w:rFonts w:cs="Times New Roman"/>
          <w:lang w:val="en-US"/>
        </w:rPr>
      </w:pPr>
      <w:r w:rsidRPr="00754DB8">
        <w:rPr>
          <w:rFonts w:cs="Times New Roman"/>
          <w:lang w:val="en-US"/>
        </w:rPr>
        <w:t xml:space="preserve">Concentration of volatility is different in different commodity </w:t>
      </w:r>
      <w:r w:rsidR="0060316D" w:rsidRPr="0060316D">
        <w:rPr>
          <w:rFonts w:cs="Times New Roman"/>
          <w:lang w:val="en-US"/>
        </w:rPr>
        <w:t>«</w:t>
      </w:r>
      <w:r w:rsidRPr="00754DB8">
        <w:rPr>
          <w:rFonts w:cs="Times New Roman"/>
          <w:lang w:val="en-US"/>
        </w:rPr>
        <w:t>clusters</w:t>
      </w:r>
      <w:r w:rsidR="0060316D" w:rsidRPr="0060316D">
        <w:rPr>
          <w:rFonts w:cs="Times New Roman"/>
          <w:lang w:val="en-US"/>
        </w:rPr>
        <w:t>»</w:t>
      </w:r>
      <w:r w:rsidRPr="00754DB8">
        <w:rPr>
          <w:rFonts w:cs="Times New Roman"/>
          <w:lang w:val="en-US"/>
        </w:rPr>
        <w:t>: «</w:t>
      </w:r>
      <w:r w:rsidR="00B07735">
        <w:rPr>
          <w:rFonts w:cs="Times New Roman"/>
          <w:lang w:val="en-US"/>
        </w:rPr>
        <w:t>…f</w:t>
      </w:r>
      <w:r w:rsidRPr="00754DB8">
        <w:rPr>
          <w:rFonts w:cs="Times New Roman"/>
          <w:lang w:val="en-US"/>
        </w:rPr>
        <w:t xml:space="preserve">or example, the </w:t>
      </w:r>
      <w:r w:rsidR="00B07735">
        <w:rPr>
          <w:rFonts w:cs="Times New Roman"/>
          <w:lang w:val="en-US"/>
        </w:rPr>
        <w:t>p</w:t>
      </w:r>
      <w:r w:rsidRPr="00754DB8">
        <w:rPr>
          <w:rFonts w:cs="Times New Roman"/>
          <w:lang w:val="en-US"/>
        </w:rPr>
        <w:t>rice-to-maturity for metals (gold, silver, and copper) occur much further away from the maturity date of</w:t>
      </w:r>
      <w:r>
        <w:rPr>
          <w:rFonts w:cs="Times New Roman"/>
          <w:lang w:val="en-US"/>
        </w:rPr>
        <w:t xml:space="preserve"> </w:t>
      </w:r>
      <w:r w:rsidRPr="00754DB8">
        <w:rPr>
          <w:rFonts w:cs="Times New Roman"/>
          <w:lang w:val="en-US"/>
        </w:rPr>
        <w:t>their contracts relative to the energy futures of crude oil and natural gas. One reason why there are differences can be due to variations in the type of traders that are active across the commodity contracts»</w:t>
      </w:r>
      <w:r>
        <w:rPr>
          <w:rStyle w:val="FootnoteReference"/>
          <w:rFonts w:cs="Times New Roman"/>
          <w:lang w:val="en-US"/>
        </w:rPr>
        <w:footnoteReference w:id="31"/>
      </w:r>
      <w:r>
        <w:rPr>
          <w:rFonts w:cs="Times New Roman"/>
          <w:lang w:val="en-US"/>
        </w:rPr>
        <w:t>;</w:t>
      </w:r>
    </w:p>
    <w:p w14:paraId="2C282667" w14:textId="2DCC31D1" w:rsidR="00815A70" w:rsidRPr="00754DB8" w:rsidRDefault="00815A70" w:rsidP="008226B3">
      <w:pPr>
        <w:pStyle w:val="ListParagraph"/>
        <w:numPr>
          <w:ilvl w:val="3"/>
          <w:numId w:val="4"/>
        </w:numPr>
        <w:spacing w:after="0" w:line="360" w:lineRule="auto"/>
        <w:ind w:left="284" w:firstLine="709"/>
        <w:rPr>
          <w:rFonts w:cs="Times New Roman"/>
          <w:lang w:val="en-US"/>
        </w:rPr>
      </w:pPr>
      <w:r w:rsidRPr="00754DB8">
        <w:rPr>
          <w:rFonts w:cs="Times New Roman"/>
          <w:lang w:val="en-US"/>
        </w:rPr>
        <w:t>Open Interest and Daily volume also ha</w:t>
      </w:r>
      <w:r>
        <w:rPr>
          <w:rFonts w:cs="Times New Roman"/>
          <w:lang w:val="en-US"/>
        </w:rPr>
        <w:t>ve</w:t>
      </w:r>
      <w:r w:rsidRPr="00754DB8">
        <w:rPr>
          <w:rFonts w:cs="Times New Roman"/>
          <w:lang w:val="en-US"/>
        </w:rPr>
        <w:t xml:space="preserve"> inverted U-shaped pattern</w:t>
      </w:r>
      <w:r w:rsidR="00B07735">
        <w:rPr>
          <w:rFonts w:cs="Times New Roman"/>
          <w:lang w:val="en-US"/>
        </w:rPr>
        <w:t>: largest values of these parameters are concentrated around the middle of the contract live</w:t>
      </w:r>
      <w:r>
        <w:rPr>
          <w:rFonts w:cs="Times New Roman"/>
          <w:lang w:val="en-US"/>
        </w:rPr>
        <w:t>;</w:t>
      </w:r>
    </w:p>
    <w:p w14:paraId="1B560D25" w14:textId="089565E8" w:rsidR="00815A70" w:rsidRPr="00754DB8" w:rsidRDefault="00815A70" w:rsidP="008226B3">
      <w:pPr>
        <w:pStyle w:val="ListParagraph"/>
        <w:numPr>
          <w:ilvl w:val="3"/>
          <w:numId w:val="4"/>
        </w:numPr>
        <w:spacing w:after="0" w:line="360" w:lineRule="auto"/>
        <w:ind w:left="284" w:firstLine="709"/>
        <w:rPr>
          <w:rFonts w:cs="Times New Roman"/>
          <w:lang w:val="en-US"/>
        </w:rPr>
      </w:pPr>
      <w:r>
        <w:rPr>
          <w:rFonts w:cs="Times New Roman"/>
          <w:lang w:val="en-US"/>
        </w:rPr>
        <w:t>Y</w:t>
      </w:r>
      <w:r w:rsidRPr="00754DB8">
        <w:rPr>
          <w:rFonts w:cs="Times New Roman"/>
          <w:lang w:val="en-US"/>
        </w:rPr>
        <w:t>ear-over-year, peak of volatility concentration tends to occur in a greater number of days until expiration</w:t>
      </w:r>
      <w:r>
        <w:rPr>
          <w:rFonts w:cs="Times New Roman"/>
          <w:lang w:val="en-US"/>
        </w:rPr>
        <w:t>;</w:t>
      </w:r>
    </w:p>
    <w:p w14:paraId="375C0538" w14:textId="189676A6" w:rsidR="00D62751" w:rsidRPr="00815A70" w:rsidRDefault="00815A70" w:rsidP="008226B3">
      <w:pPr>
        <w:spacing w:after="0" w:line="360" w:lineRule="auto"/>
        <w:ind w:firstLine="709"/>
        <w:rPr>
          <w:rFonts w:cs="Times New Roman"/>
          <w:lang w:val="en-US"/>
        </w:rPr>
      </w:pPr>
      <w:r>
        <w:rPr>
          <w:rFonts w:cs="Times New Roman"/>
          <w:lang w:val="en-US"/>
        </w:rPr>
        <w:lastRenderedPageBreak/>
        <w:t>This sheds the light that even in the absence of uniformly-agreed theoretical price, future contracts may attract research</w:t>
      </w:r>
      <w:r w:rsidR="00DC7327">
        <w:rPr>
          <w:rFonts w:cs="Times New Roman"/>
          <w:lang w:val="en-US"/>
        </w:rPr>
        <w:t>ers’</w:t>
      </w:r>
      <w:r>
        <w:rPr>
          <w:rFonts w:cs="Times New Roman"/>
          <w:lang w:val="en-US"/>
        </w:rPr>
        <w:t xml:space="preserve"> attentio</w:t>
      </w:r>
      <w:r w:rsidR="00066D94">
        <w:rPr>
          <w:rFonts w:cs="Times New Roman"/>
          <w:lang w:val="en-US"/>
        </w:rPr>
        <w:t>n.</w:t>
      </w:r>
    </w:p>
    <w:p w14:paraId="244456D8" w14:textId="7AE73311" w:rsidR="008C2BE5" w:rsidRPr="008C2BE5" w:rsidRDefault="00DC7327" w:rsidP="008226B3">
      <w:pPr>
        <w:spacing w:after="0" w:line="360" w:lineRule="auto"/>
        <w:ind w:firstLine="709"/>
        <w:rPr>
          <w:rFonts w:cs="Times New Roman"/>
          <w:lang w:val="en-US"/>
        </w:rPr>
      </w:pPr>
      <w:r>
        <w:rPr>
          <w:rFonts w:cs="Times New Roman"/>
          <w:lang w:val="en-US"/>
        </w:rPr>
        <w:t xml:space="preserve">In case if theoretical price of the contract could be directly revealed, additional aspect, namely deviation of the contract price from theoretical value, could be studied. </w:t>
      </w:r>
      <w:r w:rsidR="00066D94">
        <w:rPr>
          <w:rFonts w:cs="Times New Roman"/>
          <w:lang w:val="en-US"/>
        </w:rPr>
        <w:t xml:space="preserve">This literature tends to concentrate on FX futures, where both the underlying asset value and cost of carry are </w:t>
      </w:r>
      <w:r w:rsidR="00066D94" w:rsidRPr="00D93D0D">
        <w:rPr>
          <w:rFonts w:cs="Times New Roman"/>
          <w:lang w:val="en-US"/>
        </w:rPr>
        <w:t>directly</w:t>
      </w:r>
      <w:r w:rsidR="00066D94">
        <w:rPr>
          <w:rFonts w:cs="Times New Roman"/>
          <w:lang w:val="en-US"/>
        </w:rPr>
        <w:t xml:space="preserve"> revealed: underlying asset as a FX spot rate and cost of carry as a </w:t>
      </w:r>
      <w:r>
        <w:rPr>
          <w:rFonts w:cs="Times New Roman"/>
          <w:lang w:val="en-US"/>
        </w:rPr>
        <w:t>differential of interbank interest rate</w:t>
      </w:r>
      <w:r w:rsidR="006F72AE">
        <w:rPr>
          <w:rFonts w:cs="Times New Roman"/>
          <w:lang w:val="en-US"/>
        </w:rPr>
        <w:t>s, as stated in the formula presented in the chapters before</w:t>
      </w:r>
      <w:r w:rsidR="00066D94">
        <w:rPr>
          <w:rFonts w:cs="Times New Roman"/>
          <w:lang w:val="en-US"/>
        </w:rPr>
        <w:t>.</w:t>
      </w:r>
      <w:r w:rsidR="008C2BE5">
        <w:rPr>
          <w:rFonts w:cs="Times New Roman"/>
          <w:lang w:val="en-US"/>
        </w:rPr>
        <w:t xml:space="preserve"> Given the deviation, researchers’ attention is generally paid on either (</w:t>
      </w:r>
      <w:r w:rsidR="006F72AE">
        <w:rPr>
          <w:rFonts w:cs="Times New Roman"/>
          <w:lang w:val="en-US"/>
        </w:rPr>
        <w:t>a</w:t>
      </w:r>
      <w:r w:rsidR="008C2BE5">
        <w:rPr>
          <w:rFonts w:cs="Times New Roman"/>
          <w:lang w:val="en-US"/>
        </w:rPr>
        <w:t>) predictability of FX spot return given the short-term mispricing of FX future</w:t>
      </w:r>
      <w:r w:rsidR="008C2BE5">
        <w:rPr>
          <w:rStyle w:val="FootnoteReference"/>
          <w:rFonts w:cs="Times New Roman"/>
          <w:lang w:val="en-US"/>
        </w:rPr>
        <w:footnoteReference w:id="32"/>
      </w:r>
      <w:r w:rsidR="008C2BE5">
        <w:rPr>
          <w:rFonts w:cs="Times New Roman"/>
          <w:lang w:val="en-US"/>
        </w:rPr>
        <w:t xml:space="preserve"> or (</w:t>
      </w:r>
      <w:r w:rsidR="006F72AE">
        <w:rPr>
          <w:rFonts w:cs="Times New Roman"/>
          <w:lang w:val="en-US"/>
        </w:rPr>
        <w:t>b</w:t>
      </w:r>
      <w:r w:rsidR="008C2BE5">
        <w:rPr>
          <w:rFonts w:cs="Times New Roman"/>
          <w:lang w:val="en-US"/>
        </w:rPr>
        <w:t>) reasons for</w:t>
      </w:r>
      <w:r w:rsidR="00D17EA4">
        <w:rPr>
          <w:rFonts w:cs="Times New Roman"/>
          <w:lang w:val="en-US"/>
        </w:rPr>
        <w:t xml:space="preserve"> the observed</w:t>
      </w:r>
      <w:r w:rsidR="008C2BE5">
        <w:rPr>
          <w:rFonts w:cs="Times New Roman"/>
          <w:lang w:val="en-US"/>
        </w:rPr>
        <w:t xml:space="preserve"> deviation. For the latter case, extensive attention is also paid </w:t>
      </w:r>
      <w:r w:rsidR="006F72AE">
        <w:rPr>
          <w:rFonts w:cs="Times New Roman"/>
          <w:lang w:val="en-US"/>
        </w:rPr>
        <w:t>to</w:t>
      </w:r>
      <w:r w:rsidR="008C2BE5">
        <w:rPr>
          <w:rFonts w:cs="Times New Roman"/>
          <w:lang w:val="en-US"/>
        </w:rPr>
        <w:t xml:space="preserve"> forward contracts</w:t>
      </w:r>
      <w:r w:rsidR="006F72AE">
        <w:rPr>
          <w:rFonts w:cs="Times New Roman"/>
          <w:lang w:val="en-US"/>
        </w:rPr>
        <w:t>. They</w:t>
      </w:r>
      <w:r w:rsidR="008C2BE5">
        <w:rPr>
          <w:rFonts w:cs="Times New Roman"/>
          <w:lang w:val="en-US"/>
        </w:rPr>
        <w:t xml:space="preserve"> are available for the longer maturities and </w:t>
      </w:r>
      <w:r w:rsidR="006F72AE">
        <w:rPr>
          <w:rFonts w:cs="Times New Roman"/>
          <w:lang w:val="en-US"/>
        </w:rPr>
        <w:t>their</w:t>
      </w:r>
      <w:r w:rsidR="008C2BE5">
        <w:rPr>
          <w:rFonts w:cs="Times New Roman"/>
          <w:lang w:val="en-US"/>
        </w:rPr>
        <w:t xml:space="preserve"> pricing is more straightforward</w:t>
      </w:r>
      <w:r w:rsidR="008C2BE5" w:rsidRPr="008C2BE5">
        <w:rPr>
          <w:rFonts w:cs="Times New Roman"/>
          <w:lang w:val="en-US"/>
        </w:rPr>
        <w:t xml:space="preserve"> </w:t>
      </w:r>
      <w:r w:rsidR="008C2BE5">
        <w:rPr>
          <w:rFonts w:cs="Times New Roman"/>
          <w:lang w:val="en-US"/>
        </w:rPr>
        <w:t>than that for the exchange-traded future with daily settlement routines</w:t>
      </w:r>
      <w:r>
        <w:rPr>
          <w:rFonts w:cs="Times New Roman"/>
          <w:lang w:val="en-US"/>
        </w:rPr>
        <w:t xml:space="preserve"> mentioned above.</w:t>
      </w:r>
    </w:p>
    <w:p w14:paraId="19AA8A38" w14:textId="0499EA68" w:rsidR="00815A70" w:rsidRDefault="0030538B" w:rsidP="008226B3">
      <w:pPr>
        <w:spacing w:after="0" w:line="360" w:lineRule="auto"/>
        <w:ind w:firstLine="709"/>
        <w:rPr>
          <w:rFonts w:cs="Times New Roman"/>
          <w:lang w:val="en-US"/>
        </w:rPr>
      </w:pPr>
      <w:r>
        <w:rPr>
          <w:rFonts w:cs="Times New Roman"/>
          <w:lang w:val="en-US"/>
        </w:rPr>
        <w:t xml:space="preserve">As an example of the first type of literature, we could mention </w:t>
      </w:r>
      <w:r w:rsidR="00681921">
        <w:rPr>
          <w:rFonts w:cs="Times New Roman"/>
          <w:lang w:val="en-US"/>
        </w:rPr>
        <w:t xml:space="preserve">work </w:t>
      </w:r>
      <w:r w:rsidR="00681921" w:rsidRPr="007F2310">
        <w:rPr>
          <w:rFonts w:cs="Times New Roman"/>
          <w:lang w:val="en-US"/>
        </w:rPr>
        <w:t>«Can skewness of the futures‐spot basis predict currency</w:t>
      </w:r>
      <w:r w:rsidR="00681921">
        <w:rPr>
          <w:rFonts w:cs="Times New Roman"/>
          <w:lang w:val="en-US"/>
        </w:rPr>
        <w:t xml:space="preserve"> </w:t>
      </w:r>
      <w:r w:rsidR="00681921" w:rsidRPr="007F2310">
        <w:rPr>
          <w:rFonts w:cs="Times New Roman"/>
          <w:lang w:val="en-US"/>
        </w:rPr>
        <w:t>spot returns?»</w:t>
      </w:r>
      <w:r w:rsidR="00681921">
        <w:rPr>
          <w:rFonts w:cs="Times New Roman"/>
          <w:lang w:val="en-US"/>
        </w:rPr>
        <w:t xml:space="preserve"> by Jiang X., Lyian H., Libo Y. Having the FX future sample </w:t>
      </w:r>
      <w:r w:rsidR="00D93D0D">
        <w:rPr>
          <w:rFonts w:cs="Times New Roman"/>
          <w:lang w:val="en-US"/>
        </w:rPr>
        <w:t>consisted of such currencies as</w:t>
      </w:r>
      <w:r w:rsidR="00681921">
        <w:rPr>
          <w:rFonts w:cs="Times New Roman"/>
          <w:lang w:val="en-US"/>
        </w:rPr>
        <w:t xml:space="preserve"> </w:t>
      </w:r>
      <w:r w:rsidR="00681921" w:rsidRPr="00477BBA">
        <w:rPr>
          <w:rFonts w:cs="Times New Roman"/>
          <w:lang w:val="en-US"/>
        </w:rPr>
        <w:t>AUD, GBP, CAD, EUR, JPY, CHF</w:t>
      </w:r>
      <w:r w:rsidR="00681921">
        <w:rPr>
          <w:rFonts w:cs="Times New Roman"/>
          <w:lang w:val="en-US"/>
        </w:rPr>
        <w:t xml:space="preserve">, they found evidences that support </w:t>
      </w:r>
      <w:r w:rsidR="00D93D0D">
        <w:rPr>
          <w:rFonts w:cs="Times New Roman"/>
          <w:lang w:val="en-US"/>
        </w:rPr>
        <w:t>specific theory</w:t>
      </w:r>
      <w:r w:rsidR="00681921">
        <w:rPr>
          <w:rFonts w:cs="Times New Roman"/>
          <w:lang w:val="en-US"/>
        </w:rPr>
        <w:t xml:space="preserve">: </w:t>
      </w:r>
      <w:r w:rsidR="00681921" w:rsidRPr="002E662A">
        <w:rPr>
          <w:rFonts w:cs="Times New Roman"/>
          <w:lang w:val="en-US"/>
        </w:rPr>
        <w:t>«In sum, the skewness</w:t>
      </w:r>
      <w:r w:rsidR="00681921">
        <w:rPr>
          <w:rStyle w:val="FootnoteReference"/>
          <w:rFonts w:cs="Times New Roman"/>
          <w:lang w:val="en-US"/>
        </w:rPr>
        <w:footnoteReference w:id="33"/>
      </w:r>
      <w:r w:rsidR="00681921" w:rsidRPr="002E662A">
        <w:rPr>
          <w:rFonts w:cs="Times New Roman"/>
          <w:lang w:val="en-US"/>
        </w:rPr>
        <w:t xml:space="preserve"> of the futures‐spot basis exhibits statistically significant in‐sample predictability for subsequent spot returns, indicating that an increase in skewness of the futures‐spot basis can lead to a decrease in next‐period spot returns»</w:t>
      </w:r>
      <w:r w:rsidR="00681921">
        <w:rPr>
          <w:rStyle w:val="FootnoteReference"/>
          <w:rFonts w:cs="Times New Roman"/>
          <w:lang w:val="en-US"/>
        </w:rPr>
        <w:footnoteReference w:id="34"/>
      </w:r>
      <w:r w:rsidR="00681921">
        <w:rPr>
          <w:rFonts w:cs="Times New Roman"/>
          <w:lang w:val="en-US"/>
        </w:rPr>
        <w:t xml:space="preserve">. Nevertheless, the predictability </w:t>
      </w:r>
      <w:r w:rsidR="007870D6">
        <w:rPr>
          <w:rFonts w:cs="Times New Roman"/>
          <w:lang w:val="en-US"/>
        </w:rPr>
        <w:t>was</w:t>
      </w:r>
      <w:r w:rsidR="00681921">
        <w:rPr>
          <w:rFonts w:cs="Times New Roman"/>
          <w:lang w:val="en-US"/>
        </w:rPr>
        <w:t xml:space="preserve"> different</w:t>
      </w:r>
      <w:r w:rsidR="007870D6">
        <w:rPr>
          <w:rFonts w:cs="Times New Roman"/>
          <w:lang w:val="en-US"/>
        </w:rPr>
        <w:t xml:space="preserve"> for different currencies</w:t>
      </w:r>
      <w:r w:rsidR="00681921">
        <w:rPr>
          <w:rFonts w:cs="Times New Roman"/>
          <w:lang w:val="en-US"/>
        </w:rPr>
        <w:t>, highest for JPY (R</w:t>
      </w:r>
      <w:r w:rsidR="00681921" w:rsidRPr="00F525F2">
        <w:rPr>
          <w:rFonts w:cs="Times New Roman"/>
          <w:vertAlign w:val="superscript"/>
          <w:lang w:val="en-US"/>
        </w:rPr>
        <w:t>2</w:t>
      </w:r>
      <w:r w:rsidR="00681921">
        <w:rPr>
          <w:rFonts w:cs="Times New Roman"/>
          <w:lang w:val="en-US"/>
        </w:rPr>
        <w:t xml:space="preserve"> = 8%), GBP (R</w:t>
      </w:r>
      <w:r w:rsidR="00681921" w:rsidRPr="00F525F2">
        <w:rPr>
          <w:rFonts w:cs="Times New Roman"/>
          <w:vertAlign w:val="superscript"/>
          <w:lang w:val="en-US"/>
        </w:rPr>
        <w:t>2</w:t>
      </w:r>
      <w:r w:rsidR="00681921">
        <w:rPr>
          <w:rFonts w:cs="Times New Roman"/>
          <w:lang w:val="en-US"/>
        </w:rPr>
        <w:t xml:space="preserve"> = 3.66%)</w:t>
      </w:r>
      <w:r w:rsidR="007870D6">
        <w:rPr>
          <w:rFonts w:cs="Times New Roman"/>
          <w:lang w:val="en-US"/>
        </w:rPr>
        <w:t xml:space="preserve"> and</w:t>
      </w:r>
      <w:r w:rsidR="00681921">
        <w:rPr>
          <w:rFonts w:cs="Times New Roman"/>
          <w:lang w:val="en-US"/>
        </w:rPr>
        <w:t xml:space="preserve"> EUR (R</w:t>
      </w:r>
      <w:r w:rsidR="00681921" w:rsidRPr="00BE057D">
        <w:rPr>
          <w:rFonts w:cs="Times New Roman"/>
          <w:vertAlign w:val="superscript"/>
          <w:lang w:val="en-US"/>
        </w:rPr>
        <w:t>2</w:t>
      </w:r>
      <w:r w:rsidR="00681921">
        <w:rPr>
          <w:rFonts w:cs="Times New Roman"/>
          <w:lang w:val="en-US"/>
        </w:rPr>
        <w:t xml:space="preserve"> = 6.24%), medium for CAD (R</w:t>
      </w:r>
      <w:r w:rsidR="00681921" w:rsidRPr="00BE057D">
        <w:rPr>
          <w:rFonts w:cs="Times New Roman"/>
          <w:vertAlign w:val="superscript"/>
          <w:lang w:val="en-US"/>
        </w:rPr>
        <w:t>2</w:t>
      </w:r>
      <w:r w:rsidR="00681921">
        <w:rPr>
          <w:rFonts w:cs="Times New Roman"/>
          <w:lang w:val="en-US"/>
        </w:rPr>
        <w:t xml:space="preserve"> = 3.92%) and almost zero predictability for AUD (R</w:t>
      </w:r>
      <w:r w:rsidR="00681921" w:rsidRPr="00BE057D">
        <w:rPr>
          <w:rFonts w:cs="Times New Roman"/>
          <w:vertAlign w:val="superscript"/>
          <w:lang w:val="en-US"/>
        </w:rPr>
        <w:t>2</w:t>
      </w:r>
      <w:r w:rsidR="00681921">
        <w:rPr>
          <w:rFonts w:cs="Times New Roman"/>
          <w:lang w:val="en-US"/>
        </w:rPr>
        <w:t xml:space="preserve"> = 0.99%), results for CHF were statistically insignificant. While authors deemed results as </w:t>
      </w:r>
      <w:r w:rsidR="00681921" w:rsidRPr="00CE5A20">
        <w:rPr>
          <w:rFonts w:cs="Times New Roman"/>
          <w:lang w:val="en-US"/>
        </w:rPr>
        <w:t>«</w:t>
      </w:r>
      <w:r w:rsidR="00681921">
        <w:rPr>
          <w:rFonts w:cs="Times New Roman"/>
          <w:lang w:val="en-US"/>
        </w:rPr>
        <w:t>not so outstanding</w:t>
      </w:r>
      <w:r w:rsidR="00681921" w:rsidRPr="00CE5A20">
        <w:rPr>
          <w:rFonts w:cs="Times New Roman"/>
          <w:lang w:val="en-US"/>
        </w:rPr>
        <w:t>»</w:t>
      </w:r>
      <w:r w:rsidR="00681921">
        <w:rPr>
          <w:rFonts w:cs="Times New Roman"/>
          <w:lang w:val="en-US"/>
        </w:rPr>
        <w:t>,</w:t>
      </w:r>
      <w:r w:rsidR="006F72AE">
        <w:rPr>
          <w:rFonts w:cs="Times New Roman"/>
          <w:lang w:val="en-US"/>
        </w:rPr>
        <w:t xml:space="preserve"> we think that</w:t>
      </w:r>
      <w:r w:rsidR="00681921">
        <w:rPr>
          <w:rFonts w:cs="Times New Roman"/>
          <w:lang w:val="en-US"/>
        </w:rPr>
        <w:t xml:space="preserve"> low values of R</w:t>
      </w:r>
      <w:r w:rsidR="00681921" w:rsidRPr="00CE5A20">
        <w:rPr>
          <w:rFonts w:cs="Times New Roman"/>
          <w:vertAlign w:val="superscript"/>
          <w:lang w:val="en-US"/>
        </w:rPr>
        <w:t>2</w:t>
      </w:r>
      <w:r w:rsidR="00681921">
        <w:rPr>
          <w:rFonts w:cs="Times New Roman"/>
          <w:lang w:val="en-US"/>
        </w:rPr>
        <w:t xml:space="preserve"> are explainable because monthly changes of FX spot were regressed versus observed skewness, calculated in a 3-months rolling window. This introduces large uncertainty into both explained variable (FX spot monthly return) and observed skewness, because many factors may influence spot return during</w:t>
      </w:r>
      <w:r w:rsidR="006F72AE">
        <w:rPr>
          <w:rFonts w:cs="Times New Roman"/>
          <w:lang w:val="en-US"/>
        </w:rPr>
        <w:t xml:space="preserve"> even</w:t>
      </w:r>
      <w:r w:rsidR="00681921">
        <w:rPr>
          <w:rFonts w:cs="Times New Roman"/>
          <w:lang w:val="en-US"/>
        </w:rPr>
        <w:t xml:space="preserve"> 1 month</w:t>
      </w:r>
      <w:r w:rsidR="006F72AE">
        <w:rPr>
          <w:rFonts w:cs="Times New Roman"/>
          <w:lang w:val="en-US"/>
        </w:rPr>
        <w:t xml:space="preserve"> or even 1 week</w:t>
      </w:r>
      <w:r w:rsidR="00681921">
        <w:rPr>
          <w:rFonts w:cs="Times New Roman"/>
          <w:lang w:val="en-US"/>
        </w:rPr>
        <w:t xml:space="preserve"> period and market participants could rely on different methods of skewness calculation</w:t>
      </w:r>
      <w:r w:rsidR="007870D6">
        <w:rPr>
          <w:rFonts w:cs="Times New Roman"/>
          <w:lang w:val="en-US"/>
        </w:rPr>
        <w:t>, not only 3-months rolling window.</w:t>
      </w:r>
    </w:p>
    <w:p w14:paraId="524315CE" w14:textId="7B7A9865" w:rsidR="00681921" w:rsidRDefault="00681921" w:rsidP="008226B3">
      <w:pPr>
        <w:spacing w:after="0" w:line="360" w:lineRule="auto"/>
        <w:ind w:firstLine="709"/>
        <w:rPr>
          <w:rFonts w:cs="Times New Roman"/>
          <w:lang w:val="en-US"/>
        </w:rPr>
      </w:pPr>
      <w:r>
        <w:rPr>
          <w:rFonts w:cs="Times New Roman"/>
          <w:lang w:val="en-US"/>
        </w:rPr>
        <w:lastRenderedPageBreak/>
        <w:t>As an example of the second type of literature, more relevant for us, we could mention two different works. Both of them has similar conclusions for the practical studies of the FX futures mispicing.</w:t>
      </w:r>
      <w:r w:rsidR="006F72AE">
        <w:rPr>
          <w:rFonts w:cs="Times New Roman"/>
          <w:lang w:val="en-US"/>
        </w:rPr>
        <w:t xml:space="preserve"> </w:t>
      </w:r>
      <w:r>
        <w:rPr>
          <w:rFonts w:cs="Times New Roman"/>
          <w:lang w:val="en-US"/>
        </w:rPr>
        <w:t xml:space="preserve">The first one, </w:t>
      </w:r>
      <w:r w:rsidRPr="003F6848">
        <w:rPr>
          <w:rFonts w:cs="Times New Roman"/>
          <w:lang w:val="en-US"/>
        </w:rPr>
        <w:t>«</w:t>
      </w:r>
      <w:r>
        <w:rPr>
          <w:rFonts w:cs="Times New Roman"/>
          <w:lang w:val="en-US"/>
        </w:rPr>
        <w:t>B</w:t>
      </w:r>
      <w:r w:rsidRPr="003F6848">
        <w:rPr>
          <w:rFonts w:cs="Times New Roman"/>
          <w:lang w:val="en-US"/>
        </w:rPr>
        <w:t>eyond basis basics:</w:t>
      </w:r>
      <w:r>
        <w:rPr>
          <w:rFonts w:cs="Times New Roman"/>
          <w:lang w:val="en-US"/>
        </w:rPr>
        <w:t xml:space="preserve"> </w:t>
      </w:r>
      <w:r w:rsidRPr="003F6848">
        <w:rPr>
          <w:rFonts w:cs="Times New Roman"/>
          <w:lang w:val="en-US"/>
        </w:rPr>
        <w:t>Leverage demand and deviations from the law of one price»</w:t>
      </w:r>
      <w:r>
        <w:rPr>
          <w:rFonts w:cs="Times New Roman"/>
          <w:lang w:val="en-US"/>
        </w:rPr>
        <w:t xml:space="preserve"> by </w:t>
      </w:r>
      <w:r w:rsidRPr="003F6848">
        <w:rPr>
          <w:rFonts w:cs="Times New Roman"/>
          <w:lang w:val="en-US"/>
        </w:rPr>
        <w:t>Hazelkorn</w:t>
      </w:r>
      <w:r>
        <w:rPr>
          <w:rFonts w:cs="Times New Roman"/>
          <w:lang w:val="en-US"/>
        </w:rPr>
        <w:t xml:space="preserve"> T., </w:t>
      </w:r>
      <w:r w:rsidRPr="003F6848">
        <w:rPr>
          <w:rFonts w:cs="Times New Roman"/>
          <w:lang w:val="en-US"/>
        </w:rPr>
        <w:t>Moskowitz</w:t>
      </w:r>
      <w:r>
        <w:rPr>
          <w:rFonts w:cs="Times New Roman"/>
          <w:lang w:val="en-US"/>
        </w:rPr>
        <w:t xml:space="preserve"> T., and </w:t>
      </w:r>
      <w:r w:rsidRPr="003F6848">
        <w:rPr>
          <w:rFonts w:cs="Times New Roman"/>
          <w:lang w:val="en-US"/>
        </w:rPr>
        <w:t>Vasudeva</w:t>
      </w:r>
      <w:r>
        <w:rPr>
          <w:rFonts w:cs="Times New Roman"/>
          <w:lang w:val="en-US"/>
        </w:rPr>
        <w:t xml:space="preserve">n K. </w:t>
      </w:r>
      <w:r w:rsidR="00B426BD">
        <w:rPr>
          <w:rFonts w:cs="Times New Roman"/>
          <w:lang w:val="en-US"/>
        </w:rPr>
        <w:t>contains critical review of assumptions behind classic future pricing model, which implies that as soon as actual future price deviated from it’s theoretical value, arbitrage is possible. The logic of authors relies on directly observable, quantifiable and testable hypotheses and contains following propositions:</w:t>
      </w:r>
    </w:p>
    <w:p w14:paraId="54DE0EBC" w14:textId="2924EF97" w:rsidR="00B426BD" w:rsidRDefault="00B426BD" w:rsidP="00E778DF">
      <w:pPr>
        <w:pStyle w:val="-"/>
      </w:pPr>
      <w:r>
        <w:t>If simple classic</w:t>
      </w:r>
      <w:r w:rsidR="00712B9A">
        <w:t xml:space="preserve"> arbitrage</w:t>
      </w:r>
      <w:r>
        <w:t xml:space="preserve"> model is true, then </w:t>
      </w:r>
    </w:p>
    <w:p w14:paraId="65E833D0" w14:textId="77777777" w:rsidR="00B426BD" w:rsidRPr="00C90DF3" w:rsidRDefault="00B426BD" w:rsidP="00C90DF3">
      <w:pPr>
        <w:pStyle w:val="2"/>
        <w:ind w:left="1162"/>
      </w:pPr>
      <w:r w:rsidRPr="00C90DF3">
        <w:t xml:space="preserve">overpriced FX future (positive deviation) lead to long spot positions, i.e. buying foreign currency to invest at foreign short-term market and </w:t>
      </w:r>
    </w:p>
    <w:p w14:paraId="18189386" w14:textId="2C9D9FF1" w:rsidR="00B426BD" w:rsidRPr="00C90DF3" w:rsidRDefault="00B426BD" w:rsidP="00C90DF3">
      <w:pPr>
        <w:pStyle w:val="2"/>
        <w:ind w:left="1162"/>
      </w:pPr>
      <w:r w:rsidRPr="00C90DF3">
        <w:t>underpriced FX future (</w:t>
      </w:r>
      <w:r w:rsidR="007870D6" w:rsidRPr="00C90DF3">
        <w:t>negative</w:t>
      </w:r>
      <w:r w:rsidRPr="00C90DF3">
        <w:t xml:space="preserve"> deviation) lead to short spot positions, i.e. investing at the domestic short-term market, having borrowed money at the foreign short-term market.</w:t>
      </w:r>
    </w:p>
    <w:p w14:paraId="01E030CF" w14:textId="12309AB3" w:rsidR="00B426BD" w:rsidRPr="00C90DF3" w:rsidRDefault="00B426BD" w:rsidP="00C90DF3">
      <w:pPr>
        <w:spacing w:after="0" w:line="360" w:lineRule="auto"/>
        <w:rPr>
          <w:rFonts w:cs="Times New Roman"/>
          <w:lang w:val="en-US"/>
        </w:rPr>
      </w:pPr>
      <w:r w:rsidRPr="00C90DF3">
        <w:rPr>
          <w:rFonts w:cs="Times New Roman"/>
          <w:lang w:val="en-US"/>
        </w:rPr>
        <w:t>And thus</w:t>
      </w:r>
      <w:r w:rsidR="00712B9A" w:rsidRPr="00C90DF3">
        <w:rPr>
          <w:rFonts w:cs="Times New Roman"/>
          <w:lang w:val="en-US"/>
        </w:rPr>
        <w:t>, as a first hypothesis,</w:t>
      </w:r>
      <w:r w:rsidRPr="00C90DF3">
        <w:rPr>
          <w:rFonts w:cs="Times New Roman"/>
          <w:lang w:val="en-US"/>
        </w:rPr>
        <w:t xml:space="preserve"> </w:t>
      </w:r>
      <w:r w:rsidRPr="00C90DF3">
        <w:rPr>
          <w:rFonts w:cs="Times New Roman"/>
          <w:i/>
          <w:iCs/>
          <w:lang w:val="en-US"/>
        </w:rPr>
        <w:t>deviation and spot demand are negatively related</w:t>
      </w:r>
      <w:r w:rsidRPr="00C90DF3">
        <w:rPr>
          <w:rFonts w:cs="Times New Roman"/>
          <w:lang w:val="en-US"/>
        </w:rPr>
        <w:t>;</w:t>
      </w:r>
    </w:p>
    <w:p w14:paraId="10BD205C" w14:textId="3F0F2CE6" w:rsidR="00B426BD" w:rsidRDefault="00B426BD" w:rsidP="008226B3">
      <w:pPr>
        <w:pStyle w:val="ListParagraph"/>
        <w:numPr>
          <w:ilvl w:val="0"/>
          <w:numId w:val="1"/>
        </w:numPr>
        <w:spacing w:after="0" w:line="360" w:lineRule="auto"/>
        <w:ind w:left="426" w:firstLine="709"/>
        <w:rPr>
          <w:rFonts w:cs="Times New Roman"/>
          <w:lang w:val="en-US"/>
        </w:rPr>
      </w:pPr>
      <w:r>
        <w:rPr>
          <w:rFonts w:cs="Times New Roman"/>
          <w:lang w:val="en-US"/>
        </w:rPr>
        <w:t>If the deviation reflects higher borrowing costs for arbitrageurs, then it could exist without elimination and without effect on the spot market, i.e.</w:t>
      </w:r>
      <w:r w:rsidR="00712B9A">
        <w:rPr>
          <w:rFonts w:cs="Times New Roman"/>
          <w:lang w:val="en-US"/>
        </w:rPr>
        <w:t>, as a second hypothesis,</w:t>
      </w:r>
      <w:r>
        <w:rPr>
          <w:rFonts w:cs="Times New Roman"/>
          <w:lang w:val="en-US"/>
        </w:rPr>
        <w:t xml:space="preserve"> </w:t>
      </w:r>
      <w:r w:rsidRPr="00C90DF3">
        <w:rPr>
          <w:rFonts w:cs="Times New Roman"/>
          <w:i/>
          <w:iCs/>
          <w:lang w:val="en-US"/>
        </w:rPr>
        <w:t>correlation between spot return and deviation is zero</w:t>
      </w:r>
      <w:r>
        <w:rPr>
          <w:rFonts w:cs="Times New Roman"/>
          <w:lang w:val="en-US"/>
        </w:rPr>
        <w:t>;</w:t>
      </w:r>
    </w:p>
    <w:p w14:paraId="428F34E1" w14:textId="30994CFC" w:rsidR="00B426BD" w:rsidRPr="000247E1" w:rsidRDefault="00B426BD" w:rsidP="008226B3">
      <w:pPr>
        <w:pStyle w:val="ListParagraph"/>
        <w:numPr>
          <w:ilvl w:val="1"/>
          <w:numId w:val="2"/>
        </w:numPr>
        <w:spacing w:after="0" w:line="360" w:lineRule="auto"/>
        <w:ind w:left="426" w:firstLine="709"/>
        <w:rPr>
          <w:rFonts w:cs="Times New Roman"/>
          <w:lang w:val="en-US"/>
        </w:rPr>
      </w:pPr>
      <w:r>
        <w:rPr>
          <w:rFonts w:cs="Times New Roman"/>
          <w:lang w:val="en-US"/>
        </w:rPr>
        <w:t>I</w:t>
      </w:r>
      <w:r w:rsidRPr="000247E1">
        <w:rPr>
          <w:rFonts w:cs="Times New Roman"/>
          <w:lang w:val="en-US"/>
        </w:rPr>
        <w:t>f the deviation reflects global movements in capital, deviation is positively related with Net foreign investments in domestic currency: in a countries with high foreign investment inflows, foreign investors are subject to market risk and thus willing to hedge by purchasing FX futures, thus driving future prices above theoretical value. «This currency hedging motive predicts that</w:t>
      </w:r>
      <w:r w:rsidR="00712B9A">
        <w:rPr>
          <w:rFonts w:cs="Times New Roman"/>
          <w:lang w:val="en-US"/>
        </w:rPr>
        <w:t>, as a third hypothesis,</w:t>
      </w:r>
      <w:r w:rsidRPr="000247E1">
        <w:rPr>
          <w:rFonts w:cs="Times New Roman"/>
          <w:lang w:val="en-US"/>
        </w:rPr>
        <w:t xml:space="preserve"> </w:t>
      </w:r>
      <w:r w:rsidRPr="00C90DF3">
        <w:rPr>
          <w:rFonts w:cs="Times New Roman"/>
          <w:i/>
          <w:iCs/>
          <w:lang w:val="en-US"/>
        </w:rPr>
        <w:t>currencies of economies with a positive (negative) Net IIP</w:t>
      </w:r>
      <w:r w:rsidR="00D016C8" w:rsidRPr="00C90DF3">
        <w:rPr>
          <w:rFonts w:cs="Times New Roman"/>
          <w:i/>
          <w:iCs/>
          <w:lang w:val="en-US"/>
        </w:rPr>
        <w:t xml:space="preserve"> [International Investment Positioning – Author]</w:t>
      </w:r>
      <w:r w:rsidRPr="00C90DF3">
        <w:rPr>
          <w:rFonts w:cs="Times New Roman"/>
          <w:i/>
          <w:iCs/>
          <w:lang w:val="en-US"/>
        </w:rPr>
        <w:t xml:space="preserve"> have strong buying (selling) demand in currency derivatives markets, resulting in a more (less) positive basis</w:t>
      </w:r>
      <w:r w:rsidRPr="000247E1">
        <w:rPr>
          <w:rFonts w:cs="Times New Roman"/>
          <w:lang w:val="en-US"/>
        </w:rPr>
        <w:t>»</w:t>
      </w:r>
      <w:r>
        <w:rPr>
          <w:rStyle w:val="FootnoteReference"/>
          <w:rFonts w:cs="Times New Roman"/>
          <w:lang w:val="en-US"/>
        </w:rPr>
        <w:footnoteReference w:id="35"/>
      </w:r>
      <w:r>
        <w:rPr>
          <w:rFonts w:cs="Times New Roman"/>
          <w:lang w:val="en-US"/>
        </w:rPr>
        <w:t>.</w:t>
      </w:r>
    </w:p>
    <w:p w14:paraId="7E194329" w14:textId="77777777" w:rsidR="00712B9A" w:rsidRDefault="00712B9A" w:rsidP="008226B3">
      <w:pPr>
        <w:spacing w:after="0" w:line="360" w:lineRule="auto"/>
        <w:ind w:firstLine="709"/>
        <w:rPr>
          <w:rFonts w:cs="Times New Roman"/>
          <w:lang w:val="en-US"/>
        </w:rPr>
      </w:pPr>
      <w:r>
        <w:rPr>
          <w:rFonts w:cs="Times New Roman"/>
          <w:lang w:val="en-US"/>
        </w:rPr>
        <w:t>Following hypotheses were tested on the FX futures trading data from 1989 to 2017. Results showed that simple classic model (1 hypothesis) does not incorporate two aspects:</w:t>
      </w:r>
    </w:p>
    <w:p w14:paraId="728F7B7D" w14:textId="42436187" w:rsidR="00D016C8" w:rsidRDefault="00712B9A" w:rsidP="00C90DF3">
      <w:pPr>
        <w:pStyle w:val="-"/>
      </w:pPr>
      <w:r w:rsidRPr="00D016C8">
        <w:t>change in interest charged during futures mispricing due to increased demand</w:t>
      </w:r>
      <w:r w:rsidR="00D016C8">
        <w:t xml:space="preserve"> by arbitrageurs. Funding costs for arbitrageurs may deviate from risk-free interbank lending rates</w:t>
      </w:r>
      <w:r w:rsidRPr="00D016C8">
        <w:t>, i.e.</w:t>
      </w:r>
      <w:r w:rsidR="00D016C8">
        <w:t xml:space="preserve"> the</w:t>
      </w:r>
      <w:r w:rsidRPr="00D016C8">
        <w:t xml:space="preserve"> 2</w:t>
      </w:r>
      <w:r w:rsidRPr="00D016C8">
        <w:rPr>
          <w:vertAlign w:val="superscript"/>
        </w:rPr>
        <w:t>nd</w:t>
      </w:r>
      <w:r w:rsidRPr="00D016C8">
        <w:t xml:space="preserve"> hypothesis does holds, and </w:t>
      </w:r>
    </w:p>
    <w:p w14:paraId="783F1A2D" w14:textId="74B45067" w:rsidR="00712B9A" w:rsidRPr="00D016C8" w:rsidRDefault="00712B9A" w:rsidP="00C90DF3">
      <w:pPr>
        <w:pStyle w:val="-"/>
      </w:pPr>
      <w:r w:rsidRPr="00D016C8">
        <w:t>global movements in capital</w:t>
      </w:r>
      <w:r w:rsidR="00D016C8">
        <w:t xml:space="preserve"> as a proxies for FX spot demand lead to a increased FX exposure and creates sufficient demand for hedging</w:t>
      </w:r>
      <w:r w:rsidRPr="00D016C8">
        <w:t>, i.e. 3</w:t>
      </w:r>
      <w:r w:rsidRPr="00D016C8">
        <w:rPr>
          <w:vertAlign w:val="superscript"/>
        </w:rPr>
        <w:t>rd</w:t>
      </w:r>
      <w:r w:rsidRPr="00D016C8">
        <w:t xml:space="preserve"> hypothesis</w:t>
      </w:r>
      <w:r w:rsidR="00D016C8">
        <w:t xml:space="preserve"> does holds.</w:t>
      </w:r>
    </w:p>
    <w:p w14:paraId="14631C3F" w14:textId="378C661F" w:rsidR="00D016C8" w:rsidRPr="00D016C8" w:rsidRDefault="00D016C8" w:rsidP="008226B3">
      <w:pPr>
        <w:spacing w:after="0" w:line="360" w:lineRule="auto"/>
        <w:ind w:firstLine="709"/>
        <w:rPr>
          <w:rFonts w:cs="Times New Roman"/>
          <w:lang w:val="en-US"/>
        </w:rPr>
      </w:pPr>
      <w:r w:rsidRPr="00D016C8">
        <w:rPr>
          <w:rFonts w:cs="Times New Roman"/>
          <w:lang w:val="en-US"/>
        </w:rPr>
        <w:lastRenderedPageBreak/>
        <w:t>Having the sufficient range of data, this research highlights the impact of supply and demand for lending and for future contracts as significant sources of</w:t>
      </w:r>
      <w:r>
        <w:rPr>
          <w:rFonts w:cs="Times New Roman"/>
          <w:lang w:val="en-US"/>
        </w:rPr>
        <w:t xml:space="preserve"> future</w:t>
      </w:r>
      <w:r w:rsidRPr="00D016C8">
        <w:rPr>
          <w:rFonts w:cs="Times New Roman"/>
          <w:lang w:val="en-US"/>
        </w:rPr>
        <w:t xml:space="preserve"> price deviation, but does not takes into account the minor movements in deviation, which are frequent (as we will show later) for many FX futures. Also, authors have not taken into account the direct demand for FX futures, while this study could be conducted using data from actual transactions instead of hedging proxies, such as Net International Investment Positioning data</w:t>
      </w:r>
      <w:r>
        <w:rPr>
          <w:rFonts w:cs="Times New Roman"/>
          <w:lang w:val="en-US"/>
        </w:rPr>
        <w:t>, disclosed only once a year.</w:t>
      </w:r>
      <w:r w:rsidR="007870D6">
        <w:rPr>
          <w:rFonts w:cs="Times New Roman"/>
          <w:lang w:val="en-US"/>
        </w:rPr>
        <w:t xml:space="preserve"> </w:t>
      </w:r>
      <w:r w:rsidR="00030A24">
        <w:rPr>
          <w:rFonts w:cs="Times New Roman"/>
          <w:lang w:val="en-US"/>
        </w:rPr>
        <w:t>Also, this research could be challenged methologically by the following aspects: the total trade volume observed in FX futures and FX spot market are (a) quite different: spot market is more liquid and thus demand which arise from FX futures mispricing could be quickly absorpted into spot market</w:t>
      </w:r>
      <w:r w:rsidR="004B25E0" w:rsidRPr="004B25E0">
        <w:rPr>
          <w:rFonts w:cs="Times New Roman"/>
          <w:lang w:val="en-US"/>
        </w:rPr>
        <w:t xml:space="preserve"> </w:t>
      </w:r>
      <w:r w:rsidR="004B25E0">
        <w:rPr>
          <w:rFonts w:cs="Times New Roman"/>
          <w:lang w:val="en-US"/>
        </w:rPr>
        <w:t>and thus left unmeasured</w:t>
      </w:r>
      <w:r w:rsidR="00030A24">
        <w:rPr>
          <w:rFonts w:cs="Times New Roman"/>
          <w:lang w:val="en-US"/>
        </w:rPr>
        <w:t>, and (b) the ratio of FX futures-to-FX spot trade volumes may be different over the sample in the research (1987 to 2017)</w:t>
      </w:r>
      <w:r w:rsidR="004B25E0">
        <w:rPr>
          <w:rFonts w:cs="Times New Roman"/>
          <w:lang w:val="en-US"/>
        </w:rPr>
        <w:t xml:space="preserve"> because of the developments of the world economy</w:t>
      </w:r>
      <w:r w:rsidR="00030A24">
        <w:rPr>
          <w:rFonts w:cs="Times New Roman"/>
          <w:lang w:val="en-US"/>
        </w:rPr>
        <w:t xml:space="preserve"> and the dynamics of this ratio were not presented.</w:t>
      </w:r>
    </w:p>
    <w:p w14:paraId="59B382B6" w14:textId="0A630B6D" w:rsidR="00070E61" w:rsidRPr="00070E61" w:rsidRDefault="00D016C8" w:rsidP="008226B3">
      <w:pPr>
        <w:spacing w:after="0" w:line="360" w:lineRule="auto"/>
        <w:ind w:firstLine="709"/>
        <w:rPr>
          <w:rFonts w:cs="Times New Roman"/>
          <w:lang w:val="en-US"/>
        </w:rPr>
      </w:pPr>
      <w:r>
        <w:rPr>
          <w:rFonts w:cs="Times New Roman"/>
          <w:lang w:val="en-US"/>
        </w:rPr>
        <w:t xml:space="preserve">Another research on the same topic of FX derivatives price deviation from the theoretical value was conducted using the long-term forwards prices instead of exchange-traded futures. The work </w:t>
      </w:r>
      <w:r w:rsidRPr="00D016C8">
        <w:rPr>
          <w:rFonts w:cs="Times New Roman"/>
          <w:lang w:val="en-US"/>
        </w:rPr>
        <w:t>«The failure of covered interest parity: FX hedging demand and</w:t>
      </w:r>
      <w:r>
        <w:rPr>
          <w:rFonts w:cs="Times New Roman"/>
          <w:lang w:val="en-US"/>
        </w:rPr>
        <w:t xml:space="preserve"> </w:t>
      </w:r>
      <w:r w:rsidRPr="00D016C8">
        <w:rPr>
          <w:rFonts w:cs="Times New Roman"/>
          <w:lang w:val="en-US"/>
        </w:rPr>
        <w:t>costly balance sheets»</w:t>
      </w:r>
      <w:r w:rsidR="00C2637C">
        <w:rPr>
          <w:rStyle w:val="FootnoteReference"/>
          <w:rFonts w:cs="Times New Roman"/>
          <w:lang w:val="en-US"/>
        </w:rPr>
        <w:footnoteReference w:id="36"/>
      </w:r>
      <w:r w:rsidR="00070E61">
        <w:rPr>
          <w:rFonts w:cs="Times New Roman"/>
          <w:lang w:val="en-US"/>
        </w:rPr>
        <w:t xml:space="preserve"> explains how </w:t>
      </w:r>
      <w:r w:rsidR="00070E61" w:rsidRPr="00070E61">
        <w:rPr>
          <w:rFonts w:cs="Times New Roman"/>
          <w:lang w:val="en-US"/>
        </w:rPr>
        <w:t>collateral requirements in OTC FX derivatives impose</w:t>
      </w:r>
      <w:r w:rsidR="00070E61">
        <w:rPr>
          <w:rFonts w:cs="Times New Roman"/>
          <w:lang w:val="en-US"/>
        </w:rPr>
        <w:t>s</w:t>
      </w:r>
      <w:r w:rsidR="00070E61" w:rsidRPr="00070E61">
        <w:rPr>
          <w:rFonts w:cs="Times New Roman"/>
          <w:lang w:val="en-US"/>
        </w:rPr>
        <w:t xml:space="preserve"> pressure on market-makers and transferred into FX forward prices: « For USD</w:t>
      </w:r>
      <w:r w:rsidR="00070E61">
        <w:rPr>
          <w:rFonts w:cs="Times New Roman"/>
          <w:lang w:val="en-US"/>
        </w:rPr>
        <w:t>/</w:t>
      </w:r>
      <w:r w:rsidR="00070E61" w:rsidRPr="00070E61">
        <w:rPr>
          <w:rFonts w:cs="Times New Roman"/>
          <w:lang w:val="en-US"/>
        </w:rPr>
        <w:t>JPY, for example, our estimates indicate that over $1 trillion in FX collateral is tied up to support FX hedging activity. Managing this risk introduces a marginal cost of being on the supply side of FX hedges, which is priced into FX derivatives as a result»</w:t>
      </w:r>
      <w:r w:rsidR="00070E61">
        <w:rPr>
          <w:rStyle w:val="FootnoteReference"/>
          <w:rFonts w:cs="Times New Roman"/>
          <w:lang w:val="en-US"/>
        </w:rPr>
        <w:footnoteReference w:id="37"/>
      </w:r>
      <w:r w:rsidR="00070E61" w:rsidRPr="00070E61">
        <w:rPr>
          <w:rFonts w:cs="Times New Roman"/>
          <w:lang w:val="en-US"/>
        </w:rPr>
        <w:t xml:space="preserve">. Authors state that for the covered interest parity to hold, two assumptions have to be satisfied: «Interest rates matter only to the extent that investors from jurisdictions with low domestic yields </w:t>
      </w:r>
    </w:p>
    <w:p w14:paraId="56AA5FCD" w14:textId="77777777" w:rsidR="00070E61" w:rsidRPr="00070E61" w:rsidRDefault="00070E61" w:rsidP="008226B3">
      <w:pPr>
        <w:spacing w:after="0" w:line="360" w:lineRule="auto"/>
        <w:ind w:firstLine="709"/>
        <w:rPr>
          <w:rFonts w:cs="Times New Roman"/>
          <w:lang w:val="en-US"/>
        </w:rPr>
      </w:pPr>
      <w:r w:rsidRPr="00070E61">
        <w:rPr>
          <w:rFonts w:cs="Times New Roman"/>
          <w:lang w:val="en-US"/>
        </w:rPr>
        <w:t xml:space="preserve">a) choose to invest in higher yielding foreign currency assets and </w:t>
      </w:r>
    </w:p>
    <w:p w14:paraId="612A1396" w14:textId="77777777" w:rsidR="00070E61" w:rsidRPr="00070E61" w:rsidRDefault="00070E61" w:rsidP="008226B3">
      <w:pPr>
        <w:spacing w:after="0" w:line="360" w:lineRule="auto"/>
        <w:ind w:firstLine="709"/>
        <w:rPr>
          <w:rFonts w:cs="Times New Roman"/>
          <w:lang w:val="en-US"/>
        </w:rPr>
      </w:pPr>
      <w:r w:rsidRPr="00070E61">
        <w:rPr>
          <w:rFonts w:cs="Times New Roman"/>
          <w:lang w:val="en-US"/>
        </w:rPr>
        <w:t xml:space="preserve">b) hedge the associated currency risk using FX forwards, FX swaps, or cross-currency swaps. </w:t>
      </w:r>
    </w:p>
    <w:p w14:paraId="3FF7D534" w14:textId="7A12BE15" w:rsidR="00070E61" w:rsidRPr="00070E61" w:rsidRDefault="00070E61" w:rsidP="008226B3">
      <w:pPr>
        <w:spacing w:after="0" w:line="360" w:lineRule="auto"/>
        <w:ind w:firstLine="709"/>
        <w:rPr>
          <w:rFonts w:cs="Times New Roman"/>
          <w:lang w:val="en-US"/>
        </w:rPr>
      </w:pPr>
      <w:r w:rsidRPr="00070E61">
        <w:rPr>
          <w:rFonts w:cs="Times New Roman"/>
          <w:lang w:val="en-US"/>
        </w:rPr>
        <w:t>Absent a) and b), the levels of yields would not contribute to CIP</w:t>
      </w:r>
      <w:r w:rsidR="00030A24">
        <w:rPr>
          <w:rFonts w:cs="Times New Roman"/>
          <w:lang w:val="en-US"/>
        </w:rPr>
        <w:t xml:space="preserve"> [Covered Interest Parity – </w:t>
      </w:r>
      <w:r w:rsidR="00673D9A">
        <w:rPr>
          <w:rFonts w:cs="Times New Roman"/>
          <w:lang w:val="en-US"/>
        </w:rPr>
        <w:t>Author</w:t>
      </w:r>
      <w:r w:rsidR="00030A24">
        <w:rPr>
          <w:rFonts w:cs="Times New Roman"/>
          <w:lang w:val="en-US"/>
        </w:rPr>
        <w:t>]</w:t>
      </w:r>
      <w:r w:rsidRPr="00070E61">
        <w:rPr>
          <w:rFonts w:cs="Times New Roman"/>
          <w:lang w:val="en-US"/>
        </w:rPr>
        <w:t xml:space="preserve"> violations»</w:t>
      </w:r>
      <w:r>
        <w:rPr>
          <w:rStyle w:val="FootnoteReference"/>
          <w:rFonts w:cs="Times New Roman"/>
          <w:lang w:val="en-US"/>
        </w:rPr>
        <w:footnoteReference w:id="38"/>
      </w:r>
      <w:r w:rsidRPr="00070E61">
        <w:rPr>
          <w:rFonts w:cs="Times New Roman"/>
          <w:lang w:val="en-US"/>
        </w:rPr>
        <w:t xml:space="preserve">. So, every type of inefficiencies in the market that may prevent market participants either to receive exactly the foreign interest rate (after conversion of home currency in the FX spot market) and hedge this risk by buying forward/future contracts at exactly theoretical value, will cause fail of equality between observed and theoretical price for FX forward. </w:t>
      </w:r>
      <w:r w:rsidR="00030A24">
        <w:rPr>
          <w:rFonts w:cs="Times New Roman"/>
          <w:lang w:val="en-US"/>
        </w:rPr>
        <w:t>This is quite important practical objection to the simple classic pricing model. In this work, t</w:t>
      </w:r>
      <w:r w:rsidRPr="00070E61">
        <w:rPr>
          <w:rFonts w:cs="Times New Roman"/>
          <w:lang w:val="en-US"/>
        </w:rPr>
        <w:t xml:space="preserve">he core driver </w:t>
      </w:r>
      <w:r w:rsidRPr="00070E61">
        <w:rPr>
          <w:rFonts w:cs="Times New Roman"/>
          <w:lang w:val="en-US"/>
        </w:rPr>
        <w:lastRenderedPageBreak/>
        <w:t>of inefficiency was chosen as «FX hedging demand», proxied by the value of net foreign-currency liabilities, e.g. bond issues, held at balance sheets</w:t>
      </w:r>
      <w:r>
        <w:rPr>
          <w:rFonts w:cs="Times New Roman"/>
          <w:lang w:val="en-US"/>
        </w:rPr>
        <w:t xml:space="preserve"> (1) by</w:t>
      </w:r>
      <w:r w:rsidRPr="00070E61">
        <w:rPr>
          <w:rFonts w:cs="Times New Roman"/>
          <w:lang w:val="en-US"/>
        </w:rPr>
        <w:t xml:space="preserve"> banks and</w:t>
      </w:r>
      <w:r>
        <w:rPr>
          <w:rFonts w:cs="Times New Roman"/>
          <w:lang w:val="en-US"/>
        </w:rPr>
        <w:t xml:space="preserve"> (2) by</w:t>
      </w:r>
      <w:r w:rsidRPr="00070E61">
        <w:rPr>
          <w:rFonts w:cs="Times New Roman"/>
          <w:lang w:val="en-US"/>
        </w:rPr>
        <w:t xml:space="preserve"> corporations, as reported in BIS international banking statistics and BIS international debt securities statistics. As said by authors, «Corporates can also go through cross-currency markets to swap out of cheap foreign currency funding into the USD and vice-versa. For these types of swap market users, the currency basis represents the cost of putting on a currency hedge. We will refer to these exogenous flows as «FX hedging demand»</w:t>
      </w:r>
      <w:r>
        <w:rPr>
          <w:rStyle w:val="FootnoteReference"/>
          <w:rFonts w:cs="Times New Roman"/>
          <w:lang w:val="en-US"/>
        </w:rPr>
        <w:footnoteReference w:id="39"/>
      </w:r>
      <w:r w:rsidRPr="00070E61">
        <w:rPr>
          <w:rFonts w:cs="Times New Roman"/>
          <w:lang w:val="en-US"/>
        </w:rPr>
        <w:t xml:space="preserve">. </w:t>
      </w:r>
    </w:p>
    <w:p w14:paraId="21BAF180" w14:textId="677C2665" w:rsidR="00070E61" w:rsidRPr="00070E61" w:rsidRDefault="00070E61" w:rsidP="008226B3">
      <w:pPr>
        <w:spacing w:after="0" w:line="360" w:lineRule="auto"/>
        <w:ind w:firstLine="709"/>
        <w:rPr>
          <w:rFonts w:cs="Times New Roman"/>
          <w:lang w:val="en-US"/>
        </w:rPr>
      </w:pPr>
      <w:r w:rsidRPr="00070E61">
        <w:rPr>
          <w:rFonts w:cs="Times New Roman"/>
          <w:lang w:val="en-US"/>
        </w:rPr>
        <w:t>Authors conclude that «We provide robust empirical evidence that our measures of FX hedging demand are first order drivers of the persistent level of CIP deviations. The underlying frictions that make CIP deviations respond to changes in FX hedging demand are speci</w:t>
      </w:r>
      <w:r>
        <w:rPr>
          <w:rFonts w:cs="Times New Roman"/>
          <w:lang w:val="en-US"/>
        </w:rPr>
        <w:t>fi</w:t>
      </w:r>
      <w:r w:rsidRPr="00070E61">
        <w:rPr>
          <w:rFonts w:cs="Times New Roman"/>
          <w:lang w:val="en-US"/>
        </w:rPr>
        <w:t>c to FX derivatives markets, which are predominantly OTC. The associated premia for the cost of provisioning for market and counterparty risks of FX derivatives exposures, undertaken to clear FX hedging demand, are priced into the forward exchange rates, taking them out of line with CIP»</w:t>
      </w:r>
      <w:r>
        <w:rPr>
          <w:rStyle w:val="FootnoteReference"/>
          <w:rFonts w:cs="Times New Roman"/>
          <w:lang w:val="en-US"/>
        </w:rPr>
        <w:footnoteReference w:id="40"/>
      </w:r>
      <w:r w:rsidRPr="00070E61">
        <w:rPr>
          <w:rFonts w:cs="Times New Roman"/>
          <w:lang w:val="en-US"/>
        </w:rPr>
        <w:t xml:space="preserve">. </w:t>
      </w:r>
      <w:r w:rsidR="00030A24">
        <w:rPr>
          <w:rFonts w:cs="Times New Roman"/>
          <w:lang w:val="en-US"/>
        </w:rPr>
        <w:t>While this work sheds the light on practical issues that arise from the demand pressure on the derivatives pricing, we should mention that the data on explanatory variables (FX hedging demand as net foreign currency liabilities) has a frequency of 1 quarter and also may be reported in a way that introduces significant rounding (likewise BIS data</w:t>
      </w:r>
      <w:r w:rsidR="00673D9A">
        <w:rPr>
          <w:rFonts w:cs="Times New Roman"/>
          <w:lang w:val="en-US"/>
        </w:rPr>
        <w:t xml:space="preserve"> on foreign currency liabilities</w:t>
      </w:r>
      <w:r w:rsidR="00030A24">
        <w:rPr>
          <w:rFonts w:cs="Times New Roman"/>
          <w:lang w:val="en-US"/>
        </w:rPr>
        <w:t xml:space="preserve"> which was used for this research). These problems were not adressed directly in </w:t>
      </w:r>
      <w:r w:rsidR="00DB01D4">
        <w:rPr>
          <w:rFonts w:cs="Times New Roman"/>
          <w:lang w:val="en-US"/>
        </w:rPr>
        <w:t xml:space="preserve">the work, while they present significant challenges for the statistical modeling. </w:t>
      </w:r>
    </w:p>
    <w:p w14:paraId="32ED3970" w14:textId="77777777" w:rsidR="00070E61" w:rsidRDefault="00070E61" w:rsidP="008226B3">
      <w:pPr>
        <w:spacing w:after="0" w:line="360" w:lineRule="auto"/>
        <w:ind w:firstLine="709"/>
        <w:rPr>
          <w:rFonts w:cs="Times New Roman"/>
          <w:lang w:val="en-US"/>
        </w:rPr>
      </w:pPr>
    </w:p>
    <w:p w14:paraId="7D1A57D2" w14:textId="20C4C83B" w:rsidR="00070E61" w:rsidRDefault="00DB01D4" w:rsidP="008226B3">
      <w:pPr>
        <w:spacing w:after="0" w:line="360" w:lineRule="auto"/>
        <w:ind w:firstLine="709"/>
        <w:rPr>
          <w:rFonts w:cs="Times New Roman"/>
          <w:lang w:val="en-US"/>
        </w:rPr>
      </w:pPr>
      <w:r>
        <w:rPr>
          <w:rFonts w:cs="Times New Roman"/>
          <w:lang w:val="en-US"/>
        </w:rPr>
        <w:t>During our review, i</w:t>
      </w:r>
      <w:r w:rsidR="00035B59">
        <w:rPr>
          <w:rFonts w:cs="Times New Roman"/>
          <w:lang w:val="en-US"/>
        </w:rPr>
        <w:t>t was determined that futures markets attract attention for various reasons, but to gain the full understanding of the broad topics</w:t>
      </w:r>
      <w:r w:rsidR="002E7BAC">
        <w:rPr>
          <w:rFonts w:cs="Times New Roman"/>
          <w:lang w:val="en-US"/>
        </w:rPr>
        <w:t xml:space="preserve"> of FX future behavior under negative rates environment, review of another set of literature is required.</w:t>
      </w:r>
      <w:r w:rsidR="00035B59">
        <w:rPr>
          <w:rFonts w:cs="Times New Roman"/>
          <w:lang w:val="en-US"/>
        </w:rPr>
        <w:t xml:space="preserve"> We found t</w:t>
      </w:r>
      <w:r w:rsidR="00716810">
        <w:rPr>
          <w:rFonts w:cs="Times New Roman"/>
          <w:lang w:val="en-US"/>
        </w:rPr>
        <w:t>hree</w:t>
      </w:r>
      <w:r w:rsidR="00035B59">
        <w:rPr>
          <w:rFonts w:cs="Times New Roman"/>
          <w:lang w:val="en-US"/>
        </w:rPr>
        <w:t xml:space="preserve"> works specifically on a market variables behavior during transmission of interest rates into negative territory: one study concentrates at the Japanese market, another at the Eurozone. </w:t>
      </w:r>
    </w:p>
    <w:p w14:paraId="608AF22D" w14:textId="7A208504" w:rsidR="002E7BAC" w:rsidRPr="00E91723" w:rsidRDefault="002E7BAC" w:rsidP="008226B3">
      <w:pPr>
        <w:spacing w:after="0" w:line="360" w:lineRule="auto"/>
        <w:ind w:firstLine="709"/>
        <w:rPr>
          <w:rFonts w:cs="Times New Roman"/>
          <w:lang w:val="en-US"/>
        </w:rPr>
      </w:pPr>
      <w:r>
        <w:rPr>
          <w:rFonts w:cs="Times New Roman"/>
          <w:lang w:val="en-US"/>
        </w:rPr>
        <w:t>For the Japanese market, author Ito T. made the following conclusions: n</w:t>
      </w:r>
      <w:r w:rsidRPr="00E91723">
        <w:rPr>
          <w:rFonts w:cs="Times New Roman"/>
          <w:lang w:val="en-US"/>
        </w:rPr>
        <w:t xml:space="preserve">egative rate cause market participants to believe that when interbank lending rates target is already negative, the is lesser </w:t>
      </w:r>
      <w:r w:rsidRPr="002E7BAC">
        <w:rPr>
          <w:rFonts w:cs="Times New Roman"/>
          <w:lang w:val="en-US"/>
        </w:rPr>
        <w:t>«</w:t>
      </w:r>
      <w:r w:rsidRPr="00E91723">
        <w:rPr>
          <w:rFonts w:cs="Times New Roman"/>
          <w:lang w:val="en-US"/>
        </w:rPr>
        <w:t>space</w:t>
      </w:r>
      <w:r w:rsidRPr="002E7BAC">
        <w:rPr>
          <w:rFonts w:cs="Times New Roman"/>
          <w:lang w:val="en-US"/>
        </w:rPr>
        <w:t>»</w:t>
      </w:r>
      <w:r w:rsidRPr="00E91723">
        <w:rPr>
          <w:rFonts w:cs="Times New Roman"/>
          <w:lang w:val="en-US"/>
        </w:rPr>
        <w:t xml:space="preserve"> available for further reduction and alternative monetary policy measures are playing the greater role. With respect to Japan, interest rate policy from 2009 to 2018 was changed three times in terms of operating targets: from 2009 to 2013 Bank of Japan stated interbank rate as one of the key operating targets and asset purchase program was used for implementation; from 2013 to 2016, stated that increasing attention will be paid to the monetary base control; after, having </w:t>
      </w:r>
      <w:r w:rsidRPr="00E91723">
        <w:rPr>
          <w:rFonts w:cs="Times New Roman"/>
          <w:lang w:val="en-US"/>
        </w:rPr>
        <w:lastRenderedPageBreak/>
        <w:t>introduced negative interbank rate target, Central Bank, to ensure greater "comfort" of market participants over interest rate, introduced precise</w:t>
      </w:r>
      <w:r w:rsidR="00231664">
        <w:rPr>
          <w:rFonts w:cs="Times New Roman"/>
          <w:lang w:val="en-US"/>
        </w:rPr>
        <w:t xml:space="preserve"> values of</w:t>
      </w:r>
      <w:r w:rsidRPr="00E91723">
        <w:rPr>
          <w:rFonts w:cs="Times New Roman"/>
          <w:lang w:val="en-US"/>
        </w:rPr>
        <w:t xml:space="preserve"> maturities for government bonds, yields for which are of great control by the Central Bank and changed operating target from interbank rate to current account balances. </w:t>
      </w:r>
    </w:p>
    <w:p w14:paraId="4D799A3D" w14:textId="77777777" w:rsidR="002E7BAC" w:rsidRPr="00E91723" w:rsidRDefault="002E7BAC" w:rsidP="008226B3">
      <w:pPr>
        <w:spacing w:after="0" w:line="360" w:lineRule="auto"/>
        <w:ind w:firstLine="709"/>
        <w:rPr>
          <w:rFonts w:cs="Times New Roman"/>
          <w:lang w:val="en-US"/>
        </w:rPr>
      </w:pPr>
      <w:r w:rsidRPr="00E91723">
        <w:rPr>
          <w:rFonts w:cs="Times New Roman"/>
          <w:lang w:val="en-US"/>
        </w:rPr>
        <w:t>Author sees two major effects of the level of interest rates and observed expectation of overnight rate over different maturities:</w:t>
      </w:r>
    </w:p>
    <w:p w14:paraId="4D1EF398" w14:textId="77777777" w:rsidR="002E7BAC" w:rsidRPr="00E91723" w:rsidRDefault="002E7BAC" w:rsidP="008226B3">
      <w:pPr>
        <w:pStyle w:val="ListParagraph"/>
        <w:numPr>
          <w:ilvl w:val="0"/>
          <w:numId w:val="7"/>
        </w:numPr>
        <w:spacing w:after="0" w:line="360" w:lineRule="auto"/>
        <w:ind w:left="284" w:firstLine="709"/>
        <w:rPr>
          <w:rFonts w:cs="Times New Roman"/>
          <w:lang w:val="en-US"/>
        </w:rPr>
      </w:pPr>
      <w:r w:rsidRPr="00E91723">
        <w:rPr>
          <w:rFonts w:cs="Times New Roman"/>
          <w:lang w:val="en-US"/>
        </w:rPr>
        <w:t xml:space="preserve">First, the relation between negative level of interbank target and type of communication by Central Bank: </w:t>
      </w:r>
      <w:r w:rsidRPr="00716810">
        <w:rPr>
          <w:rFonts w:cs="Times New Roman"/>
          <w:i/>
          <w:iCs/>
          <w:lang w:val="en-US"/>
        </w:rPr>
        <w:t>with less space for interest rate target reduction, more attention is paid to communication of more precise operating targets</w:t>
      </w:r>
      <w:r w:rsidRPr="00E91723">
        <w:rPr>
          <w:rFonts w:cs="Times New Roman"/>
          <w:lang w:val="en-US"/>
        </w:rPr>
        <w:t xml:space="preserve">, expressed as values with understandable characteristics: exact instrument, e.g. government bond, exact maturity and exact target (but still allowing for minor deviations). </w:t>
      </w:r>
    </w:p>
    <w:p w14:paraId="1B3AD3DF" w14:textId="69FE5D6B" w:rsidR="00231664" w:rsidRDefault="002E7BAC" w:rsidP="008226B3">
      <w:pPr>
        <w:pStyle w:val="ListParagraph"/>
        <w:numPr>
          <w:ilvl w:val="0"/>
          <w:numId w:val="7"/>
        </w:numPr>
        <w:spacing w:after="0" w:line="360" w:lineRule="auto"/>
        <w:ind w:left="284" w:firstLine="709"/>
        <w:rPr>
          <w:rFonts w:cs="Times New Roman"/>
          <w:lang w:val="en-US"/>
        </w:rPr>
      </w:pPr>
      <w:r w:rsidRPr="00E91723">
        <w:rPr>
          <w:rFonts w:cs="Times New Roman"/>
          <w:lang w:val="en-US"/>
        </w:rPr>
        <w:t>Second, having officially changed target from interbank</w:t>
      </w:r>
      <w:r w:rsidR="00231664">
        <w:rPr>
          <w:rFonts w:cs="Times New Roman"/>
          <w:lang w:val="en-US"/>
        </w:rPr>
        <w:t xml:space="preserve"> lending</w:t>
      </w:r>
      <w:r w:rsidRPr="00E91723">
        <w:rPr>
          <w:rFonts w:cs="Times New Roman"/>
          <w:lang w:val="en-US"/>
        </w:rPr>
        <w:t xml:space="preserve"> rate to</w:t>
      </w:r>
      <w:r w:rsidR="00231664">
        <w:rPr>
          <w:rFonts w:cs="Times New Roman"/>
          <w:lang w:val="en-US"/>
        </w:rPr>
        <w:t xml:space="preserve"> the</w:t>
      </w:r>
      <w:r w:rsidRPr="00E91723">
        <w:rPr>
          <w:rFonts w:cs="Times New Roman"/>
          <w:lang w:val="en-US"/>
        </w:rPr>
        <w:t xml:space="preserve"> monetary base, Central Bank introduced more volatility in interbank rate expectation: «Massive easing policies by the BOJ</w:t>
      </w:r>
      <w:r w:rsidR="00231664">
        <w:rPr>
          <w:rFonts w:cs="Times New Roman"/>
          <w:lang w:val="en-US"/>
        </w:rPr>
        <w:t xml:space="preserve"> [Bank of Japan, Central Bank of Japan – </w:t>
      </w:r>
      <w:r w:rsidR="00716810">
        <w:rPr>
          <w:rFonts w:cs="Times New Roman"/>
          <w:lang w:val="en-US"/>
        </w:rPr>
        <w:t>Author</w:t>
      </w:r>
      <w:r w:rsidR="00231664">
        <w:rPr>
          <w:rFonts w:cs="Times New Roman"/>
          <w:lang w:val="en-US"/>
        </w:rPr>
        <w:t>]</w:t>
      </w:r>
      <w:r w:rsidRPr="00E91723">
        <w:rPr>
          <w:rFonts w:cs="Times New Roman"/>
          <w:lang w:val="en-US"/>
        </w:rPr>
        <w:t xml:space="preserve"> cause an anomaly in the yield curve of the short-term money market. One cause of this anomaly is that the BOJ changes the operating target from the overnight interest rate to the current account balance... The degree of uncertainty is increased with the introduction of the negative interest rate policy. It is concluded that the quantitative and qualitative easing policy and the negative interest rate policy paralyze the market function in the short-term money market»</w:t>
      </w:r>
      <w:r>
        <w:rPr>
          <w:rStyle w:val="FootnoteReference"/>
          <w:rFonts w:cs="Times New Roman"/>
          <w:lang w:val="en-US"/>
        </w:rPr>
        <w:footnoteReference w:id="41"/>
      </w:r>
      <w:r w:rsidR="000D77F1" w:rsidRPr="000D77F1">
        <w:rPr>
          <w:rFonts w:cs="Times New Roman"/>
          <w:lang w:val="en-US"/>
        </w:rPr>
        <w:t>.</w:t>
      </w:r>
      <w:r w:rsidR="00231664">
        <w:rPr>
          <w:rFonts w:cs="Times New Roman"/>
          <w:lang w:val="en-US"/>
        </w:rPr>
        <w:t xml:space="preserve"> </w:t>
      </w:r>
    </w:p>
    <w:p w14:paraId="77526A6C" w14:textId="39D23839" w:rsidR="00231664" w:rsidRPr="00231664" w:rsidRDefault="00231664" w:rsidP="008226B3">
      <w:pPr>
        <w:spacing w:after="0" w:line="360" w:lineRule="auto"/>
        <w:ind w:left="56" w:firstLine="709"/>
        <w:rPr>
          <w:rFonts w:cs="Times New Roman"/>
          <w:lang w:val="en-US"/>
        </w:rPr>
      </w:pPr>
      <w:r>
        <w:rPr>
          <w:rFonts w:cs="Times New Roman"/>
          <w:lang w:val="en-US"/>
        </w:rPr>
        <w:t>In other words, a</w:t>
      </w:r>
      <w:r w:rsidRPr="00231664">
        <w:rPr>
          <w:rFonts w:cs="Times New Roman"/>
          <w:lang w:val="en-US"/>
        </w:rPr>
        <w:t>uthor wanted to say that while long-term targets (such as yield on 10-year zero-coupon government bonds) were in control, that was made in excess for the money market yields, where significant fluctuation was observed.</w:t>
      </w:r>
    </w:p>
    <w:p w14:paraId="35F20F98" w14:textId="6B94BB29" w:rsidR="00231664" w:rsidRPr="00745581" w:rsidRDefault="00231664" w:rsidP="008226B3">
      <w:pPr>
        <w:spacing w:after="0" w:line="360" w:lineRule="auto"/>
        <w:ind w:left="66" w:firstLine="709"/>
        <w:rPr>
          <w:rFonts w:cs="Times New Roman"/>
          <w:lang w:val="en-US"/>
        </w:rPr>
      </w:pPr>
      <w:r>
        <w:rPr>
          <w:rFonts w:cs="Times New Roman"/>
          <w:lang w:val="en-US"/>
        </w:rPr>
        <w:t>Another meaningful study with respect to Japan was conducted by</w:t>
      </w:r>
      <w:r w:rsidRPr="00231664">
        <w:rPr>
          <w:rFonts w:cs="Times New Roman"/>
          <w:lang w:val="en-US"/>
        </w:rPr>
        <w:t xml:space="preserve"> </w:t>
      </w:r>
      <w:r w:rsidRPr="00745581">
        <w:rPr>
          <w:rFonts w:cs="Times New Roman"/>
          <w:lang w:val="en-US"/>
        </w:rPr>
        <w:t>Miayo and Okimoto</w:t>
      </w:r>
      <w:r>
        <w:rPr>
          <w:rStyle w:val="FootnoteReference"/>
          <w:rFonts w:cs="Times New Roman"/>
          <w:lang w:val="en-US"/>
        </w:rPr>
        <w:footnoteReference w:id="42"/>
      </w:r>
      <w:r>
        <w:rPr>
          <w:rFonts w:cs="Times New Roman"/>
          <w:lang w:val="en-US"/>
        </w:rPr>
        <w:t xml:space="preserve">. </w:t>
      </w:r>
      <w:r w:rsidR="004E6607">
        <w:rPr>
          <w:rFonts w:cs="Times New Roman"/>
          <w:lang w:val="en-US"/>
        </w:rPr>
        <w:t xml:space="preserve">It was devoted to the </w:t>
      </w:r>
      <w:r w:rsidRPr="00745581">
        <w:rPr>
          <w:rFonts w:cs="Times New Roman"/>
          <w:lang w:val="en-US"/>
        </w:rPr>
        <w:t>long-term (up to 36 months) effect of monetary policy decision “style” on FX exchange rate, government bond yields, inflation and other macroeconomic factors.</w:t>
      </w:r>
      <w:r w:rsidR="004E6607">
        <w:rPr>
          <w:rFonts w:cs="Times New Roman"/>
          <w:lang w:val="en-US"/>
        </w:rPr>
        <w:t xml:space="preserve"> According to authors, d</w:t>
      </w:r>
      <w:r w:rsidRPr="00745581">
        <w:rPr>
          <w:rFonts w:cs="Times New Roman"/>
          <w:lang w:val="en-US"/>
        </w:rPr>
        <w:t>uring the sample period (2001 – 2016) Bank of Japan implemented two different styles of monetary policy, which author calls non-aggressive (2001-May 2013) and aggressive (April 2013- 2016), following the announcement of “Quantitaive and Qualitative Easing policy”</w:t>
      </w:r>
      <w:r w:rsidR="004E6607" w:rsidRPr="004E6607">
        <w:rPr>
          <w:lang w:val="en-US"/>
        </w:rPr>
        <w:t xml:space="preserve"> </w:t>
      </w:r>
      <w:r w:rsidR="004E6607" w:rsidRPr="004E6607">
        <w:rPr>
          <w:vertAlign w:val="superscript"/>
        </w:rPr>
        <w:footnoteReference w:id="43"/>
      </w:r>
      <w:r w:rsidRPr="00745581">
        <w:rPr>
          <w:rFonts w:cs="Times New Roman"/>
          <w:lang w:val="en-US"/>
        </w:rPr>
        <w:t>.</w:t>
      </w:r>
    </w:p>
    <w:p w14:paraId="224CFEDB" w14:textId="77777777" w:rsidR="00231664" w:rsidRPr="00745581" w:rsidRDefault="00231664" w:rsidP="008226B3">
      <w:pPr>
        <w:spacing w:after="0" w:line="360" w:lineRule="auto"/>
        <w:ind w:left="66" w:firstLine="709"/>
        <w:rPr>
          <w:rFonts w:cs="Times New Roman"/>
          <w:lang w:val="en-US"/>
        </w:rPr>
      </w:pPr>
      <w:r w:rsidRPr="00745581">
        <w:rPr>
          <w:rFonts w:cs="Times New Roman"/>
          <w:lang w:val="en-US"/>
        </w:rPr>
        <w:lastRenderedPageBreak/>
        <w:t>Author lists some commonly accepted measures of quantitative easing as base rate manipulation and government bond purchase. Alternatively, qualitative measures are likely to influence other components of the interest rates structure: term and credit premium. In Japan it is realised via purchase of CPs, corporate bonds and even ETFs. But what truly distinguishes policy defined by author as “aggressive” is two completely different measures:</w:t>
      </w:r>
    </w:p>
    <w:p w14:paraId="7ED9D9B7" w14:textId="77777777" w:rsidR="00231664" w:rsidRPr="00745581" w:rsidRDefault="00231664" w:rsidP="008226B3">
      <w:pPr>
        <w:pStyle w:val="ListParagraph"/>
        <w:numPr>
          <w:ilvl w:val="0"/>
          <w:numId w:val="5"/>
        </w:numPr>
        <w:spacing w:after="0" w:line="360" w:lineRule="auto"/>
        <w:ind w:left="426" w:firstLine="709"/>
        <w:rPr>
          <w:rFonts w:cs="Times New Roman"/>
          <w:lang w:val="en-US"/>
        </w:rPr>
      </w:pPr>
      <w:r w:rsidRPr="00745581">
        <w:rPr>
          <w:rFonts w:cs="Times New Roman"/>
          <w:lang w:val="en-US"/>
        </w:rPr>
        <w:t>Forward guidance, defined as «clearly spelling out conditions that need to be met before any tightening could be considered»</w:t>
      </w:r>
      <w:r w:rsidRPr="00745581">
        <w:rPr>
          <w:rStyle w:val="FootnoteReference"/>
          <w:lang w:val="en-US"/>
        </w:rPr>
        <w:footnoteReference w:id="44"/>
      </w:r>
      <w:r>
        <w:rPr>
          <w:rFonts w:cs="Times New Roman"/>
          <w:lang w:val="en-US"/>
        </w:rPr>
        <w:t>.</w:t>
      </w:r>
    </w:p>
    <w:p w14:paraId="06825099" w14:textId="77777777" w:rsidR="00231664" w:rsidRPr="00745581" w:rsidRDefault="00231664" w:rsidP="008226B3">
      <w:pPr>
        <w:pStyle w:val="ListParagraph"/>
        <w:numPr>
          <w:ilvl w:val="0"/>
          <w:numId w:val="5"/>
        </w:numPr>
        <w:spacing w:after="0" w:line="360" w:lineRule="auto"/>
        <w:ind w:left="426" w:firstLine="709"/>
        <w:rPr>
          <w:rFonts w:cs="Times New Roman"/>
          <w:lang w:val="en-US"/>
        </w:rPr>
      </w:pPr>
      <w:r w:rsidRPr="00745581">
        <w:rPr>
          <w:rFonts w:cs="Times New Roman"/>
          <w:lang w:val="en-US"/>
        </w:rPr>
        <w:t>Open-ended commitments: performing monetary policy actions (e.g., open market operations) without linkage to a pre-specified timeframe, but in accordance with a previously announced goals (e.g., precise inflation rate or monetary base values).</w:t>
      </w:r>
    </w:p>
    <w:p w14:paraId="505AAEA9" w14:textId="42733AE1" w:rsidR="00231664" w:rsidRDefault="00231664" w:rsidP="008226B3">
      <w:pPr>
        <w:spacing w:after="0" w:line="360" w:lineRule="auto"/>
        <w:ind w:firstLine="709"/>
        <w:rPr>
          <w:rFonts w:cs="Times New Roman"/>
          <w:lang w:val="en-US"/>
        </w:rPr>
      </w:pPr>
      <w:r w:rsidRPr="00745581">
        <w:rPr>
          <w:rFonts w:cs="Times New Roman"/>
          <w:lang w:val="en-US"/>
        </w:rPr>
        <w:t>Author concludes that Central Bank’s monetary policy decisions coupled with aggressive “style” of communication of it’s goals tend to have more long-lasting effect on FX rate and bond yields: « the clear statement by the BOJ that it would continue with the program as long as necessary to achieve the 2% inflation target likely shaped market expectations in a way that contributed to a more long-lasting decline in government bond yields, higher stock prices, and a greater depreciation of the yen»</w:t>
      </w:r>
      <w:r w:rsidRPr="00745581">
        <w:rPr>
          <w:rStyle w:val="FootnoteReference"/>
          <w:lang w:val="en-US"/>
        </w:rPr>
        <w:footnoteReference w:id="45"/>
      </w:r>
      <w:r w:rsidRPr="00745581">
        <w:rPr>
          <w:rFonts w:cs="Times New Roman"/>
          <w:lang w:val="en-US"/>
        </w:rPr>
        <w:t>.</w:t>
      </w:r>
      <w:r>
        <w:rPr>
          <w:rFonts w:cs="Times New Roman"/>
          <w:lang w:val="en-US"/>
        </w:rPr>
        <w:t xml:space="preserve"> For our research we could expect different effect</w:t>
      </w:r>
      <w:r w:rsidR="004E6607">
        <w:rPr>
          <w:rFonts w:cs="Times New Roman"/>
          <w:lang w:val="en-US"/>
        </w:rPr>
        <w:t xml:space="preserve"> of Central Bank’s monetary policy</w:t>
      </w:r>
      <w:r>
        <w:rPr>
          <w:rFonts w:cs="Times New Roman"/>
          <w:lang w:val="en-US"/>
        </w:rPr>
        <w:t xml:space="preserve"> on both FX future price components: </w:t>
      </w:r>
      <w:r w:rsidR="004E6607">
        <w:rPr>
          <w:rFonts w:cs="Times New Roman"/>
          <w:lang w:val="en-US"/>
        </w:rPr>
        <w:t xml:space="preserve">(a) </w:t>
      </w:r>
      <w:r>
        <w:rPr>
          <w:rFonts w:cs="Times New Roman"/>
          <w:lang w:val="en-US"/>
        </w:rPr>
        <w:t>FX rate and</w:t>
      </w:r>
      <w:r w:rsidR="004E6607">
        <w:rPr>
          <w:rFonts w:cs="Times New Roman"/>
          <w:lang w:val="en-US"/>
        </w:rPr>
        <w:t xml:space="preserve"> (b)</w:t>
      </w:r>
      <w:r>
        <w:rPr>
          <w:rFonts w:cs="Times New Roman"/>
          <w:lang w:val="en-US"/>
        </w:rPr>
        <w:t xml:space="preserve"> interest rate. But whether this effect is structurally different in economies with negative and with positive interbank rates is unknown for us.</w:t>
      </w:r>
    </w:p>
    <w:p w14:paraId="41EB6242" w14:textId="364CBDAE" w:rsidR="00231664" w:rsidRDefault="00231664" w:rsidP="008226B3">
      <w:pPr>
        <w:spacing w:after="0" w:line="360" w:lineRule="auto"/>
        <w:ind w:firstLine="709"/>
        <w:rPr>
          <w:rFonts w:cs="Times New Roman"/>
          <w:lang w:val="en-US"/>
        </w:rPr>
      </w:pPr>
      <w:r>
        <w:rPr>
          <w:rFonts w:cs="Times New Roman"/>
          <w:lang w:val="en-US"/>
        </w:rPr>
        <w:t xml:space="preserve">From the other hand, market responces tend to be </w:t>
      </w:r>
      <w:r w:rsidRPr="00745581">
        <w:rPr>
          <w:rFonts w:cs="Times New Roman"/>
          <w:lang w:val="en-US"/>
        </w:rPr>
        <w:t>«</w:t>
      </w:r>
      <w:r>
        <w:rPr>
          <w:rFonts w:cs="Times New Roman"/>
          <w:lang w:val="en-US"/>
        </w:rPr>
        <w:t>short-lived</w:t>
      </w:r>
      <w:r w:rsidRPr="00745581">
        <w:rPr>
          <w:rFonts w:cs="Times New Roman"/>
          <w:lang w:val="en-US"/>
        </w:rPr>
        <w:t>»</w:t>
      </w:r>
      <w:r>
        <w:rPr>
          <w:rFonts w:cs="Times New Roman"/>
          <w:lang w:val="en-US"/>
        </w:rPr>
        <w:t xml:space="preserve"> and </w:t>
      </w:r>
      <w:r w:rsidRPr="000B6540">
        <w:rPr>
          <w:rFonts w:cs="Times New Roman"/>
          <w:lang w:val="en-US"/>
        </w:rPr>
        <w:t>«they can be hard to detect based on daily or lower-frequency data»</w:t>
      </w:r>
      <w:r>
        <w:rPr>
          <w:rStyle w:val="FootnoteReference"/>
          <w:rFonts w:cs="Times New Roman"/>
        </w:rPr>
        <w:footnoteReference w:id="46"/>
      </w:r>
      <w:r>
        <w:rPr>
          <w:rFonts w:cs="Times New Roman"/>
          <w:lang w:val="en-US"/>
        </w:rPr>
        <w:t xml:space="preserve"> i.e. the effect of monetary policy announcements is usually incorporated into asset price within an announcement trading day. That point was the starting one for the study of effect of economic indicators announcement on equity and bond market, where Author, Huang X., used high-frequency data for analysis. Having mentioned the inverse effect of good news</w:t>
      </w:r>
      <w:r>
        <w:rPr>
          <w:rStyle w:val="FootnoteReference"/>
          <w:rFonts w:cs="Times New Roman"/>
          <w:lang w:val="en-US"/>
        </w:rPr>
        <w:footnoteReference w:id="47"/>
      </w:r>
      <w:r>
        <w:rPr>
          <w:rFonts w:cs="Times New Roman"/>
          <w:lang w:val="en-US"/>
        </w:rPr>
        <w:t xml:space="preserve"> announcement (e.g. increase of the non-farm-payroll rate, reflecting the rise in the number of workers in non-farm and non-government sectors) on equity prices (usually, upward effect) and bond prices (usually, downward effect due to portfolio reallocation), author states that the transition of this purely theoretical relation to actual bond priced changes is practically constrained by </w:t>
      </w:r>
      <w:r w:rsidR="004E6607" w:rsidRPr="004E6607">
        <w:rPr>
          <w:rFonts w:cs="Times New Roman"/>
          <w:lang w:val="en-US"/>
        </w:rPr>
        <w:t>«</w:t>
      </w:r>
      <w:r>
        <w:rPr>
          <w:rFonts w:cs="Times New Roman"/>
          <w:lang w:val="en-US"/>
        </w:rPr>
        <w:t>Zero Lower Bound</w:t>
      </w:r>
      <w:r w:rsidR="004E6607" w:rsidRPr="004E6607">
        <w:rPr>
          <w:rFonts w:cs="Times New Roman"/>
          <w:lang w:val="en-US"/>
        </w:rPr>
        <w:t>»</w:t>
      </w:r>
      <w:r>
        <w:rPr>
          <w:rFonts w:cs="Times New Roman"/>
          <w:lang w:val="en-US"/>
        </w:rPr>
        <w:t xml:space="preserve">, which </w:t>
      </w:r>
      <w:r w:rsidRPr="00F66C8A">
        <w:rPr>
          <w:rFonts w:cs="Times New Roman"/>
          <w:lang w:val="en-US"/>
        </w:rPr>
        <w:t xml:space="preserve">«limits the range of the discount rate </w:t>
      </w:r>
      <w:r w:rsidRPr="00F66C8A">
        <w:rPr>
          <w:rFonts w:cs="Times New Roman"/>
          <w:lang w:val="en-US"/>
        </w:rPr>
        <w:lastRenderedPageBreak/>
        <w:t>movement, so</w:t>
      </w:r>
      <w:r>
        <w:rPr>
          <w:rFonts w:cs="Times New Roman"/>
          <w:lang w:val="en-US"/>
        </w:rPr>
        <w:t xml:space="preserve"> </w:t>
      </w:r>
      <w:r w:rsidRPr="00F66C8A">
        <w:rPr>
          <w:rFonts w:cs="Times New Roman"/>
          <w:lang w:val="en-US"/>
        </w:rPr>
        <w:t>bond market volatility can be constrained as well»</w:t>
      </w:r>
      <w:r>
        <w:rPr>
          <w:rStyle w:val="FootnoteReference"/>
          <w:rFonts w:cs="Times New Roman"/>
          <w:lang w:val="en-US"/>
        </w:rPr>
        <w:footnoteReference w:id="48"/>
      </w:r>
      <w:r>
        <w:rPr>
          <w:rFonts w:cs="Times New Roman"/>
          <w:lang w:val="en-US"/>
        </w:rPr>
        <w:t xml:space="preserve"> and the majority of economic indicators variables </w:t>
      </w:r>
      <w:r w:rsidRPr="00F66C8A">
        <w:rPr>
          <w:rFonts w:cs="Times New Roman"/>
          <w:lang w:val="en-US"/>
        </w:rPr>
        <w:t xml:space="preserve"> «lose their significance in explaining bond market volatility»</w:t>
      </w:r>
      <w:r>
        <w:rPr>
          <w:rStyle w:val="FootnoteReference"/>
          <w:rFonts w:cs="Times New Roman"/>
          <w:lang w:val="en-US"/>
        </w:rPr>
        <w:footnoteReference w:id="49"/>
      </w:r>
      <w:r w:rsidRPr="00F66C8A">
        <w:rPr>
          <w:rFonts w:cs="Times New Roman"/>
          <w:lang w:val="en-US"/>
        </w:rPr>
        <w:t>.</w:t>
      </w:r>
      <w:r>
        <w:rPr>
          <w:rFonts w:cs="Times New Roman"/>
          <w:lang w:val="en-US"/>
        </w:rPr>
        <w:t xml:space="preserve"> Having that Author used high-frequency data (5 min</w:t>
      </w:r>
      <w:r w:rsidR="004E6607" w:rsidRPr="004E6607">
        <w:rPr>
          <w:rFonts w:cs="Times New Roman"/>
          <w:lang w:val="en-US"/>
        </w:rPr>
        <w:t xml:space="preserve"> </w:t>
      </w:r>
      <w:r w:rsidR="004E6607">
        <w:rPr>
          <w:rFonts w:cs="Times New Roman"/>
          <w:lang w:val="en-US"/>
        </w:rPr>
        <w:t>update frequency</w:t>
      </w:r>
      <w:r>
        <w:rPr>
          <w:rFonts w:cs="Times New Roman"/>
          <w:lang w:val="en-US"/>
        </w:rPr>
        <w:t>) these findings are of high influence on our research, but could not be directly extrapolated from non-monetary policy events (economic indicators announcement) to monetary policy events (e.g., interest rate decision), where the influence of base rate change to interbank market rate (variable of primary interest for us) is more or less direct. Nevertheless, the idea of measuring the effect of changes in market expectations on asset prices is relevant for our research and we will elaborate on how to express expectations in quantitative terms and apply them on FX futures prices, taking into account short-term effect of the most announcements.</w:t>
      </w:r>
    </w:p>
    <w:p w14:paraId="0C456FF2" w14:textId="09E228F8" w:rsidR="00EC31A2" w:rsidRDefault="00EC31A2" w:rsidP="008226B3">
      <w:pPr>
        <w:spacing w:after="0" w:line="360" w:lineRule="auto"/>
        <w:ind w:firstLine="709"/>
        <w:rPr>
          <w:rFonts w:cs="Times New Roman"/>
          <w:lang w:val="en-US"/>
        </w:rPr>
      </w:pPr>
      <w:r>
        <w:rPr>
          <w:rFonts w:cs="Times New Roman"/>
          <w:lang w:val="en-US"/>
        </w:rPr>
        <w:t xml:space="preserve">Study of monetary policy transmission in the Eurozone is presented in </w:t>
      </w:r>
      <w:r w:rsidRPr="00D71EB6">
        <w:rPr>
          <w:rFonts w:cs="Times New Roman"/>
          <w:lang w:val="en-US"/>
        </w:rPr>
        <w:t>«</w:t>
      </w:r>
      <w:r w:rsidRPr="00194C92">
        <w:rPr>
          <w:rFonts w:cs="Times New Roman"/>
          <w:lang w:val="en-US"/>
        </w:rPr>
        <w:t>Global financial market impact of the announcement of the ECB’s</w:t>
      </w:r>
      <w:r>
        <w:rPr>
          <w:rFonts w:cs="Times New Roman"/>
          <w:lang w:val="en-US"/>
        </w:rPr>
        <w:t xml:space="preserve"> </w:t>
      </w:r>
      <w:r w:rsidRPr="00194C92">
        <w:rPr>
          <w:rFonts w:cs="Times New Roman"/>
          <w:lang w:val="en-US"/>
        </w:rPr>
        <w:t>asset purchase programme</w:t>
      </w:r>
      <w:r w:rsidRPr="00D71EB6">
        <w:rPr>
          <w:rFonts w:cs="Times New Roman"/>
          <w:lang w:val="en-US"/>
        </w:rPr>
        <w:t>»</w:t>
      </w:r>
      <w:r>
        <w:rPr>
          <w:rStyle w:val="FootnoteReference"/>
          <w:rFonts w:cs="Times New Roman"/>
          <w:lang w:val="en-US"/>
        </w:rPr>
        <w:footnoteReference w:id="50"/>
      </w:r>
      <w:r w:rsidRPr="00194C92">
        <w:rPr>
          <w:rFonts w:cs="Times New Roman"/>
          <w:lang w:val="en-US"/>
        </w:rPr>
        <w:t>.</w:t>
      </w:r>
      <w:r>
        <w:rPr>
          <w:rFonts w:cs="Times New Roman"/>
          <w:lang w:val="en-US"/>
        </w:rPr>
        <w:t xml:space="preserve"> </w:t>
      </w:r>
      <w:r w:rsidRPr="00194C92">
        <w:rPr>
          <w:rFonts w:cs="Times New Roman"/>
          <w:lang w:val="en-US"/>
        </w:rPr>
        <w:t xml:space="preserve">Analyzing the data on government bond yield, stock indices and FX exchange rates of 39 major trade partners of Europe, authors supported the hypothesis that asset purchases intended to lower interest rates in Eurozone lead to capital outflows: </w:t>
      </w:r>
      <w:r w:rsidRPr="00D71EB6">
        <w:rPr>
          <w:rFonts w:cs="Times New Roman"/>
          <w:lang w:val="en-US"/>
        </w:rPr>
        <w:t>«</w:t>
      </w:r>
      <w:r w:rsidRPr="00194C92">
        <w:rPr>
          <w:rFonts w:cs="Times New Roman"/>
          <w:lang w:val="en-US"/>
        </w:rPr>
        <w:t>Our results suggest that the APP</w:t>
      </w:r>
      <w:r w:rsidR="00231664">
        <w:rPr>
          <w:rFonts w:cs="Times New Roman"/>
          <w:lang w:val="en-US"/>
        </w:rPr>
        <w:t xml:space="preserve"> [Asset Purchase Programes – Samara K.]</w:t>
      </w:r>
      <w:r w:rsidRPr="00194C92">
        <w:rPr>
          <w:rFonts w:cs="Times New Roman"/>
          <w:lang w:val="en-US"/>
        </w:rPr>
        <w:t xml:space="preserve"> announcements caused a broad-based depreciation of the euro vis-à-vis its major trading partners. In nominal effective terms against the euro area’s</w:t>
      </w:r>
      <w:r>
        <w:rPr>
          <w:rFonts w:cs="Times New Roman"/>
          <w:lang w:val="en-US"/>
        </w:rPr>
        <w:t xml:space="preserve"> </w:t>
      </w:r>
      <w:r w:rsidRPr="00194C92">
        <w:rPr>
          <w:rFonts w:cs="Times New Roman"/>
          <w:lang w:val="en-US"/>
        </w:rPr>
        <w:t>major 39 trading partners, the euro depreciated by 6.4% cumulatively</w:t>
      </w:r>
      <w:r>
        <w:rPr>
          <w:rStyle w:val="FootnoteReference"/>
          <w:rFonts w:cs="Times New Roman"/>
          <w:lang w:val="en-US"/>
        </w:rPr>
        <w:footnoteReference w:id="51"/>
      </w:r>
      <w:r w:rsidRPr="00194C92">
        <w:rPr>
          <w:rFonts w:cs="Times New Roman"/>
          <w:lang w:val="en-US"/>
        </w:rPr>
        <w:t xml:space="preserve"> in response to APP-related news. Overall, the depreciation of the euro was less pronounced against advanced economies</w:t>
      </w:r>
      <w:r>
        <w:rPr>
          <w:rFonts w:cs="Times New Roman"/>
          <w:lang w:val="en-US"/>
        </w:rPr>
        <w:t xml:space="preserve"> </w:t>
      </w:r>
      <w:r w:rsidRPr="00194C92">
        <w:rPr>
          <w:rFonts w:cs="Times New Roman"/>
          <w:lang w:val="en-US"/>
        </w:rPr>
        <w:t>(−5.7%) than against emerging market economies (−7.4%)</w:t>
      </w:r>
      <w:r w:rsidRPr="00D71EB6">
        <w:rPr>
          <w:rFonts w:cs="Times New Roman"/>
          <w:lang w:val="en-US"/>
        </w:rPr>
        <w:t>»</w:t>
      </w:r>
      <w:r>
        <w:rPr>
          <w:rStyle w:val="FootnoteReference"/>
          <w:rFonts w:cs="Times New Roman"/>
          <w:lang w:val="en-US"/>
        </w:rPr>
        <w:footnoteReference w:id="52"/>
      </w:r>
      <w:r>
        <w:rPr>
          <w:rFonts w:cs="Times New Roman"/>
          <w:lang w:val="en-US"/>
        </w:rPr>
        <w:t>.</w:t>
      </w:r>
      <w:r w:rsidRPr="00194C92">
        <w:rPr>
          <w:rFonts w:cs="Times New Roman"/>
          <w:lang w:val="en-US"/>
        </w:rPr>
        <w:t xml:space="preserve"> Also, another interesting effect was observed: economies with larger trade flows with Europe experienced lower capital inflows proxied by higher FX rates against Euro, lower bond yields and higher stock indices. This is explained by higher dependence of local business cycles to </w:t>
      </w:r>
      <w:r>
        <w:rPr>
          <w:rFonts w:cs="Times New Roman"/>
          <w:lang w:val="en-US"/>
        </w:rPr>
        <w:t>E</w:t>
      </w:r>
      <w:r w:rsidRPr="00194C92">
        <w:rPr>
          <w:rFonts w:cs="Times New Roman"/>
          <w:lang w:val="en-US"/>
        </w:rPr>
        <w:t>uropean cycles, thus, investors who invest in trade partners of Europe are less diversified, ceteris paribus.</w:t>
      </w:r>
    </w:p>
    <w:p w14:paraId="5E4C7B0B" w14:textId="5EE44658" w:rsidR="002E7BAC" w:rsidRPr="00EC31A2" w:rsidRDefault="002E7BAC" w:rsidP="008226B3">
      <w:pPr>
        <w:spacing w:after="0" w:line="360" w:lineRule="auto"/>
        <w:ind w:firstLine="709"/>
        <w:rPr>
          <w:rFonts w:cs="Times New Roman"/>
          <w:lang w:val="en-US"/>
        </w:rPr>
      </w:pPr>
    </w:p>
    <w:p w14:paraId="4E6F72EE" w14:textId="025A657A" w:rsidR="001D20E6" w:rsidRDefault="001D20E6" w:rsidP="008226B3">
      <w:pPr>
        <w:spacing w:after="0" w:line="360" w:lineRule="auto"/>
        <w:ind w:firstLine="709"/>
        <w:rPr>
          <w:rFonts w:cs="Times New Roman"/>
          <w:lang w:val="en-US"/>
        </w:rPr>
      </w:pPr>
      <w:r>
        <w:rPr>
          <w:rFonts w:cs="Times New Roman"/>
          <w:lang w:val="en-US"/>
        </w:rPr>
        <w:t xml:space="preserve">Similar study was performed by Lee J and Ryu D, but with respect to KOSPI 200 (South Korea Stock Index) option-implied volatility. The data frequency was 15 min. </w:t>
      </w:r>
      <w:r w:rsidR="00E22D94">
        <w:rPr>
          <w:rFonts w:cs="Times New Roman"/>
          <w:lang w:val="en-US"/>
        </w:rPr>
        <w:t xml:space="preserve">The time period </w:t>
      </w:r>
      <w:r w:rsidR="00E22D94">
        <w:rPr>
          <w:rFonts w:cs="Times New Roman"/>
          <w:lang w:val="en-US"/>
        </w:rPr>
        <w:lastRenderedPageBreak/>
        <w:t xml:space="preserve">before, during and after announcement of kay indicators (incl. policy interest rate, which is of our interest) was studied. </w:t>
      </w:r>
      <w:r w:rsidR="00642D06">
        <w:rPr>
          <w:rFonts w:cs="Times New Roman"/>
          <w:lang w:val="en-US"/>
        </w:rPr>
        <w:t>Key conclusions, applicable for our research, are as follows:</w:t>
      </w:r>
    </w:p>
    <w:p w14:paraId="4272A410" w14:textId="256870D7" w:rsidR="00642D06" w:rsidRDefault="00642D06" w:rsidP="0012540F">
      <w:pPr>
        <w:pStyle w:val="-"/>
      </w:pPr>
      <w:r>
        <w:t>Monetary policy decisions announcements significantly affect implied volatility of Index options during and after announcement</w:t>
      </w:r>
    </w:p>
    <w:p w14:paraId="32BDA027" w14:textId="04BC858C" w:rsidR="00642D06" w:rsidRDefault="00642D06" w:rsidP="0012540F">
      <w:pPr>
        <w:pStyle w:val="-"/>
      </w:pPr>
      <w:r w:rsidRPr="00642D06">
        <w:t xml:space="preserve">«the increases in </w:t>
      </w:r>
      <w:bookmarkStart w:id="11" w:name="_Hlk67955656"/>
      <w:r w:rsidRPr="00642D06">
        <w:t xml:space="preserve">implied volatility stemming from macroeconomic </w:t>
      </w:r>
      <w:bookmarkEnd w:id="11"/>
      <w:r w:rsidRPr="00642D06">
        <w:t>news announcements appear to be greater for policy rate hikes than for policy rate cuts»</w:t>
      </w:r>
      <w:r w:rsidR="007843C2">
        <w:rPr>
          <w:rStyle w:val="FootnoteReference"/>
        </w:rPr>
        <w:footnoteReference w:id="53"/>
      </w:r>
      <w:r w:rsidR="00CB7DFE">
        <w:t>.</w:t>
      </w:r>
    </w:p>
    <w:p w14:paraId="4F5C1152" w14:textId="47B49682" w:rsidR="00CB7DFE" w:rsidRDefault="00CB7DFE" w:rsidP="0012540F">
      <w:pPr>
        <w:pStyle w:val="-"/>
      </w:pPr>
      <w:r w:rsidRPr="00CB7DFE">
        <w:t>«the mean trading volume</w:t>
      </w:r>
      <w:r>
        <w:t xml:space="preserve"> [in KOSPI 200 options – Samara K.]</w:t>
      </w:r>
      <w:r w:rsidRPr="00CB7DFE">
        <w:t xml:space="preserve"> is lower on announcement days than on nonannouncement days and suggesting that traders temporarily reduce their trading volumes immediately following macroeconomic news announcements»</w:t>
      </w:r>
      <w:r>
        <w:rPr>
          <w:rStyle w:val="FootnoteReference"/>
        </w:rPr>
        <w:footnoteReference w:id="54"/>
      </w:r>
      <w:r>
        <w:t>.</w:t>
      </w:r>
    </w:p>
    <w:p w14:paraId="34D8FF9E" w14:textId="4BB3874F" w:rsidR="009857F2" w:rsidRDefault="00CB7DFE" w:rsidP="0012540F">
      <w:pPr>
        <w:pStyle w:val="-"/>
      </w:pPr>
      <w:r>
        <w:t>For monetary policy announcements made during trading time, effect on implied volatility lasts for approximately 15 minutes, but not much longer.</w:t>
      </w:r>
    </w:p>
    <w:p w14:paraId="415AB4DF" w14:textId="3F6E0292" w:rsidR="00CB7DFE" w:rsidRDefault="00CB7DFE" w:rsidP="008226B3">
      <w:pPr>
        <w:spacing w:after="0" w:line="360" w:lineRule="auto"/>
        <w:ind w:firstLine="709"/>
        <w:rPr>
          <w:rFonts w:cs="Times New Roman"/>
          <w:lang w:val="en-US"/>
        </w:rPr>
      </w:pPr>
    </w:p>
    <w:p w14:paraId="316200F0" w14:textId="77777777" w:rsidR="00231664" w:rsidRPr="00EC31A2" w:rsidRDefault="00231664" w:rsidP="008226B3">
      <w:pPr>
        <w:spacing w:after="0" w:line="360" w:lineRule="auto"/>
        <w:ind w:firstLine="709"/>
        <w:rPr>
          <w:rFonts w:cs="Times New Roman"/>
          <w:lang w:val="en-US"/>
        </w:rPr>
      </w:pPr>
      <w:r>
        <w:rPr>
          <w:rFonts w:cs="Times New Roman"/>
          <w:lang w:val="en-US"/>
        </w:rPr>
        <w:t>We want to express main findings of literature review as a specific points:</w:t>
      </w:r>
    </w:p>
    <w:p w14:paraId="17CAB382" w14:textId="77777777" w:rsidR="00231664" w:rsidRDefault="00231664" w:rsidP="0012540F">
      <w:pPr>
        <w:pStyle w:val="-"/>
      </w:pPr>
      <w:r>
        <w:t>There are studies devoted to the deviation of contracts from their theoretical value. Among most interesting factors for deviation, listed by correspondent authors are:</w:t>
      </w:r>
    </w:p>
    <w:p w14:paraId="56553E2B" w14:textId="77777777" w:rsidR="00231664" w:rsidRDefault="00231664" w:rsidP="008226B3">
      <w:pPr>
        <w:pStyle w:val="ListParagraph"/>
        <w:numPr>
          <w:ilvl w:val="1"/>
          <w:numId w:val="5"/>
        </w:numPr>
        <w:spacing w:after="0" w:line="360" w:lineRule="auto"/>
        <w:ind w:left="709" w:firstLine="709"/>
        <w:rPr>
          <w:rFonts w:cs="Times New Roman"/>
          <w:lang w:val="en-US"/>
        </w:rPr>
      </w:pPr>
      <w:r>
        <w:rPr>
          <w:rFonts w:cs="Times New Roman"/>
          <w:lang w:val="en-US"/>
        </w:rPr>
        <w:t>Hedging demand, proxied by either outstanding liabilities in foreign currency or International Investment Positioning data;</w:t>
      </w:r>
    </w:p>
    <w:p w14:paraId="1F3EDD73" w14:textId="77777777" w:rsidR="00231664" w:rsidRDefault="00231664" w:rsidP="008226B3">
      <w:pPr>
        <w:pStyle w:val="ListParagraph"/>
        <w:numPr>
          <w:ilvl w:val="1"/>
          <w:numId w:val="5"/>
        </w:numPr>
        <w:spacing w:after="0" w:line="360" w:lineRule="auto"/>
        <w:ind w:left="709" w:firstLine="709"/>
        <w:rPr>
          <w:rFonts w:cs="Times New Roman"/>
          <w:lang w:val="en-US"/>
        </w:rPr>
      </w:pPr>
      <w:r>
        <w:rPr>
          <w:rFonts w:cs="Times New Roman"/>
          <w:lang w:val="en-US"/>
        </w:rPr>
        <w:t>Non-representativeness of risk-free rate as a proxy for real borrowing/lending rate to perform arbitrage transactions;</w:t>
      </w:r>
    </w:p>
    <w:p w14:paraId="49C258D9" w14:textId="77777777" w:rsidR="00231664" w:rsidRDefault="00231664" w:rsidP="008226B3">
      <w:pPr>
        <w:pStyle w:val="ListParagraph"/>
        <w:numPr>
          <w:ilvl w:val="1"/>
          <w:numId w:val="5"/>
        </w:numPr>
        <w:spacing w:after="0" w:line="360" w:lineRule="auto"/>
        <w:ind w:left="709" w:firstLine="709"/>
        <w:rPr>
          <w:rFonts w:cs="Times New Roman"/>
          <w:lang w:val="en-US"/>
        </w:rPr>
      </w:pPr>
      <w:r>
        <w:rPr>
          <w:rFonts w:cs="Times New Roman"/>
          <w:lang w:val="en-US"/>
        </w:rPr>
        <w:t>We also can conclude that the value of other derivative contracts, that are substitutes for FX futures or linked to hedging demand, also influences FX futures;</w:t>
      </w:r>
    </w:p>
    <w:p w14:paraId="3FD74F07" w14:textId="40F521A9" w:rsidR="00231664" w:rsidRDefault="00231664" w:rsidP="008226B3">
      <w:pPr>
        <w:pStyle w:val="ListParagraph"/>
        <w:numPr>
          <w:ilvl w:val="1"/>
          <w:numId w:val="5"/>
        </w:numPr>
        <w:spacing w:after="0" w:line="360" w:lineRule="auto"/>
        <w:ind w:left="709" w:firstLine="709"/>
        <w:rPr>
          <w:rFonts w:cs="Times New Roman"/>
          <w:lang w:val="en-US"/>
        </w:rPr>
      </w:pPr>
      <w:r>
        <w:rPr>
          <w:rFonts w:cs="Times New Roman"/>
          <w:lang w:val="en-US"/>
        </w:rPr>
        <w:t>Some portion of FX futures overpricing is attributable to the FX spot rate development expectations</w:t>
      </w:r>
      <w:r w:rsidR="004E6607">
        <w:rPr>
          <w:rFonts w:cs="Times New Roman"/>
          <w:lang w:val="en-US"/>
        </w:rPr>
        <w:t>: FX futures markets tend to attract more professional investors and thus spot markets, while having higher trade volume, may pay attention at the FX futures markets</w:t>
      </w:r>
      <w:r>
        <w:rPr>
          <w:rFonts w:cs="Times New Roman"/>
          <w:lang w:val="en-US"/>
        </w:rPr>
        <w:t>;</w:t>
      </w:r>
    </w:p>
    <w:p w14:paraId="41FFA359" w14:textId="77777777" w:rsidR="00231664" w:rsidRDefault="00231664" w:rsidP="0012540F">
      <w:pPr>
        <w:pStyle w:val="-"/>
      </w:pPr>
      <w:r>
        <w:t>Currency pairs studied by us are also widely researched by academics, but mostly with USD as a base currency;</w:t>
      </w:r>
    </w:p>
    <w:p w14:paraId="072A6514" w14:textId="1069FB58" w:rsidR="00231664" w:rsidRDefault="00231664" w:rsidP="0012540F">
      <w:pPr>
        <w:pStyle w:val="-"/>
      </w:pPr>
      <w:r>
        <w:t>None or almost none of the researches studied whether FX futures where at least one currency has correspondent negative interbank rates are priced in different manner than the other contracts</w:t>
      </w:r>
      <w:r w:rsidR="004E6607">
        <w:t>. This creates significant research gap to be filled by us</w:t>
      </w:r>
      <w:r>
        <w:t>;</w:t>
      </w:r>
    </w:p>
    <w:p w14:paraId="00745848" w14:textId="77777777" w:rsidR="00231664" w:rsidRDefault="00231664" w:rsidP="0012540F">
      <w:pPr>
        <w:pStyle w:val="-"/>
      </w:pPr>
      <w:r>
        <w:lastRenderedPageBreak/>
        <w:t xml:space="preserve">Negative interest rates as a attribute of a specific monetary policy, </w:t>
      </w:r>
      <w:r w:rsidRPr="004E6607">
        <w:t>in some circumstances</w:t>
      </w:r>
      <w:r>
        <w:t xml:space="preserve"> expose money market interest rates (used for FX futures pricing) under an increasing fluctuations;</w:t>
      </w:r>
    </w:p>
    <w:p w14:paraId="0A6B757C" w14:textId="77777777" w:rsidR="00231664" w:rsidRDefault="00231664" w:rsidP="0012540F">
      <w:pPr>
        <w:pStyle w:val="-"/>
      </w:pPr>
      <w:r>
        <w:t>Monetary policy announcements are a major source of changes in FX market. Some announcements drive capital flows in a certain direction, thus creating increased FX exposure and likely to result in increase in hedging demand. Spikes in either FX futures prices or trading volumes may be expected during announcements.</w:t>
      </w:r>
    </w:p>
    <w:p w14:paraId="07F57FC8" w14:textId="77777777" w:rsidR="00552D71" w:rsidRDefault="00552D71" w:rsidP="008226B3">
      <w:pPr>
        <w:spacing w:after="0" w:line="360" w:lineRule="auto"/>
        <w:ind w:firstLine="709"/>
        <w:rPr>
          <w:rFonts w:cs="Times New Roman"/>
          <w:lang w:val="en-US"/>
        </w:rPr>
      </w:pPr>
    </w:p>
    <w:p w14:paraId="16F31189" w14:textId="777CC098" w:rsidR="004E6607" w:rsidRDefault="004E6607" w:rsidP="008226B3">
      <w:pPr>
        <w:spacing w:after="0" w:line="360" w:lineRule="auto"/>
        <w:ind w:firstLine="709"/>
        <w:rPr>
          <w:rFonts w:cs="Times New Roman"/>
          <w:lang w:val="en-US"/>
        </w:rPr>
      </w:pPr>
      <w:r>
        <w:rPr>
          <w:rFonts w:cs="Times New Roman"/>
          <w:lang w:val="en-US"/>
        </w:rPr>
        <w:t>Having concluded our Literature review, we want to say that we face several problems to be solved:</w:t>
      </w:r>
    </w:p>
    <w:p w14:paraId="7A6576C0" w14:textId="0BFAD270" w:rsidR="00231664" w:rsidRPr="00DD3F94" w:rsidRDefault="004E6607" w:rsidP="0012540F">
      <w:pPr>
        <w:pStyle w:val="-"/>
      </w:pPr>
      <w:r w:rsidRPr="00DD3F94">
        <w:t>desired frequency of data to be collected</w:t>
      </w:r>
      <w:r w:rsidR="00DD3F94" w:rsidRPr="00DD3F94">
        <w:t xml:space="preserve"> should be (a) higher than daily to study relevant average daily prices (rarely comparab</w:t>
      </w:r>
      <w:r w:rsidR="00552D71">
        <w:t>l</w:t>
      </w:r>
      <w:r w:rsidR="00DD3F94" w:rsidRPr="00DD3F94">
        <w:t>e to the daily close prices) and (b) allow us to see the range of possible deviations of FX futures from theoretical price</w:t>
      </w:r>
      <w:r w:rsidR="00DD3F94">
        <w:t>. We decided on 30-minutes data as a good trade off between representativeness and computing power constraints;</w:t>
      </w:r>
    </w:p>
    <w:p w14:paraId="3B823208" w14:textId="7393833A" w:rsidR="00DD3F94" w:rsidRDefault="00DD3F94" w:rsidP="0012540F">
      <w:pPr>
        <w:pStyle w:val="-"/>
      </w:pPr>
      <w:r w:rsidRPr="00DD3F94">
        <w:t>relevant economic indicators used as explanatory variables should be available with sufficient frequency (not quarterly or monthly) and without significant rounding;</w:t>
      </w:r>
    </w:p>
    <w:p w14:paraId="7D1E4E43" w14:textId="5169AFFB" w:rsidR="00DD3F94" w:rsidRPr="00DD3F94" w:rsidRDefault="00DD3F94" w:rsidP="0012540F">
      <w:pPr>
        <w:pStyle w:val="-"/>
      </w:pPr>
      <w:r>
        <w:t xml:space="preserve">study of the effect of market expectations is challenging in terms of defining quantifiable variables: having collected data on many FX futures, it would be difficult to both collect results for FX polls and CB monetary decisions forecasts consensus and to extrapolate some observed deviations on particular prices of particular contracts at the defined exchange – in this case we will face many problems with the validity of the results. Hence, another, </w:t>
      </w:r>
      <w:r w:rsidR="00552D71">
        <w:t>mo</w:t>
      </w:r>
      <w:r>
        <w:t>re direct measure of interest rate</w:t>
      </w:r>
      <w:r w:rsidRPr="00DD3F94">
        <w:t>/</w:t>
      </w:r>
      <w:r>
        <w:t>FX rate expectations change should be used by us, if any. We decide to adopt changes in OIS differential as a proxy for the changes in interest rate exp</w:t>
      </w:r>
      <w:r w:rsidR="00552D71">
        <w:t>e</w:t>
      </w:r>
      <w:r>
        <w:t>ctations because it is direct in computation and could be easily explained and adopted in research.</w:t>
      </w:r>
    </w:p>
    <w:p w14:paraId="0D052E8F" w14:textId="78ADDFCF" w:rsidR="00552D71" w:rsidRDefault="00552D71">
      <w:pPr>
        <w:jc w:val="left"/>
        <w:rPr>
          <w:rFonts w:cs="Times New Roman"/>
          <w:lang w:val="en-US"/>
        </w:rPr>
      </w:pPr>
      <w:r>
        <w:rPr>
          <w:rFonts w:cs="Times New Roman"/>
          <w:lang w:val="en-US"/>
        </w:rPr>
        <w:br w:type="page"/>
      </w:r>
    </w:p>
    <w:p w14:paraId="3486C5E0" w14:textId="0EE419E9" w:rsidR="00231664" w:rsidRDefault="00467D70" w:rsidP="008226B3">
      <w:pPr>
        <w:pStyle w:val="Heading1"/>
        <w:spacing w:line="360" w:lineRule="auto"/>
        <w:ind w:firstLine="709"/>
        <w:rPr>
          <w:lang w:val="en-US"/>
        </w:rPr>
      </w:pPr>
      <w:bookmarkStart w:id="12" w:name="_Toc73483049"/>
      <w:r>
        <w:rPr>
          <w:lang w:val="en-US"/>
        </w:rPr>
        <w:lastRenderedPageBreak/>
        <w:t xml:space="preserve">1.4. </w:t>
      </w:r>
      <w:r w:rsidR="00552D71">
        <w:rPr>
          <w:lang w:val="en-US"/>
        </w:rPr>
        <w:t>STATEMENT OF RESEARCH QUESTION, GOAL AND HYPOTHESES</w:t>
      </w:r>
      <w:bookmarkEnd w:id="12"/>
    </w:p>
    <w:p w14:paraId="6324E12B" w14:textId="55CB0816" w:rsidR="002A45BA" w:rsidRPr="002A45BA" w:rsidRDefault="002A45BA" w:rsidP="008226B3">
      <w:pPr>
        <w:pStyle w:val="Heading2"/>
        <w:spacing w:line="360" w:lineRule="auto"/>
        <w:ind w:firstLine="709"/>
        <w:rPr>
          <w:rFonts w:eastAsiaTheme="minorHAnsi" w:cs="Times New Roman"/>
          <w:b w:val="0"/>
          <w:color w:val="auto"/>
          <w:szCs w:val="22"/>
          <w:lang w:val="en-US"/>
        </w:rPr>
      </w:pPr>
      <w:bookmarkStart w:id="13" w:name="_Toc73483050"/>
      <w:r w:rsidRPr="002A45BA">
        <w:rPr>
          <w:rFonts w:eastAsiaTheme="minorHAnsi" w:cs="Times New Roman"/>
          <w:b w:val="0"/>
          <w:color w:val="auto"/>
          <w:szCs w:val="22"/>
          <w:lang w:val="en-US"/>
        </w:rPr>
        <w:t>Based on information</w:t>
      </w:r>
      <w:r>
        <w:rPr>
          <w:rFonts w:eastAsiaTheme="minorHAnsi" w:cs="Times New Roman"/>
          <w:b w:val="0"/>
          <w:color w:val="auto"/>
          <w:szCs w:val="22"/>
          <w:lang w:val="en-US"/>
        </w:rPr>
        <w:t xml:space="preserve"> provided above, we could now define our research question, goal, hypotheses and outline research method needed to </w:t>
      </w:r>
      <w:r w:rsidR="00BA2283">
        <w:rPr>
          <w:rFonts w:eastAsiaTheme="minorHAnsi" w:cs="Times New Roman"/>
          <w:b w:val="0"/>
          <w:color w:val="auto"/>
          <w:szCs w:val="22"/>
          <w:lang w:val="en-US"/>
        </w:rPr>
        <w:t>achieve goal.</w:t>
      </w:r>
      <w:bookmarkEnd w:id="13"/>
    </w:p>
    <w:p w14:paraId="1D4C7DE9" w14:textId="386DB0D0" w:rsidR="00544BEB" w:rsidRPr="00595D27" w:rsidRDefault="00467D70" w:rsidP="008226B3">
      <w:pPr>
        <w:pStyle w:val="Heading2"/>
        <w:spacing w:line="360" w:lineRule="auto"/>
        <w:ind w:firstLine="709"/>
        <w:rPr>
          <w:lang w:val="en-US"/>
        </w:rPr>
      </w:pPr>
      <w:bookmarkStart w:id="14" w:name="_Toc73483051"/>
      <w:r>
        <w:rPr>
          <w:lang w:val="en-US"/>
        </w:rPr>
        <w:t xml:space="preserve">1.4.1. </w:t>
      </w:r>
      <w:r w:rsidR="006B317A">
        <w:rPr>
          <w:lang w:val="en-US"/>
        </w:rPr>
        <w:t>Definition of r</w:t>
      </w:r>
      <w:r w:rsidR="00544BEB" w:rsidRPr="00595D27">
        <w:rPr>
          <w:lang w:val="en-US"/>
        </w:rPr>
        <w:t>esearch question</w:t>
      </w:r>
      <w:r w:rsidR="006B317A">
        <w:rPr>
          <w:lang w:val="en-US"/>
        </w:rPr>
        <w:t xml:space="preserve"> and research goal</w:t>
      </w:r>
      <w:bookmarkEnd w:id="14"/>
    </w:p>
    <w:p w14:paraId="257E69A8" w14:textId="7E5DB33E" w:rsidR="006B317A" w:rsidRPr="000B0767" w:rsidRDefault="000B0767" w:rsidP="008226B3">
      <w:pPr>
        <w:spacing w:after="0" w:line="360" w:lineRule="auto"/>
        <w:ind w:firstLine="709"/>
        <w:rPr>
          <w:rFonts w:cs="Times New Roman"/>
          <w:lang w:val="en-US"/>
        </w:rPr>
      </w:pPr>
      <w:r w:rsidRPr="000B0767">
        <w:rPr>
          <w:rFonts w:cs="Times New Roman"/>
          <w:lang w:val="en-US"/>
        </w:rPr>
        <w:t xml:space="preserve">Research </w:t>
      </w:r>
      <w:r>
        <w:rPr>
          <w:rFonts w:cs="Times New Roman"/>
          <w:lang w:val="en-US"/>
        </w:rPr>
        <w:t>question</w:t>
      </w:r>
      <w:r w:rsidRPr="000B0767">
        <w:rPr>
          <w:rFonts w:cs="Times New Roman"/>
          <w:lang w:val="en-US"/>
        </w:rPr>
        <w:t xml:space="preserve"> could be defined as</w:t>
      </w:r>
      <w:r>
        <w:rPr>
          <w:rFonts w:cs="Times New Roman"/>
          <w:lang w:val="en-US"/>
        </w:rPr>
        <w:t>:</w:t>
      </w:r>
    </w:p>
    <w:p w14:paraId="334F4280" w14:textId="36243127" w:rsidR="008D5DA3" w:rsidRPr="006B317A" w:rsidRDefault="008D5DA3" w:rsidP="008226B3">
      <w:pPr>
        <w:spacing w:after="0" w:line="360" w:lineRule="auto"/>
        <w:ind w:firstLine="709"/>
        <w:rPr>
          <w:rFonts w:cs="Times New Roman"/>
          <w:i/>
          <w:iCs/>
          <w:lang w:val="en-US"/>
        </w:rPr>
      </w:pPr>
      <w:r w:rsidRPr="006B317A">
        <w:rPr>
          <w:rFonts w:cs="Times New Roman"/>
          <w:i/>
          <w:iCs/>
          <w:lang w:val="en-US"/>
        </w:rPr>
        <w:t>What are the main determinants of pricing FX futures with negative</w:t>
      </w:r>
      <w:r w:rsidR="00595D27" w:rsidRPr="006B317A">
        <w:rPr>
          <w:rFonts w:cs="Times New Roman"/>
          <w:i/>
          <w:iCs/>
          <w:lang w:val="en-US"/>
        </w:rPr>
        <w:t xml:space="preserve"> applicable</w:t>
      </w:r>
      <w:r w:rsidRPr="006B317A">
        <w:rPr>
          <w:rFonts w:cs="Times New Roman"/>
          <w:i/>
          <w:iCs/>
          <w:lang w:val="en-US"/>
        </w:rPr>
        <w:t xml:space="preserve"> interest rates compared with FX futures with positive</w:t>
      </w:r>
      <w:r w:rsidR="00595D27" w:rsidRPr="006B317A">
        <w:rPr>
          <w:rFonts w:cs="Times New Roman"/>
          <w:i/>
          <w:iCs/>
          <w:lang w:val="en-US"/>
        </w:rPr>
        <w:t xml:space="preserve"> applicable</w:t>
      </w:r>
      <w:r w:rsidRPr="006B317A">
        <w:rPr>
          <w:rFonts w:cs="Times New Roman"/>
          <w:i/>
          <w:iCs/>
          <w:lang w:val="en-US"/>
        </w:rPr>
        <w:t xml:space="preserve"> interest rates?</w:t>
      </w:r>
    </w:p>
    <w:p w14:paraId="6E03B495" w14:textId="0CC3F073" w:rsidR="006B317A" w:rsidRDefault="000B0767" w:rsidP="008226B3">
      <w:pPr>
        <w:spacing w:after="0" w:line="360" w:lineRule="auto"/>
        <w:ind w:firstLine="709"/>
        <w:rPr>
          <w:rFonts w:cs="Times New Roman"/>
          <w:lang w:val="en-US"/>
        </w:rPr>
      </w:pPr>
      <w:r>
        <w:rPr>
          <w:rFonts w:cs="Times New Roman"/>
          <w:lang w:val="en-US"/>
        </w:rPr>
        <w:t>Research goal could be defined as:</w:t>
      </w:r>
    </w:p>
    <w:p w14:paraId="5B19DDA1" w14:textId="1035FF73" w:rsidR="002B70F9" w:rsidRDefault="0005631C" w:rsidP="008226B3">
      <w:pPr>
        <w:spacing w:after="0" w:line="360" w:lineRule="auto"/>
        <w:ind w:firstLine="709"/>
        <w:rPr>
          <w:rFonts w:cs="Times New Roman"/>
          <w:i/>
          <w:iCs/>
          <w:lang w:val="en-US"/>
        </w:rPr>
      </w:pPr>
      <w:r>
        <w:rPr>
          <w:rFonts w:cs="Times New Roman"/>
          <w:i/>
          <w:iCs/>
          <w:lang w:val="en-US"/>
        </w:rPr>
        <w:t>I</w:t>
      </w:r>
      <w:r w:rsidRPr="00643B95">
        <w:rPr>
          <w:rFonts w:cs="Times New Roman"/>
          <w:i/>
          <w:iCs/>
          <w:lang w:val="en-US"/>
        </w:rPr>
        <w:t>dentification of the drivers of pricing of FX futures on currencies</w:t>
      </w:r>
      <w:r>
        <w:rPr>
          <w:rFonts w:cs="Times New Roman"/>
          <w:i/>
          <w:iCs/>
          <w:lang w:val="en-US"/>
        </w:rPr>
        <w:t xml:space="preserve"> with negative domestic interbank interest rates, performed via analysis of the deviations of FX futures prices from the theoretical values.</w:t>
      </w:r>
    </w:p>
    <w:p w14:paraId="6D570E76" w14:textId="6D603BD4" w:rsidR="0005631C" w:rsidRDefault="0005631C" w:rsidP="008226B3">
      <w:pPr>
        <w:spacing w:after="0" w:line="360" w:lineRule="auto"/>
        <w:ind w:firstLine="709"/>
        <w:rPr>
          <w:rFonts w:cs="Times New Roman"/>
          <w:lang w:val="en-US"/>
        </w:rPr>
      </w:pPr>
    </w:p>
    <w:p w14:paraId="167DE44F" w14:textId="46C7F23E" w:rsidR="00467D70" w:rsidRPr="00B016C7" w:rsidRDefault="00467D70" w:rsidP="00467D70">
      <w:pPr>
        <w:pStyle w:val="Heading2"/>
        <w:spacing w:line="360" w:lineRule="auto"/>
        <w:ind w:firstLine="709"/>
        <w:rPr>
          <w:lang w:val="en-US"/>
        </w:rPr>
      </w:pPr>
      <w:bookmarkStart w:id="15" w:name="_Toc73483052"/>
      <w:r>
        <w:rPr>
          <w:lang w:val="en-US"/>
        </w:rPr>
        <w:t xml:space="preserve">1.4.2. </w:t>
      </w:r>
      <w:r w:rsidRPr="00B016C7">
        <w:rPr>
          <w:lang w:val="en-US"/>
        </w:rPr>
        <w:t xml:space="preserve">Research </w:t>
      </w:r>
      <w:r>
        <w:rPr>
          <w:lang w:val="en-US"/>
        </w:rPr>
        <w:t>h</w:t>
      </w:r>
      <w:r w:rsidRPr="00B016C7">
        <w:rPr>
          <w:lang w:val="en-US"/>
        </w:rPr>
        <w:t>ypotheses</w:t>
      </w:r>
      <w:bookmarkEnd w:id="15"/>
    </w:p>
    <w:p w14:paraId="76AC6810" w14:textId="77777777" w:rsidR="00467D70" w:rsidRDefault="00467D70" w:rsidP="00467D70">
      <w:pPr>
        <w:spacing w:after="0" w:line="360" w:lineRule="auto"/>
        <w:ind w:firstLine="709"/>
        <w:rPr>
          <w:rFonts w:cs="Times New Roman"/>
          <w:lang w:val="en-US"/>
        </w:rPr>
      </w:pPr>
      <w:r>
        <w:rPr>
          <w:rFonts w:cs="Times New Roman"/>
          <w:lang w:val="en-US"/>
        </w:rPr>
        <w:t>To come up with the meaningful results, not only hypotheses that directly reference “negative” nature of the interest rates will be tested, but also the hypotheses, that are aimed to study general characteristics of the chosen FX future contracts. Thus, we grouped the full set of hypotheses into the “Categories”, according to the nature of the relationships they help us to study.</w:t>
      </w:r>
    </w:p>
    <w:tbl>
      <w:tblPr>
        <w:tblW w:w="935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43"/>
        <w:gridCol w:w="1431"/>
        <w:gridCol w:w="1213"/>
        <w:gridCol w:w="4869"/>
      </w:tblGrid>
      <w:tr w:rsidR="000A31A7" w:rsidRPr="006D0838" w14:paraId="388D2CED" w14:textId="77777777" w:rsidTr="004D16C9">
        <w:trPr>
          <w:trHeight w:val="288"/>
        </w:trPr>
        <w:tc>
          <w:tcPr>
            <w:tcW w:w="1843" w:type="dxa"/>
            <w:vMerge w:val="restart"/>
            <w:shd w:val="clear" w:color="auto" w:fill="auto"/>
            <w:noWrap/>
            <w:vAlign w:val="center"/>
            <w:hideMark/>
          </w:tcPr>
          <w:p w14:paraId="4F2124F3" w14:textId="77777777" w:rsidR="000A31A7" w:rsidRPr="006D0838" w:rsidRDefault="000A31A7" w:rsidP="00435A93">
            <w:pPr>
              <w:spacing w:after="0" w:line="360" w:lineRule="auto"/>
              <w:jc w:val="center"/>
              <w:rPr>
                <w:rFonts w:eastAsia="Times New Roman" w:cs="Times New Roman"/>
                <w:b/>
                <w:bCs/>
                <w:color w:val="000000"/>
                <w:sz w:val="18"/>
                <w:szCs w:val="18"/>
                <w:lang w:eastAsia="ru-RU"/>
              </w:rPr>
            </w:pPr>
            <w:r w:rsidRPr="006D0838">
              <w:rPr>
                <w:rFonts w:eastAsia="Times New Roman" w:cs="Times New Roman"/>
                <w:b/>
                <w:bCs/>
                <w:color w:val="000000"/>
                <w:sz w:val="18"/>
                <w:szCs w:val="18"/>
                <w:lang w:eastAsia="ru-RU"/>
              </w:rPr>
              <w:t>Hypothesys</w:t>
            </w:r>
          </w:p>
        </w:tc>
        <w:tc>
          <w:tcPr>
            <w:tcW w:w="2644" w:type="dxa"/>
            <w:gridSpan w:val="2"/>
            <w:shd w:val="clear" w:color="auto" w:fill="auto"/>
            <w:noWrap/>
            <w:vAlign w:val="center"/>
            <w:hideMark/>
          </w:tcPr>
          <w:p w14:paraId="459350EC" w14:textId="77777777" w:rsidR="000A31A7" w:rsidRPr="006D0838" w:rsidRDefault="000A31A7" w:rsidP="00435A93">
            <w:pPr>
              <w:spacing w:after="0" w:line="360" w:lineRule="auto"/>
              <w:jc w:val="center"/>
              <w:rPr>
                <w:rFonts w:eastAsia="Times New Roman" w:cs="Times New Roman"/>
                <w:b/>
                <w:bCs/>
                <w:color w:val="000000"/>
                <w:sz w:val="18"/>
                <w:szCs w:val="18"/>
                <w:lang w:eastAsia="ru-RU"/>
              </w:rPr>
            </w:pPr>
            <w:r w:rsidRPr="006D0838">
              <w:rPr>
                <w:rFonts w:eastAsia="Times New Roman" w:cs="Times New Roman"/>
                <w:b/>
                <w:bCs/>
                <w:color w:val="000000"/>
                <w:sz w:val="18"/>
                <w:szCs w:val="18"/>
                <w:lang w:eastAsia="ru-RU"/>
              </w:rPr>
              <w:t>C</w:t>
            </w:r>
            <w:r w:rsidRPr="006D0838">
              <w:rPr>
                <w:rFonts w:eastAsia="Times New Roman" w:cs="Times New Roman"/>
                <w:b/>
                <w:bCs/>
                <w:color w:val="000000"/>
                <w:sz w:val="18"/>
                <w:szCs w:val="18"/>
                <w:lang w:val="en-US" w:eastAsia="ru-RU"/>
              </w:rPr>
              <w:t>a</w:t>
            </w:r>
            <w:r w:rsidRPr="006D0838">
              <w:rPr>
                <w:rFonts w:eastAsia="Times New Roman" w:cs="Times New Roman"/>
                <w:b/>
                <w:bCs/>
                <w:color w:val="000000"/>
                <w:sz w:val="18"/>
                <w:szCs w:val="18"/>
                <w:lang w:eastAsia="ru-RU"/>
              </w:rPr>
              <w:t>t</w:t>
            </w:r>
            <w:r w:rsidRPr="006D0838">
              <w:rPr>
                <w:rFonts w:eastAsia="Times New Roman" w:cs="Times New Roman"/>
                <w:b/>
                <w:bCs/>
                <w:color w:val="000000"/>
                <w:sz w:val="18"/>
                <w:szCs w:val="18"/>
                <w:lang w:val="en-US" w:eastAsia="ru-RU"/>
              </w:rPr>
              <w:t>e</w:t>
            </w:r>
            <w:r w:rsidRPr="006D0838">
              <w:rPr>
                <w:rFonts w:eastAsia="Times New Roman" w:cs="Times New Roman"/>
                <w:b/>
                <w:bCs/>
                <w:color w:val="000000"/>
                <w:sz w:val="18"/>
                <w:szCs w:val="18"/>
                <w:lang w:eastAsia="ru-RU"/>
              </w:rPr>
              <w:t>gory</w:t>
            </w:r>
          </w:p>
        </w:tc>
        <w:tc>
          <w:tcPr>
            <w:tcW w:w="4869" w:type="dxa"/>
            <w:vMerge w:val="restart"/>
            <w:shd w:val="clear" w:color="auto" w:fill="auto"/>
            <w:noWrap/>
            <w:vAlign w:val="center"/>
            <w:hideMark/>
          </w:tcPr>
          <w:p w14:paraId="3F9454FC" w14:textId="77777777" w:rsidR="000A31A7" w:rsidRPr="006D0838" w:rsidRDefault="000A31A7" w:rsidP="00435A93">
            <w:pPr>
              <w:spacing w:after="0" w:line="360" w:lineRule="auto"/>
              <w:jc w:val="center"/>
              <w:rPr>
                <w:rFonts w:eastAsia="Times New Roman" w:cs="Times New Roman"/>
                <w:b/>
                <w:bCs/>
                <w:color w:val="000000"/>
                <w:sz w:val="18"/>
                <w:szCs w:val="18"/>
                <w:lang w:eastAsia="ru-RU"/>
              </w:rPr>
            </w:pPr>
            <w:r w:rsidRPr="006D0838">
              <w:rPr>
                <w:rFonts w:eastAsia="Times New Roman" w:cs="Times New Roman"/>
                <w:b/>
                <w:bCs/>
                <w:color w:val="000000"/>
                <w:sz w:val="18"/>
                <w:szCs w:val="18"/>
                <w:lang w:eastAsia="ru-RU"/>
              </w:rPr>
              <w:t>Description</w:t>
            </w:r>
          </w:p>
        </w:tc>
      </w:tr>
      <w:tr w:rsidR="000A31A7" w:rsidRPr="006D0838" w14:paraId="3E56D140" w14:textId="77777777" w:rsidTr="004D16C9">
        <w:trPr>
          <w:trHeight w:val="288"/>
        </w:trPr>
        <w:tc>
          <w:tcPr>
            <w:tcW w:w="1843" w:type="dxa"/>
            <w:vMerge/>
            <w:shd w:val="clear" w:color="auto" w:fill="auto"/>
            <w:noWrap/>
            <w:vAlign w:val="center"/>
            <w:hideMark/>
          </w:tcPr>
          <w:p w14:paraId="1B0150B9" w14:textId="77777777" w:rsidR="000A31A7" w:rsidRPr="00507830" w:rsidRDefault="000A31A7" w:rsidP="00435A93">
            <w:pPr>
              <w:spacing w:after="0" w:line="360" w:lineRule="auto"/>
              <w:ind w:firstLine="709"/>
              <w:jc w:val="center"/>
              <w:rPr>
                <w:rFonts w:eastAsia="Times New Roman" w:cs="Times New Roman"/>
                <w:b/>
                <w:bCs/>
                <w:color w:val="000000"/>
                <w:sz w:val="14"/>
                <w:szCs w:val="14"/>
                <w:lang w:eastAsia="ru-RU"/>
              </w:rPr>
            </w:pPr>
          </w:p>
        </w:tc>
        <w:tc>
          <w:tcPr>
            <w:tcW w:w="1431" w:type="dxa"/>
            <w:shd w:val="clear" w:color="auto" w:fill="auto"/>
            <w:noWrap/>
            <w:vAlign w:val="center"/>
            <w:hideMark/>
          </w:tcPr>
          <w:p w14:paraId="1C828DC5" w14:textId="77777777" w:rsidR="000A31A7" w:rsidRPr="00552D71" w:rsidRDefault="000A31A7" w:rsidP="00435A93">
            <w:pPr>
              <w:spacing w:after="0" w:line="360" w:lineRule="auto"/>
              <w:jc w:val="center"/>
              <w:rPr>
                <w:rFonts w:eastAsia="Times New Roman" w:cs="Times New Roman"/>
                <w:b/>
                <w:bCs/>
                <w:color w:val="000000"/>
                <w:sz w:val="14"/>
                <w:szCs w:val="14"/>
                <w:lang w:eastAsia="ru-RU"/>
              </w:rPr>
            </w:pPr>
            <w:r w:rsidRPr="00552D71">
              <w:rPr>
                <w:rFonts w:eastAsia="Times New Roman" w:cs="Times New Roman"/>
                <w:b/>
                <w:bCs/>
                <w:color w:val="000000"/>
                <w:sz w:val="14"/>
                <w:szCs w:val="14"/>
                <w:lang w:eastAsia="ru-RU"/>
              </w:rPr>
              <w:t>Negative rates</w:t>
            </w:r>
          </w:p>
        </w:tc>
        <w:tc>
          <w:tcPr>
            <w:tcW w:w="1213" w:type="dxa"/>
            <w:shd w:val="clear" w:color="auto" w:fill="auto"/>
            <w:noWrap/>
            <w:vAlign w:val="center"/>
            <w:hideMark/>
          </w:tcPr>
          <w:p w14:paraId="578579C2" w14:textId="77777777" w:rsidR="000A31A7" w:rsidRPr="00552D71" w:rsidRDefault="000A31A7" w:rsidP="00435A93">
            <w:pPr>
              <w:spacing w:after="0" w:line="360" w:lineRule="auto"/>
              <w:jc w:val="center"/>
              <w:rPr>
                <w:rFonts w:eastAsia="Times New Roman" w:cs="Times New Roman"/>
                <w:b/>
                <w:bCs/>
                <w:color w:val="000000"/>
                <w:sz w:val="14"/>
                <w:szCs w:val="14"/>
                <w:lang w:eastAsia="ru-RU"/>
              </w:rPr>
            </w:pPr>
            <w:r w:rsidRPr="00552D71">
              <w:rPr>
                <w:rFonts w:eastAsia="Times New Roman" w:cs="Times New Roman"/>
                <w:b/>
                <w:bCs/>
                <w:color w:val="000000"/>
                <w:sz w:val="14"/>
                <w:szCs w:val="14"/>
                <w:lang w:eastAsia="ru-RU"/>
              </w:rPr>
              <w:t>Price behavior</w:t>
            </w:r>
          </w:p>
        </w:tc>
        <w:tc>
          <w:tcPr>
            <w:tcW w:w="4869" w:type="dxa"/>
            <w:vMerge/>
            <w:shd w:val="clear" w:color="auto" w:fill="auto"/>
            <w:noWrap/>
            <w:vAlign w:val="center"/>
            <w:hideMark/>
          </w:tcPr>
          <w:p w14:paraId="369CF459" w14:textId="77777777" w:rsidR="000A31A7" w:rsidRPr="00507830" w:rsidRDefault="000A31A7" w:rsidP="00435A93">
            <w:pPr>
              <w:spacing w:after="0" w:line="360" w:lineRule="auto"/>
              <w:ind w:firstLine="709"/>
              <w:jc w:val="center"/>
              <w:rPr>
                <w:rFonts w:eastAsia="Times New Roman" w:cs="Times New Roman"/>
                <w:color w:val="000000"/>
                <w:sz w:val="14"/>
                <w:szCs w:val="14"/>
                <w:lang w:eastAsia="ru-RU"/>
              </w:rPr>
            </w:pPr>
          </w:p>
        </w:tc>
      </w:tr>
      <w:tr w:rsidR="00467D70" w:rsidRPr="006D0838" w14:paraId="3EBF7DAF" w14:textId="77777777" w:rsidTr="004D16C9">
        <w:trPr>
          <w:trHeight w:val="278"/>
        </w:trPr>
        <w:tc>
          <w:tcPr>
            <w:tcW w:w="9356" w:type="dxa"/>
            <w:gridSpan w:val="4"/>
            <w:shd w:val="clear" w:color="auto" w:fill="auto"/>
            <w:noWrap/>
            <w:vAlign w:val="center"/>
          </w:tcPr>
          <w:p w14:paraId="23A652B4" w14:textId="77777777" w:rsidR="00467D70" w:rsidRPr="006D0838" w:rsidRDefault="00467D70" w:rsidP="00435A93">
            <w:pPr>
              <w:spacing w:after="0" w:line="360" w:lineRule="auto"/>
              <w:jc w:val="center"/>
              <w:rPr>
                <w:rFonts w:eastAsia="Times New Roman" w:cs="Times New Roman"/>
                <w:color w:val="000000"/>
                <w:sz w:val="18"/>
                <w:szCs w:val="18"/>
                <w:lang w:eastAsia="ru-RU"/>
              </w:rPr>
            </w:pPr>
            <w:r w:rsidRPr="006D0838">
              <w:rPr>
                <w:rFonts w:eastAsia="Times New Roman" w:cs="Times New Roman"/>
                <w:b/>
                <w:bCs/>
                <w:color w:val="000000"/>
                <w:sz w:val="18"/>
                <w:szCs w:val="18"/>
                <w:lang w:eastAsia="ru-RU"/>
              </w:rPr>
              <w:t>Interest rates</w:t>
            </w:r>
          </w:p>
        </w:tc>
      </w:tr>
      <w:tr w:rsidR="00467D70" w:rsidRPr="00566F83" w14:paraId="40E5E79F" w14:textId="77777777" w:rsidTr="004D16C9">
        <w:trPr>
          <w:trHeight w:val="300"/>
        </w:trPr>
        <w:tc>
          <w:tcPr>
            <w:tcW w:w="1843" w:type="dxa"/>
            <w:shd w:val="clear" w:color="auto" w:fill="auto"/>
            <w:noWrap/>
            <w:vAlign w:val="center"/>
            <w:hideMark/>
          </w:tcPr>
          <w:p w14:paraId="5345888D" w14:textId="77777777" w:rsidR="00467D70" w:rsidRPr="006D0838" w:rsidRDefault="00467D70" w:rsidP="00435A93">
            <w:pPr>
              <w:spacing w:after="0" w:line="360" w:lineRule="auto"/>
              <w:rPr>
                <w:rFonts w:eastAsia="Times New Roman" w:cs="Times New Roman"/>
                <w:color w:val="000000"/>
                <w:sz w:val="18"/>
                <w:szCs w:val="18"/>
                <w:lang w:eastAsia="ru-RU"/>
              </w:rPr>
            </w:pPr>
            <w:r>
              <w:rPr>
                <w:rFonts w:eastAsia="Times New Roman" w:cs="Times New Roman"/>
                <w:color w:val="000000"/>
                <w:sz w:val="18"/>
                <w:szCs w:val="18"/>
                <w:lang w:val="en-US" w:eastAsia="ru-RU"/>
              </w:rPr>
              <w:t>IBOR</w:t>
            </w:r>
            <w:r w:rsidRPr="006D0838">
              <w:rPr>
                <w:rFonts w:eastAsia="Times New Roman" w:cs="Times New Roman"/>
                <w:color w:val="000000"/>
                <w:sz w:val="18"/>
                <w:szCs w:val="18"/>
                <w:lang w:eastAsia="ru-RU"/>
              </w:rPr>
              <w:t xml:space="preserve"> applicability</w:t>
            </w:r>
          </w:p>
        </w:tc>
        <w:tc>
          <w:tcPr>
            <w:tcW w:w="1431" w:type="dxa"/>
            <w:shd w:val="clear" w:color="auto" w:fill="auto"/>
            <w:noWrap/>
            <w:vAlign w:val="center"/>
            <w:hideMark/>
          </w:tcPr>
          <w:p w14:paraId="2D946B3B" w14:textId="77777777" w:rsidR="00467D70" w:rsidRPr="00552D71" w:rsidRDefault="00467D70" w:rsidP="00435A93">
            <w:pPr>
              <w:spacing w:after="0" w:line="360" w:lineRule="auto"/>
              <w:jc w:val="center"/>
              <w:rPr>
                <w:rFonts w:eastAsia="Times New Roman" w:cs="Times New Roman"/>
                <w:b/>
                <w:bCs/>
                <w:color w:val="000000"/>
                <w:sz w:val="18"/>
                <w:szCs w:val="18"/>
                <w:lang w:eastAsia="ru-RU"/>
              </w:rPr>
            </w:pPr>
            <w:r w:rsidRPr="00552D71">
              <w:rPr>
                <w:rFonts w:eastAsia="Times New Roman" w:cs="Times New Roman"/>
                <w:b/>
                <w:bCs/>
                <w:color w:val="000000"/>
                <w:sz w:val="18"/>
                <w:szCs w:val="18"/>
                <w:lang w:eastAsia="ru-RU"/>
              </w:rPr>
              <w:t>+</w:t>
            </w:r>
          </w:p>
        </w:tc>
        <w:tc>
          <w:tcPr>
            <w:tcW w:w="1213" w:type="dxa"/>
            <w:shd w:val="clear" w:color="auto" w:fill="auto"/>
            <w:noWrap/>
            <w:vAlign w:val="center"/>
            <w:hideMark/>
          </w:tcPr>
          <w:p w14:paraId="31E28064" w14:textId="77777777" w:rsidR="00467D70" w:rsidRPr="00552D71" w:rsidRDefault="00467D70" w:rsidP="00435A93">
            <w:pPr>
              <w:spacing w:after="0" w:line="360" w:lineRule="auto"/>
              <w:ind w:firstLine="709"/>
              <w:jc w:val="center"/>
              <w:rPr>
                <w:rFonts w:eastAsia="Times New Roman" w:cs="Times New Roman"/>
                <w:b/>
                <w:bCs/>
                <w:color w:val="000000"/>
                <w:sz w:val="18"/>
                <w:szCs w:val="18"/>
                <w:lang w:eastAsia="ru-RU"/>
              </w:rPr>
            </w:pPr>
          </w:p>
        </w:tc>
        <w:tc>
          <w:tcPr>
            <w:tcW w:w="4869" w:type="dxa"/>
            <w:shd w:val="clear" w:color="auto" w:fill="auto"/>
            <w:noWrap/>
            <w:vAlign w:val="center"/>
            <w:hideMark/>
          </w:tcPr>
          <w:p w14:paraId="59643A84" w14:textId="3461B72E" w:rsidR="00467D70" w:rsidRDefault="003F161F" w:rsidP="00435A93">
            <w:pPr>
              <w:spacing w:after="0" w:line="360" w:lineRule="auto"/>
              <w:rPr>
                <w:rFonts w:eastAsia="Times New Roman" w:cs="Times New Roman"/>
                <w:color w:val="000000"/>
                <w:sz w:val="18"/>
                <w:szCs w:val="18"/>
                <w:lang w:val="en-US" w:eastAsia="ru-RU"/>
              </w:rPr>
            </w:pPr>
            <w:r>
              <w:rPr>
                <w:rFonts w:eastAsia="Times New Roman" w:cs="Times New Roman"/>
                <w:color w:val="000000"/>
                <w:sz w:val="18"/>
                <w:szCs w:val="18"/>
                <w:lang w:val="en-US" w:eastAsia="ru-RU"/>
              </w:rPr>
              <w:t>Rates used for FX futures pricing are closer to LIBOR and EURIBOR rates than for OIS rates for GBP, USD, CHF, JPY and EUR.</w:t>
            </w:r>
          </w:p>
          <w:p w14:paraId="7525D103" w14:textId="77777777" w:rsidR="00467D70" w:rsidRPr="006D0838" w:rsidRDefault="00467D70" w:rsidP="00435A93">
            <w:pPr>
              <w:spacing w:after="0" w:line="360" w:lineRule="auto"/>
              <w:ind w:leftChars="-11" w:left="-26" w:firstLineChars="13" w:firstLine="23"/>
              <w:rPr>
                <w:rFonts w:eastAsia="Times New Roman" w:cs="Times New Roman"/>
                <w:i/>
                <w:iCs/>
                <w:color w:val="000000"/>
                <w:sz w:val="18"/>
                <w:szCs w:val="18"/>
                <w:lang w:val="en-US" w:eastAsia="ru-RU"/>
              </w:rPr>
            </w:pPr>
            <w:r>
              <w:rPr>
                <w:rFonts w:eastAsia="Times New Roman" w:cs="Times New Roman"/>
                <w:i/>
                <w:iCs/>
                <w:color w:val="000000"/>
                <w:sz w:val="18"/>
                <w:szCs w:val="18"/>
                <w:lang w:val="en-US" w:eastAsia="ru-RU"/>
              </w:rPr>
              <w:t>For every contract in the sample where currency has quoted IBOR rate (LIBOR or EURIBOR), a</w:t>
            </w:r>
            <w:r w:rsidRPr="006D0838">
              <w:rPr>
                <w:rFonts w:eastAsia="Times New Roman" w:cs="Times New Roman"/>
                <w:i/>
                <w:iCs/>
                <w:color w:val="000000"/>
                <w:sz w:val="18"/>
                <w:szCs w:val="18"/>
                <w:lang w:val="en-US" w:eastAsia="ru-RU"/>
              </w:rPr>
              <w:t xml:space="preserve">verage price deviation with </w:t>
            </w:r>
            <w:r>
              <w:rPr>
                <w:rFonts w:eastAsia="Times New Roman" w:cs="Times New Roman"/>
                <w:i/>
                <w:iCs/>
                <w:color w:val="000000"/>
                <w:sz w:val="18"/>
                <w:szCs w:val="18"/>
                <w:lang w:val="en-US" w:eastAsia="ru-RU"/>
              </w:rPr>
              <w:t>IBOR</w:t>
            </w:r>
            <w:r w:rsidRPr="006D0838">
              <w:rPr>
                <w:rFonts w:eastAsia="Times New Roman" w:cs="Times New Roman"/>
                <w:i/>
                <w:iCs/>
                <w:color w:val="000000"/>
                <w:sz w:val="18"/>
                <w:szCs w:val="18"/>
                <w:lang w:val="en-US" w:eastAsia="ru-RU"/>
              </w:rPr>
              <w:t xml:space="preserve"> as discount rate is lower than the average price deviation with OIS rates</w:t>
            </w:r>
            <w:r>
              <w:rPr>
                <w:rFonts w:eastAsia="Times New Roman" w:cs="Times New Roman"/>
                <w:i/>
                <w:iCs/>
                <w:color w:val="000000"/>
                <w:sz w:val="18"/>
                <w:szCs w:val="18"/>
                <w:lang w:val="en-US" w:eastAsia="ru-RU"/>
              </w:rPr>
              <w:t xml:space="preserve"> as discount rates</w:t>
            </w:r>
          </w:p>
          <w:p w14:paraId="46D051FB" w14:textId="77777777" w:rsidR="00467D70" w:rsidRPr="006D0838" w:rsidRDefault="00467D70" w:rsidP="00435A93">
            <w:pPr>
              <w:spacing w:after="0" w:line="360" w:lineRule="auto"/>
              <w:ind w:leftChars="-11" w:left="-26" w:firstLineChars="13" w:firstLine="23"/>
              <w:rPr>
                <w:rFonts w:eastAsia="Times New Roman" w:cs="Times New Roman"/>
                <w:color w:val="000000"/>
                <w:sz w:val="18"/>
                <w:szCs w:val="18"/>
                <w:lang w:val="en-US" w:eastAsia="ru-RU"/>
              </w:rPr>
            </w:pPr>
          </w:p>
        </w:tc>
      </w:tr>
      <w:tr w:rsidR="00467D70" w:rsidRPr="00566F83" w14:paraId="1E8D3466" w14:textId="77777777" w:rsidTr="004D16C9">
        <w:trPr>
          <w:trHeight w:val="300"/>
        </w:trPr>
        <w:tc>
          <w:tcPr>
            <w:tcW w:w="1843" w:type="dxa"/>
            <w:shd w:val="clear" w:color="auto" w:fill="auto"/>
            <w:noWrap/>
            <w:vAlign w:val="center"/>
            <w:hideMark/>
          </w:tcPr>
          <w:p w14:paraId="4EF385A5" w14:textId="77777777" w:rsidR="00467D70" w:rsidRPr="006D0838" w:rsidRDefault="00467D70" w:rsidP="00435A93">
            <w:pPr>
              <w:spacing w:after="0" w:line="360" w:lineRule="auto"/>
              <w:rPr>
                <w:rFonts w:eastAsia="Times New Roman" w:cs="Times New Roman"/>
                <w:color w:val="000000"/>
                <w:sz w:val="18"/>
                <w:szCs w:val="18"/>
                <w:lang w:eastAsia="ru-RU"/>
              </w:rPr>
            </w:pPr>
            <w:r>
              <w:rPr>
                <w:rFonts w:eastAsia="Times New Roman" w:cs="Times New Roman"/>
                <w:color w:val="000000"/>
                <w:sz w:val="18"/>
                <w:szCs w:val="18"/>
                <w:lang w:val="en-US" w:eastAsia="ru-RU"/>
              </w:rPr>
              <w:t>L</w:t>
            </w:r>
            <w:r w:rsidRPr="006D0838">
              <w:rPr>
                <w:rFonts w:eastAsia="Times New Roman" w:cs="Times New Roman"/>
                <w:color w:val="000000"/>
                <w:sz w:val="18"/>
                <w:szCs w:val="18"/>
                <w:lang w:eastAsia="ru-RU"/>
              </w:rPr>
              <w:t>IBOR sensitivity</w:t>
            </w:r>
          </w:p>
        </w:tc>
        <w:tc>
          <w:tcPr>
            <w:tcW w:w="1431" w:type="dxa"/>
            <w:shd w:val="clear" w:color="auto" w:fill="auto"/>
            <w:noWrap/>
            <w:vAlign w:val="center"/>
            <w:hideMark/>
          </w:tcPr>
          <w:p w14:paraId="6F5ADE56" w14:textId="77777777" w:rsidR="00467D70" w:rsidRPr="00552D71" w:rsidRDefault="00467D70" w:rsidP="00435A93">
            <w:pPr>
              <w:spacing w:after="0" w:line="360" w:lineRule="auto"/>
              <w:ind w:firstLine="709"/>
              <w:jc w:val="center"/>
              <w:rPr>
                <w:rFonts w:eastAsia="Times New Roman" w:cs="Times New Roman"/>
                <w:b/>
                <w:bCs/>
                <w:color w:val="000000"/>
                <w:sz w:val="18"/>
                <w:szCs w:val="18"/>
                <w:lang w:eastAsia="ru-RU"/>
              </w:rPr>
            </w:pPr>
          </w:p>
        </w:tc>
        <w:tc>
          <w:tcPr>
            <w:tcW w:w="1213" w:type="dxa"/>
            <w:shd w:val="clear" w:color="auto" w:fill="auto"/>
            <w:noWrap/>
            <w:vAlign w:val="center"/>
            <w:hideMark/>
          </w:tcPr>
          <w:p w14:paraId="0C106974" w14:textId="77777777" w:rsidR="00467D70" w:rsidRPr="00552D71" w:rsidRDefault="00467D70" w:rsidP="00435A93">
            <w:pPr>
              <w:spacing w:after="0" w:line="360" w:lineRule="auto"/>
              <w:jc w:val="center"/>
              <w:rPr>
                <w:rFonts w:eastAsia="Times New Roman" w:cs="Times New Roman"/>
                <w:b/>
                <w:bCs/>
                <w:color w:val="000000"/>
                <w:sz w:val="18"/>
                <w:szCs w:val="18"/>
                <w:lang w:eastAsia="ru-RU"/>
              </w:rPr>
            </w:pPr>
            <w:r w:rsidRPr="00552D71">
              <w:rPr>
                <w:rFonts w:eastAsia="Times New Roman" w:cs="Times New Roman"/>
                <w:b/>
                <w:bCs/>
                <w:color w:val="000000"/>
                <w:sz w:val="18"/>
                <w:szCs w:val="18"/>
                <w:lang w:eastAsia="ru-RU"/>
              </w:rPr>
              <w:t>+</w:t>
            </w:r>
          </w:p>
        </w:tc>
        <w:tc>
          <w:tcPr>
            <w:tcW w:w="4869" w:type="dxa"/>
            <w:shd w:val="clear" w:color="auto" w:fill="auto"/>
            <w:noWrap/>
            <w:vAlign w:val="center"/>
            <w:hideMark/>
          </w:tcPr>
          <w:p w14:paraId="6CAA434E" w14:textId="77777777" w:rsidR="00467D70" w:rsidRDefault="00467D70" w:rsidP="00435A93">
            <w:pPr>
              <w:spacing w:after="0" w:line="360" w:lineRule="auto"/>
              <w:ind w:leftChars="-11" w:left="-26"/>
              <w:rPr>
                <w:rFonts w:eastAsia="Times New Roman" w:cs="Times New Roman"/>
                <w:color w:val="000000"/>
                <w:sz w:val="18"/>
                <w:szCs w:val="18"/>
                <w:lang w:val="en-US" w:eastAsia="ru-RU"/>
              </w:rPr>
            </w:pPr>
            <w:r>
              <w:rPr>
                <w:rFonts w:eastAsia="Times New Roman" w:cs="Times New Roman"/>
                <w:color w:val="000000"/>
                <w:sz w:val="18"/>
                <w:szCs w:val="18"/>
                <w:lang w:val="en-US" w:eastAsia="ru-RU"/>
              </w:rPr>
              <w:t>Market participants adjust FX futures prices at the time of LIBOR rate announcement</w:t>
            </w:r>
          </w:p>
          <w:p w14:paraId="5AE50211" w14:textId="6FE8B431" w:rsidR="00467D70" w:rsidRPr="006D0838" w:rsidRDefault="00467D70" w:rsidP="00435A93">
            <w:pPr>
              <w:spacing w:after="0" w:line="360" w:lineRule="auto"/>
              <w:ind w:leftChars="-11" w:left="-26" w:firstLineChars="13" w:firstLine="23"/>
              <w:rPr>
                <w:rFonts w:eastAsia="Times New Roman" w:cs="Times New Roman"/>
                <w:i/>
                <w:iCs/>
                <w:color w:val="000000"/>
                <w:sz w:val="18"/>
                <w:szCs w:val="18"/>
                <w:lang w:val="en-US" w:eastAsia="ru-RU"/>
              </w:rPr>
            </w:pPr>
            <w:r w:rsidRPr="006D0838">
              <w:rPr>
                <w:rFonts w:eastAsia="Times New Roman" w:cs="Times New Roman"/>
                <w:i/>
                <w:iCs/>
                <w:color w:val="000000"/>
                <w:sz w:val="18"/>
                <w:szCs w:val="18"/>
                <w:lang w:val="en-US" w:eastAsia="ru-RU"/>
              </w:rPr>
              <w:t>For every contract in the sample,</w:t>
            </w:r>
            <w:r>
              <w:rPr>
                <w:rFonts w:eastAsia="Times New Roman" w:cs="Times New Roman"/>
                <w:i/>
                <w:iCs/>
                <w:color w:val="000000"/>
                <w:sz w:val="18"/>
                <w:szCs w:val="18"/>
                <w:lang w:val="en-US" w:eastAsia="ru-RU"/>
              </w:rPr>
              <w:t>at the time of LIBOR rate announcement</w:t>
            </w:r>
            <w:r w:rsidRPr="006D0838">
              <w:rPr>
                <w:rFonts w:eastAsia="Times New Roman" w:cs="Times New Roman"/>
                <w:i/>
                <w:iCs/>
                <w:color w:val="000000"/>
                <w:sz w:val="18"/>
                <w:szCs w:val="18"/>
                <w:lang w:val="en-US" w:eastAsia="ru-RU"/>
              </w:rPr>
              <w:t xml:space="preserve"> </w:t>
            </w:r>
            <w:r w:rsidR="003F161F">
              <w:rPr>
                <w:rFonts w:eastAsia="Times New Roman" w:cs="Times New Roman"/>
                <w:i/>
                <w:iCs/>
                <w:color w:val="000000"/>
                <w:sz w:val="18"/>
                <w:szCs w:val="18"/>
                <w:lang w:val="en-US" w:eastAsia="ru-RU"/>
              </w:rPr>
              <w:t>adjusted price is closer to the theoretical value which includes interest rate adjustment than to the theoretical value that does not include interest rate adjustment.</w:t>
            </w:r>
          </w:p>
        </w:tc>
      </w:tr>
      <w:tr w:rsidR="00467D70" w:rsidRPr="00566F83" w14:paraId="69BE92A5" w14:textId="77777777" w:rsidTr="004D16C9">
        <w:trPr>
          <w:trHeight w:val="288"/>
        </w:trPr>
        <w:tc>
          <w:tcPr>
            <w:tcW w:w="1843" w:type="dxa"/>
            <w:shd w:val="clear" w:color="auto" w:fill="auto"/>
            <w:noWrap/>
            <w:vAlign w:val="center"/>
            <w:hideMark/>
          </w:tcPr>
          <w:p w14:paraId="2A1FE7F3" w14:textId="77777777" w:rsidR="00467D70" w:rsidRPr="006D0838" w:rsidRDefault="00467D70" w:rsidP="00435A93">
            <w:pPr>
              <w:spacing w:after="0" w:line="360" w:lineRule="auto"/>
              <w:rPr>
                <w:rFonts w:eastAsia="Times New Roman" w:cs="Times New Roman"/>
                <w:color w:val="000000"/>
                <w:sz w:val="18"/>
                <w:szCs w:val="18"/>
                <w:lang w:val="en-US" w:eastAsia="ru-RU"/>
              </w:rPr>
            </w:pPr>
            <w:r w:rsidRPr="006D0838">
              <w:rPr>
                <w:rFonts w:eastAsia="Times New Roman" w:cs="Times New Roman"/>
                <w:color w:val="000000"/>
                <w:sz w:val="18"/>
                <w:szCs w:val="18"/>
                <w:lang w:val="en-US" w:eastAsia="ru-RU"/>
              </w:rPr>
              <w:t xml:space="preserve">OIS delta vs </w:t>
            </w:r>
            <w:r>
              <w:rPr>
                <w:rFonts w:eastAsia="Times New Roman" w:cs="Times New Roman"/>
                <w:color w:val="000000"/>
                <w:sz w:val="18"/>
                <w:szCs w:val="18"/>
                <w:lang w:val="en-US" w:eastAsia="ru-RU"/>
              </w:rPr>
              <w:t xml:space="preserve">daily </w:t>
            </w:r>
            <w:r w:rsidRPr="006D0838">
              <w:rPr>
                <w:rFonts w:eastAsia="Times New Roman" w:cs="Times New Roman"/>
                <w:color w:val="000000"/>
                <w:sz w:val="18"/>
                <w:szCs w:val="18"/>
                <w:lang w:val="en-US" w:eastAsia="ru-RU"/>
              </w:rPr>
              <w:t>price deviation</w:t>
            </w:r>
          </w:p>
        </w:tc>
        <w:tc>
          <w:tcPr>
            <w:tcW w:w="1431" w:type="dxa"/>
            <w:shd w:val="clear" w:color="auto" w:fill="auto"/>
            <w:noWrap/>
            <w:vAlign w:val="center"/>
            <w:hideMark/>
          </w:tcPr>
          <w:p w14:paraId="25122647" w14:textId="77777777" w:rsidR="00467D70" w:rsidRPr="00552D71" w:rsidRDefault="00467D70" w:rsidP="00435A93">
            <w:pPr>
              <w:spacing w:after="0" w:line="360" w:lineRule="auto"/>
              <w:ind w:firstLine="709"/>
              <w:jc w:val="center"/>
              <w:rPr>
                <w:rFonts w:eastAsia="Times New Roman" w:cs="Times New Roman"/>
                <w:b/>
                <w:bCs/>
                <w:color w:val="000000"/>
                <w:sz w:val="18"/>
                <w:szCs w:val="18"/>
                <w:lang w:val="en-US" w:eastAsia="ru-RU"/>
              </w:rPr>
            </w:pPr>
          </w:p>
        </w:tc>
        <w:tc>
          <w:tcPr>
            <w:tcW w:w="1213" w:type="dxa"/>
            <w:shd w:val="clear" w:color="auto" w:fill="auto"/>
            <w:noWrap/>
            <w:vAlign w:val="center"/>
            <w:hideMark/>
          </w:tcPr>
          <w:p w14:paraId="445332D5" w14:textId="77777777" w:rsidR="00467D70" w:rsidRPr="00552D71" w:rsidRDefault="00467D70" w:rsidP="00435A93">
            <w:pPr>
              <w:spacing w:after="0" w:line="360" w:lineRule="auto"/>
              <w:jc w:val="center"/>
              <w:rPr>
                <w:rFonts w:eastAsia="Times New Roman" w:cs="Times New Roman"/>
                <w:b/>
                <w:bCs/>
                <w:color w:val="000000"/>
                <w:sz w:val="18"/>
                <w:szCs w:val="18"/>
                <w:lang w:eastAsia="ru-RU"/>
              </w:rPr>
            </w:pPr>
            <w:r w:rsidRPr="00552D71">
              <w:rPr>
                <w:rFonts w:eastAsia="Times New Roman" w:cs="Times New Roman"/>
                <w:b/>
                <w:bCs/>
                <w:color w:val="000000"/>
                <w:sz w:val="18"/>
                <w:szCs w:val="18"/>
                <w:lang w:eastAsia="ru-RU"/>
              </w:rPr>
              <w:t>+</w:t>
            </w:r>
          </w:p>
        </w:tc>
        <w:tc>
          <w:tcPr>
            <w:tcW w:w="4869" w:type="dxa"/>
            <w:shd w:val="clear" w:color="auto" w:fill="auto"/>
            <w:noWrap/>
            <w:vAlign w:val="center"/>
            <w:hideMark/>
          </w:tcPr>
          <w:p w14:paraId="46D1E255" w14:textId="77777777" w:rsidR="00467D70" w:rsidRDefault="00467D70" w:rsidP="00435A93">
            <w:pPr>
              <w:spacing w:after="0" w:line="360" w:lineRule="auto"/>
              <w:ind w:leftChars="-11" w:left="-26"/>
              <w:rPr>
                <w:rFonts w:eastAsia="Times New Roman" w:cs="Times New Roman"/>
                <w:color w:val="000000"/>
                <w:sz w:val="18"/>
                <w:szCs w:val="18"/>
                <w:lang w:val="en-US" w:eastAsia="ru-RU"/>
              </w:rPr>
            </w:pPr>
            <w:r>
              <w:rPr>
                <w:rFonts w:eastAsia="Times New Roman" w:cs="Times New Roman"/>
                <w:color w:val="000000"/>
                <w:sz w:val="18"/>
                <w:szCs w:val="18"/>
                <w:lang w:val="en-US" w:eastAsia="ru-RU"/>
              </w:rPr>
              <w:t>Deviations that lasts significantly long to affect daily average prices, are partly caused by rapid changes in market expectation of future path of monetary policy</w:t>
            </w:r>
          </w:p>
          <w:p w14:paraId="7CE49F42" w14:textId="77777777" w:rsidR="00467D70" w:rsidRPr="00863171" w:rsidRDefault="00467D70" w:rsidP="00435A93">
            <w:pPr>
              <w:spacing w:after="0" w:line="360" w:lineRule="auto"/>
              <w:ind w:leftChars="-11" w:left="-26" w:firstLineChars="13" w:firstLine="23"/>
              <w:rPr>
                <w:rFonts w:eastAsia="Times New Roman" w:cs="Times New Roman"/>
                <w:i/>
                <w:iCs/>
                <w:color w:val="000000"/>
                <w:sz w:val="18"/>
                <w:szCs w:val="18"/>
                <w:lang w:val="en-US" w:eastAsia="ru-RU"/>
              </w:rPr>
            </w:pPr>
            <w:r w:rsidRPr="00863171">
              <w:rPr>
                <w:rFonts w:eastAsia="Times New Roman" w:cs="Times New Roman"/>
                <w:i/>
                <w:iCs/>
                <w:color w:val="000000"/>
                <w:sz w:val="18"/>
                <w:szCs w:val="18"/>
                <w:lang w:val="en-US" w:eastAsia="ru-RU"/>
              </w:rPr>
              <w:lastRenderedPageBreak/>
              <w:t>For every contract in the sample, changes in OIS rates differential</w:t>
            </w:r>
            <w:r>
              <w:rPr>
                <w:rFonts w:eastAsia="Times New Roman" w:cs="Times New Roman"/>
                <w:i/>
                <w:iCs/>
                <w:color w:val="000000"/>
                <w:sz w:val="18"/>
                <w:szCs w:val="18"/>
                <w:lang w:val="en-US" w:eastAsia="ru-RU"/>
              </w:rPr>
              <w:t xml:space="preserve"> (independent variable), </w:t>
            </w:r>
            <w:r w:rsidRPr="00863171">
              <w:rPr>
                <w:rFonts w:eastAsia="Times New Roman" w:cs="Times New Roman"/>
                <w:i/>
                <w:iCs/>
                <w:color w:val="000000"/>
                <w:sz w:val="18"/>
                <w:szCs w:val="18"/>
                <w:lang w:val="en-US" w:eastAsia="ru-RU"/>
              </w:rPr>
              <w:t>when regressed against daily deviation averages</w:t>
            </w:r>
            <w:r>
              <w:rPr>
                <w:rFonts w:eastAsia="Times New Roman" w:cs="Times New Roman"/>
                <w:i/>
                <w:iCs/>
                <w:color w:val="000000"/>
                <w:sz w:val="18"/>
                <w:szCs w:val="18"/>
                <w:lang w:val="en-US" w:eastAsia="ru-RU"/>
              </w:rPr>
              <w:t xml:space="preserve"> (dependent variable), are statistically significant</w:t>
            </w:r>
          </w:p>
        </w:tc>
      </w:tr>
      <w:tr w:rsidR="00467D70" w:rsidRPr="00566F83" w14:paraId="765D5452" w14:textId="77777777" w:rsidTr="004D16C9">
        <w:trPr>
          <w:trHeight w:val="300"/>
        </w:trPr>
        <w:tc>
          <w:tcPr>
            <w:tcW w:w="1843" w:type="dxa"/>
            <w:shd w:val="clear" w:color="auto" w:fill="auto"/>
            <w:noWrap/>
            <w:vAlign w:val="center"/>
            <w:hideMark/>
          </w:tcPr>
          <w:p w14:paraId="4F0CC4E4" w14:textId="77777777" w:rsidR="00467D70" w:rsidRPr="005F238A" w:rsidRDefault="00467D70" w:rsidP="00435A93">
            <w:pPr>
              <w:spacing w:after="0" w:line="360" w:lineRule="auto"/>
              <w:rPr>
                <w:rFonts w:eastAsia="Times New Roman" w:cs="Times New Roman"/>
                <w:color w:val="000000"/>
                <w:sz w:val="18"/>
                <w:szCs w:val="18"/>
                <w:lang w:val="en-US" w:eastAsia="ru-RU"/>
              </w:rPr>
            </w:pPr>
            <w:r>
              <w:rPr>
                <w:rFonts w:eastAsia="Times New Roman" w:cs="Times New Roman"/>
                <w:color w:val="000000"/>
                <w:sz w:val="18"/>
                <w:szCs w:val="18"/>
                <w:lang w:val="en-US" w:eastAsia="ru-RU"/>
              </w:rPr>
              <w:lastRenderedPageBreak/>
              <w:t>Implied risk-free rate</w:t>
            </w:r>
          </w:p>
        </w:tc>
        <w:tc>
          <w:tcPr>
            <w:tcW w:w="1431" w:type="dxa"/>
            <w:shd w:val="clear" w:color="auto" w:fill="auto"/>
            <w:noWrap/>
            <w:vAlign w:val="center"/>
            <w:hideMark/>
          </w:tcPr>
          <w:p w14:paraId="37EA4FD2" w14:textId="77777777" w:rsidR="00467D70" w:rsidRPr="00552D71" w:rsidRDefault="00467D70" w:rsidP="00435A93">
            <w:pPr>
              <w:spacing w:after="0" w:line="360" w:lineRule="auto"/>
              <w:jc w:val="center"/>
              <w:rPr>
                <w:rFonts w:eastAsia="Times New Roman" w:cs="Times New Roman"/>
                <w:b/>
                <w:bCs/>
                <w:color w:val="000000"/>
                <w:sz w:val="18"/>
                <w:szCs w:val="18"/>
                <w:lang w:eastAsia="ru-RU"/>
              </w:rPr>
            </w:pPr>
            <w:r w:rsidRPr="00552D71">
              <w:rPr>
                <w:rFonts w:eastAsia="Times New Roman" w:cs="Times New Roman"/>
                <w:b/>
                <w:bCs/>
                <w:color w:val="000000"/>
                <w:sz w:val="18"/>
                <w:szCs w:val="18"/>
                <w:lang w:eastAsia="ru-RU"/>
              </w:rPr>
              <w:t>+</w:t>
            </w:r>
          </w:p>
        </w:tc>
        <w:tc>
          <w:tcPr>
            <w:tcW w:w="1213" w:type="dxa"/>
            <w:shd w:val="clear" w:color="auto" w:fill="auto"/>
            <w:noWrap/>
            <w:vAlign w:val="center"/>
            <w:hideMark/>
          </w:tcPr>
          <w:p w14:paraId="330501D5" w14:textId="77777777" w:rsidR="00467D70" w:rsidRPr="00552D71" w:rsidRDefault="00467D70" w:rsidP="00435A93">
            <w:pPr>
              <w:spacing w:after="0" w:line="360" w:lineRule="auto"/>
              <w:ind w:firstLine="709"/>
              <w:jc w:val="center"/>
              <w:rPr>
                <w:rFonts w:eastAsia="Times New Roman" w:cs="Times New Roman"/>
                <w:b/>
                <w:bCs/>
                <w:color w:val="000000"/>
                <w:sz w:val="18"/>
                <w:szCs w:val="18"/>
                <w:lang w:eastAsia="ru-RU"/>
              </w:rPr>
            </w:pPr>
          </w:p>
        </w:tc>
        <w:tc>
          <w:tcPr>
            <w:tcW w:w="4869" w:type="dxa"/>
            <w:shd w:val="clear" w:color="auto" w:fill="auto"/>
            <w:noWrap/>
            <w:vAlign w:val="center"/>
            <w:hideMark/>
          </w:tcPr>
          <w:p w14:paraId="62241A59" w14:textId="77777777" w:rsidR="00467D70" w:rsidRDefault="00467D70" w:rsidP="00435A93">
            <w:pPr>
              <w:spacing w:after="0" w:line="360" w:lineRule="auto"/>
              <w:ind w:leftChars="-11" w:left="-26"/>
              <w:rPr>
                <w:rFonts w:eastAsia="Times New Roman" w:cs="Times New Roman"/>
                <w:color w:val="000000"/>
                <w:sz w:val="18"/>
                <w:szCs w:val="18"/>
                <w:lang w:val="en-US" w:eastAsia="ru-RU"/>
              </w:rPr>
            </w:pPr>
            <w:r>
              <w:rPr>
                <w:rFonts w:eastAsia="Times New Roman" w:cs="Times New Roman"/>
                <w:color w:val="000000"/>
                <w:sz w:val="18"/>
                <w:szCs w:val="18"/>
                <w:lang w:val="en-US" w:eastAsia="ru-RU"/>
              </w:rPr>
              <w:t>Market participants are either (a) use another risk-free rates rather than LIBOR or (b) charge premium to the quoted LIBOR rate</w:t>
            </w:r>
          </w:p>
          <w:p w14:paraId="1E13BD99" w14:textId="053D8346" w:rsidR="00467D70" w:rsidRPr="00B31F11" w:rsidRDefault="00467D70" w:rsidP="00435A93">
            <w:pPr>
              <w:spacing w:after="0" w:line="360" w:lineRule="auto"/>
              <w:ind w:leftChars="-11" w:left="-26" w:firstLineChars="13" w:firstLine="23"/>
              <w:rPr>
                <w:rFonts w:eastAsia="Times New Roman" w:cs="Times New Roman"/>
                <w:i/>
                <w:iCs/>
                <w:color w:val="000000"/>
                <w:sz w:val="18"/>
                <w:szCs w:val="18"/>
                <w:lang w:val="en-US" w:eastAsia="ru-RU"/>
              </w:rPr>
            </w:pPr>
            <w:r w:rsidRPr="00B31F11">
              <w:rPr>
                <w:rFonts w:eastAsia="Times New Roman" w:cs="Times New Roman"/>
                <w:i/>
                <w:iCs/>
                <w:color w:val="000000"/>
                <w:sz w:val="18"/>
                <w:szCs w:val="18"/>
                <w:lang w:val="en-US" w:eastAsia="ru-RU"/>
              </w:rPr>
              <w:t>Implied risk-free rate</w:t>
            </w:r>
            <w:r>
              <w:rPr>
                <w:rFonts w:eastAsia="Times New Roman" w:cs="Times New Roman"/>
                <w:i/>
                <w:iCs/>
                <w:color w:val="000000"/>
                <w:sz w:val="18"/>
                <w:szCs w:val="18"/>
                <w:lang w:val="en-US" w:eastAsia="ru-RU"/>
              </w:rPr>
              <w:t>s</w:t>
            </w:r>
            <w:r w:rsidRPr="00B31F11">
              <w:rPr>
                <w:rFonts w:eastAsia="Times New Roman" w:cs="Times New Roman"/>
                <w:i/>
                <w:iCs/>
                <w:color w:val="000000"/>
                <w:sz w:val="18"/>
                <w:szCs w:val="18"/>
                <w:lang w:val="en-US" w:eastAsia="ru-RU"/>
              </w:rPr>
              <w:t xml:space="preserve"> for CHF, JPY and EUR </w:t>
            </w:r>
            <w:r w:rsidR="003F161F">
              <w:rPr>
                <w:rFonts w:eastAsia="Times New Roman" w:cs="Times New Roman"/>
                <w:i/>
                <w:iCs/>
                <w:color w:val="000000"/>
                <w:sz w:val="18"/>
                <w:szCs w:val="18"/>
                <w:lang w:val="en-US" w:eastAsia="ru-RU"/>
              </w:rPr>
              <w:t>are</w:t>
            </w:r>
            <w:r w:rsidRPr="00B31F11">
              <w:rPr>
                <w:rFonts w:eastAsia="Times New Roman" w:cs="Times New Roman"/>
                <w:i/>
                <w:iCs/>
                <w:color w:val="000000"/>
                <w:sz w:val="18"/>
                <w:szCs w:val="18"/>
                <w:lang w:val="en-US" w:eastAsia="ru-RU"/>
              </w:rPr>
              <w:t xml:space="preserve"> different from JPY LIBOR, CHF LIBOR and EUR</w:t>
            </w:r>
            <w:r>
              <w:rPr>
                <w:rFonts w:eastAsia="Times New Roman" w:cs="Times New Roman"/>
                <w:i/>
                <w:iCs/>
                <w:color w:val="000000"/>
                <w:sz w:val="18"/>
                <w:szCs w:val="18"/>
                <w:lang w:val="en-US" w:eastAsia="ru-RU"/>
              </w:rPr>
              <w:t>IBOR</w:t>
            </w:r>
            <w:r w:rsidRPr="00B31F11">
              <w:rPr>
                <w:rFonts w:eastAsia="Times New Roman" w:cs="Times New Roman"/>
                <w:i/>
                <w:iCs/>
                <w:color w:val="000000"/>
                <w:sz w:val="18"/>
                <w:szCs w:val="18"/>
                <w:lang w:val="en-US" w:eastAsia="ru-RU"/>
              </w:rPr>
              <w:t>.</w:t>
            </w:r>
          </w:p>
        </w:tc>
      </w:tr>
      <w:tr w:rsidR="00467D70" w:rsidRPr="00566F83" w14:paraId="5CEE7084" w14:textId="77777777" w:rsidTr="004D16C9">
        <w:trPr>
          <w:trHeight w:val="300"/>
        </w:trPr>
        <w:tc>
          <w:tcPr>
            <w:tcW w:w="1843" w:type="dxa"/>
            <w:shd w:val="clear" w:color="auto" w:fill="auto"/>
            <w:noWrap/>
            <w:vAlign w:val="center"/>
            <w:hideMark/>
          </w:tcPr>
          <w:p w14:paraId="7578C167" w14:textId="77777777" w:rsidR="00467D70" w:rsidRPr="00B31F11" w:rsidRDefault="00467D70" w:rsidP="00435A93">
            <w:pPr>
              <w:spacing w:after="0" w:line="360" w:lineRule="auto"/>
              <w:rPr>
                <w:rFonts w:eastAsia="Times New Roman" w:cs="Times New Roman"/>
                <w:color w:val="000000"/>
                <w:sz w:val="18"/>
                <w:szCs w:val="18"/>
                <w:lang w:val="en-US" w:eastAsia="ru-RU"/>
              </w:rPr>
            </w:pPr>
            <w:r w:rsidRPr="00B31F11">
              <w:rPr>
                <w:rFonts w:eastAsia="Times New Roman" w:cs="Times New Roman"/>
                <w:color w:val="000000"/>
                <w:sz w:val="18"/>
                <w:szCs w:val="18"/>
                <w:lang w:val="en-US" w:eastAsia="ru-RU"/>
              </w:rPr>
              <w:t>Z</w:t>
            </w:r>
            <w:r>
              <w:rPr>
                <w:rFonts w:eastAsia="Times New Roman" w:cs="Times New Roman"/>
                <w:color w:val="000000"/>
                <w:sz w:val="18"/>
                <w:szCs w:val="18"/>
                <w:lang w:val="en-US" w:eastAsia="ru-RU"/>
              </w:rPr>
              <w:t xml:space="preserve">ero lower bound </w:t>
            </w:r>
            <w:r w:rsidRPr="00B31F11">
              <w:rPr>
                <w:rFonts w:eastAsia="Times New Roman" w:cs="Times New Roman"/>
                <w:color w:val="000000"/>
                <w:sz w:val="18"/>
                <w:szCs w:val="18"/>
                <w:lang w:val="en-US" w:eastAsia="ru-RU"/>
              </w:rPr>
              <w:t>or deposit rates</w:t>
            </w:r>
          </w:p>
        </w:tc>
        <w:tc>
          <w:tcPr>
            <w:tcW w:w="1431" w:type="dxa"/>
            <w:shd w:val="clear" w:color="auto" w:fill="auto"/>
            <w:noWrap/>
            <w:vAlign w:val="center"/>
            <w:hideMark/>
          </w:tcPr>
          <w:p w14:paraId="34A070BF" w14:textId="77777777" w:rsidR="00467D70" w:rsidRPr="00552D71" w:rsidRDefault="00467D70" w:rsidP="00435A93">
            <w:pPr>
              <w:spacing w:after="0" w:line="360" w:lineRule="auto"/>
              <w:jc w:val="center"/>
              <w:rPr>
                <w:rFonts w:eastAsia="Times New Roman" w:cs="Times New Roman"/>
                <w:b/>
                <w:bCs/>
                <w:color w:val="000000"/>
                <w:sz w:val="18"/>
                <w:szCs w:val="18"/>
                <w:lang w:eastAsia="ru-RU"/>
              </w:rPr>
            </w:pPr>
            <w:r w:rsidRPr="00552D71">
              <w:rPr>
                <w:rFonts w:eastAsia="Times New Roman" w:cs="Times New Roman"/>
                <w:b/>
                <w:bCs/>
                <w:color w:val="000000"/>
                <w:sz w:val="18"/>
                <w:szCs w:val="18"/>
                <w:lang w:eastAsia="ru-RU"/>
              </w:rPr>
              <w:t>+</w:t>
            </w:r>
          </w:p>
        </w:tc>
        <w:tc>
          <w:tcPr>
            <w:tcW w:w="1213" w:type="dxa"/>
            <w:shd w:val="clear" w:color="auto" w:fill="auto"/>
            <w:noWrap/>
            <w:vAlign w:val="center"/>
            <w:hideMark/>
          </w:tcPr>
          <w:p w14:paraId="0A12319F" w14:textId="77777777" w:rsidR="00467D70" w:rsidRPr="00552D71" w:rsidRDefault="00467D70" w:rsidP="00435A93">
            <w:pPr>
              <w:spacing w:after="0" w:line="360" w:lineRule="auto"/>
              <w:ind w:firstLine="709"/>
              <w:jc w:val="center"/>
              <w:rPr>
                <w:rFonts w:eastAsia="Times New Roman" w:cs="Times New Roman"/>
                <w:b/>
                <w:bCs/>
                <w:color w:val="000000"/>
                <w:sz w:val="18"/>
                <w:szCs w:val="18"/>
                <w:lang w:eastAsia="ru-RU"/>
              </w:rPr>
            </w:pPr>
          </w:p>
        </w:tc>
        <w:tc>
          <w:tcPr>
            <w:tcW w:w="4869" w:type="dxa"/>
            <w:shd w:val="clear" w:color="auto" w:fill="auto"/>
            <w:noWrap/>
            <w:vAlign w:val="center"/>
            <w:hideMark/>
          </w:tcPr>
          <w:p w14:paraId="77065941" w14:textId="0C4E33E9" w:rsidR="00467D70" w:rsidRDefault="00467D70" w:rsidP="00435A93">
            <w:pPr>
              <w:spacing w:after="0" w:line="360" w:lineRule="auto"/>
              <w:ind w:leftChars="-11" w:left="-26"/>
              <w:rPr>
                <w:rFonts w:eastAsia="Times New Roman" w:cs="Times New Roman"/>
                <w:color w:val="000000"/>
                <w:sz w:val="18"/>
                <w:szCs w:val="18"/>
                <w:lang w:val="en-US" w:eastAsia="ru-RU"/>
              </w:rPr>
            </w:pPr>
            <w:r>
              <w:rPr>
                <w:rFonts w:eastAsia="Times New Roman" w:cs="Times New Roman"/>
                <w:color w:val="000000"/>
                <w:sz w:val="18"/>
                <w:szCs w:val="18"/>
                <w:lang w:val="en-US" w:eastAsia="ru-RU"/>
              </w:rPr>
              <w:t xml:space="preserve">Market participants does not apply negative rates for borrowing and lending, but use 0% </w:t>
            </w:r>
            <w:r w:rsidR="003F161F">
              <w:rPr>
                <w:rFonts w:eastAsia="Times New Roman" w:cs="Times New Roman"/>
                <w:color w:val="000000"/>
                <w:sz w:val="18"/>
                <w:szCs w:val="18"/>
                <w:lang w:val="en-US" w:eastAsia="ru-RU"/>
              </w:rPr>
              <w:t xml:space="preserve"> as a relevent rate because of the possibility not to lend at negative interest rates.</w:t>
            </w:r>
          </w:p>
          <w:p w14:paraId="499B112B" w14:textId="2F2A298B" w:rsidR="00467D70" w:rsidRPr="00B31F11" w:rsidRDefault="00467D70" w:rsidP="00435A93">
            <w:pPr>
              <w:spacing w:after="0" w:line="360" w:lineRule="auto"/>
              <w:ind w:leftChars="-11" w:left="-26" w:firstLineChars="13" w:firstLine="23"/>
              <w:rPr>
                <w:rFonts w:eastAsia="Times New Roman" w:cs="Times New Roman"/>
                <w:i/>
                <w:iCs/>
                <w:color w:val="000000"/>
                <w:sz w:val="18"/>
                <w:szCs w:val="18"/>
                <w:lang w:val="en-US" w:eastAsia="ru-RU"/>
              </w:rPr>
            </w:pPr>
            <w:r w:rsidRPr="00B31F11">
              <w:rPr>
                <w:rFonts w:eastAsia="Times New Roman" w:cs="Times New Roman"/>
                <w:i/>
                <w:iCs/>
                <w:color w:val="000000"/>
                <w:sz w:val="18"/>
                <w:szCs w:val="18"/>
                <w:lang w:val="en-US" w:eastAsia="ru-RU"/>
              </w:rPr>
              <w:t>0% rate, when applied as a risk-free rate, provide lower deviation of contracts from theoretical value than LIBOR or OIS rates</w:t>
            </w:r>
          </w:p>
        </w:tc>
      </w:tr>
      <w:tr w:rsidR="00467D70" w:rsidRPr="00566F83" w14:paraId="27B31B66" w14:textId="77777777" w:rsidTr="004D16C9">
        <w:trPr>
          <w:trHeight w:val="300"/>
        </w:trPr>
        <w:tc>
          <w:tcPr>
            <w:tcW w:w="1843" w:type="dxa"/>
            <w:shd w:val="clear" w:color="auto" w:fill="auto"/>
            <w:noWrap/>
            <w:vAlign w:val="center"/>
            <w:hideMark/>
          </w:tcPr>
          <w:p w14:paraId="425F663F" w14:textId="77777777" w:rsidR="00467D70" w:rsidRPr="006D0838" w:rsidRDefault="00467D70" w:rsidP="00435A93">
            <w:pPr>
              <w:spacing w:after="0" w:line="360" w:lineRule="auto"/>
              <w:rPr>
                <w:rFonts w:eastAsia="Times New Roman" w:cs="Times New Roman"/>
                <w:color w:val="000000"/>
                <w:sz w:val="18"/>
                <w:szCs w:val="18"/>
                <w:lang w:val="de-DE" w:eastAsia="ru-RU"/>
              </w:rPr>
            </w:pPr>
            <w:r w:rsidRPr="006D0838">
              <w:rPr>
                <w:rFonts w:eastAsia="Times New Roman" w:cs="Times New Roman"/>
                <w:color w:val="000000"/>
                <w:sz w:val="18"/>
                <w:szCs w:val="18"/>
                <w:lang w:val="de-DE" w:eastAsia="ru-RU"/>
              </w:rPr>
              <w:t>IRD 3m vs FX spot</w:t>
            </w:r>
          </w:p>
        </w:tc>
        <w:tc>
          <w:tcPr>
            <w:tcW w:w="1431" w:type="dxa"/>
            <w:shd w:val="clear" w:color="auto" w:fill="auto"/>
            <w:noWrap/>
            <w:vAlign w:val="center"/>
            <w:hideMark/>
          </w:tcPr>
          <w:p w14:paraId="60E2671C" w14:textId="77777777" w:rsidR="00467D70" w:rsidRPr="00552D71" w:rsidRDefault="00467D70" w:rsidP="00435A93">
            <w:pPr>
              <w:spacing w:after="0" w:line="360" w:lineRule="auto"/>
              <w:ind w:firstLine="709"/>
              <w:jc w:val="center"/>
              <w:rPr>
                <w:rFonts w:eastAsia="Times New Roman" w:cs="Times New Roman"/>
                <w:b/>
                <w:bCs/>
                <w:color w:val="000000"/>
                <w:sz w:val="18"/>
                <w:szCs w:val="18"/>
                <w:lang w:val="de-DE" w:eastAsia="ru-RU"/>
              </w:rPr>
            </w:pPr>
          </w:p>
        </w:tc>
        <w:tc>
          <w:tcPr>
            <w:tcW w:w="1213" w:type="dxa"/>
            <w:shd w:val="clear" w:color="auto" w:fill="auto"/>
            <w:noWrap/>
            <w:vAlign w:val="center"/>
            <w:hideMark/>
          </w:tcPr>
          <w:p w14:paraId="689A9069" w14:textId="77777777" w:rsidR="00467D70" w:rsidRPr="00552D71" w:rsidRDefault="00467D70" w:rsidP="00435A93">
            <w:pPr>
              <w:spacing w:after="0" w:line="360" w:lineRule="auto"/>
              <w:jc w:val="center"/>
              <w:rPr>
                <w:rFonts w:eastAsia="Times New Roman" w:cs="Times New Roman"/>
                <w:b/>
                <w:bCs/>
                <w:color w:val="000000"/>
                <w:sz w:val="18"/>
                <w:szCs w:val="18"/>
                <w:lang w:eastAsia="ru-RU"/>
              </w:rPr>
            </w:pPr>
            <w:r w:rsidRPr="00552D71">
              <w:rPr>
                <w:rFonts w:eastAsia="Times New Roman" w:cs="Times New Roman"/>
                <w:b/>
                <w:bCs/>
                <w:color w:val="000000"/>
                <w:sz w:val="18"/>
                <w:szCs w:val="18"/>
                <w:lang w:eastAsia="ru-RU"/>
              </w:rPr>
              <w:t>+</w:t>
            </w:r>
          </w:p>
        </w:tc>
        <w:tc>
          <w:tcPr>
            <w:tcW w:w="4869" w:type="dxa"/>
            <w:shd w:val="clear" w:color="auto" w:fill="auto"/>
            <w:noWrap/>
            <w:vAlign w:val="center"/>
            <w:hideMark/>
          </w:tcPr>
          <w:p w14:paraId="0CA2F3EC" w14:textId="77777777" w:rsidR="00467D70" w:rsidRDefault="00467D70" w:rsidP="00435A93">
            <w:pPr>
              <w:spacing w:after="0" w:line="360" w:lineRule="auto"/>
              <w:ind w:leftChars="-11" w:left="-26" w:firstLineChars="13" w:firstLine="23"/>
              <w:rPr>
                <w:rFonts w:eastAsia="Times New Roman" w:cs="Times New Roman"/>
                <w:color w:val="000000"/>
                <w:sz w:val="18"/>
                <w:szCs w:val="18"/>
                <w:lang w:val="en-US" w:eastAsia="ru-RU"/>
              </w:rPr>
            </w:pPr>
            <w:r w:rsidRPr="00C5237C">
              <w:rPr>
                <w:rFonts w:eastAsia="Times New Roman" w:cs="Times New Roman"/>
                <w:color w:val="000000"/>
                <w:sz w:val="18"/>
                <w:szCs w:val="18"/>
                <w:lang w:val="en-US" w:eastAsia="ru-RU"/>
              </w:rPr>
              <w:t xml:space="preserve">Long-lasting deviations </w:t>
            </w:r>
            <w:r>
              <w:rPr>
                <w:rFonts w:eastAsia="Times New Roman" w:cs="Times New Roman"/>
                <w:color w:val="000000"/>
                <w:sz w:val="18"/>
                <w:szCs w:val="18"/>
                <w:lang w:val="en-US" w:eastAsia="ru-RU"/>
              </w:rPr>
              <w:t>could be explained by positive correlation between FX spot rate and Interest Rate Differential (IRD)</w:t>
            </w:r>
          </w:p>
          <w:p w14:paraId="62746E2A" w14:textId="77777777" w:rsidR="00467D70" w:rsidRPr="00A55AB8" w:rsidRDefault="00467D70" w:rsidP="00435A93">
            <w:pPr>
              <w:spacing w:after="0" w:line="360" w:lineRule="auto"/>
              <w:ind w:leftChars="-11" w:left="-26" w:firstLineChars="13" w:firstLine="23"/>
              <w:rPr>
                <w:rFonts w:eastAsia="Times New Roman" w:cs="Times New Roman"/>
                <w:i/>
                <w:iCs/>
                <w:color w:val="000000"/>
                <w:sz w:val="18"/>
                <w:szCs w:val="18"/>
                <w:lang w:val="en-US" w:eastAsia="ru-RU"/>
              </w:rPr>
            </w:pPr>
            <w:r w:rsidRPr="00A55AB8">
              <w:rPr>
                <w:rFonts w:eastAsia="Times New Roman" w:cs="Times New Roman"/>
                <w:i/>
                <w:iCs/>
                <w:color w:val="000000"/>
                <w:sz w:val="18"/>
                <w:szCs w:val="18"/>
                <w:lang w:val="en-US" w:eastAsia="ru-RU"/>
              </w:rPr>
              <w:t xml:space="preserve">For every currency in the sample with consistent overpricing/undepricing, </w:t>
            </w:r>
            <w:r>
              <w:rPr>
                <w:rFonts w:eastAsia="Times New Roman" w:cs="Times New Roman"/>
                <w:i/>
                <w:iCs/>
                <w:color w:val="000000"/>
                <w:sz w:val="18"/>
                <w:szCs w:val="18"/>
                <w:lang w:val="en-US" w:eastAsia="ru-RU"/>
              </w:rPr>
              <w:t>positive</w:t>
            </w:r>
            <w:r w:rsidRPr="00A55AB8">
              <w:rPr>
                <w:rFonts w:eastAsia="Times New Roman" w:cs="Times New Roman"/>
                <w:i/>
                <w:iCs/>
                <w:color w:val="000000"/>
                <w:sz w:val="18"/>
                <w:szCs w:val="18"/>
                <w:lang w:val="en-US" w:eastAsia="ru-RU"/>
              </w:rPr>
              <w:t>/</w:t>
            </w:r>
            <w:r>
              <w:rPr>
                <w:rFonts w:eastAsia="Times New Roman" w:cs="Times New Roman"/>
                <w:i/>
                <w:iCs/>
                <w:color w:val="000000"/>
                <w:sz w:val="18"/>
                <w:szCs w:val="18"/>
                <w:lang w:val="en-US" w:eastAsia="ru-RU"/>
              </w:rPr>
              <w:t>negative</w:t>
            </w:r>
            <w:r w:rsidRPr="00A55AB8">
              <w:rPr>
                <w:rFonts w:eastAsia="Times New Roman" w:cs="Times New Roman"/>
                <w:i/>
                <w:iCs/>
                <w:color w:val="000000"/>
                <w:sz w:val="18"/>
                <w:szCs w:val="18"/>
                <w:lang w:val="en-US" w:eastAsia="ru-RU"/>
              </w:rPr>
              <w:t>e value of correlation between 3-month IRD and FX spot rate is observed.</w:t>
            </w:r>
          </w:p>
        </w:tc>
      </w:tr>
      <w:tr w:rsidR="00467D70" w:rsidRPr="006D0838" w14:paraId="2A36F011" w14:textId="77777777" w:rsidTr="004D16C9">
        <w:trPr>
          <w:trHeight w:val="216"/>
        </w:trPr>
        <w:tc>
          <w:tcPr>
            <w:tcW w:w="9356" w:type="dxa"/>
            <w:gridSpan w:val="4"/>
            <w:shd w:val="clear" w:color="auto" w:fill="auto"/>
            <w:noWrap/>
            <w:vAlign w:val="center"/>
            <w:hideMark/>
          </w:tcPr>
          <w:p w14:paraId="1D2EDF3D" w14:textId="77777777" w:rsidR="00467D70" w:rsidRPr="006D0838" w:rsidRDefault="00467D70" w:rsidP="00435A93">
            <w:pPr>
              <w:spacing w:after="0" w:line="360" w:lineRule="auto"/>
              <w:jc w:val="center"/>
              <w:rPr>
                <w:rFonts w:eastAsia="Times New Roman" w:cs="Times New Roman"/>
                <w:color w:val="000000"/>
                <w:sz w:val="18"/>
                <w:szCs w:val="18"/>
                <w:lang w:eastAsia="ru-RU"/>
              </w:rPr>
            </w:pPr>
            <w:r w:rsidRPr="006D0838">
              <w:rPr>
                <w:rFonts w:eastAsia="Times New Roman" w:cs="Times New Roman"/>
                <w:b/>
                <w:bCs/>
                <w:color w:val="000000"/>
                <w:sz w:val="18"/>
                <w:szCs w:val="18"/>
                <w:lang w:eastAsia="ru-RU"/>
              </w:rPr>
              <w:t>FX Spot rate</w:t>
            </w:r>
          </w:p>
        </w:tc>
      </w:tr>
      <w:tr w:rsidR="00467D70" w:rsidRPr="00566F83" w14:paraId="353D5245" w14:textId="77777777" w:rsidTr="004D16C9">
        <w:trPr>
          <w:trHeight w:val="288"/>
        </w:trPr>
        <w:tc>
          <w:tcPr>
            <w:tcW w:w="1843" w:type="dxa"/>
            <w:shd w:val="clear" w:color="auto" w:fill="auto"/>
            <w:noWrap/>
            <w:vAlign w:val="center"/>
            <w:hideMark/>
          </w:tcPr>
          <w:p w14:paraId="18A48BE7" w14:textId="77777777" w:rsidR="00467D70" w:rsidRPr="006D0838" w:rsidRDefault="00467D70" w:rsidP="00435A93">
            <w:pPr>
              <w:spacing w:after="0" w:line="360" w:lineRule="auto"/>
              <w:rPr>
                <w:rFonts w:eastAsia="Times New Roman" w:cs="Times New Roman"/>
                <w:color w:val="000000"/>
                <w:sz w:val="18"/>
                <w:szCs w:val="18"/>
                <w:lang w:val="en-US" w:eastAsia="ru-RU"/>
              </w:rPr>
            </w:pPr>
            <w:r w:rsidRPr="006D0838">
              <w:rPr>
                <w:rFonts w:eastAsia="Times New Roman" w:cs="Times New Roman"/>
                <w:color w:val="000000"/>
                <w:sz w:val="18"/>
                <w:szCs w:val="18"/>
                <w:lang w:val="en-US" w:eastAsia="ru-RU"/>
              </w:rPr>
              <w:t xml:space="preserve">FX delta st. dev </w:t>
            </w:r>
            <w:r>
              <w:rPr>
                <w:rFonts w:eastAsia="Times New Roman" w:cs="Times New Roman"/>
                <w:color w:val="000000"/>
                <w:sz w:val="18"/>
                <w:szCs w:val="18"/>
                <w:lang w:val="en-US" w:eastAsia="ru-RU"/>
              </w:rPr>
              <w:t>– FX future</w:t>
            </w:r>
            <w:r w:rsidRPr="006D0838">
              <w:rPr>
                <w:rFonts w:eastAsia="Times New Roman" w:cs="Times New Roman"/>
                <w:color w:val="000000"/>
                <w:sz w:val="18"/>
                <w:szCs w:val="18"/>
                <w:lang w:val="en-US" w:eastAsia="ru-RU"/>
              </w:rPr>
              <w:t xml:space="preserve"> trade volume</w:t>
            </w:r>
          </w:p>
        </w:tc>
        <w:tc>
          <w:tcPr>
            <w:tcW w:w="1431" w:type="dxa"/>
            <w:shd w:val="clear" w:color="auto" w:fill="auto"/>
            <w:noWrap/>
            <w:vAlign w:val="center"/>
            <w:hideMark/>
          </w:tcPr>
          <w:p w14:paraId="7B97DA95" w14:textId="77777777" w:rsidR="00467D70" w:rsidRPr="00552D71" w:rsidRDefault="00467D70" w:rsidP="00435A93">
            <w:pPr>
              <w:spacing w:after="0" w:line="360" w:lineRule="auto"/>
              <w:ind w:firstLine="709"/>
              <w:jc w:val="center"/>
              <w:rPr>
                <w:rFonts w:eastAsia="Times New Roman" w:cs="Times New Roman"/>
                <w:b/>
                <w:bCs/>
                <w:color w:val="000000"/>
                <w:sz w:val="18"/>
                <w:szCs w:val="18"/>
                <w:lang w:val="en-US" w:eastAsia="ru-RU"/>
              </w:rPr>
            </w:pPr>
          </w:p>
        </w:tc>
        <w:tc>
          <w:tcPr>
            <w:tcW w:w="1213" w:type="dxa"/>
            <w:shd w:val="clear" w:color="auto" w:fill="auto"/>
            <w:noWrap/>
            <w:vAlign w:val="center"/>
            <w:hideMark/>
          </w:tcPr>
          <w:p w14:paraId="0BA972C7" w14:textId="77777777" w:rsidR="00467D70" w:rsidRPr="00552D71" w:rsidRDefault="00467D70" w:rsidP="00435A93">
            <w:pPr>
              <w:spacing w:after="0" w:line="360" w:lineRule="auto"/>
              <w:jc w:val="center"/>
              <w:rPr>
                <w:rFonts w:eastAsia="Times New Roman" w:cs="Times New Roman"/>
                <w:b/>
                <w:bCs/>
                <w:color w:val="000000"/>
                <w:sz w:val="18"/>
                <w:szCs w:val="18"/>
                <w:lang w:eastAsia="ru-RU"/>
              </w:rPr>
            </w:pPr>
            <w:r w:rsidRPr="00552D71">
              <w:rPr>
                <w:rFonts w:eastAsia="Times New Roman" w:cs="Times New Roman"/>
                <w:b/>
                <w:bCs/>
                <w:color w:val="000000"/>
                <w:sz w:val="18"/>
                <w:szCs w:val="18"/>
                <w:lang w:eastAsia="ru-RU"/>
              </w:rPr>
              <w:t>+</w:t>
            </w:r>
          </w:p>
        </w:tc>
        <w:tc>
          <w:tcPr>
            <w:tcW w:w="4869" w:type="dxa"/>
            <w:shd w:val="clear" w:color="auto" w:fill="auto"/>
            <w:noWrap/>
            <w:vAlign w:val="center"/>
            <w:hideMark/>
          </w:tcPr>
          <w:p w14:paraId="7EA4FE73" w14:textId="77777777" w:rsidR="00467D70" w:rsidRDefault="00467D70" w:rsidP="00435A93">
            <w:pPr>
              <w:spacing w:after="0" w:line="360" w:lineRule="auto"/>
              <w:ind w:leftChars="-11" w:left="-26" w:firstLineChars="13" w:firstLine="23"/>
              <w:rPr>
                <w:rFonts w:eastAsia="Times New Roman" w:cs="Times New Roman"/>
                <w:color w:val="000000"/>
                <w:sz w:val="18"/>
                <w:szCs w:val="18"/>
                <w:lang w:val="en-US" w:eastAsia="ru-RU"/>
              </w:rPr>
            </w:pPr>
            <w:r>
              <w:rPr>
                <w:rFonts w:eastAsia="Times New Roman" w:cs="Times New Roman"/>
                <w:color w:val="000000"/>
                <w:sz w:val="18"/>
                <w:szCs w:val="18"/>
                <w:lang w:val="en-US" w:eastAsia="ru-RU"/>
              </w:rPr>
              <w:t>Observed difference in FX spot rate, calculated for each of the 30-minutes periods, affects the deviation of FX future prices from it’s theoretical value.</w:t>
            </w:r>
          </w:p>
          <w:p w14:paraId="1AC290E5" w14:textId="77777777" w:rsidR="00467D70" w:rsidRPr="002D3FD0" w:rsidRDefault="00467D70" w:rsidP="00435A93">
            <w:pPr>
              <w:spacing w:after="0" w:line="360" w:lineRule="auto"/>
              <w:ind w:leftChars="-11" w:left="-26" w:firstLineChars="13" w:firstLine="23"/>
              <w:rPr>
                <w:rFonts w:eastAsia="Times New Roman" w:cs="Times New Roman"/>
                <w:i/>
                <w:iCs/>
                <w:color w:val="000000"/>
                <w:sz w:val="18"/>
                <w:szCs w:val="18"/>
                <w:lang w:val="en-US" w:eastAsia="ru-RU"/>
              </w:rPr>
            </w:pPr>
            <w:r w:rsidRPr="002D3FD0">
              <w:rPr>
                <w:rFonts w:eastAsia="Times New Roman" w:cs="Times New Roman"/>
                <w:i/>
                <w:iCs/>
                <w:color w:val="000000"/>
                <w:sz w:val="18"/>
                <w:szCs w:val="18"/>
                <w:lang w:val="en-US" w:eastAsia="ru-RU"/>
              </w:rPr>
              <w:t>Regression of the delta of FX spot rate, expressed in the number os standard deviations, if regressed against the observed deviations of FX future, yields stantistically significant results</w:t>
            </w:r>
          </w:p>
        </w:tc>
      </w:tr>
      <w:tr w:rsidR="00467D70" w:rsidRPr="00566F83" w14:paraId="7BA346E4" w14:textId="77777777" w:rsidTr="004D16C9">
        <w:trPr>
          <w:trHeight w:val="288"/>
        </w:trPr>
        <w:tc>
          <w:tcPr>
            <w:tcW w:w="1843" w:type="dxa"/>
            <w:shd w:val="clear" w:color="auto" w:fill="auto"/>
            <w:noWrap/>
            <w:vAlign w:val="center"/>
            <w:hideMark/>
          </w:tcPr>
          <w:p w14:paraId="0C89F9EF" w14:textId="77777777" w:rsidR="00467D70" w:rsidRPr="006D0838" w:rsidRDefault="00467D70" w:rsidP="00435A93">
            <w:pPr>
              <w:spacing w:after="0" w:line="360" w:lineRule="auto"/>
              <w:rPr>
                <w:rFonts w:eastAsia="Times New Roman" w:cs="Times New Roman"/>
                <w:color w:val="000000"/>
                <w:sz w:val="18"/>
                <w:szCs w:val="18"/>
                <w:lang w:val="en-US" w:eastAsia="ru-RU"/>
              </w:rPr>
            </w:pPr>
            <w:r w:rsidRPr="006D0838">
              <w:rPr>
                <w:rFonts w:eastAsia="Times New Roman" w:cs="Times New Roman"/>
                <w:color w:val="000000"/>
                <w:sz w:val="18"/>
                <w:szCs w:val="18"/>
                <w:lang w:val="en-US" w:eastAsia="ru-RU"/>
              </w:rPr>
              <w:t xml:space="preserve">FX delta st. dev </w:t>
            </w:r>
            <w:r>
              <w:rPr>
                <w:rFonts w:eastAsia="Times New Roman" w:cs="Times New Roman"/>
                <w:color w:val="000000"/>
                <w:sz w:val="18"/>
                <w:szCs w:val="18"/>
                <w:lang w:val="en-US" w:eastAsia="ru-RU"/>
              </w:rPr>
              <w:t>– FX future</w:t>
            </w:r>
            <w:r w:rsidRPr="006D0838">
              <w:rPr>
                <w:rFonts w:eastAsia="Times New Roman" w:cs="Times New Roman"/>
                <w:color w:val="000000"/>
                <w:sz w:val="18"/>
                <w:szCs w:val="18"/>
                <w:lang w:val="en-US" w:eastAsia="ru-RU"/>
              </w:rPr>
              <w:t xml:space="preserve"> price deviation</w:t>
            </w:r>
          </w:p>
        </w:tc>
        <w:tc>
          <w:tcPr>
            <w:tcW w:w="1431" w:type="dxa"/>
            <w:shd w:val="clear" w:color="auto" w:fill="auto"/>
            <w:noWrap/>
            <w:vAlign w:val="center"/>
            <w:hideMark/>
          </w:tcPr>
          <w:p w14:paraId="244609A3" w14:textId="77777777" w:rsidR="00467D70" w:rsidRPr="00552D71" w:rsidRDefault="00467D70" w:rsidP="00435A93">
            <w:pPr>
              <w:spacing w:after="0" w:line="360" w:lineRule="auto"/>
              <w:ind w:firstLine="709"/>
              <w:jc w:val="center"/>
              <w:rPr>
                <w:rFonts w:eastAsia="Times New Roman" w:cs="Times New Roman"/>
                <w:b/>
                <w:bCs/>
                <w:color w:val="000000"/>
                <w:sz w:val="18"/>
                <w:szCs w:val="18"/>
                <w:lang w:val="en-US" w:eastAsia="ru-RU"/>
              </w:rPr>
            </w:pPr>
          </w:p>
        </w:tc>
        <w:tc>
          <w:tcPr>
            <w:tcW w:w="1213" w:type="dxa"/>
            <w:shd w:val="clear" w:color="auto" w:fill="auto"/>
            <w:noWrap/>
            <w:vAlign w:val="center"/>
            <w:hideMark/>
          </w:tcPr>
          <w:p w14:paraId="2DEC7474" w14:textId="77777777" w:rsidR="00467D70" w:rsidRPr="00552D71" w:rsidRDefault="00467D70" w:rsidP="00435A93">
            <w:pPr>
              <w:spacing w:after="0" w:line="360" w:lineRule="auto"/>
              <w:jc w:val="center"/>
              <w:rPr>
                <w:rFonts w:eastAsia="Times New Roman" w:cs="Times New Roman"/>
                <w:b/>
                <w:bCs/>
                <w:color w:val="000000"/>
                <w:sz w:val="18"/>
                <w:szCs w:val="18"/>
                <w:lang w:eastAsia="ru-RU"/>
              </w:rPr>
            </w:pPr>
            <w:r w:rsidRPr="00552D71">
              <w:rPr>
                <w:rFonts w:eastAsia="Times New Roman" w:cs="Times New Roman"/>
                <w:b/>
                <w:bCs/>
                <w:color w:val="000000"/>
                <w:sz w:val="18"/>
                <w:szCs w:val="18"/>
                <w:lang w:eastAsia="ru-RU"/>
              </w:rPr>
              <w:t>+</w:t>
            </w:r>
          </w:p>
        </w:tc>
        <w:tc>
          <w:tcPr>
            <w:tcW w:w="4869" w:type="dxa"/>
            <w:shd w:val="clear" w:color="auto" w:fill="auto"/>
            <w:noWrap/>
            <w:vAlign w:val="center"/>
            <w:hideMark/>
          </w:tcPr>
          <w:p w14:paraId="633C4F7E" w14:textId="77777777" w:rsidR="00467D70" w:rsidRDefault="00467D70" w:rsidP="00435A93">
            <w:pPr>
              <w:spacing w:after="0" w:line="360" w:lineRule="auto"/>
              <w:ind w:leftChars="-11" w:left="-26"/>
              <w:rPr>
                <w:rFonts w:eastAsia="Times New Roman" w:cs="Times New Roman"/>
                <w:color w:val="000000"/>
                <w:sz w:val="18"/>
                <w:szCs w:val="18"/>
                <w:lang w:val="en-US" w:eastAsia="ru-RU"/>
              </w:rPr>
            </w:pPr>
            <w:r>
              <w:rPr>
                <w:rFonts w:eastAsia="Times New Roman" w:cs="Times New Roman"/>
                <w:color w:val="000000"/>
                <w:sz w:val="18"/>
                <w:szCs w:val="18"/>
                <w:lang w:val="en-US" w:eastAsia="ru-RU"/>
              </w:rPr>
              <w:t>Observed differences in FX spot rate, calculated for each of the 30-minutes periods, affects the FX future trading volume</w:t>
            </w:r>
          </w:p>
          <w:p w14:paraId="1BC28E4F" w14:textId="77777777" w:rsidR="00467D70" w:rsidRDefault="00467D70" w:rsidP="00435A93">
            <w:pPr>
              <w:spacing w:after="0" w:line="360" w:lineRule="auto"/>
              <w:ind w:leftChars="-11" w:left="-26"/>
              <w:rPr>
                <w:rFonts w:eastAsia="Times New Roman" w:cs="Times New Roman"/>
                <w:color w:val="000000"/>
                <w:sz w:val="18"/>
                <w:szCs w:val="18"/>
                <w:lang w:val="en-US" w:eastAsia="ru-RU"/>
              </w:rPr>
            </w:pPr>
            <w:r w:rsidRPr="002D3FD0">
              <w:rPr>
                <w:rFonts w:eastAsia="Times New Roman" w:cs="Times New Roman"/>
                <w:i/>
                <w:iCs/>
                <w:color w:val="000000"/>
                <w:sz w:val="18"/>
                <w:szCs w:val="18"/>
                <w:lang w:val="en-US" w:eastAsia="ru-RU"/>
              </w:rPr>
              <w:t>Regression of the delta of FX spot rate, expressed in the number os standard deviations, if regressed against the</w:t>
            </w:r>
            <w:r>
              <w:rPr>
                <w:rFonts w:eastAsia="Times New Roman" w:cs="Times New Roman"/>
                <w:i/>
                <w:iCs/>
                <w:color w:val="000000"/>
                <w:sz w:val="18"/>
                <w:szCs w:val="18"/>
                <w:lang w:val="en-US" w:eastAsia="ru-RU"/>
              </w:rPr>
              <w:t xml:space="preserve"> FX trading volume in a number of contracts,</w:t>
            </w:r>
            <w:r w:rsidRPr="002D3FD0">
              <w:rPr>
                <w:rFonts w:eastAsia="Times New Roman" w:cs="Times New Roman"/>
                <w:i/>
                <w:iCs/>
                <w:color w:val="000000"/>
                <w:sz w:val="18"/>
                <w:szCs w:val="18"/>
                <w:lang w:val="en-US" w:eastAsia="ru-RU"/>
              </w:rPr>
              <w:t xml:space="preserve"> yields stantistically significant results</w:t>
            </w:r>
          </w:p>
          <w:p w14:paraId="11DA3801" w14:textId="77777777" w:rsidR="00467D70" w:rsidRPr="002D3FD0" w:rsidRDefault="00467D70" w:rsidP="00435A93">
            <w:pPr>
              <w:spacing w:after="0" w:line="360" w:lineRule="auto"/>
              <w:ind w:leftChars="-11" w:left="-26" w:firstLineChars="13" w:firstLine="23"/>
              <w:rPr>
                <w:rFonts w:eastAsia="Times New Roman" w:cs="Times New Roman"/>
                <w:color w:val="000000"/>
                <w:sz w:val="18"/>
                <w:szCs w:val="18"/>
                <w:lang w:val="en-US" w:eastAsia="ru-RU"/>
              </w:rPr>
            </w:pPr>
          </w:p>
        </w:tc>
      </w:tr>
    </w:tbl>
    <w:p w14:paraId="41E39270" w14:textId="77777777" w:rsidR="00467D70" w:rsidRPr="00A55AB8" w:rsidRDefault="00467D70" w:rsidP="00467D70">
      <w:pPr>
        <w:pStyle w:val="a1"/>
      </w:pPr>
      <w:r w:rsidRPr="00A55AB8">
        <w:t xml:space="preserve">Legend: </w:t>
      </w:r>
      <w:r w:rsidRPr="00552D71">
        <w:rPr>
          <w:i w:val="0"/>
          <w:iCs w:val="0"/>
        </w:rPr>
        <w:t>Hypothesis formulation</w:t>
      </w:r>
      <w:r w:rsidRPr="00A55AB8">
        <w:t xml:space="preserve"> / Hypothesis operationalization (expressed in terms of</w:t>
      </w:r>
      <w:r>
        <w:t xml:space="preserve"> specific</w:t>
      </w:r>
      <w:r w:rsidRPr="00A55AB8">
        <w:t xml:space="preserve"> variables)</w:t>
      </w:r>
    </w:p>
    <w:p w14:paraId="1FE43472" w14:textId="10BCB9C8" w:rsidR="00467D70" w:rsidRDefault="00467D70" w:rsidP="008226B3">
      <w:pPr>
        <w:spacing w:after="0" w:line="360" w:lineRule="auto"/>
        <w:ind w:firstLine="709"/>
        <w:rPr>
          <w:rFonts w:cs="Times New Roman"/>
          <w:lang w:val="en-US"/>
        </w:rPr>
      </w:pPr>
    </w:p>
    <w:p w14:paraId="332FE242" w14:textId="77777777" w:rsidR="00467D70" w:rsidRDefault="00467D70" w:rsidP="008226B3">
      <w:pPr>
        <w:spacing w:after="0" w:line="360" w:lineRule="auto"/>
        <w:ind w:firstLine="709"/>
        <w:rPr>
          <w:rFonts w:cs="Times New Roman"/>
          <w:lang w:val="en-US"/>
        </w:rPr>
      </w:pPr>
    </w:p>
    <w:p w14:paraId="7ABC3569" w14:textId="0B6E7E68" w:rsidR="002B70F9" w:rsidRPr="002B70F9" w:rsidRDefault="00467D70" w:rsidP="008226B3">
      <w:pPr>
        <w:pStyle w:val="Heading2"/>
        <w:spacing w:line="360" w:lineRule="auto"/>
        <w:ind w:firstLine="709"/>
        <w:rPr>
          <w:lang w:val="en-US"/>
        </w:rPr>
      </w:pPr>
      <w:bookmarkStart w:id="16" w:name="_Toc73483053"/>
      <w:r>
        <w:rPr>
          <w:lang w:val="en-US"/>
        </w:rPr>
        <w:t xml:space="preserve">1.4.3. </w:t>
      </w:r>
      <w:r w:rsidR="002B70F9" w:rsidRPr="002B70F9">
        <w:rPr>
          <w:lang w:val="en-US"/>
        </w:rPr>
        <w:t>Research method</w:t>
      </w:r>
      <w:bookmarkEnd w:id="16"/>
    </w:p>
    <w:p w14:paraId="5749B758" w14:textId="0A585B88" w:rsidR="00B505D0" w:rsidRDefault="00B505D0" w:rsidP="008226B3">
      <w:pPr>
        <w:spacing w:after="0" w:line="360" w:lineRule="auto"/>
        <w:ind w:firstLine="709"/>
        <w:rPr>
          <w:rFonts w:cs="Times New Roman"/>
          <w:lang w:val="en-US"/>
        </w:rPr>
      </w:pPr>
      <w:r>
        <w:rPr>
          <w:rFonts w:cs="Times New Roman"/>
          <w:lang w:val="en-US"/>
        </w:rPr>
        <w:t>To achieve our research goal, following steps will be implemented:</w:t>
      </w:r>
    </w:p>
    <w:p w14:paraId="500F28BF" w14:textId="12B985F2" w:rsidR="00753F0A" w:rsidRDefault="0003762E" w:rsidP="00552D71">
      <w:pPr>
        <w:pStyle w:val="-"/>
      </w:pPr>
      <w:r>
        <w:t xml:space="preserve">Step 1: </w:t>
      </w:r>
      <w:r w:rsidR="00B505D0">
        <w:t>FX future contracts traded at I</w:t>
      </w:r>
      <w:r w:rsidR="0005631C">
        <w:t xml:space="preserve">nternational </w:t>
      </w:r>
      <w:r w:rsidR="00B505D0">
        <w:t>M</w:t>
      </w:r>
      <w:r w:rsidR="0005631C">
        <w:t xml:space="preserve">onetary </w:t>
      </w:r>
      <w:r w:rsidR="00B505D0">
        <w:t>M</w:t>
      </w:r>
      <w:r w:rsidR="0005631C">
        <w:t>arket</w:t>
      </w:r>
      <w:r w:rsidR="00B505D0">
        <w:t xml:space="preserve"> will be grouped into </w:t>
      </w:r>
    </w:p>
    <w:p w14:paraId="06E68632" w14:textId="4F2C7526" w:rsidR="00753F0A" w:rsidRDefault="00753F0A" w:rsidP="00552D71">
      <w:pPr>
        <w:pStyle w:val="2"/>
      </w:pPr>
      <w:r>
        <w:t>“negative set”:</w:t>
      </w:r>
      <w:r w:rsidR="00B505D0">
        <w:t xml:space="preserve"> contracts where at least one currency has negative 3m interbank interest rate</w:t>
      </w:r>
      <w:r>
        <w:t xml:space="preserve"> (CHF, JPY, EUR)</w:t>
      </w:r>
      <w:r w:rsidR="00B505D0">
        <w:t xml:space="preserve">, and </w:t>
      </w:r>
    </w:p>
    <w:p w14:paraId="368AE3F8" w14:textId="72F8D5BC" w:rsidR="00B505D0" w:rsidRDefault="00753F0A" w:rsidP="00552D71">
      <w:pPr>
        <w:pStyle w:val="2"/>
      </w:pPr>
      <w:r>
        <w:t>“positive set”</w:t>
      </w:r>
      <w:r w:rsidR="00B505D0">
        <w:t xml:space="preserve"> contracts where two cuurencies in a a pair have positive 3m interbank interest rate;</w:t>
      </w:r>
    </w:p>
    <w:p w14:paraId="7F5B2B79" w14:textId="6508AE79" w:rsidR="00B505D0" w:rsidRDefault="0003762E" w:rsidP="00552D71">
      <w:pPr>
        <w:pStyle w:val="-"/>
      </w:pPr>
      <w:r>
        <w:lastRenderedPageBreak/>
        <w:t xml:space="preserve">Step 2: </w:t>
      </w:r>
      <w:r w:rsidR="00B505D0">
        <w:t>The most liquid contracts within each group will be selected;</w:t>
      </w:r>
    </w:p>
    <w:p w14:paraId="21850642" w14:textId="77BBEF01" w:rsidR="00B505D0" w:rsidRDefault="0003762E" w:rsidP="00552D71">
      <w:pPr>
        <w:pStyle w:val="-"/>
      </w:pPr>
      <w:r>
        <w:t xml:space="preserve">Step 3: </w:t>
      </w:r>
      <w:r w:rsidR="00B505D0">
        <w:t>Risk-free rates, applicable for the valuation of these contracts will be defined for each of the currencies;</w:t>
      </w:r>
    </w:p>
    <w:p w14:paraId="57CC8B1F" w14:textId="77777777" w:rsidR="0003762E" w:rsidRDefault="0003762E" w:rsidP="00552D71">
      <w:pPr>
        <w:pStyle w:val="-"/>
      </w:pPr>
      <w:r>
        <w:t xml:space="preserve">Step 4: </w:t>
      </w:r>
    </w:p>
    <w:p w14:paraId="28B76EFD" w14:textId="7F4B473D" w:rsidR="00B505D0" w:rsidRDefault="00B505D0" w:rsidP="00552D71">
      <w:pPr>
        <w:pStyle w:val="2"/>
      </w:pPr>
      <w:r>
        <w:t>Theoretical price of the mentioned contracts will be calculated</w:t>
      </w:r>
      <w:r w:rsidR="0003762E">
        <w:t xml:space="preserve"> applying each of the defined risk-free rates at every possible combination of them</w:t>
      </w:r>
      <w:r>
        <w:t>. Observed difference between theoretical</w:t>
      </w:r>
      <w:r w:rsidR="0003762E">
        <w:t xml:space="preserve"> FX forward</w:t>
      </w:r>
      <w:r>
        <w:t xml:space="preserve"> and observed</w:t>
      </w:r>
      <w:r w:rsidR="0003762E">
        <w:t xml:space="preserve"> FX future price</w:t>
      </w:r>
      <w:r>
        <w:t>s will be calculated and expressed in basis points via the following formula:</w:t>
      </w:r>
    </w:p>
    <w:p w14:paraId="5BF86C32" w14:textId="3A6278BF" w:rsidR="00B505D0" w:rsidRDefault="00B505D0" w:rsidP="00552D71">
      <w:pPr>
        <w:pStyle w:val="2"/>
        <w:numPr>
          <w:ilvl w:val="0"/>
          <w:numId w:val="0"/>
        </w:numPr>
        <w:ind w:left="2220"/>
        <w:rPr>
          <w:rFonts w:eastAsiaTheme="minorEastAsia"/>
        </w:rPr>
      </w:pPr>
      <m:oMath>
        <m:r>
          <w:rPr>
            <w:rFonts w:ascii="Cambria Math" w:hAnsi="Cambria Math"/>
          </w:rPr>
          <m:t>FX fut deviation, b.p.=((</m:t>
        </m:r>
        <m:f>
          <m:fPr>
            <m:ctrlPr>
              <w:rPr>
                <w:rFonts w:ascii="Cambria Math" w:hAnsi="Cambria Math"/>
                <w:i/>
              </w:rPr>
            </m:ctrlPr>
          </m:fPr>
          <m:num>
            <m:r>
              <w:rPr>
                <w:rFonts w:ascii="Cambria Math" w:hAnsi="Cambria Math"/>
              </w:rPr>
              <m:t>observed price</m:t>
            </m:r>
          </m:num>
          <m:den>
            <m:r>
              <w:rPr>
                <w:rFonts w:ascii="Cambria Math" w:hAnsi="Cambria Math"/>
              </w:rPr>
              <m:t>theoretical price</m:t>
            </m:r>
          </m:den>
        </m:f>
      </m:oMath>
      <w:r>
        <w:rPr>
          <w:rFonts w:eastAsiaTheme="minorEastAsia"/>
        </w:rPr>
        <w:t>) -1) * 10 000, where</w:t>
      </w:r>
    </w:p>
    <w:p w14:paraId="6EBF1B57" w14:textId="17EF0AAB" w:rsidR="00B505D0" w:rsidRDefault="00B505D0" w:rsidP="00552D71">
      <w:pPr>
        <w:pStyle w:val="2"/>
        <w:numPr>
          <w:ilvl w:val="0"/>
          <w:numId w:val="0"/>
        </w:numPr>
        <w:ind w:left="2220"/>
        <w:rPr>
          <w:rFonts w:eastAsiaTheme="minorEastAsia"/>
        </w:rPr>
      </w:pPr>
      <m:oMath>
        <m:r>
          <w:rPr>
            <w:rFonts w:ascii="Cambria Math" w:hAnsi="Cambria Math"/>
          </w:rPr>
          <m:t>observed price-</m:t>
        </m:r>
      </m:oMath>
      <w:r w:rsidR="002901DC">
        <w:rPr>
          <w:rFonts w:eastAsiaTheme="minorEastAsia"/>
        </w:rPr>
        <w:t xml:space="preserve"> close price for FX future contract, calculated each 30-minutes period;</w:t>
      </w:r>
    </w:p>
    <w:p w14:paraId="38D3DA06" w14:textId="38222260" w:rsidR="002901DC" w:rsidRDefault="002901DC" w:rsidP="00552D71">
      <w:pPr>
        <w:pStyle w:val="2"/>
        <w:numPr>
          <w:ilvl w:val="0"/>
          <w:numId w:val="0"/>
        </w:numPr>
        <w:ind w:left="2220"/>
      </w:pPr>
      <m:oMath>
        <m:r>
          <w:rPr>
            <w:rFonts w:ascii="Cambria Math" w:hAnsi="Cambria Math"/>
          </w:rPr>
          <m:t>theoretical price-</m:t>
        </m:r>
      </m:oMath>
      <w:r>
        <w:t xml:space="preserve"> theoretical price for FX forward contract, calculated with linear interpolation applied to </w:t>
      </w:r>
      <w:r w:rsidR="0003762E">
        <w:t>the chosen</w:t>
      </w:r>
      <w:r>
        <w:t xml:space="preserve"> risk-free rates;</w:t>
      </w:r>
    </w:p>
    <w:p w14:paraId="62C08845" w14:textId="5BEF88C2" w:rsidR="002901DC" w:rsidRDefault="002901DC" w:rsidP="00552D71">
      <w:pPr>
        <w:pStyle w:val="2"/>
      </w:pPr>
      <w:r>
        <w:t xml:space="preserve">Observed deviations will be grouped into two sets of values: (a) deviations calculated at </w:t>
      </w:r>
      <w:r w:rsidR="0003762E">
        <w:t>3</w:t>
      </w:r>
      <w:r>
        <w:t>0-minutes periods, and (b) daily deviations: average values of 30-minutes deviations, observed within the given day;</w:t>
      </w:r>
    </w:p>
    <w:p w14:paraId="0F5E6720" w14:textId="75B0D781" w:rsidR="0003762E" w:rsidRDefault="0003762E" w:rsidP="00552D71">
      <w:pPr>
        <w:pStyle w:val="2"/>
      </w:pPr>
      <w:r>
        <w:t xml:space="preserve">Decision on what risk-free rates are actually used by market participants will be </w:t>
      </w:r>
      <w:r w:rsidR="009274FD">
        <w:t>made according to the calculations made;</w:t>
      </w:r>
    </w:p>
    <w:p w14:paraId="6216BE4B" w14:textId="218AC1CB" w:rsidR="0003762E" w:rsidRPr="0003762E" w:rsidRDefault="0003762E" w:rsidP="00552D71">
      <w:pPr>
        <w:pStyle w:val="-"/>
      </w:pPr>
      <w:r>
        <w:t>Step 5: Conduct of the monetary policy within each of the currency zones within the scope of our research will be studied, monetary policy tools will be defined;</w:t>
      </w:r>
    </w:p>
    <w:p w14:paraId="30A33817" w14:textId="2B206AD2" w:rsidR="002901DC" w:rsidRDefault="0003762E" w:rsidP="00552D71">
      <w:pPr>
        <w:pStyle w:val="-"/>
      </w:pPr>
      <w:r>
        <w:t xml:space="preserve">Step 6: </w:t>
      </w:r>
      <w:r w:rsidR="002901DC">
        <w:t>Conclusions on: (a) risk-free rates, which are actually used by market participants for the valuation purposes, (b) the patterns in observed deviations, (c) main drivers behind observed deviations (see section on hypotheses) will be derived and summarized in descriptive statistics for each of the contract;</w:t>
      </w:r>
    </w:p>
    <w:p w14:paraId="104806EA" w14:textId="6E38113A" w:rsidR="002901DC" w:rsidRDefault="0003762E" w:rsidP="00552D71">
      <w:pPr>
        <w:pStyle w:val="-"/>
      </w:pPr>
      <w:r>
        <w:t xml:space="preserve">Step 7: </w:t>
      </w:r>
      <w:r w:rsidR="002901DC">
        <w:t xml:space="preserve">Hypotheses selected will be tested according to the selected criterias, and the </w:t>
      </w:r>
      <w:r w:rsidR="00753F0A">
        <w:t>conlcusions will be derived for both the (a) individual contracts, and (b) chosen “negative” and “positive” sets;</w:t>
      </w:r>
    </w:p>
    <w:p w14:paraId="68CA8DC4" w14:textId="77777777" w:rsidR="00B016C7" w:rsidRPr="00B016C7" w:rsidRDefault="0003762E" w:rsidP="00552D71">
      <w:pPr>
        <w:pStyle w:val="-"/>
        <w:rPr>
          <w:b/>
        </w:rPr>
      </w:pPr>
      <w:r w:rsidRPr="00B016C7">
        <w:t xml:space="preserve">Step 8: </w:t>
      </w:r>
      <w:r w:rsidR="00753F0A" w:rsidRPr="00B016C7">
        <w:t>General conclusions will be derived and answer to the stated research question will be provied;</w:t>
      </w:r>
    </w:p>
    <w:p w14:paraId="458C18AC" w14:textId="77777777" w:rsidR="00B016C7" w:rsidRPr="00B016C7" w:rsidRDefault="00B016C7" w:rsidP="008226B3">
      <w:pPr>
        <w:pStyle w:val="ListParagraph"/>
        <w:spacing w:after="0" w:line="360" w:lineRule="auto"/>
        <w:ind w:left="709" w:firstLine="709"/>
        <w:rPr>
          <w:b/>
          <w:lang w:val="en-US"/>
        </w:rPr>
      </w:pPr>
    </w:p>
    <w:p w14:paraId="541428AC" w14:textId="77777777" w:rsidR="005F238A" w:rsidRDefault="005F238A">
      <w:pPr>
        <w:jc w:val="left"/>
        <w:rPr>
          <w:rFonts w:eastAsiaTheme="majorEastAsia" w:cstheme="majorBidi"/>
          <w:b/>
          <w:sz w:val="32"/>
          <w:szCs w:val="32"/>
          <w:lang w:val="en-US"/>
        </w:rPr>
      </w:pPr>
      <w:r>
        <w:rPr>
          <w:lang w:val="en-US"/>
        </w:rPr>
        <w:br w:type="page"/>
      </w:r>
    </w:p>
    <w:p w14:paraId="159641B4" w14:textId="177F02C3" w:rsidR="002056A3" w:rsidRPr="00B016C7" w:rsidRDefault="00467D70" w:rsidP="008226B3">
      <w:pPr>
        <w:pStyle w:val="Heading1"/>
        <w:spacing w:line="360" w:lineRule="auto"/>
        <w:ind w:firstLine="709"/>
        <w:rPr>
          <w:lang w:val="en-US"/>
        </w:rPr>
      </w:pPr>
      <w:bookmarkStart w:id="17" w:name="_Toc73483054"/>
      <w:r>
        <w:rPr>
          <w:lang w:val="en-US"/>
        </w:rPr>
        <w:lastRenderedPageBreak/>
        <w:t>Chapter</w:t>
      </w:r>
      <w:r w:rsidR="00B016C7">
        <w:rPr>
          <w:lang w:val="en-US"/>
        </w:rPr>
        <w:t xml:space="preserve"> 2.</w:t>
      </w:r>
      <w:bookmarkEnd w:id="17"/>
    </w:p>
    <w:p w14:paraId="71B5D2E8" w14:textId="47F63250" w:rsidR="00402073" w:rsidRPr="009274FD" w:rsidRDefault="00467D70" w:rsidP="008226B3">
      <w:pPr>
        <w:pStyle w:val="Heading1"/>
        <w:spacing w:line="360" w:lineRule="auto"/>
        <w:ind w:firstLine="709"/>
        <w:rPr>
          <w:lang w:val="en-US"/>
        </w:rPr>
      </w:pPr>
      <w:bookmarkStart w:id="18" w:name="_Toc73483055"/>
      <w:r>
        <w:rPr>
          <w:lang w:val="en-US"/>
        </w:rPr>
        <w:t xml:space="preserve">2.1. </w:t>
      </w:r>
      <w:r w:rsidR="005F238A">
        <w:rPr>
          <w:lang w:val="en-US"/>
        </w:rPr>
        <w:t>RESULTS OF PRICE CALCULATIONS AND OBSERVED PATTERNS OF PRICE DEVIATION</w:t>
      </w:r>
      <w:bookmarkEnd w:id="18"/>
    </w:p>
    <w:p w14:paraId="2F8ACEE2" w14:textId="77777777" w:rsidR="00B016C7" w:rsidRDefault="00B016C7" w:rsidP="008226B3">
      <w:pPr>
        <w:spacing w:after="0" w:line="360" w:lineRule="auto"/>
        <w:ind w:firstLine="709"/>
        <w:rPr>
          <w:rFonts w:cs="Times New Roman"/>
          <w:lang w:val="en-US"/>
        </w:rPr>
      </w:pPr>
      <w:r>
        <w:rPr>
          <w:rFonts w:cs="Times New Roman"/>
          <w:lang w:val="en-US"/>
        </w:rPr>
        <w:t>Following the defined steps 1 and 2, the following FX future contracts were chosen</w:t>
      </w:r>
      <w:r>
        <w:rPr>
          <w:rStyle w:val="FootnoteReference"/>
          <w:rFonts w:cs="Times New Roman"/>
          <w:lang w:val="en-US"/>
        </w:rPr>
        <w:footnoteReference w:id="55"/>
      </w:r>
      <w:r>
        <w:rPr>
          <w:rFonts w:cs="Times New Roman"/>
          <w:lang w:val="en-US"/>
        </w:rPr>
        <w:t>:</w:t>
      </w:r>
    </w:p>
    <w:p w14:paraId="7B2F8C4A" w14:textId="183DB0F3" w:rsidR="00B016C7" w:rsidRDefault="00B016C7" w:rsidP="008226B3">
      <w:pPr>
        <w:spacing w:after="0" w:line="360" w:lineRule="auto"/>
        <w:ind w:firstLine="709"/>
        <w:rPr>
          <w:rFonts w:cs="Times New Roman"/>
          <w:lang w:val="en-US"/>
        </w:rPr>
      </w:pPr>
      <w:r>
        <w:rPr>
          <w:rFonts w:cs="Times New Roman"/>
          <w:lang w:val="en-US"/>
        </w:rPr>
        <w:t xml:space="preserve">Negative set: </w:t>
      </w:r>
      <w:r w:rsidRPr="008D1BF2">
        <w:rPr>
          <w:rFonts w:cs="Times New Roman"/>
          <w:lang w:val="en-US"/>
        </w:rPr>
        <w:t xml:space="preserve">JPY/USD, GBP/JPY, </w:t>
      </w:r>
      <w:r w:rsidR="00924521">
        <w:rPr>
          <w:rFonts w:cs="Times New Roman"/>
          <w:lang w:val="en-US"/>
        </w:rPr>
        <w:t>CHF</w:t>
      </w:r>
      <w:r w:rsidRPr="008D1BF2">
        <w:rPr>
          <w:rFonts w:cs="Times New Roman"/>
          <w:lang w:val="en-US"/>
        </w:rPr>
        <w:t>/</w:t>
      </w:r>
      <w:r w:rsidR="00924521">
        <w:rPr>
          <w:rFonts w:cs="Times New Roman"/>
          <w:lang w:val="en-US"/>
        </w:rPr>
        <w:t>USD</w:t>
      </w:r>
      <w:r w:rsidRPr="008D1BF2">
        <w:rPr>
          <w:rFonts w:cs="Times New Roman"/>
          <w:lang w:val="en-US"/>
        </w:rPr>
        <w:t>, EUR/CHF, EUR/JPY, AUD/JPY, EUR/USD, EUR/GBP,</w:t>
      </w:r>
      <w:r>
        <w:rPr>
          <w:rFonts w:cs="Times New Roman"/>
          <w:lang w:val="en-US"/>
        </w:rPr>
        <w:t xml:space="preserve"> </w:t>
      </w:r>
      <w:r w:rsidRPr="008D1BF2">
        <w:rPr>
          <w:rFonts w:cs="Times New Roman"/>
          <w:lang w:val="en-US"/>
        </w:rPr>
        <w:t>GBP/CHF</w:t>
      </w:r>
      <w:r>
        <w:rPr>
          <w:rFonts w:cs="Times New Roman"/>
          <w:lang w:val="en-US"/>
        </w:rPr>
        <w:t>;</w:t>
      </w:r>
    </w:p>
    <w:p w14:paraId="6A25EB11" w14:textId="20FCCA2F" w:rsidR="00B016C7" w:rsidRDefault="00B016C7" w:rsidP="008226B3">
      <w:pPr>
        <w:spacing w:after="0" w:line="360" w:lineRule="auto"/>
        <w:ind w:firstLine="709"/>
        <w:rPr>
          <w:rFonts w:cs="Times New Roman"/>
          <w:lang w:val="en-US"/>
        </w:rPr>
      </w:pPr>
      <w:r>
        <w:rPr>
          <w:rFonts w:cs="Times New Roman"/>
          <w:lang w:val="en-US"/>
        </w:rPr>
        <w:t xml:space="preserve">Positive set: </w:t>
      </w:r>
      <w:r w:rsidR="005D3637">
        <w:rPr>
          <w:rFonts w:cs="Times New Roman"/>
          <w:lang w:val="en-US"/>
        </w:rPr>
        <w:t>RUB</w:t>
      </w:r>
      <w:r w:rsidRPr="008D1BF2">
        <w:rPr>
          <w:rFonts w:cs="Times New Roman"/>
          <w:lang w:val="en-US"/>
        </w:rPr>
        <w:t>/</w:t>
      </w:r>
      <w:r w:rsidR="005D3637">
        <w:rPr>
          <w:rFonts w:cs="Times New Roman"/>
          <w:lang w:val="en-US"/>
        </w:rPr>
        <w:t>USD</w:t>
      </w:r>
      <w:r>
        <w:rPr>
          <w:rFonts w:cs="Times New Roman"/>
          <w:lang w:val="en-US"/>
        </w:rPr>
        <w:t xml:space="preserve">, </w:t>
      </w:r>
      <w:r w:rsidR="0033733C">
        <w:rPr>
          <w:rFonts w:cs="Times New Roman"/>
          <w:lang w:val="en-US"/>
        </w:rPr>
        <w:t>AUD</w:t>
      </w:r>
      <w:r w:rsidRPr="008D1BF2">
        <w:rPr>
          <w:rFonts w:cs="Times New Roman"/>
          <w:lang w:val="en-US"/>
        </w:rPr>
        <w:t>/</w:t>
      </w:r>
      <w:r w:rsidR="0033733C">
        <w:rPr>
          <w:rFonts w:cs="Times New Roman"/>
          <w:lang w:val="en-US"/>
        </w:rPr>
        <w:t>USD</w:t>
      </w:r>
      <w:r>
        <w:rPr>
          <w:rFonts w:cs="Times New Roman"/>
          <w:lang w:val="en-US"/>
        </w:rPr>
        <w:t xml:space="preserve">, </w:t>
      </w:r>
      <w:r w:rsidR="0033733C">
        <w:rPr>
          <w:rFonts w:cs="Times New Roman"/>
          <w:lang w:val="en-US"/>
        </w:rPr>
        <w:t>CAD</w:t>
      </w:r>
      <w:r w:rsidRPr="008D1BF2">
        <w:rPr>
          <w:rFonts w:cs="Times New Roman"/>
          <w:lang w:val="en-US"/>
        </w:rPr>
        <w:t>/</w:t>
      </w:r>
      <w:r w:rsidR="0033733C">
        <w:rPr>
          <w:rFonts w:cs="Times New Roman"/>
          <w:lang w:val="en-US"/>
        </w:rPr>
        <w:t>USD</w:t>
      </w:r>
      <w:r>
        <w:rPr>
          <w:rFonts w:cs="Times New Roman"/>
          <w:lang w:val="en-US"/>
        </w:rPr>
        <w:t xml:space="preserve">, </w:t>
      </w:r>
      <w:r w:rsidR="0033733C">
        <w:rPr>
          <w:rFonts w:cs="Times New Roman"/>
          <w:lang w:val="en-US"/>
        </w:rPr>
        <w:t>GBP/USD</w:t>
      </w:r>
      <w:r>
        <w:rPr>
          <w:rFonts w:cs="Times New Roman"/>
          <w:lang w:val="en-US"/>
        </w:rPr>
        <w:t>;</w:t>
      </w:r>
    </w:p>
    <w:p w14:paraId="4BB7D280" w14:textId="6A51984C" w:rsidR="00B016C7" w:rsidRDefault="00B016C7" w:rsidP="008226B3">
      <w:pPr>
        <w:spacing w:after="0" w:line="360" w:lineRule="auto"/>
        <w:ind w:firstLine="709"/>
        <w:rPr>
          <w:rFonts w:cs="Times New Roman"/>
          <w:lang w:val="en-US"/>
        </w:rPr>
      </w:pPr>
      <w:r>
        <w:rPr>
          <w:rFonts w:cs="Times New Roman"/>
          <w:lang w:val="en-US"/>
        </w:rPr>
        <w:t>Within the chosen contracts, the following risk-free rates applicable for valuation were defined:</w:t>
      </w:r>
    </w:p>
    <w:p w14:paraId="574C7BE4" w14:textId="06641A1F" w:rsidR="008162D1" w:rsidRPr="008162D1" w:rsidRDefault="008162D1" w:rsidP="002B4E0B">
      <w:pPr>
        <w:pStyle w:val="a0"/>
      </w:pPr>
      <w:r w:rsidRPr="008162D1">
        <w:t xml:space="preserve">Table </w:t>
      </w:r>
      <w:r>
        <w:fldChar w:fldCharType="begin"/>
      </w:r>
      <w:r w:rsidRPr="008162D1">
        <w:instrText xml:space="preserve"> SEQ Table \* ARABIC </w:instrText>
      </w:r>
      <w:r>
        <w:fldChar w:fldCharType="separate"/>
      </w:r>
      <w:r w:rsidR="004D16C9">
        <w:rPr>
          <w:noProof/>
        </w:rPr>
        <w:t>3</w:t>
      </w:r>
      <w:r>
        <w:fldChar w:fldCharType="end"/>
      </w:r>
      <w:r>
        <w:t xml:space="preserve">. </w:t>
      </w:r>
      <w:r w:rsidR="00DD63BC">
        <w:t>Quoted r</w:t>
      </w:r>
      <w:r>
        <w:t>isk-free rates</w:t>
      </w:r>
      <w:r w:rsidR="00DD63BC">
        <w:t xml:space="preserve"> applicable for the FX futures pricing in the chosen currency zones</w:t>
      </w:r>
    </w:p>
    <w:tbl>
      <w:tblPr>
        <w:tblW w:w="9535" w:type="dxa"/>
        <w:tblInd w:w="-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12"/>
        <w:gridCol w:w="8323"/>
      </w:tblGrid>
      <w:tr w:rsidR="00B016C7" w:rsidRPr="007C6531" w14:paraId="46A3992D" w14:textId="77777777" w:rsidTr="003E2C8E">
        <w:trPr>
          <w:trHeight w:val="288"/>
        </w:trPr>
        <w:tc>
          <w:tcPr>
            <w:tcW w:w="1212" w:type="dxa"/>
            <w:shd w:val="clear" w:color="auto" w:fill="auto"/>
            <w:noWrap/>
            <w:vAlign w:val="center"/>
            <w:hideMark/>
          </w:tcPr>
          <w:p w14:paraId="661364D8" w14:textId="77777777" w:rsidR="00B016C7" w:rsidRPr="007C6531" w:rsidRDefault="00B016C7" w:rsidP="005F238A">
            <w:pPr>
              <w:spacing w:after="0" w:line="360" w:lineRule="auto"/>
              <w:jc w:val="center"/>
              <w:rPr>
                <w:rFonts w:eastAsia="Times New Roman" w:cs="Times New Roman"/>
                <w:b/>
                <w:bCs/>
                <w:color w:val="000000"/>
                <w:sz w:val="20"/>
                <w:szCs w:val="20"/>
                <w:lang w:eastAsia="ru-RU"/>
              </w:rPr>
            </w:pPr>
            <w:r w:rsidRPr="007C6531">
              <w:rPr>
                <w:rFonts w:eastAsia="Times New Roman" w:cs="Times New Roman"/>
                <w:b/>
                <w:bCs/>
                <w:color w:val="000000"/>
                <w:sz w:val="20"/>
                <w:szCs w:val="20"/>
                <w:lang w:eastAsia="ru-RU"/>
              </w:rPr>
              <w:t>Currency</w:t>
            </w:r>
          </w:p>
        </w:tc>
        <w:tc>
          <w:tcPr>
            <w:tcW w:w="8323" w:type="dxa"/>
            <w:shd w:val="clear" w:color="auto" w:fill="auto"/>
            <w:noWrap/>
            <w:vAlign w:val="center"/>
            <w:hideMark/>
          </w:tcPr>
          <w:p w14:paraId="1110A556" w14:textId="77777777" w:rsidR="00B016C7" w:rsidRPr="007C6531" w:rsidRDefault="00B016C7" w:rsidP="005F238A">
            <w:pPr>
              <w:spacing w:after="0" w:line="360" w:lineRule="auto"/>
              <w:jc w:val="center"/>
              <w:rPr>
                <w:rFonts w:eastAsia="Times New Roman" w:cs="Times New Roman"/>
                <w:b/>
                <w:bCs/>
                <w:color w:val="000000"/>
                <w:sz w:val="20"/>
                <w:szCs w:val="20"/>
                <w:lang w:eastAsia="ru-RU"/>
              </w:rPr>
            </w:pPr>
            <w:r w:rsidRPr="007C6531">
              <w:rPr>
                <w:rFonts w:eastAsia="Times New Roman" w:cs="Times New Roman"/>
                <w:b/>
                <w:bCs/>
                <w:color w:val="000000"/>
                <w:sz w:val="20"/>
                <w:szCs w:val="20"/>
                <w:lang w:eastAsia="ru-RU"/>
              </w:rPr>
              <w:t>Risk-free rates</w:t>
            </w:r>
          </w:p>
        </w:tc>
      </w:tr>
      <w:tr w:rsidR="00B016C7" w:rsidRPr="007C6531" w14:paraId="7683A16F" w14:textId="77777777" w:rsidTr="003E2C8E">
        <w:trPr>
          <w:trHeight w:val="288"/>
        </w:trPr>
        <w:tc>
          <w:tcPr>
            <w:tcW w:w="1212" w:type="dxa"/>
            <w:shd w:val="clear" w:color="auto" w:fill="auto"/>
            <w:noWrap/>
            <w:vAlign w:val="center"/>
            <w:hideMark/>
          </w:tcPr>
          <w:p w14:paraId="0D383163" w14:textId="77777777" w:rsidR="00B016C7" w:rsidRPr="007C6531" w:rsidRDefault="00B016C7" w:rsidP="005F238A">
            <w:pPr>
              <w:spacing w:after="0" w:line="360" w:lineRule="auto"/>
              <w:rPr>
                <w:rFonts w:eastAsia="Times New Roman" w:cs="Times New Roman"/>
                <w:color w:val="000000"/>
                <w:sz w:val="20"/>
                <w:szCs w:val="20"/>
                <w:lang w:eastAsia="ru-RU"/>
              </w:rPr>
            </w:pPr>
            <w:r w:rsidRPr="007C6531">
              <w:rPr>
                <w:rFonts w:eastAsia="Times New Roman" w:cs="Times New Roman"/>
                <w:color w:val="000000"/>
                <w:sz w:val="20"/>
                <w:szCs w:val="20"/>
                <w:lang w:eastAsia="ru-RU"/>
              </w:rPr>
              <w:t>AUD</w:t>
            </w:r>
          </w:p>
        </w:tc>
        <w:tc>
          <w:tcPr>
            <w:tcW w:w="8323" w:type="dxa"/>
            <w:shd w:val="clear" w:color="auto" w:fill="auto"/>
            <w:noWrap/>
            <w:vAlign w:val="center"/>
            <w:hideMark/>
          </w:tcPr>
          <w:p w14:paraId="3FCB54DE" w14:textId="1B635A05" w:rsidR="00B016C7" w:rsidRPr="001767D5" w:rsidRDefault="00B016C7" w:rsidP="005F238A">
            <w:pPr>
              <w:spacing w:after="0" w:line="360" w:lineRule="auto"/>
              <w:rPr>
                <w:rFonts w:eastAsia="Times New Roman" w:cs="Times New Roman"/>
                <w:color w:val="000000"/>
                <w:sz w:val="20"/>
                <w:szCs w:val="20"/>
                <w:lang w:val="en-US" w:eastAsia="ru-RU"/>
              </w:rPr>
            </w:pPr>
            <w:r w:rsidRPr="007C6531">
              <w:rPr>
                <w:rFonts w:eastAsia="Times New Roman" w:cs="Times New Roman"/>
                <w:color w:val="000000"/>
                <w:sz w:val="20"/>
                <w:szCs w:val="20"/>
                <w:lang w:eastAsia="ru-RU"/>
              </w:rPr>
              <w:t>OIS Cash rate</w:t>
            </w:r>
            <w:r w:rsidR="001767D5">
              <w:rPr>
                <w:rFonts w:eastAsia="Times New Roman" w:cs="Times New Roman"/>
                <w:color w:val="000000"/>
                <w:sz w:val="20"/>
                <w:szCs w:val="20"/>
                <w:lang w:val="en-US" w:eastAsia="ru-RU"/>
              </w:rPr>
              <w:t>*</w:t>
            </w:r>
          </w:p>
        </w:tc>
      </w:tr>
      <w:tr w:rsidR="00B016C7" w:rsidRPr="00566F83" w14:paraId="188BAD35" w14:textId="77777777" w:rsidTr="003E2C8E">
        <w:trPr>
          <w:trHeight w:val="288"/>
        </w:trPr>
        <w:tc>
          <w:tcPr>
            <w:tcW w:w="1212" w:type="dxa"/>
            <w:shd w:val="clear" w:color="auto" w:fill="auto"/>
            <w:noWrap/>
            <w:vAlign w:val="center"/>
            <w:hideMark/>
          </w:tcPr>
          <w:p w14:paraId="32D528E5" w14:textId="77777777" w:rsidR="00B016C7" w:rsidRPr="007C6531" w:rsidRDefault="00B016C7" w:rsidP="005F238A">
            <w:pPr>
              <w:spacing w:after="0" w:line="360" w:lineRule="auto"/>
              <w:rPr>
                <w:rFonts w:eastAsia="Times New Roman" w:cs="Times New Roman"/>
                <w:color w:val="000000"/>
                <w:sz w:val="20"/>
                <w:szCs w:val="20"/>
                <w:lang w:eastAsia="ru-RU"/>
              </w:rPr>
            </w:pPr>
            <w:r w:rsidRPr="007C6531">
              <w:rPr>
                <w:rFonts w:eastAsia="Times New Roman" w:cs="Times New Roman"/>
                <w:color w:val="000000"/>
                <w:sz w:val="20"/>
                <w:szCs w:val="20"/>
                <w:lang w:eastAsia="ru-RU"/>
              </w:rPr>
              <w:t>CAD</w:t>
            </w:r>
          </w:p>
        </w:tc>
        <w:tc>
          <w:tcPr>
            <w:tcW w:w="8323" w:type="dxa"/>
            <w:shd w:val="clear" w:color="auto" w:fill="auto"/>
            <w:noWrap/>
            <w:vAlign w:val="center"/>
            <w:hideMark/>
          </w:tcPr>
          <w:p w14:paraId="368E9F8D" w14:textId="4D813720" w:rsidR="00B016C7" w:rsidRPr="007C6531" w:rsidRDefault="00B016C7" w:rsidP="005F238A">
            <w:pPr>
              <w:spacing w:after="0" w:line="360" w:lineRule="auto"/>
              <w:rPr>
                <w:rFonts w:eastAsia="Times New Roman" w:cs="Times New Roman"/>
                <w:color w:val="000000"/>
                <w:sz w:val="20"/>
                <w:szCs w:val="20"/>
                <w:lang w:val="en-US" w:eastAsia="ru-RU"/>
              </w:rPr>
            </w:pPr>
            <w:r w:rsidRPr="007C6531">
              <w:rPr>
                <w:rFonts w:eastAsia="Times New Roman" w:cs="Times New Roman"/>
                <w:color w:val="000000"/>
                <w:sz w:val="20"/>
                <w:szCs w:val="20"/>
                <w:lang w:val="en-US" w:eastAsia="ru-RU"/>
              </w:rPr>
              <w:t xml:space="preserve">OIS </w:t>
            </w:r>
            <w:r w:rsidRPr="002D3FD0">
              <w:rPr>
                <w:rFonts w:eastAsia="Times New Roman" w:cs="Times New Roman"/>
                <w:color w:val="000000"/>
                <w:sz w:val="20"/>
                <w:szCs w:val="20"/>
                <w:lang w:val="en-US" w:eastAsia="ru-RU"/>
              </w:rPr>
              <w:t>Canadian Overnight Repo Rate Average (CORRA)</w:t>
            </w:r>
            <w:r w:rsidR="001767D5">
              <w:rPr>
                <w:rFonts w:eastAsia="Times New Roman" w:cs="Times New Roman"/>
                <w:color w:val="000000"/>
                <w:sz w:val="20"/>
                <w:szCs w:val="20"/>
                <w:lang w:val="en-US" w:eastAsia="ru-RU"/>
              </w:rPr>
              <w:t>*</w:t>
            </w:r>
          </w:p>
        </w:tc>
      </w:tr>
      <w:tr w:rsidR="00B016C7" w:rsidRPr="00566F83" w14:paraId="7E81F449" w14:textId="77777777" w:rsidTr="003E2C8E">
        <w:trPr>
          <w:trHeight w:val="288"/>
        </w:trPr>
        <w:tc>
          <w:tcPr>
            <w:tcW w:w="1212" w:type="dxa"/>
            <w:shd w:val="clear" w:color="auto" w:fill="auto"/>
            <w:noWrap/>
            <w:vAlign w:val="center"/>
            <w:hideMark/>
          </w:tcPr>
          <w:p w14:paraId="41807A95" w14:textId="77777777" w:rsidR="00B016C7" w:rsidRPr="007C6531" w:rsidRDefault="00B016C7" w:rsidP="005F238A">
            <w:pPr>
              <w:spacing w:after="0" w:line="360" w:lineRule="auto"/>
              <w:rPr>
                <w:rFonts w:eastAsia="Times New Roman" w:cs="Times New Roman"/>
                <w:color w:val="000000"/>
                <w:sz w:val="20"/>
                <w:szCs w:val="20"/>
                <w:lang w:eastAsia="ru-RU"/>
              </w:rPr>
            </w:pPr>
            <w:r w:rsidRPr="007C6531">
              <w:rPr>
                <w:rFonts w:eastAsia="Times New Roman" w:cs="Times New Roman"/>
                <w:color w:val="000000"/>
                <w:sz w:val="20"/>
                <w:szCs w:val="20"/>
                <w:lang w:eastAsia="ru-RU"/>
              </w:rPr>
              <w:t>CHF</w:t>
            </w:r>
          </w:p>
        </w:tc>
        <w:tc>
          <w:tcPr>
            <w:tcW w:w="8323" w:type="dxa"/>
            <w:shd w:val="clear" w:color="auto" w:fill="auto"/>
            <w:noWrap/>
            <w:vAlign w:val="center"/>
            <w:hideMark/>
          </w:tcPr>
          <w:p w14:paraId="78EB8609" w14:textId="712CA123" w:rsidR="00B016C7" w:rsidRPr="007C6531" w:rsidRDefault="00B016C7" w:rsidP="005F238A">
            <w:pPr>
              <w:spacing w:after="0" w:line="360" w:lineRule="auto"/>
              <w:rPr>
                <w:rFonts w:eastAsia="Times New Roman" w:cs="Times New Roman"/>
                <w:color w:val="000000"/>
                <w:sz w:val="20"/>
                <w:szCs w:val="20"/>
                <w:lang w:val="en-US" w:eastAsia="ru-RU"/>
              </w:rPr>
            </w:pPr>
            <w:r w:rsidRPr="007C6531">
              <w:rPr>
                <w:rFonts w:eastAsia="Times New Roman" w:cs="Times New Roman"/>
                <w:color w:val="000000"/>
                <w:sz w:val="20"/>
                <w:szCs w:val="20"/>
                <w:lang w:val="en-US" w:eastAsia="ru-RU"/>
              </w:rPr>
              <w:t>CHF LIBOR</w:t>
            </w:r>
            <w:r w:rsidR="001767D5">
              <w:rPr>
                <w:rFonts w:eastAsia="Times New Roman" w:cs="Times New Roman"/>
                <w:color w:val="000000"/>
                <w:sz w:val="20"/>
                <w:szCs w:val="20"/>
                <w:lang w:val="en-US" w:eastAsia="ru-RU"/>
              </w:rPr>
              <w:t>*</w:t>
            </w:r>
            <w:r w:rsidRPr="007C6531">
              <w:rPr>
                <w:rFonts w:eastAsia="Times New Roman" w:cs="Times New Roman"/>
                <w:color w:val="000000"/>
                <w:sz w:val="20"/>
                <w:szCs w:val="20"/>
                <w:lang w:val="en-US" w:eastAsia="ru-RU"/>
              </w:rPr>
              <w:t xml:space="preserve">, OIS </w:t>
            </w:r>
            <w:r w:rsidRPr="002D3FD0">
              <w:rPr>
                <w:rFonts w:eastAsia="Times New Roman" w:cs="Times New Roman"/>
                <w:color w:val="000000"/>
                <w:sz w:val="20"/>
                <w:szCs w:val="20"/>
                <w:lang w:val="en-US" w:eastAsia="ru-RU"/>
              </w:rPr>
              <w:t>Swiss Average Rate Overnight (SARON)</w:t>
            </w:r>
          </w:p>
        </w:tc>
      </w:tr>
      <w:tr w:rsidR="00B016C7" w:rsidRPr="007C6531" w14:paraId="5B41FED1" w14:textId="77777777" w:rsidTr="003E2C8E">
        <w:trPr>
          <w:trHeight w:val="288"/>
        </w:trPr>
        <w:tc>
          <w:tcPr>
            <w:tcW w:w="1212" w:type="dxa"/>
            <w:shd w:val="clear" w:color="auto" w:fill="auto"/>
            <w:noWrap/>
            <w:vAlign w:val="center"/>
            <w:hideMark/>
          </w:tcPr>
          <w:p w14:paraId="5A859FCF" w14:textId="77777777" w:rsidR="00B016C7" w:rsidRPr="007C6531" w:rsidRDefault="00B016C7" w:rsidP="005F238A">
            <w:pPr>
              <w:spacing w:after="0" w:line="360" w:lineRule="auto"/>
              <w:rPr>
                <w:rFonts w:eastAsia="Times New Roman" w:cs="Times New Roman"/>
                <w:color w:val="000000"/>
                <w:sz w:val="20"/>
                <w:szCs w:val="20"/>
                <w:lang w:eastAsia="ru-RU"/>
              </w:rPr>
            </w:pPr>
            <w:r w:rsidRPr="007C6531">
              <w:rPr>
                <w:rFonts w:eastAsia="Times New Roman" w:cs="Times New Roman"/>
                <w:color w:val="000000"/>
                <w:sz w:val="20"/>
                <w:szCs w:val="20"/>
                <w:lang w:eastAsia="ru-RU"/>
              </w:rPr>
              <w:t>EUR</w:t>
            </w:r>
          </w:p>
        </w:tc>
        <w:tc>
          <w:tcPr>
            <w:tcW w:w="8323" w:type="dxa"/>
            <w:shd w:val="clear" w:color="auto" w:fill="auto"/>
            <w:noWrap/>
            <w:vAlign w:val="center"/>
            <w:hideMark/>
          </w:tcPr>
          <w:p w14:paraId="5350BBD0" w14:textId="582EA5BD" w:rsidR="00B016C7" w:rsidRPr="001767D5" w:rsidRDefault="00B016C7" w:rsidP="005F238A">
            <w:pPr>
              <w:spacing w:after="0" w:line="360" w:lineRule="auto"/>
              <w:rPr>
                <w:rFonts w:eastAsia="Times New Roman" w:cs="Times New Roman"/>
                <w:color w:val="000000"/>
                <w:sz w:val="20"/>
                <w:szCs w:val="20"/>
                <w:lang w:val="en-US" w:eastAsia="ru-RU"/>
              </w:rPr>
            </w:pPr>
            <w:r w:rsidRPr="007C6531">
              <w:rPr>
                <w:rFonts w:eastAsia="Times New Roman" w:cs="Times New Roman"/>
                <w:color w:val="000000"/>
                <w:sz w:val="20"/>
                <w:szCs w:val="20"/>
                <w:lang w:eastAsia="ru-RU"/>
              </w:rPr>
              <w:t>EUR LIBOR, EURIBOR</w:t>
            </w:r>
            <w:r w:rsidR="001767D5">
              <w:rPr>
                <w:rFonts w:eastAsia="Times New Roman" w:cs="Times New Roman"/>
                <w:color w:val="000000"/>
                <w:sz w:val="20"/>
                <w:szCs w:val="20"/>
                <w:lang w:val="en-US" w:eastAsia="ru-RU"/>
              </w:rPr>
              <w:t>*</w:t>
            </w:r>
          </w:p>
        </w:tc>
      </w:tr>
      <w:tr w:rsidR="00B016C7" w:rsidRPr="00566F83" w14:paraId="34BC05CC" w14:textId="77777777" w:rsidTr="003E2C8E">
        <w:trPr>
          <w:trHeight w:val="288"/>
        </w:trPr>
        <w:tc>
          <w:tcPr>
            <w:tcW w:w="1212" w:type="dxa"/>
            <w:shd w:val="clear" w:color="auto" w:fill="auto"/>
            <w:noWrap/>
            <w:vAlign w:val="center"/>
            <w:hideMark/>
          </w:tcPr>
          <w:p w14:paraId="0DD9731E" w14:textId="77777777" w:rsidR="00B016C7" w:rsidRPr="007C6531" w:rsidRDefault="00B016C7" w:rsidP="005F238A">
            <w:pPr>
              <w:spacing w:after="0" w:line="360" w:lineRule="auto"/>
              <w:rPr>
                <w:rFonts w:eastAsia="Times New Roman" w:cs="Times New Roman"/>
                <w:color w:val="000000"/>
                <w:sz w:val="20"/>
                <w:szCs w:val="20"/>
                <w:lang w:eastAsia="ru-RU"/>
              </w:rPr>
            </w:pPr>
            <w:r w:rsidRPr="007C6531">
              <w:rPr>
                <w:rFonts w:eastAsia="Times New Roman" w:cs="Times New Roman"/>
                <w:color w:val="000000"/>
                <w:sz w:val="20"/>
                <w:szCs w:val="20"/>
                <w:lang w:eastAsia="ru-RU"/>
              </w:rPr>
              <w:t>GBP</w:t>
            </w:r>
          </w:p>
        </w:tc>
        <w:tc>
          <w:tcPr>
            <w:tcW w:w="8323" w:type="dxa"/>
            <w:shd w:val="clear" w:color="auto" w:fill="auto"/>
            <w:noWrap/>
            <w:vAlign w:val="center"/>
            <w:hideMark/>
          </w:tcPr>
          <w:p w14:paraId="6A21FB8B" w14:textId="10991E67" w:rsidR="00B016C7" w:rsidRPr="007C6531" w:rsidRDefault="00B016C7" w:rsidP="005F238A">
            <w:pPr>
              <w:spacing w:after="0" w:line="360" w:lineRule="auto"/>
              <w:rPr>
                <w:rFonts w:eastAsia="Times New Roman" w:cs="Times New Roman"/>
                <w:color w:val="000000"/>
                <w:sz w:val="20"/>
                <w:szCs w:val="20"/>
                <w:lang w:val="en-US" w:eastAsia="ru-RU"/>
              </w:rPr>
            </w:pPr>
            <w:r w:rsidRPr="007C6531">
              <w:rPr>
                <w:rFonts w:eastAsia="Times New Roman" w:cs="Times New Roman"/>
                <w:color w:val="000000"/>
                <w:sz w:val="20"/>
                <w:szCs w:val="20"/>
                <w:lang w:val="en-US" w:eastAsia="ru-RU"/>
              </w:rPr>
              <w:t>GBP LIBOR</w:t>
            </w:r>
            <w:r w:rsidR="001767D5">
              <w:rPr>
                <w:rFonts w:eastAsia="Times New Roman" w:cs="Times New Roman"/>
                <w:color w:val="000000"/>
                <w:sz w:val="20"/>
                <w:szCs w:val="20"/>
                <w:lang w:val="en-US" w:eastAsia="ru-RU"/>
              </w:rPr>
              <w:t>*</w:t>
            </w:r>
            <w:r w:rsidRPr="007C6531">
              <w:rPr>
                <w:rFonts w:eastAsia="Times New Roman" w:cs="Times New Roman"/>
                <w:color w:val="000000"/>
                <w:sz w:val="20"/>
                <w:szCs w:val="20"/>
                <w:lang w:val="en-US" w:eastAsia="ru-RU"/>
              </w:rPr>
              <w:t>, OIS S</w:t>
            </w:r>
            <w:r w:rsidRPr="002D3FD0">
              <w:rPr>
                <w:rFonts w:eastAsia="Times New Roman" w:cs="Times New Roman"/>
                <w:color w:val="000000"/>
                <w:sz w:val="20"/>
                <w:szCs w:val="20"/>
                <w:lang w:val="en-US" w:eastAsia="ru-RU"/>
              </w:rPr>
              <w:t>terling Overnight Interest Average (SONIA)</w:t>
            </w:r>
          </w:p>
        </w:tc>
      </w:tr>
      <w:tr w:rsidR="00B016C7" w:rsidRPr="00566F83" w14:paraId="0D9EEBC7" w14:textId="77777777" w:rsidTr="003E2C8E">
        <w:trPr>
          <w:trHeight w:val="288"/>
        </w:trPr>
        <w:tc>
          <w:tcPr>
            <w:tcW w:w="1212" w:type="dxa"/>
            <w:shd w:val="clear" w:color="auto" w:fill="auto"/>
            <w:noWrap/>
            <w:vAlign w:val="center"/>
            <w:hideMark/>
          </w:tcPr>
          <w:p w14:paraId="2C373814" w14:textId="77777777" w:rsidR="00B016C7" w:rsidRPr="007C6531" w:rsidRDefault="00B016C7" w:rsidP="005F238A">
            <w:pPr>
              <w:spacing w:after="0" w:line="360" w:lineRule="auto"/>
              <w:rPr>
                <w:rFonts w:eastAsia="Times New Roman" w:cs="Times New Roman"/>
                <w:color w:val="000000"/>
                <w:sz w:val="20"/>
                <w:szCs w:val="20"/>
                <w:lang w:eastAsia="ru-RU"/>
              </w:rPr>
            </w:pPr>
            <w:r w:rsidRPr="007C6531">
              <w:rPr>
                <w:rFonts w:eastAsia="Times New Roman" w:cs="Times New Roman"/>
                <w:color w:val="000000"/>
                <w:sz w:val="20"/>
                <w:szCs w:val="20"/>
                <w:lang w:eastAsia="ru-RU"/>
              </w:rPr>
              <w:t>JPY</w:t>
            </w:r>
          </w:p>
        </w:tc>
        <w:tc>
          <w:tcPr>
            <w:tcW w:w="8323" w:type="dxa"/>
            <w:shd w:val="clear" w:color="auto" w:fill="auto"/>
            <w:noWrap/>
            <w:vAlign w:val="center"/>
            <w:hideMark/>
          </w:tcPr>
          <w:p w14:paraId="5D6F305B" w14:textId="5D30079E" w:rsidR="00B016C7" w:rsidRPr="007C6531" w:rsidRDefault="00B016C7" w:rsidP="005F238A">
            <w:pPr>
              <w:spacing w:after="0" w:line="360" w:lineRule="auto"/>
              <w:rPr>
                <w:rFonts w:eastAsia="Times New Roman" w:cs="Times New Roman"/>
                <w:color w:val="000000"/>
                <w:sz w:val="20"/>
                <w:szCs w:val="20"/>
                <w:lang w:val="en-US" w:eastAsia="ru-RU"/>
              </w:rPr>
            </w:pPr>
            <w:r w:rsidRPr="007C6531">
              <w:rPr>
                <w:rFonts w:eastAsia="Times New Roman" w:cs="Times New Roman"/>
                <w:color w:val="000000"/>
                <w:sz w:val="20"/>
                <w:szCs w:val="20"/>
                <w:lang w:val="en-US" w:eastAsia="ru-RU"/>
              </w:rPr>
              <w:t>JPY LIBOR</w:t>
            </w:r>
            <w:r w:rsidR="001767D5">
              <w:rPr>
                <w:rFonts w:eastAsia="Times New Roman" w:cs="Times New Roman"/>
                <w:color w:val="000000"/>
                <w:sz w:val="20"/>
                <w:szCs w:val="20"/>
                <w:lang w:val="en-US" w:eastAsia="ru-RU"/>
              </w:rPr>
              <w:t>*</w:t>
            </w:r>
            <w:r w:rsidRPr="007C6531">
              <w:rPr>
                <w:rFonts w:eastAsia="Times New Roman" w:cs="Times New Roman"/>
                <w:color w:val="000000"/>
                <w:sz w:val="20"/>
                <w:szCs w:val="20"/>
                <w:lang w:val="en-US" w:eastAsia="ru-RU"/>
              </w:rPr>
              <w:t>, OIS T</w:t>
            </w:r>
            <w:r w:rsidRPr="002D3FD0">
              <w:rPr>
                <w:rFonts w:eastAsia="Times New Roman" w:cs="Times New Roman"/>
                <w:color w:val="000000"/>
                <w:sz w:val="20"/>
                <w:szCs w:val="20"/>
                <w:lang w:val="en-US" w:eastAsia="ru-RU"/>
              </w:rPr>
              <w:t>okyo Overnight Average Rate (TONA)</w:t>
            </w:r>
          </w:p>
        </w:tc>
      </w:tr>
      <w:tr w:rsidR="00B016C7" w:rsidRPr="00566F83" w14:paraId="1B74D90E" w14:textId="77777777" w:rsidTr="003E2C8E">
        <w:trPr>
          <w:trHeight w:val="288"/>
        </w:trPr>
        <w:tc>
          <w:tcPr>
            <w:tcW w:w="1212" w:type="dxa"/>
            <w:tcBorders>
              <w:bottom w:val="single" w:sz="4" w:space="0" w:color="auto"/>
            </w:tcBorders>
            <w:shd w:val="clear" w:color="auto" w:fill="auto"/>
            <w:noWrap/>
            <w:vAlign w:val="center"/>
            <w:hideMark/>
          </w:tcPr>
          <w:p w14:paraId="24C7E72B" w14:textId="77777777" w:rsidR="00B016C7" w:rsidRPr="007C6531" w:rsidRDefault="00B016C7" w:rsidP="005F238A">
            <w:pPr>
              <w:spacing w:after="0" w:line="360" w:lineRule="auto"/>
              <w:rPr>
                <w:rFonts w:eastAsia="Times New Roman" w:cs="Times New Roman"/>
                <w:color w:val="000000"/>
                <w:sz w:val="20"/>
                <w:szCs w:val="20"/>
                <w:lang w:eastAsia="ru-RU"/>
              </w:rPr>
            </w:pPr>
            <w:r w:rsidRPr="007C6531">
              <w:rPr>
                <w:rFonts w:eastAsia="Times New Roman" w:cs="Times New Roman"/>
                <w:color w:val="000000"/>
                <w:sz w:val="20"/>
                <w:szCs w:val="20"/>
                <w:lang w:eastAsia="ru-RU"/>
              </w:rPr>
              <w:t>RUB</w:t>
            </w:r>
          </w:p>
        </w:tc>
        <w:tc>
          <w:tcPr>
            <w:tcW w:w="8323" w:type="dxa"/>
            <w:tcBorders>
              <w:bottom w:val="single" w:sz="4" w:space="0" w:color="auto"/>
            </w:tcBorders>
            <w:shd w:val="clear" w:color="auto" w:fill="auto"/>
            <w:noWrap/>
            <w:vAlign w:val="center"/>
            <w:hideMark/>
          </w:tcPr>
          <w:p w14:paraId="23FC271A" w14:textId="16A12D11" w:rsidR="00B016C7" w:rsidRPr="007C6531" w:rsidRDefault="00B016C7" w:rsidP="005F238A">
            <w:pPr>
              <w:spacing w:after="0" w:line="360" w:lineRule="auto"/>
              <w:rPr>
                <w:rFonts w:eastAsia="Times New Roman" w:cs="Times New Roman"/>
                <w:color w:val="000000"/>
                <w:sz w:val="20"/>
                <w:szCs w:val="20"/>
                <w:lang w:val="en-US" w:eastAsia="ru-RU"/>
              </w:rPr>
            </w:pPr>
            <w:r w:rsidRPr="007C6531">
              <w:rPr>
                <w:rFonts w:eastAsia="Times New Roman" w:cs="Times New Roman"/>
                <w:color w:val="000000"/>
                <w:sz w:val="20"/>
                <w:szCs w:val="20"/>
                <w:lang w:val="en-US" w:eastAsia="ru-RU"/>
              </w:rPr>
              <w:t>OIS</w:t>
            </w:r>
            <w:r w:rsidRPr="002D3FD0">
              <w:rPr>
                <w:rFonts w:eastAsia="Times New Roman" w:cs="Times New Roman"/>
                <w:color w:val="000000"/>
                <w:sz w:val="20"/>
                <w:szCs w:val="20"/>
                <w:lang w:val="en-US" w:eastAsia="ru-RU"/>
              </w:rPr>
              <w:t xml:space="preserve"> Ruble Overnight Interest Average</w:t>
            </w:r>
            <w:r w:rsidRPr="007C6531">
              <w:rPr>
                <w:rFonts w:eastAsia="Times New Roman" w:cs="Times New Roman"/>
                <w:color w:val="000000"/>
                <w:sz w:val="20"/>
                <w:szCs w:val="20"/>
                <w:lang w:val="en-US" w:eastAsia="ru-RU"/>
              </w:rPr>
              <w:t xml:space="preserve"> </w:t>
            </w:r>
            <w:r w:rsidRPr="002D3FD0">
              <w:rPr>
                <w:rFonts w:eastAsia="Times New Roman" w:cs="Times New Roman"/>
                <w:color w:val="000000"/>
                <w:sz w:val="20"/>
                <w:szCs w:val="20"/>
                <w:lang w:val="en-US" w:eastAsia="ru-RU"/>
              </w:rPr>
              <w:t>(</w:t>
            </w:r>
            <w:r w:rsidRPr="007C6531">
              <w:rPr>
                <w:rFonts w:eastAsia="Times New Roman" w:cs="Times New Roman"/>
                <w:color w:val="000000"/>
                <w:sz w:val="20"/>
                <w:szCs w:val="20"/>
                <w:lang w:val="en-US" w:eastAsia="ru-RU"/>
              </w:rPr>
              <w:t>RUONIA</w:t>
            </w:r>
            <w:r w:rsidRPr="002D3FD0">
              <w:rPr>
                <w:rFonts w:eastAsia="Times New Roman" w:cs="Times New Roman"/>
                <w:color w:val="000000"/>
                <w:sz w:val="20"/>
                <w:szCs w:val="20"/>
                <w:lang w:val="en-US" w:eastAsia="ru-RU"/>
              </w:rPr>
              <w:t>)</w:t>
            </w:r>
            <w:r w:rsidR="001767D5">
              <w:rPr>
                <w:rFonts w:eastAsia="Times New Roman" w:cs="Times New Roman"/>
                <w:color w:val="000000"/>
                <w:sz w:val="20"/>
                <w:szCs w:val="20"/>
                <w:lang w:val="en-US" w:eastAsia="ru-RU"/>
              </w:rPr>
              <w:t>*</w:t>
            </w:r>
            <w:r w:rsidRPr="007C6531">
              <w:rPr>
                <w:rFonts w:eastAsia="Times New Roman" w:cs="Times New Roman"/>
                <w:color w:val="000000"/>
                <w:sz w:val="20"/>
                <w:szCs w:val="20"/>
                <w:lang w:val="en-US" w:eastAsia="ru-RU"/>
              </w:rPr>
              <w:t>, Mosprime</w:t>
            </w:r>
            <w:r w:rsidRPr="002D3FD0">
              <w:rPr>
                <w:rFonts w:eastAsia="Times New Roman" w:cs="Times New Roman"/>
                <w:color w:val="000000"/>
                <w:sz w:val="20"/>
                <w:szCs w:val="20"/>
                <w:lang w:val="en-US" w:eastAsia="ru-RU"/>
              </w:rPr>
              <w:t xml:space="preserve"> rate</w:t>
            </w:r>
          </w:p>
        </w:tc>
      </w:tr>
      <w:tr w:rsidR="00B016C7" w:rsidRPr="00566F83" w14:paraId="4619C877" w14:textId="77777777" w:rsidTr="003E2C8E">
        <w:trPr>
          <w:trHeight w:val="288"/>
        </w:trPr>
        <w:tc>
          <w:tcPr>
            <w:tcW w:w="1212" w:type="dxa"/>
            <w:tcBorders>
              <w:bottom w:val="single" w:sz="4" w:space="0" w:color="auto"/>
            </w:tcBorders>
            <w:shd w:val="clear" w:color="auto" w:fill="auto"/>
            <w:noWrap/>
            <w:vAlign w:val="center"/>
            <w:hideMark/>
          </w:tcPr>
          <w:p w14:paraId="6CB7A1EF" w14:textId="77777777" w:rsidR="00B016C7" w:rsidRPr="007C6531" w:rsidRDefault="00B016C7" w:rsidP="005F238A">
            <w:pPr>
              <w:spacing w:after="0" w:line="360" w:lineRule="auto"/>
              <w:rPr>
                <w:rFonts w:eastAsia="Times New Roman" w:cs="Times New Roman"/>
                <w:color w:val="000000"/>
                <w:sz w:val="20"/>
                <w:szCs w:val="20"/>
                <w:lang w:eastAsia="ru-RU"/>
              </w:rPr>
            </w:pPr>
            <w:r w:rsidRPr="007C6531">
              <w:rPr>
                <w:rFonts w:eastAsia="Times New Roman" w:cs="Times New Roman"/>
                <w:color w:val="000000"/>
                <w:sz w:val="20"/>
                <w:szCs w:val="20"/>
                <w:lang w:eastAsia="ru-RU"/>
              </w:rPr>
              <w:t>USD</w:t>
            </w:r>
          </w:p>
        </w:tc>
        <w:tc>
          <w:tcPr>
            <w:tcW w:w="8323" w:type="dxa"/>
            <w:tcBorders>
              <w:bottom w:val="single" w:sz="4" w:space="0" w:color="auto"/>
            </w:tcBorders>
            <w:shd w:val="clear" w:color="auto" w:fill="auto"/>
            <w:noWrap/>
            <w:vAlign w:val="center"/>
            <w:hideMark/>
          </w:tcPr>
          <w:p w14:paraId="5BCC4256" w14:textId="404A9189" w:rsidR="00B016C7" w:rsidRPr="007C6531" w:rsidRDefault="00B016C7" w:rsidP="005F238A">
            <w:pPr>
              <w:spacing w:after="0" w:line="360" w:lineRule="auto"/>
              <w:rPr>
                <w:rFonts w:eastAsia="Times New Roman" w:cs="Times New Roman"/>
                <w:color w:val="000000"/>
                <w:sz w:val="20"/>
                <w:szCs w:val="20"/>
                <w:lang w:val="en-US" w:eastAsia="ru-RU"/>
              </w:rPr>
            </w:pPr>
            <w:r w:rsidRPr="007C6531">
              <w:rPr>
                <w:rFonts w:eastAsia="Times New Roman" w:cs="Times New Roman"/>
                <w:color w:val="000000"/>
                <w:sz w:val="20"/>
                <w:szCs w:val="20"/>
                <w:lang w:val="en-US" w:eastAsia="ru-RU"/>
              </w:rPr>
              <w:t>LIBOR USD</w:t>
            </w:r>
            <w:r w:rsidR="001767D5">
              <w:rPr>
                <w:rFonts w:eastAsia="Times New Roman" w:cs="Times New Roman"/>
                <w:color w:val="000000"/>
                <w:sz w:val="20"/>
                <w:szCs w:val="20"/>
                <w:lang w:val="en-US" w:eastAsia="ru-RU"/>
              </w:rPr>
              <w:t>*</w:t>
            </w:r>
            <w:r w:rsidRPr="007C6531">
              <w:rPr>
                <w:rFonts w:eastAsia="Times New Roman" w:cs="Times New Roman"/>
                <w:color w:val="000000"/>
                <w:sz w:val="20"/>
                <w:szCs w:val="20"/>
                <w:lang w:val="en-US" w:eastAsia="ru-RU"/>
              </w:rPr>
              <w:t>, OIS E</w:t>
            </w:r>
            <w:r w:rsidRPr="002D3FD0">
              <w:rPr>
                <w:rFonts w:eastAsia="Times New Roman" w:cs="Times New Roman"/>
                <w:color w:val="000000"/>
                <w:sz w:val="20"/>
                <w:szCs w:val="20"/>
                <w:lang w:val="en-US" w:eastAsia="ru-RU"/>
              </w:rPr>
              <w:t>ffective Federal Funds Rate (EFFR)</w:t>
            </w:r>
          </w:p>
        </w:tc>
      </w:tr>
      <w:tr w:rsidR="00467D70" w:rsidRPr="00566F83" w14:paraId="12243750" w14:textId="77777777" w:rsidTr="003E2C8E">
        <w:trPr>
          <w:trHeight w:val="288"/>
        </w:trPr>
        <w:tc>
          <w:tcPr>
            <w:tcW w:w="9535" w:type="dxa"/>
            <w:gridSpan w:val="2"/>
            <w:tcBorders>
              <w:top w:val="single" w:sz="4" w:space="0" w:color="auto"/>
              <w:bottom w:val="nil"/>
            </w:tcBorders>
            <w:shd w:val="clear" w:color="auto" w:fill="auto"/>
            <w:noWrap/>
            <w:vAlign w:val="center"/>
          </w:tcPr>
          <w:p w14:paraId="04B37282" w14:textId="77777777" w:rsidR="00467D70" w:rsidRDefault="00467D70" w:rsidP="00467D70">
            <w:pPr>
              <w:pStyle w:val="a1"/>
              <w:rPr>
                <w:lang w:eastAsia="ru-RU"/>
              </w:rPr>
            </w:pPr>
            <w:r>
              <w:rPr>
                <w:lang w:eastAsia="ru-RU"/>
              </w:rPr>
              <w:t>Source: Author’s analysis</w:t>
            </w:r>
          </w:p>
          <w:p w14:paraId="6FCFCE24" w14:textId="733C8D9C" w:rsidR="00467D70" w:rsidRPr="007C6531" w:rsidRDefault="00467D70" w:rsidP="00467D70">
            <w:pPr>
              <w:spacing w:after="0" w:line="360" w:lineRule="auto"/>
              <w:rPr>
                <w:rFonts w:eastAsia="Times New Roman" w:cs="Times New Roman"/>
                <w:color w:val="000000"/>
                <w:sz w:val="20"/>
                <w:szCs w:val="20"/>
                <w:lang w:val="en-US" w:eastAsia="ru-RU"/>
              </w:rPr>
            </w:pPr>
            <w:r>
              <w:rPr>
                <w:rFonts w:eastAsia="Times New Roman" w:cs="Times New Roman"/>
                <w:color w:val="000000"/>
                <w:sz w:val="20"/>
                <w:szCs w:val="20"/>
                <w:lang w:val="en-US" w:eastAsia="ru-RU"/>
              </w:rPr>
              <w:t xml:space="preserve">Legend: </w:t>
            </w:r>
            <w:r w:rsidRPr="003E2C8E">
              <w:rPr>
                <w:rFonts w:eastAsia="Times New Roman" w:cs="Times New Roman"/>
                <w:i/>
                <w:iCs/>
                <w:color w:val="000000"/>
                <w:sz w:val="20"/>
                <w:szCs w:val="20"/>
                <w:lang w:val="en-US" w:eastAsia="ru-RU"/>
              </w:rPr>
              <w:t>* - risk free rates that, when applied, provides least deviation of observed FX future price from it’s theoretical value and which is used in the further analysis</w:t>
            </w:r>
          </w:p>
        </w:tc>
      </w:tr>
      <w:tr w:rsidR="00467D70" w:rsidRPr="00467D70" w14:paraId="67758B5B" w14:textId="77777777" w:rsidTr="003E2C8E">
        <w:trPr>
          <w:trHeight w:val="288"/>
        </w:trPr>
        <w:tc>
          <w:tcPr>
            <w:tcW w:w="9535" w:type="dxa"/>
            <w:gridSpan w:val="2"/>
            <w:tcBorders>
              <w:top w:val="nil"/>
              <w:bottom w:val="nil"/>
            </w:tcBorders>
            <w:shd w:val="clear" w:color="auto" w:fill="auto"/>
            <w:noWrap/>
            <w:vAlign w:val="center"/>
          </w:tcPr>
          <w:p w14:paraId="780EB653" w14:textId="2A271614" w:rsidR="00467D70" w:rsidRPr="007C6531" w:rsidRDefault="00467D70" w:rsidP="00467D70">
            <w:pPr>
              <w:pStyle w:val="a1"/>
              <w:rPr>
                <w:lang w:eastAsia="ru-RU"/>
              </w:rPr>
            </w:pPr>
          </w:p>
        </w:tc>
      </w:tr>
    </w:tbl>
    <w:p w14:paraId="662C544C" w14:textId="4270F3FA" w:rsidR="00B016C7" w:rsidRDefault="00B016C7" w:rsidP="008226B3">
      <w:pPr>
        <w:spacing w:after="0" w:line="360" w:lineRule="auto"/>
        <w:ind w:firstLine="709"/>
        <w:rPr>
          <w:rFonts w:cs="Times New Roman"/>
          <w:lang w:val="en-US"/>
        </w:rPr>
      </w:pPr>
      <w:r>
        <w:rPr>
          <w:rFonts w:cs="Times New Roman"/>
          <w:lang w:val="en-US"/>
        </w:rPr>
        <w:t xml:space="preserve">Generally, it could be stated that for some of the currencies for which IBOR rate is not quoted, only OIS on overnight rate is available, except for Russia, where </w:t>
      </w:r>
      <w:r w:rsidRPr="009274FD">
        <w:rPr>
          <w:rFonts w:cs="Times New Roman"/>
          <w:lang w:val="en-US"/>
        </w:rPr>
        <w:t>«</w:t>
      </w:r>
      <w:r>
        <w:rPr>
          <w:rFonts w:cs="Times New Roman"/>
          <w:lang w:val="en-US"/>
        </w:rPr>
        <w:t>Mosprime rate</w:t>
      </w:r>
      <w:r w:rsidRPr="009274FD">
        <w:rPr>
          <w:rFonts w:cs="Times New Roman"/>
          <w:lang w:val="en-US"/>
        </w:rPr>
        <w:t>»</w:t>
      </w:r>
      <w:r>
        <w:rPr>
          <w:rFonts w:cs="Times New Roman"/>
          <w:lang w:val="en-US"/>
        </w:rPr>
        <w:t xml:space="preserve"> is quoted for different tenors</w:t>
      </w:r>
      <w:r w:rsidR="005F238A">
        <w:rPr>
          <w:rFonts w:cs="Times New Roman"/>
          <w:lang w:val="en-US"/>
        </w:rPr>
        <w:t xml:space="preserve"> and is also conceptually offered rate</w:t>
      </w:r>
      <w:r w:rsidR="008D06E5">
        <w:rPr>
          <w:rStyle w:val="FootnoteReference"/>
          <w:rFonts w:cs="Times New Roman"/>
          <w:lang w:val="en-US"/>
        </w:rPr>
        <w:footnoteReference w:id="56"/>
      </w:r>
      <w:r w:rsidR="005F238A">
        <w:rPr>
          <w:rFonts w:cs="Times New Roman"/>
          <w:lang w:val="en-US"/>
        </w:rPr>
        <w:t>.</w:t>
      </w:r>
    </w:p>
    <w:p w14:paraId="364CCCAF" w14:textId="3CD2E1B5" w:rsidR="008E037F" w:rsidRDefault="008E037F" w:rsidP="008226B3">
      <w:pPr>
        <w:spacing w:after="0" w:line="360" w:lineRule="auto"/>
        <w:ind w:firstLine="709"/>
        <w:rPr>
          <w:rFonts w:cs="Times New Roman"/>
          <w:lang w:val="en-US"/>
        </w:rPr>
      </w:pPr>
    </w:p>
    <w:p w14:paraId="37D44097" w14:textId="1F821853" w:rsidR="00B016C7" w:rsidRPr="00B016C7" w:rsidRDefault="00B016C7" w:rsidP="008226B3">
      <w:pPr>
        <w:spacing w:after="0" w:line="360" w:lineRule="auto"/>
        <w:ind w:firstLine="709"/>
        <w:rPr>
          <w:rFonts w:cs="Times New Roman"/>
          <w:lang w:val="en-US"/>
        </w:rPr>
      </w:pPr>
      <w:r w:rsidRPr="00B016C7">
        <w:rPr>
          <w:rFonts w:cs="Times New Roman"/>
          <w:lang w:val="en-US"/>
        </w:rPr>
        <w:t>According to the results of calculations performed, it was determied that:</w:t>
      </w:r>
    </w:p>
    <w:p w14:paraId="64BEA2A4" w14:textId="198D8A69" w:rsidR="00B016C7" w:rsidRDefault="005F238A" w:rsidP="005F238A">
      <w:pPr>
        <w:pStyle w:val="-"/>
      </w:pPr>
      <w:r>
        <w:t>F</w:t>
      </w:r>
      <w:r w:rsidR="00B016C7" w:rsidRPr="00B016C7">
        <w:t>or currencies where LIBOR rate is quoted: USD, GBP, CHF, JPY: using LIBOR provides the most accurate estimation of FX future price</w:t>
      </w:r>
      <w:r w:rsidR="00B016C7">
        <w:t xml:space="preserve">: </w:t>
      </w:r>
      <w:r w:rsidR="00B016C7" w:rsidRPr="00B016C7">
        <w:t>theoretical price, calculated using LIBOR rates, deviates less</w:t>
      </w:r>
      <w:r>
        <w:t xml:space="preserve"> (compared with theoretical price calculated using other rates such as OIS)</w:t>
      </w:r>
      <w:r w:rsidR="00B016C7" w:rsidRPr="00B016C7">
        <w:t xml:space="preserve"> from observed price of exchange-traded contract</w:t>
      </w:r>
      <w:r w:rsidR="00B016C7">
        <w:t>;</w:t>
      </w:r>
    </w:p>
    <w:p w14:paraId="7048F35D" w14:textId="69D33500" w:rsidR="00B016C7" w:rsidRPr="00B016C7" w:rsidRDefault="00B016C7" w:rsidP="005F238A">
      <w:pPr>
        <w:pStyle w:val="-"/>
      </w:pPr>
      <w:r>
        <w:lastRenderedPageBreak/>
        <w:t>Consequently, in the presence of LIBOR rate quoted for the currency, using OIS rates in discounting provide less accurate match of the theoretical FX forward price to the observed FX future price;</w:t>
      </w:r>
    </w:p>
    <w:p w14:paraId="007259DB" w14:textId="46DCE674" w:rsidR="00B016C7" w:rsidRPr="00B016C7" w:rsidRDefault="00B016C7" w:rsidP="005F238A">
      <w:pPr>
        <w:pStyle w:val="-"/>
      </w:pPr>
      <w:r w:rsidRPr="00B016C7">
        <w:t>EURIBOR and</w:t>
      </w:r>
      <w:r w:rsidR="000D5256">
        <w:t xml:space="preserve"> EUR</w:t>
      </w:r>
      <w:r w:rsidRPr="00B016C7">
        <w:t xml:space="preserve"> LIBOR rates are do not deviate significantly from each other and could be used interchangeable</w:t>
      </w:r>
      <w:r>
        <w:t xml:space="preserve"> for FX futures valuation</w:t>
      </w:r>
      <w:r w:rsidRPr="00B016C7">
        <w:t>. Nevertheless, for currencies with EUR we preferred EURIBOR because it has more deep tradition</w:t>
      </w:r>
      <w:r w:rsidR="005F238A">
        <w:t xml:space="preserve"> </w:t>
      </w:r>
      <w:r w:rsidR="005F238A" w:rsidRPr="00B016C7">
        <w:t>than EUR LIBOR</w:t>
      </w:r>
      <w:r w:rsidRPr="00B016C7">
        <w:t xml:space="preserve"> to be used as a benchmark</w:t>
      </w:r>
      <w:r>
        <w:t xml:space="preserve"> in referencing derivative contracts and fixed income instruments</w:t>
      </w:r>
      <w:r w:rsidRPr="00B016C7">
        <w:t>.</w:t>
      </w:r>
    </w:p>
    <w:p w14:paraId="2CBA5609" w14:textId="7FAD8A43" w:rsidR="00B016C7" w:rsidRPr="00B016C7" w:rsidRDefault="00B016C7" w:rsidP="005F238A">
      <w:pPr>
        <w:pStyle w:val="-"/>
      </w:pPr>
      <w:r w:rsidRPr="00B016C7">
        <w:t>That was possible to determine several patterns in price deviation from theoretical value:</w:t>
      </w:r>
    </w:p>
    <w:p w14:paraId="03836B0B" w14:textId="52363F38" w:rsidR="00B016C7" w:rsidRDefault="00B016C7" w:rsidP="005F238A">
      <w:pPr>
        <w:pStyle w:val="2"/>
      </w:pPr>
      <w:r>
        <w:t xml:space="preserve">Positive convergence / consistent overpricing: difference between exchange-traded-price and theoretical value (hereinafter referred as </w:t>
      </w:r>
      <w:r w:rsidRPr="00DF4318">
        <w:t>«</w:t>
      </w:r>
      <w:r>
        <w:t>deviation</w:t>
      </w:r>
      <w:r w:rsidRPr="00DF4318">
        <w:t>»)</w:t>
      </w:r>
      <w:r>
        <w:t xml:space="preserve"> is positive</w:t>
      </w:r>
      <w:r w:rsidR="000D5256">
        <w:t>, but the deviation narrows as the FX future approaches it’s maturity;</w:t>
      </w:r>
    </w:p>
    <w:p w14:paraId="63AE3B51" w14:textId="77777777" w:rsidR="00B016C7" w:rsidRDefault="00B016C7" w:rsidP="005F238A">
      <w:pPr>
        <w:pStyle w:val="2"/>
      </w:pPr>
      <w:r>
        <w:t>Negative convergence / consistent underpricing: the same, but the difference is negative;</w:t>
      </w:r>
    </w:p>
    <w:p w14:paraId="2E2686B7" w14:textId="77777777" w:rsidR="00B016C7" w:rsidRDefault="00B016C7" w:rsidP="005F238A">
      <w:pPr>
        <w:pStyle w:val="2"/>
      </w:pPr>
      <w:r>
        <w:t>Wave: deviation varies from positive to negative during the life of the contract;</w:t>
      </w:r>
    </w:p>
    <w:p w14:paraId="170AF0BA" w14:textId="06242921" w:rsidR="00B016C7" w:rsidRPr="00DF4318" w:rsidRDefault="00B016C7" w:rsidP="005F238A">
      <w:pPr>
        <w:pStyle w:val="2"/>
      </w:pPr>
      <w:r>
        <w:t>Zero deviation: on average, deviation is less than 1 b.p.</w:t>
      </w:r>
      <w:r w:rsidR="000D5256">
        <w:rPr>
          <w:rStyle w:val="FootnoteReference"/>
        </w:rPr>
        <w:footnoteReference w:id="57"/>
      </w:r>
      <w:r>
        <w:t>;</w:t>
      </w:r>
    </w:p>
    <w:p w14:paraId="6275C860" w14:textId="77777777" w:rsidR="00CF055C" w:rsidRDefault="00094E1C" w:rsidP="008226B3">
      <w:pPr>
        <w:spacing w:after="0" w:line="360" w:lineRule="auto"/>
        <w:ind w:firstLine="709"/>
        <w:rPr>
          <w:rFonts w:cs="Times New Roman"/>
          <w:lang w:val="en-US"/>
        </w:rPr>
      </w:pPr>
      <w:r>
        <w:rPr>
          <w:rFonts w:cs="Times New Roman"/>
          <w:lang w:val="en-US"/>
        </w:rPr>
        <w:t xml:space="preserve">Now we report general descriptive statistics as well as </w:t>
      </w:r>
      <w:r w:rsidR="000D3DA6">
        <w:rPr>
          <w:rFonts w:cs="Times New Roman"/>
          <w:lang w:val="en-US"/>
        </w:rPr>
        <w:t xml:space="preserve"> direct presentation of  the pricing approach adopted</w:t>
      </w:r>
      <w:r w:rsidR="00CF055C">
        <w:rPr>
          <w:rFonts w:cs="Times New Roman"/>
          <w:lang w:val="en-US"/>
        </w:rPr>
        <w:t>.</w:t>
      </w:r>
    </w:p>
    <w:p w14:paraId="66765A03" w14:textId="65271468" w:rsidR="00182AA8" w:rsidRPr="00182AA8" w:rsidRDefault="00CF055C" w:rsidP="00182AA8">
      <w:pPr>
        <w:spacing w:after="0" w:line="360" w:lineRule="auto"/>
        <w:ind w:firstLine="709"/>
        <w:rPr>
          <w:rFonts w:cs="Times New Roman"/>
          <w:lang w:val="en-US"/>
        </w:rPr>
        <w:sectPr w:rsidR="00182AA8" w:rsidRPr="00182AA8" w:rsidSect="00A34160">
          <w:headerReference w:type="default" r:id="rId12"/>
          <w:footerReference w:type="default" r:id="rId13"/>
          <w:pgSz w:w="11906" w:h="16838"/>
          <w:pgMar w:top="1134" w:right="850" w:bottom="1134" w:left="1701" w:header="708" w:footer="708" w:gutter="0"/>
          <w:cols w:space="708"/>
          <w:titlePg/>
          <w:docGrid w:linePitch="360"/>
        </w:sectPr>
      </w:pPr>
      <w:r>
        <w:rPr>
          <w:rFonts w:cs="Times New Roman"/>
          <w:lang w:val="en-US"/>
        </w:rPr>
        <w:t xml:space="preserve">By </w:t>
      </w:r>
      <w:r w:rsidRPr="00CF055C">
        <w:rPr>
          <w:rFonts w:cs="Times New Roman"/>
          <w:lang w:val="en-US"/>
        </w:rPr>
        <w:t>«</w:t>
      </w:r>
      <w:r>
        <w:rPr>
          <w:rFonts w:cs="Times New Roman"/>
          <w:lang w:val="en-US"/>
        </w:rPr>
        <w:t>price deviation</w:t>
      </w:r>
      <w:r w:rsidRPr="00CF055C">
        <w:rPr>
          <w:rFonts w:cs="Times New Roman"/>
          <w:lang w:val="en-US"/>
        </w:rPr>
        <w:t>»</w:t>
      </w:r>
      <w:r>
        <w:rPr>
          <w:rFonts w:cs="Times New Roman"/>
          <w:lang w:val="en-US"/>
        </w:rPr>
        <w:t xml:space="preserve"> referenced in the title of the paragraph, we refer to the deviation of FX future price from theoretical price of FX forward, as calculated under approach defined earlier and clarified in the following table.</w:t>
      </w:r>
      <w:r w:rsidR="000D3DA6">
        <w:rPr>
          <w:rFonts w:cs="Times New Roman"/>
          <w:lang w:val="en-US"/>
        </w:rPr>
        <w:t xml:space="preserve"> </w:t>
      </w:r>
      <w:r w:rsidR="00182AA8">
        <w:rPr>
          <w:rFonts w:cs="Times New Roman"/>
          <w:lang w:val="en-US"/>
        </w:rPr>
        <w:t xml:space="preserve"> We also want to remind on previous statement that in this purpose we refer to the </w:t>
      </w:r>
      <w:r w:rsidR="00182AA8" w:rsidRPr="00182AA8">
        <w:rPr>
          <w:rFonts w:cs="Times New Roman"/>
          <w:lang w:val="en-US"/>
        </w:rPr>
        <w:t xml:space="preserve"> «</w:t>
      </w:r>
      <w:r w:rsidR="00182AA8">
        <w:rPr>
          <w:rFonts w:cs="Times New Roman"/>
          <w:lang w:val="en-US"/>
        </w:rPr>
        <w:t>price deviation</w:t>
      </w:r>
      <w:r w:rsidR="00182AA8" w:rsidRPr="00182AA8">
        <w:rPr>
          <w:rFonts w:cs="Times New Roman"/>
          <w:lang w:val="en-US"/>
        </w:rPr>
        <w:t xml:space="preserve">» </w:t>
      </w:r>
      <w:r w:rsidR="00182AA8">
        <w:rPr>
          <w:rFonts w:cs="Times New Roman"/>
          <w:lang w:val="en-US"/>
        </w:rPr>
        <w:t>as a useful metric to reference, but we do</w:t>
      </w:r>
      <w:r w:rsidR="00942FA0">
        <w:rPr>
          <w:rFonts w:cs="Times New Roman"/>
          <w:lang w:val="en-US"/>
        </w:rPr>
        <w:t xml:space="preserve"> not imply that  this deviation provides arbitrage opportunity, because market participants could use other interest rates than </w:t>
      </w:r>
      <w:r w:rsidR="00293CAC">
        <w:rPr>
          <w:rFonts w:cs="Times New Roman"/>
          <w:lang w:val="en-US"/>
        </w:rPr>
        <w:t>any publicly quoted rate.</w:t>
      </w:r>
    </w:p>
    <w:p w14:paraId="74B6BFF7" w14:textId="10527461" w:rsidR="008E037F" w:rsidRPr="002B70F9" w:rsidRDefault="00293CAC" w:rsidP="00293CAC">
      <w:pPr>
        <w:pStyle w:val="a0"/>
      </w:pPr>
      <w:r>
        <w:lastRenderedPageBreak/>
        <w:t xml:space="preserve">Table </w:t>
      </w:r>
      <w:r>
        <w:fldChar w:fldCharType="begin"/>
      </w:r>
      <w:r>
        <w:instrText xml:space="preserve"> SEQ Table \* ARABIC </w:instrText>
      </w:r>
      <w:r>
        <w:fldChar w:fldCharType="separate"/>
      </w:r>
      <w:r w:rsidR="004D16C9">
        <w:rPr>
          <w:noProof/>
        </w:rPr>
        <w:t>4</w:t>
      </w:r>
      <w:r>
        <w:fldChar w:fldCharType="end"/>
      </w:r>
      <w:r>
        <w:t xml:space="preserve">. </w:t>
      </w:r>
      <w:r w:rsidR="002B70F9" w:rsidRPr="002B70F9">
        <w:t>Descriptive statistics</w:t>
      </w:r>
    </w:p>
    <w:tbl>
      <w:tblPr>
        <w:tblW w:w="14389" w:type="dxa"/>
        <w:tblLook w:val="04A0" w:firstRow="1" w:lastRow="0" w:firstColumn="1" w:lastColumn="0" w:noHBand="0" w:noVBand="1"/>
      </w:tblPr>
      <w:tblGrid>
        <w:gridCol w:w="1843"/>
        <w:gridCol w:w="441"/>
        <w:gridCol w:w="924"/>
        <w:gridCol w:w="924"/>
        <w:gridCol w:w="924"/>
        <w:gridCol w:w="924"/>
        <w:gridCol w:w="924"/>
        <w:gridCol w:w="924"/>
        <w:gridCol w:w="932"/>
        <w:gridCol w:w="924"/>
        <w:gridCol w:w="924"/>
        <w:gridCol w:w="261"/>
        <w:gridCol w:w="934"/>
        <w:gridCol w:w="1056"/>
        <w:gridCol w:w="1056"/>
        <w:gridCol w:w="1056"/>
      </w:tblGrid>
      <w:tr w:rsidR="001B2726" w:rsidRPr="001B2726" w14:paraId="5DD82B7D" w14:textId="77777777" w:rsidTr="001B2726">
        <w:trPr>
          <w:trHeight w:val="285"/>
        </w:trPr>
        <w:tc>
          <w:tcPr>
            <w:tcW w:w="1843" w:type="dxa"/>
            <w:tcBorders>
              <w:top w:val="single" w:sz="4" w:space="0" w:color="auto"/>
              <w:bottom w:val="single" w:sz="4" w:space="0" w:color="auto"/>
            </w:tcBorders>
            <w:shd w:val="clear" w:color="000000" w:fill="FFFFFF"/>
            <w:noWrap/>
            <w:vAlign w:val="bottom"/>
            <w:hideMark/>
          </w:tcPr>
          <w:p w14:paraId="159775DC"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441" w:type="dxa"/>
            <w:tcBorders>
              <w:top w:val="single" w:sz="4" w:space="0" w:color="auto"/>
              <w:left w:val="nil"/>
              <w:bottom w:val="single" w:sz="4" w:space="0" w:color="auto"/>
              <w:right w:val="double" w:sz="4" w:space="0" w:color="auto"/>
            </w:tcBorders>
            <w:shd w:val="clear" w:color="000000" w:fill="FFFFFF"/>
            <w:noWrap/>
            <w:vAlign w:val="bottom"/>
            <w:hideMark/>
          </w:tcPr>
          <w:p w14:paraId="6E9134C9"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7937" w:type="dxa"/>
            <w:gridSpan w:val="9"/>
            <w:tcBorders>
              <w:top w:val="single" w:sz="4" w:space="0" w:color="auto"/>
              <w:left w:val="double" w:sz="4" w:space="0" w:color="auto"/>
              <w:bottom w:val="single" w:sz="4" w:space="0" w:color="000000"/>
              <w:right w:val="dashSmallGap" w:sz="4" w:space="0" w:color="auto"/>
            </w:tcBorders>
            <w:shd w:val="clear" w:color="000000" w:fill="FFFFFF"/>
            <w:noWrap/>
            <w:vAlign w:val="center"/>
            <w:hideMark/>
          </w:tcPr>
          <w:p w14:paraId="0E886193" w14:textId="554127F6" w:rsidR="00E3317C" w:rsidRPr="00E3317C" w:rsidRDefault="00E3317C" w:rsidP="001B2726">
            <w:pPr>
              <w:spacing w:after="0" w:line="240" w:lineRule="auto"/>
              <w:jc w:val="center"/>
              <w:rPr>
                <w:rFonts w:eastAsia="Times New Roman" w:cs="Times New Roman"/>
                <w:b/>
                <w:bCs/>
                <w:color w:val="000000"/>
                <w:sz w:val="18"/>
                <w:szCs w:val="18"/>
                <w:lang w:eastAsia="ru-RU"/>
              </w:rPr>
            </w:pPr>
            <w:r w:rsidRPr="00E3317C">
              <w:rPr>
                <w:rFonts w:eastAsia="Times New Roman" w:cs="Times New Roman"/>
                <w:b/>
                <w:bCs/>
                <w:color w:val="000000"/>
                <w:sz w:val="18"/>
                <w:szCs w:val="18"/>
                <w:lang w:eastAsia="ru-RU"/>
              </w:rPr>
              <w:t>Negative set</w:t>
            </w:r>
          </w:p>
        </w:tc>
        <w:tc>
          <w:tcPr>
            <w:tcW w:w="258" w:type="dxa"/>
            <w:tcBorders>
              <w:top w:val="nil"/>
              <w:left w:val="dashSmallGap" w:sz="4" w:space="0" w:color="auto"/>
              <w:bottom w:val="nil"/>
              <w:right w:val="dashSmallGap" w:sz="4" w:space="0" w:color="auto"/>
            </w:tcBorders>
            <w:shd w:val="clear" w:color="000000" w:fill="FFFFFF"/>
            <w:noWrap/>
            <w:vAlign w:val="bottom"/>
            <w:hideMark/>
          </w:tcPr>
          <w:p w14:paraId="21140EF5"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3905" w:type="dxa"/>
            <w:gridSpan w:val="4"/>
            <w:tcBorders>
              <w:top w:val="single" w:sz="4" w:space="0" w:color="000000"/>
              <w:left w:val="dashSmallGap" w:sz="4" w:space="0" w:color="auto"/>
              <w:bottom w:val="single" w:sz="4" w:space="0" w:color="000000"/>
            </w:tcBorders>
            <w:shd w:val="clear" w:color="000000" w:fill="FFFFFF"/>
            <w:noWrap/>
            <w:vAlign w:val="center"/>
            <w:hideMark/>
          </w:tcPr>
          <w:p w14:paraId="2880520B" w14:textId="45F321B8" w:rsidR="00E3317C" w:rsidRPr="00E3317C" w:rsidRDefault="00E3317C" w:rsidP="00E3317C">
            <w:pPr>
              <w:spacing w:after="0" w:line="240" w:lineRule="auto"/>
              <w:jc w:val="center"/>
              <w:rPr>
                <w:rFonts w:eastAsia="Times New Roman" w:cs="Times New Roman"/>
                <w:b/>
                <w:bCs/>
                <w:color w:val="000000"/>
                <w:sz w:val="18"/>
                <w:szCs w:val="18"/>
                <w:lang w:eastAsia="ru-RU"/>
              </w:rPr>
            </w:pPr>
            <w:r w:rsidRPr="00E3317C">
              <w:rPr>
                <w:rFonts w:eastAsia="Times New Roman" w:cs="Times New Roman"/>
                <w:b/>
                <w:bCs/>
                <w:color w:val="000000"/>
                <w:sz w:val="18"/>
                <w:szCs w:val="18"/>
                <w:lang w:eastAsia="ru-RU"/>
              </w:rPr>
              <w:t>Reference set</w:t>
            </w:r>
          </w:p>
        </w:tc>
      </w:tr>
      <w:tr w:rsidR="001B2726" w:rsidRPr="001B2726" w14:paraId="5B72A4B8" w14:textId="77777777" w:rsidTr="001B2726">
        <w:trPr>
          <w:trHeight w:val="285"/>
        </w:trPr>
        <w:tc>
          <w:tcPr>
            <w:tcW w:w="1843" w:type="dxa"/>
            <w:tcBorders>
              <w:top w:val="single" w:sz="4" w:space="0" w:color="auto"/>
              <w:bottom w:val="single" w:sz="4" w:space="0" w:color="000000"/>
            </w:tcBorders>
            <w:shd w:val="clear" w:color="000000" w:fill="FFFFFF"/>
            <w:noWrap/>
            <w:vAlign w:val="center"/>
            <w:hideMark/>
          </w:tcPr>
          <w:p w14:paraId="49093CCA"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Underlying FX rate</w:t>
            </w:r>
          </w:p>
        </w:tc>
        <w:tc>
          <w:tcPr>
            <w:tcW w:w="441" w:type="dxa"/>
            <w:tcBorders>
              <w:top w:val="single" w:sz="4" w:space="0" w:color="auto"/>
              <w:left w:val="nil"/>
              <w:bottom w:val="single" w:sz="4" w:space="0" w:color="000000"/>
              <w:right w:val="double" w:sz="4" w:space="0" w:color="auto"/>
            </w:tcBorders>
            <w:shd w:val="clear" w:color="000000" w:fill="FFFFFF"/>
            <w:noWrap/>
            <w:vAlign w:val="bottom"/>
            <w:hideMark/>
          </w:tcPr>
          <w:p w14:paraId="026DFE2F"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881" w:type="dxa"/>
            <w:tcBorders>
              <w:top w:val="nil"/>
              <w:left w:val="double" w:sz="4" w:space="0" w:color="auto"/>
              <w:bottom w:val="single" w:sz="4" w:space="0" w:color="000000"/>
              <w:right w:val="single" w:sz="4" w:space="0" w:color="000000"/>
            </w:tcBorders>
            <w:shd w:val="clear" w:color="000000" w:fill="FFFFFF"/>
            <w:noWrap/>
            <w:vAlign w:val="center"/>
            <w:hideMark/>
          </w:tcPr>
          <w:p w14:paraId="50BCFAA9" w14:textId="77777777" w:rsidR="00E3317C" w:rsidRPr="00E3317C" w:rsidRDefault="00E3317C" w:rsidP="006129C4">
            <w:pPr>
              <w:spacing w:after="0" w:line="240" w:lineRule="auto"/>
              <w:ind w:left="-55" w:right="-95"/>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JPY/USD</w:t>
            </w:r>
          </w:p>
        </w:tc>
        <w:tc>
          <w:tcPr>
            <w:tcW w:w="881" w:type="dxa"/>
            <w:tcBorders>
              <w:top w:val="nil"/>
              <w:left w:val="nil"/>
              <w:bottom w:val="single" w:sz="4" w:space="0" w:color="000000"/>
              <w:right w:val="single" w:sz="4" w:space="0" w:color="000000"/>
            </w:tcBorders>
            <w:shd w:val="clear" w:color="000000" w:fill="FFFFFF"/>
            <w:noWrap/>
            <w:vAlign w:val="center"/>
            <w:hideMark/>
          </w:tcPr>
          <w:p w14:paraId="7CE8F7F7" w14:textId="77777777" w:rsidR="00E3317C" w:rsidRPr="00E3317C" w:rsidRDefault="00E3317C" w:rsidP="006129C4">
            <w:pPr>
              <w:spacing w:after="0" w:line="240" w:lineRule="auto"/>
              <w:ind w:left="-55" w:right="-95"/>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GBP/JPY</w:t>
            </w:r>
          </w:p>
        </w:tc>
        <w:tc>
          <w:tcPr>
            <w:tcW w:w="881" w:type="dxa"/>
            <w:tcBorders>
              <w:top w:val="nil"/>
              <w:left w:val="nil"/>
              <w:bottom w:val="single" w:sz="4" w:space="0" w:color="000000"/>
              <w:right w:val="single" w:sz="4" w:space="0" w:color="000000"/>
            </w:tcBorders>
            <w:shd w:val="clear" w:color="000000" w:fill="FFFFFF"/>
            <w:noWrap/>
            <w:vAlign w:val="center"/>
            <w:hideMark/>
          </w:tcPr>
          <w:p w14:paraId="107DB605" w14:textId="77777777" w:rsidR="00E3317C" w:rsidRPr="00E3317C" w:rsidRDefault="00E3317C" w:rsidP="006129C4">
            <w:pPr>
              <w:spacing w:after="0" w:line="240" w:lineRule="auto"/>
              <w:ind w:left="-55" w:right="-95"/>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CHF/USD</w:t>
            </w:r>
          </w:p>
        </w:tc>
        <w:tc>
          <w:tcPr>
            <w:tcW w:w="881" w:type="dxa"/>
            <w:tcBorders>
              <w:top w:val="nil"/>
              <w:left w:val="nil"/>
              <w:bottom w:val="single" w:sz="4" w:space="0" w:color="000000"/>
              <w:right w:val="single" w:sz="4" w:space="0" w:color="000000"/>
            </w:tcBorders>
            <w:shd w:val="clear" w:color="000000" w:fill="FFFFFF"/>
            <w:noWrap/>
            <w:vAlign w:val="center"/>
            <w:hideMark/>
          </w:tcPr>
          <w:p w14:paraId="41BC97E3" w14:textId="77777777" w:rsidR="00E3317C" w:rsidRPr="00E3317C" w:rsidRDefault="00E3317C" w:rsidP="006129C4">
            <w:pPr>
              <w:spacing w:after="0" w:line="240" w:lineRule="auto"/>
              <w:ind w:left="-55" w:right="-95"/>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EUR/CHF</w:t>
            </w:r>
          </w:p>
        </w:tc>
        <w:tc>
          <w:tcPr>
            <w:tcW w:w="881" w:type="dxa"/>
            <w:tcBorders>
              <w:top w:val="nil"/>
              <w:left w:val="nil"/>
              <w:bottom w:val="single" w:sz="4" w:space="0" w:color="000000"/>
              <w:right w:val="single" w:sz="4" w:space="0" w:color="000000"/>
            </w:tcBorders>
            <w:shd w:val="clear" w:color="000000" w:fill="FFFFFF"/>
            <w:noWrap/>
            <w:vAlign w:val="center"/>
            <w:hideMark/>
          </w:tcPr>
          <w:p w14:paraId="7B1BB089" w14:textId="77777777" w:rsidR="00E3317C" w:rsidRPr="00E3317C" w:rsidRDefault="00E3317C" w:rsidP="006129C4">
            <w:pPr>
              <w:spacing w:after="0" w:line="240" w:lineRule="auto"/>
              <w:ind w:left="-55" w:right="-95"/>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EUR/JPY</w:t>
            </w:r>
          </w:p>
        </w:tc>
        <w:tc>
          <w:tcPr>
            <w:tcW w:w="881" w:type="dxa"/>
            <w:tcBorders>
              <w:top w:val="nil"/>
              <w:left w:val="nil"/>
              <w:bottom w:val="single" w:sz="4" w:space="0" w:color="000000"/>
              <w:right w:val="single" w:sz="4" w:space="0" w:color="000000"/>
            </w:tcBorders>
            <w:shd w:val="clear" w:color="000000" w:fill="FFFFFF"/>
            <w:noWrap/>
            <w:vAlign w:val="center"/>
            <w:hideMark/>
          </w:tcPr>
          <w:p w14:paraId="70506623" w14:textId="77777777" w:rsidR="00E3317C" w:rsidRPr="00E3317C" w:rsidRDefault="00E3317C" w:rsidP="006129C4">
            <w:pPr>
              <w:spacing w:after="0" w:line="240" w:lineRule="auto"/>
              <w:ind w:left="-55" w:right="-95"/>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AUD/JPY</w:t>
            </w:r>
          </w:p>
        </w:tc>
        <w:tc>
          <w:tcPr>
            <w:tcW w:w="889" w:type="dxa"/>
            <w:tcBorders>
              <w:top w:val="nil"/>
              <w:left w:val="nil"/>
              <w:bottom w:val="single" w:sz="4" w:space="0" w:color="000000"/>
              <w:right w:val="single" w:sz="4" w:space="0" w:color="000000"/>
            </w:tcBorders>
            <w:shd w:val="clear" w:color="000000" w:fill="FFFFFF"/>
            <w:noWrap/>
            <w:vAlign w:val="center"/>
            <w:hideMark/>
          </w:tcPr>
          <w:p w14:paraId="576B3BFB" w14:textId="77777777" w:rsidR="00E3317C" w:rsidRPr="00E3317C" w:rsidRDefault="00E3317C" w:rsidP="006129C4">
            <w:pPr>
              <w:spacing w:after="0" w:line="240" w:lineRule="auto"/>
              <w:ind w:left="-55" w:right="-95"/>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EUR/USD</w:t>
            </w:r>
          </w:p>
        </w:tc>
        <w:tc>
          <w:tcPr>
            <w:tcW w:w="881" w:type="dxa"/>
            <w:tcBorders>
              <w:top w:val="nil"/>
              <w:left w:val="nil"/>
              <w:bottom w:val="single" w:sz="4" w:space="0" w:color="000000"/>
              <w:right w:val="single" w:sz="4" w:space="0" w:color="000000"/>
            </w:tcBorders>
            <w:shd w:val="clear" w:color="000000" w:fill="FFFFFF"/>
            <w:noWrap/>
            <w:vAlign w:val="center"/>
            <w:hideMark/>
          </w:tcPr>
          <w:p w14:paraId="47E90258" w14:textId="77777777" w:rsidR="00E3317C" w:rsidRPr="00E3317C" w:rsidRDefault="00E3317C" w:rsidP="006129C4">
            <w:pPr>
              <w:spacing w:after="0" w:line="240" w:lineRule="auto"/>
              <w:ind w:left="-55" w:right="-95"/>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EUR/GBP</w:t>
            </w:r>
          </w:p>
        </w:tc>
        <w:tc>
          <w:tcPr>
            <w:tcW w:w="881" w:type="dxa"/>
            <w:tcBorders>
              <w:top w:val="nil"/>
              <w:left w:val="nil"/>
              <w:bottom w:val="single" w:sz="4" w:space="0" w:color="000000"/>
              <w:right w:val="dashSmallGap" w:sz="4" w:space="0" w:color="auto"/>
            </w:tcBorders>
            <w:shd w:val="clear" w:color="000000" w:fill="FFFFFF"/>
            <w:noWrap/>
            <w:vAlign w:val="center"/>
            <w:hideMark/>
          </w:tcPr>
          <w:p w14:paraId="510BD4F7" w14:textId="77777777" w:rsidR="00E3317C" w:rsidRPr="00E3317C" w:rsidRDefault="00E3317C" w:rsidP="006129C4">
            <w:pPr>
              <w:spacing w:after="0" w:line="240" w:lineRule="auto"/>
              <w:ind w:left="-55" w:right="-95"/>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GBP/CHF</w:t>
            </w:r>
          </w:p>
        </w:tc>
        <w:tc>
          <w:tcPr>
            <w:tcW w:w="258" w:type="dxa"/>
            <w:tcBorders>
              <w:top w:val="nil"/>
              <w:left w:val="dashSmallGap" w:sz="4" w:space="0" w:color="auto"/>
              <w:right w:val="dashSmallGap" w:sz="4" w:space="0" w:color="auto"/>
            </w:tcBorders>
            <w:shd w:val="clear" w:color="000000" w:fill="FFFFFF"/>
            <w:noWrap/>
            <w:vAlign w:val="bottom"/>
            <w:hideMark/>
          </w:tcPr>
          <w:p w14:paraId="4DF5F041"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890" w:type="dxa"/>
            <w:tcBorders>
              <w:top w:val="nil"/>
              <w:left w:val="dashSmallGap" w:sz="4" w:space="0" w:color="auto"/>
              <w:bottom w:val="single" w:sz="4" w:space="0" w:color="000000"/>
              <w:right w:val="single" w:sz="4" w:space="0" w:color="000000"/>
            </w:tcBorders>
            <w:shd w:val="clear" w:color="000000" w:fill="FFFFFF"/>
            <w:noWrap/>
            <w:vAlign w:val="center"/>
            <w:hideMark/>
          </w:tcPr>
          <w:p w14:paraId="6F0ED65C" w14:textId="77777777" w:rsidR="00E3317C" w:rsidRPr="00E3317C" w:rsidRDefault="00E3317C" w:rsidP="006129C4">
            <w:pPr>
              <w:spacing w:after="0" w:line="240" w:lineRule="auto"/>
              <w:ind w:left="-63" w:right="-128"/>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RUB/USD</w:t>
            </w:r>
          </w:p>
        </w:tc>
        <w:tc>
          <w:tcPr>
            <w:tcW w:w="1005" w:type="dxa"/>
            <w:tcBorders>
              <w:top w:val="nil"/>
              <w:left w:val="nil"/>
              <w:bottom w:val="single" w:sz="4" w:space="0" w:color="000000"/>
              <w:right w:val="single" w:sz="4" w:space="0" w:color="000000"/>
            </w:tcBorders>
            <w:shd w:val="clear" w:color="000000" w:fill="FFFFFF"/>
            <w:noWrap/>
            <w:vAlign w:val="center"/>
            <w:hideMark/>
          </w:tcPr>
          <w:p w14:paraId="27428514" w14:textId="77777777" w:rsidR="00E3317C" w:rsidRPr="00E3317C" w:rsidRDefault="00E3317C" w:rsidP="006129C4">
            <w:pPr>
              <w:spacing w:after="0" w:line="240" w:lineRule="auto"/>
              <w:ind w:left="-63" w:right="-128"/>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AUD/USD</w:t>
            </w:r>
          </w:p>
        </w:tc>
        <w:tc>
          <w:tcPr>
            <w:tcW w:w="1005" w:type="dxa"/>
            <w:tcBorders>
              <w:top w:val="nil"/>
              <w:left w:val="nil"/>
              <w:bottom w:val="single" w:sz="4" w:space="0" w:color="000000"/>
              <w:right w:val="single" w:sz="4" w:space="0" w:color="000000"/>
            </w:tcBorders>
            <w:shd w:val="clear" w:color="000000" w:fill="FFFFFF"/>
            <w:noWrap/>
            <w:vAlign w:val="center"/>
            <w:hideMark/>
          </w:tcPr>
          <w:p w14:paraId="3DF81B45" w14:textId="77777777" w:rsidR="00E3317C" w:rsidRPr="00E3317C" w:rsidRDefault="00E3317C" w:rsidP="006129C4">
            <w:pPr>
              <w:spacing w:after="0" w:line="240" w:lineRule="auto"/>
              <w:ind w:left="-63" w:right="-128"/>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CAD/USD</w:t>
            </w:r>
          </w:p>
        </w:tc>
        <w:tc>
          <w:tcPr>
            <w:tcW w:w="1005" w:type="dxa"/>
            <w:tcBorders>
              <w:top w:val="nil"/>
              <w:left w:val="nil"/>
              <w:bottom w:val="single" w:sz="4" w:space="0" w:color="000000"/>
            </w:tcBorders>
            <w:shd w:val="clear" w:color="000000" w:fill="FFFFFF"/>
            <w:noWrap/>
            <w:vAlign w:val="center"/>
            <w:hideMark/>
          </w:tcPr>
          <w:p w14:paraId="723AF916" w14:textId="77777777" w:rsidR="00E3317C" w:rsidRPr="00E3317C" w:rsidRDefault="00E3317C" w:rsidP="006129C4">
            <w:pPr>
              <w:spacing w:after="0" w:line="240" w:lineRule="auto"/>
              <w:ind w:left="-63" w:right="-128"/>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GBP/USD</w:t>
            </w:r>
          </w:p>
        </w:tc>
      </w:tr>
      <w:tr w:rsidR="001B2726" w:rsidRPr="001B2726" w14:paraId="1D22E77D" w14:textId="77777777" w:rsidTr="001B2726">
        <w:trPr>
          <w:trHeight w:val="285"/>
        </w:trPr>
        <w:tc>
          <w:tcPr>
            <w:tcW w:w="1843" w:type="dxa"/>
            <w:tcBorders>
              <w:top w:val="single" w:sz="4" w:space="0" w:color="000000"/>
              <w:bottom w:val="nil"/>
            </w:tcBorders>
            <w:shd w:val="clear" w:color="000000" w:fill="FFFFFF"/>
            <w:noWrap/>
            <w:vAlign w:val="center"/>
            <w:hideMark/>
          </w:tcPr>
          <w:p w14:paraId="58261E0E"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FX future settlement</w:t>
            </w:r>
          </w:p>
        </w:tc>
        <w:tc>
          <w:tcPr>
            <w:tcW w:w="441" w:type="dxa"/>
            <w:tcBorders>
              <w:top w:val="nil"/>
              <w:left w:val="nil"/>
              <w:bottom w:val="nil"/>
              <w:right w:val="double" w:sz="4" w:space="0" w:color="auto"/>
            </w:tcBorders>
            <w:shd w:val="clear" w:color="000000" w:fill="FFFFFF"/>
            <w:noWrap/>
            <w:vAlign w:val="bottom"/>
            <w:hideMark/>
          </w:tcPr>
          <w:p w14:paraId="495BD88D"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881" w:type="dxa"/>
            <w:tcBorders>
              <w:top w:val="nil"/>
              <w:left w:val="double" w:sz="4" w:space="0" w:color="auto"/>
              <w:bottom w:val="nil"/>
              <w:right w:val="single" w:sz="4" w:space="0" w:color="000000"/>
            </w:tcBorders>
            <w:shd w:val="clear" w:color="000000" w:fill="FFFFFF"/>
            <w:noWrap/>
            <w:vAlign w:val="center"/>
            <w:hideMark/>
          </w:tcPr>
          <w:p w14:paraId="638F6E6A" w14:textId="77777777" w:rsidR="00E3317C" w:rsidRPr="00E3317C" w:rsidRDefault="00E3317C" w:rsidP="006129C4">
            <w:pPr>
              <w:spacing w:after="0" w:line="240" w:lineRule="auto"/>
              <w:ind w:left="-132" w:right="-12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Deliverable</w:t>
            </w:r>
          </w:p>
        </w:tc>
        <w:tc>
          <w:tcPr>
            <w:tcW w:w="881" w:type="dxa"/>
            <w:tcBorders>
              <w:top w:val="nil"/>
              <w:left w:val="nil"/>
              <w:bottom w:val="nil"/>
              <w:right w:val="single" w:sz="4" w:space="0" w:color="000000"/>
            </w:tcBorders>
            <w:shd w:val="clear" w:color="000000" w:fill="FFFFFF"/>
            <w:noWrap/>
            <w:vAlign w:val="center"/>
            <w:hideMark/>
          </w:tcPr>
          <w:p w14:paraId="108BC681" w14:textId="77777777" w:rsidR="00E3317C" w:rsidRPr="00E3317C" w:rsidRDefault="00E3317C" w:rsidP="006129C4">
            <w:pPr>
              <w:spacing w:after="0" w:line="240" w:lineRule="auto"/>
              <w:ind w:left="-132" w:right="-12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Deliverable</w:t>
            </w:r>
          </w:p>
        </w:tc>
        <w:tc>
          <w:tcPr>
            <w:tcW w:w="881" w:type="dxa"/>
            <w:tcBorders>
              <w:top w:val="nil"/>
              <w:left w:val="nil"/>
              <w:bottom w:val="nil"/>
              <w:right w:val="single" w:sz="4" w:space="0" w:color="000000"/>
            </w:tcBorders>
            <w:shd w:val="clear" w:color="000000" w:fill="FFFFFF"/>
            <w:noWrap/>
            <w:vAlign w:val="center"/>
            <w:hideMark/>
          </w:tcPr>
          <w:p w14:paraId="5D4B0F37" w14:textId="77777777" w:rsidR="00E3317C" w:rsidRPr="00E3317C" w:rsidRDefault="00E3317C" w:rsidP="006129C4">
            <w:pPr>
              <w:spacing w:after="0" w:line="240" w:lineRule="auto"/>
              <w:ind w:left="-132" w:right="-12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Deliverable</w:t>
            </w:r>
          </w:p>
        </w:tc>
        <w:tc>
          <w:tcPr>
            <w:tcW w:w="881" w:type="dxa"/>
            <w:tcBorders>
              <w:top w:val="nil"/>
              <w:left w:val="nil"/>
              <w:bottom w:val="nil"/>
              <w:right w:val="single" w:sz="4" w:space="0" w:color="000000"/>
            </w:tcBorders>
            <w:shd w:val="clear" w:color="000000" w:fill="FFFFFF"/>
            <w:noWrap/>
            <w:vAlign w:val="center"/>
            <w:hideMark/>
          </w:tcPr>
          <w:p w14:paraId="23938E58" w14:textId="77777777" w:rsidR="00E3317C" w:rsidRPr="00E3317C" w:rsidRDefault="00E3317C" w:rsidP="006129C4">
            <w:pPr>
              <w:spacing w:after="0" w:line="240" w:lineRule="auto"/>
              <w:ind w:left="-132" w:right="-12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Deliverable</w:t>
            </w:r>
          </w:p>
        </w:tc>
        <w:tc>
          <w:tcPr>
            <w:tcW w:w="881" w:type="dxa"/>
            <w:tcBorders>
              <w:top w:val="nil"/>
              <w:left w:val="nil"/>
              <w:bottom w:val="nil"/>
              <w:right w:val="single" w:sz="4" w:space="0" w:color="000000"/>
            </w:tcBorders>
            <w:shd w:val="clear" w:color="000000" w:fill="FFFFFF"/>
            <w:noWrap/>
            <w:vAlign w:val="center"/>
            <w:hideMark/>
          </w:tcPr>
          <w:p w14:paraId="6EC885E1" w14:textId="77777777" w:rsidR="00E3317C" w:rsidRPr="00E3317C" w:rsidRDefault="00E3317C" w:rsidP="006129C4">
            <w:pPr>
              <w:spacing w:after="0" w:line="240" w:lineRule="auto"/>
              <w:ind w:left="-132" w:right="-12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Deliverable</w:t>
            </w:r>
          </w:p>
        </w:tc>
        <w:tc>
          <w:tcPr>
            <w:tcW w:w="881" w:type="dxa"/>
            <w:tcBorders>
              <w:top w:val="nil"/>
              <w:left w:val="nil"/>
              <w:bottom w:val="nil"/>
              <w:right w:val="single" w:sz="4" w:space="0" w:color="000000"/>
            </w:tcBorders>
            <w:shd w:val="clear" w:color="000000" w:fill="FFFFFF"/>
            <w:noWrap/>
            <w:vAlign w:val="center"/>
            <w:hideMark/>
          </w:tcPr>
          <w:p w14:paraId="1DC5069F" w14:textId="77777777" w:rsidR="00E3317C" w:rsidRPr="00E3317C" w:rsidRDefault="00E3317C" w:rsidP="006129C4">
            <w:pPr>
              <w:spacing w:after="0" w:line="240" w:lineRule="auto"/>
              <w:ind w:left="-132" w:right="-12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Deliverable</w:t>
            </w:r>
          </w:p>
        </w:tc>
        <w:tc>
          <w:tcPr>
            <w:tcW w:w="889" w:type="dxa"/>
            <w:tcBorders>
              <w:top w:val="nil"/>
              <w:left w:val="nil"/>
              <w:bottom w:val="nil"/>
              <w:right w:val="single" w:sz="4" w:space="0" w:color="000000"/>
            </w:tcBorders>
            <w:shd w:val="clear" w:color="000000" w:fill="FFFFFF"/>
            <w:noWrap/>
            <w:vAlign w:val="center"/>
            <w:hideMark/>
          </w:tcPr>
          <w:p w14:paraId="2A9BBB3C" w14:textId="77777777" w:rsidR="00E3317C" w:rsidRPr="00E3317C" w:rsidRDefault="00E3317C" w:rsidP="006129C4">
            <w:pPr>
              <w:spacing w:after="0" w:line="240" w:lineRule="auto"/>
              <w:ind w:left="-132" w:right="-12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Deliverable</w:t>
            </w:r>
          </w:p>
        </w:tc>
        <w:tc>
          <w:tcPr>
            <w:tcW w:w="881" w:type="dxa"/>
            <w:tcBorders>
              <w:top w:val="nil"/>
              <w:left w:val="nil"/>
              <w:bottom w:val="nil"/>
              <w:right w:val="single" w:sz="4" w:space="0" w:color="000000"/>
            </w:tcBorders>
            <w:shd w:val="clear" w:color="000000" w:fill="FFFFFF"/>
            <w:noWrap/>
            <w:vAlign w:val="center"/>
            <w:hideMark/>
          </w:tcPr>
          <w:p w14:paraId="336AAC7D" w14:textId="77777777" w:rsidR="00E3317C" w:rsidRPr="00E3317C" w:rsidRDefault="00E3317C" w:rsidP="006129C4">
            <w:pPr>
              <w:spacing w:after="0" w:line="240" w:lineRule="auto"/>
              <w:ind w:left="-132" w:right="-12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Deliverable</w:t>
            </w:r>
          </w:p>
        </w:tc>
        <w:tc>
          <w:tcPr>
            <w:tcW w:w="881" w:type="dxa"/>
            <w:tcBorders>
              <w:top w:val="single" w:sz="4" w:space="0" w:color="000000"/>
              <w:left w:val="nil"/>
              <w:bottom w:val="single" w:sz="4" w:space="0" w:color="000000"/>
              <w:right w:val="dashSmallGap" w:sz="4" w:space="0" w:color="auto"/>
            </w:tcBorders>
            <w:shd w:val="clear" w:color="000000" w:fill="FFFFFF"/>
            <w:noWrap/>
            <w:vAlign w:val="center"/>
            <w:hideMark/>
          </w:tcPr>
          <w:p w14:paraId="1E67FA06" w14:textId="77777777" w:rsidR="00E3317C" w:rsidRPr="00E3317C" w:rsidRDefault="00E3317C" w:rsidP="006129C4">
            <w:pPr>
              <w:spacing w:after="0" w:line="240" w:lineRule="auto"/>
              <w:ind w:left="-132" w:right="-12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Deliverable</w:t>
            </w:r>
          </w:p>
        </w:tc>
        <w:tc>
          <w:tcPr>
            <w:tcW w:w="258" w:type="dxa"/>
            <w:tcBorders>
              <w:top w:val="nil"/>
              <w:left w:val="dashSmallGap" w:sz="4" w:space="0" w:color="auto"/>
              <w:bottom w:val="nil"/>
              <w:right w:val="dashSmallGap" w:sz="4" w:space="0" w:color="auto"/>
            </w:tcBorders>
            <w:shd w:val="clear" w:color="000000" w:fill="FFFFFF"/>
            <w:noWrap/>
            <w:vAlign w:val="bottom"/>
            <w:hideMark/>
          </w:tcPr>
          <w:p w14:paraId="15EF7E04"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890" w:type="dxa"/>
            <w:tcBorders>
              <w:top w:val="single" w:sz="4" w:space="0" w:color="000000"/>
              <w:left w:val="dashSmallGap" w:sz="4" w:space="0" w:color="auto"/>
              <w:bottom w:val="single" w:sz="4" w:space="0" w:color="000000"/>
              <w:right w:val="single" w:sz="4" w:space="0" w:color="000000"/>
            </w:tcBorders>
            <w:shd w:val="clear" w:color="000000" w:fill="FFFFFF"/>
            <w:noWrap/>
            <w:vAlign w:val="center"/>
            <w:hideMark/>
          </w:tcPr>
          <w:p w14:paraId="1FC21E05" w14:textId="77777777" w:rsidR="00E3317C" w:rsidRPr="00E3317C" w:rsidRDefault="00E3317C" w:rsidP="006129C4">
            <w:pPr>
              <w:spacing w:after="0" w:line="240" w:lineRule="auto"/>
              <w:ind w:right="-11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Financial</w:t>
            </w:r>
          </w:p>
        </w:tc>
        <w:tc>
          <w:tcPr>
            <w:tcW w:w="1005" w:type="dxa"/>
            <w:tcBorders>
              <w:top w:val="nil"/>
              <w:left w:val="nil"/>
              <w:bottom w:val="nil"/>
              <w:right w:val="single" w:sz="4" w:space="0" w:color="000000"/>
            </w:tcBorders>
            <w:shd w:val="clear" w:color="000000" w:fill="FFFFFF"/>
            <w:noWrap/>
            <w:vAlign w:val="center"/>
            <w:hideMark/>
          </w:tcPr>
          <w:p w14:paraId="750672FD" w14:textId="77777777" w:rsidR="00E3317C" w:rsidRPr="00E3317C" w:rsidRDefault="00E3317C" w:rsidP="006129C4">
            <w:pPr>
              <w:spacing w:after="0" w:line="240" w:lineRule="auto"/>
              <w:ind w:right="-11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Deliverable</w:t>
            </w:r>
          </w:p>
        </w:tc>
        <w:tc>
          <w:tcPr>
            <w:tcW w:w="1005" w:type="dxa"/>
            <w:tcBorders>
              <w:top w:val="nil"/>
              <w:left w:val="nil"/>
              <w:bottom w:val="nil"/>
              <w:right w:val="single" w:sz="4" w:space="0" w:color="000000"/>
            </w:tcBorders>
            <w:shd w:val="clear" w:color="000000" w:fill="FFFFFF"/>
            <w:noWrap/>
            <w:vAlign w:val="center"/>
            <w:hideMark/>
          </w:tcPr>
          <w:p w14:paraId="13765790" w14:textId="77777777" w:rsidR="00E3317C" w:rsidRPr="00E3317C" w:rsidRDefault="00E3317C" w:rsidP="006129C4">
            <w:pPr>
              <w:spacing w:after="0" w:line="240" w:lineRule="auto"/>
              <w:ind w:right="-11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Deliverable</w:t>
            </w:r>
          </w:p>
        </w:tc>
        <w:tc>
          <w:tcPr>
            <w:tcW w:w="1005" w:type="dxa"/>
            <w:tcBorders>
              <w:top w:val="nil"/>
              <w:left w:val="nil"/>
              <w:bottom w:val="nil"/>
            </w:tcBorders>
            <w:shd w:val="clear" w:color="000000" w:fill="FFFFFF"/>
            <w:noWrap/>
            <w:vAlign w:val="center"/>
            <w:hideMark/>
          </w:tcPr>
          <w:p w14:paraId="3E09E855" w14:textId="77777777" w:rsidR="00E3317C" w:rsidRPr="00E3317C" w:rsidRDefault="00E3317C" w:rsidP="006129C4">
            <w:pPr>
              <w:spacing w:after="0" w:line="240" w:lineRule="auto"/>
              <w:ind w:right="-11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Deliverable</w:t>
            </w:r>
          </w:p>
        </w:tc>
      </w:tr>
      <w:tr w:rsidR="00E3317C" w:rsidRPr="001B2726" w14:paraId="4833ED00" w14:textId="77777777" w:rsidTr="001B2726">
        <w:trPr>
          <w:trHeight w:val="285"/>
        </w:trPr>
        <w:tc>
          <w:tcPr>
            <w:tcW w:w="14389" w:type="dxa"/>
            <w:gridSpan w:val="16"/>
            <w:tcBorders>
              <w:top w:val="single" w:sz="4" w:space="0" w:color="000000"/>
              <w:left w:val="nil"/>
              <w:bottom w:val="single" w:sz="4" w:space="0" w:color="auto"/>
              <w:right w:val="nil"/>
            </w:tcBorders>
            <w:shd w:val="clear" w:color="000000" w:fill="FFFFFF"/>
            <w:noWrap/>
            <w:vAlign w:val="center"/>
            <w:hideMark/>
          </w:tcPr>
          <w:p w14:paraId="0B33403C" w14:textId="50A8D6FB" w:rsidR="00E3317C" w:rsidRPr="00E3317C" w:rsidRDefault="00E3317C" w:rsidP="00E3317C">
            <w:pPr>
              <w:spacing w:after="0" w:line="240" w:lineRule="auto"/>
              <w:jc w:val="center"/>
              <w:rPr>
                <w:rFonts w:eastAsia="Times New Roman" w:cs="Times New Roman"/>
                <w:b/>
                <w:bCs/>
                <w:color w:val="000000"/>
                <w:sz w:val="18"/>
                <w:szCs w:val="18"/>
                <w:lang w:eastAsia="ru-RU"/>
              </w:rPr>
            </w:pPr>
            <w:r w:rsidRPr="00E3317C">
              <w:rPr>
                <w:rFonts w:eastAsia="Times New Roman" w:cs="Times New Roman"/>
                <w:b/>
                <w:bCs/>
                <w:color w:val="000000"/>
                <w:sz w:val="18"/>
                <w:szCs w:val="18"/>
                <w:lang w:eastAsia="ru-RU"/>
              </w:rPr>
              <w:t>№ of observations</w:t>
            </w:r>
          </w:p>
        </w:tc>
      </w:tr>
      <w:tr w:rsidR="001B2726" w:rsidRPr="001B2726" w14:paraId="044C2B3C" w14:textId="77777777" w:rsidTr="001B2726">
        <w:trPr>
          <w:trHeight w:val="285"/>
        </w:trPr>
        <w:tc>
          <w:tcPr>
            <w:tcW w:w="1843" w:type="dxa"/>
            <w:tcBorders>
              <w:top w:val="single" w:sz="4" w:space="0" w:color="auto"/>
              <w:bottom w:val="single" w:sz="4" w:space="0" w:color="000000"/>
              <w:right w:val="nil"/>
            </w:tcBorders>
            <w:shd w:val="clear" w:color="000000" w:fill="FFFFFF"/>
            <w:noWrap/>
            <w:vAlign w:val="center"/>
            <w:hideMark/>
          </w:tcPr>
          <w:p w14:paraId="0B18037A" w14:textId="02588B4E" w:rsidR="00E3317C" w:rsidRPr="00E3317C" w:rsidRDefault="00E3317C" w:rsidP="00E3317C">
            <w:pPr>
              <w:spacing w:after="0" w:line="240" w:lineRule="auto"/>
              <w:jc w:val="left"/>
              <w:rPr>
                <w:rFonts w:eastAsia="Times New Roman" w:cs="Times New Roman"/>
                <w:i/>
                <w:iCs/>
                <w:color w:val="000000"/>
                <w:sz w:val="18"/>
                <w:szCs w:val="18"/>
                <w:lang w:eastAsia="ru-RU"/>
              </w:rPr>
            </w:pPr>
            <w:r w:rsidRPr="001B2726">
              <w:rPr>
                <w:rFonts w:eastAsia="Times New Roman" w:cs="Times New Roman"/>
                <w:i/>
                <w:iCs/>
                <w:color w:val="000000"/>
                <w:sz w:val="18"/>
                <w:szCs w:val="18"/>
                <w:lang w:val="en-US" w:eastAsia="ru-RU"/>
              </w:rPr>
              <w:t xml:space="preserve">     </w:t>
            </w:r>
            <w:r w:rsidRPr="00E3317C">
              <w:rPr>
                <w:rFonts w:eastAsia="Times New Roman" w:cs="Times New Roman"/>
                <w:i/>
                <w:iCs/>
                <w:color w:val="000000"/>
                <w:sz w:val="18"/>
                <w:szCs w:val="18"/>
                <w:lang w:eastAsia="ru-RU"/>
              </w:rPr>
              <w:t>in days</w:t>
            </w:r>
          </w:p>
        </w:tc>
        <w:tc>
          <w:tcPr>
            <w:tcW w:w="441" w:type="dxa"/>
            <w:tcBorders>
              <w:top w:val="nil"/>
              <w:left w:val="single" w:sz="4" w:space="0" w:color="000000"/>
              <w:bottom w:val="single" w:sz="4" w:space="0" w:color="000000"/>
              <w:right w:val="double" w:sz="4" w:space="0" w:color="auto"/>
            </w:tcBorders>
            <w:shd w:val="clear" w:color="000000" w:fill="FFFFFF"/>
            <w:noWrap/>
            <w:vAlign w:val="center"/>
            <w:hideMark/>
          </w:tcPr>
          <w:p w14:paraId="334A1711" w14:textId="77777777" w:rsidR="00E3317C" w:rsidRPr="00E3317C" w:rsidRDefault="00E3317C" w:rsidP="006129C4">
            <w:pPr>
              <w:spacing w:after="0" w:line="240" w:lineRule="auto"/>
              <w:ind w:left="-71" w:right="-30"/>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w:t>
            </w:r>
          </w:p>
        </w:tc>
        <w:tc>
          <w:tcPr>
            <w:tcW w:w="881" w:type="dxa"/>
            <w:tcBorders>
              <w:top w:val="nil"/>
              <w:left w:val="double" w:sz="4" w:space="0" w:color="auto"/>
              <w:bottom w:val="single" w:sz="4" w:space="0" w:color="000000"/>
              <w:right w:val="single" w:sz="4" w:space="0" w:color="000000"/>
            </w:tcBorders>
            <w:shd w:val="clear" w:color="000000" w:fill="FFFFFF"/>
            <w:noWrap/>
            <w:vAlign w:val="center"/>
            <w:hideMark/>
          </w:tcPr>
          <w:p w14:paraId="3C63C669"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286</w:t>
            </w:r>
          </w:p>
        </w:tc>
        <w:tc>
          <w:tcPr>
            <w:tcW w:w="881" w:type="dxa"/>
            <w:tcBorders>
              <w:top w:val="nil"/>
              <w:left w:val="nil"/>
              <w:bottom w:val="single" w:sz="4" w:space="0" w:color="000000"/>
              <w:right w:val="single" w:sz="4" w:space="0" w:color="000000"/>
            </w:tcBorders>
            <w:shd w:val="clear" w:color="000000" w:fill="FFFFFF"/>
            <w:noWrap/>
            <w:vAlign w:val="center"/>
            <w:hideMark/>
          </w:tcPr>
          <w:p w14:paraId="5ABF7ED0"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271</w:t>
            </w:r>
          </w:p>
        </w:tc>
        <w:tc>
          <w:tcPr>
            <w:tcW w:w="881" w:type="dxa"/>
            <w:tcBorders>
              <w:top w:val="nil"/>
              <w:left w:val="nil"/>
              <w:bottom w:val="single" w:sz="4" w:space="0" w:color="000000"/>
              <w:right w:val="single" w:sz="4" w:space="0" w:color="000000"/>
            </w:tcBorders>
            <w:shd w:val="clear" w:color="000000" w:fill="FFFFFF"/>
            <w:noWrap/>
            <w:vAlign w:val="center"/>
            <w:hideMark/>
          </w:tcPr>
          <w:p w14:paraId="7F70D523"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286</w:t>
            </w:r>
          </w:p>
        </w:tc>
        <w:tc>
          <w:tcPr>
            <w:tcW w:w="881" w:type="dxa"/>
            <w:tcBorders>
              <w:top w:val="nil"/>
              <w:left w:val="nil"/>
              <w:bottom w:val="single" w:sz="4" w:space="0" w:color="000000"/>
              <w:right w:val="single" w:sz="4" w:space="0" w:color="000000"/>
            </w:tcBorders>
            <w:shd w:val="clear" w:color="000000" w:fill="FFFFFF"/>
            <w:noWrap/>
            <w:vAlign w:val="center"/>
            <w:hideMark/>
          </w:tcPr>
          <w:p w14:paraId="26ADAF48"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280</w:t>
            </w:r>
          </w:p>
        </w:tc>
        <w:tc>
          <w:tcPr>
            <w:tcW w:w="881" w:type="dxa"/>
            <w:tcBorders>
              <w:top w:val="nil"/>
              <w:left w:val="nil"/>
              <w:bottom w:val="single" w:sz="4" w:space="0" w:color="000000"/>
              <w:right w:val="single" w:sz="4" w:space="0" w:color="000000"/>
            </w:tcBorders>
            <w:shd w:val="clear" w:color="000000" w:fill="FFFFFF"/>
            <w:noWrap/>
            <w:vAlign w:val="center"/>
            <w:hideMark/>
          </w:tcPr>
          <w:p w14:paraId="702A1187"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280</w:t>
            </w:r>
          </w:p>
        </w:tc>
        <w:tc>
          <w:tcPr>
            <w:tcW w:w="881" w:type="dxa"/>
            <w:tcBorders>
              <w:top w:val="nil"/>
              <w:left w:val="nil"/>
              <w:bottom w:val="single" w:sz="4" w:space="0" w:color="000000"/>
              <w:right w:val="single" w:sz="4" w:space="0" w:color="000000"/>
            </w:tcBorders>
            <w:shd w:val="clear" w:color="000000" w:fill="FFFFFF"/>
            <w:noWrap/>
            <w:vAlign w:val="center"/>
            <w:hideMark/>
          </w:tcPr>
          <w:p w14:paraId="18EF66F9"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258</w:t>
            </w:r>
          </w:p>
        </w:tc>
        <w:tc>
          <w:tcPr>
            <w:tcW w:w="889" w:type="dxa"/>
            <w:tcBorders>
              <w:top w:val="nil"/>
              <w:left w:val="nil"/>
              <w:bottom w:val="single" w:sz="4" w:space="0" w:color="000000"/>
              <w:right w:val="single" w:sz="4" w:space="0" w:color="000000"/>
            </w:tcBorders>
            <w:shd w:val="clear" w:color="000000" w:fill="FFFFFF"/>
            <w:noWrap/>
            <w:vAlign w:val="center"/>
            <w:hideMark/>
          </w:tcPr>
          <w:p w14:paraId="334E2CE8"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180</w:t>
            </w:r>
          </w:p>
        </w:tc>
        <w:tc>
          <w:tcPr>
            <w:tcW w:w="881" w:type="dxa"/>
            <w:tcBorders>
              <w:top w:val="nil"/>
              <w:left w:val="nil"/>
              <w:bottom w:val="single" w:sz="4" w:space="0" w:color="000000"/>
              <w:right w:val="single" w:sz="4" w:space="0" w:color="000000"/>
            </w:tcBorders>
            <w:shd w:val="clear" w:color="000000" w:fill="FFFFFF"/>
            <w:noWrap/>
            <w:vAlign w:val="center"/>
            <w:hideMark/>
          </w:tcPr>
          <w:p w14:paraId="591DA0F0"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180</w:t>
            </w:r>
          </w:p>
        </w:tc>
        <w:tc>
          <w:tcPr>
            <w:tcW w:w="881" w:type="dxa"/>
            <w:tcBorders>
              <w:top w:val="nil"/>
              <w:left w:val="nil"/>
              <w:bottom w:val="single" w:sz="4" w:space="0" w:color="000000"/>
              <w:right w:val="dashSmallGap" w:sz="4" w:space="0" w:color="auto"/>
            </w:tcBorders>
            <w:shd w:val="clear" w:color="000000" w:fill="FFFFFF"/>
            <w:noWrap/>
            <w:vAlign w:val="center"/>
            <w:hideMark/>
          </w:tcPr>
          <w:p w14:paraId="60B3FD2A"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177</w:t>
            </w:r>
          </w:p>
        </w:tc>
        <w:tc>
          <w:tcPr>
            <w:tcW w:w="258" w:type="dxa"/>
            <w:tcBorders>
              <w:top w:val="nil"/>
              <w:left w:val="dashSmallGap" w:sz="4" w:space="0" w:color="auto"/>
              <w:bottom w:val="nil"/>
              <w:right w:val="dashSmallGap" w:sz="4" w:space="0" w:color="auto"/>
            </w:tcBorders>
            <w:shd w:val="clear" w:color="000000" w:fill="FFFFFF"/>
            <w:noWrap/>
            <w:vAlign w:val="center"/>
            <w:hideMark/>
          </w:tcPr>
          <w:p w14:paraId="74041643"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890" w:type="dxa"/>
            <w:tcBorders>
              <w:top w:val="nil"/>
              <w:left w:val="dashSmallGap" w:sz="4" w:space="0" w:color="auto"/>
              <w:bottom w:val="single" w:sz="4" w:space="0" w:color="000000"/>
              <w:right w:val="single" w:sz="4" w:space="0" w:color="000000"/>
            </w:tcBorders>
            <w:shd w:val="clear" w:color="000000" w:fill="FFFFFF"/>
            <w:noWrap/>
            <w:vAlign w:val="center"/>
            <w:hideMark/>
          </w:tcPr>
          <w:p w14:paraId="5BD6F8A8"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275</w:t>
            </w:r>
          </w:p>
        </w:tc>
        <w:tc>
          <w:tcPr>
            <w:tcW w:w="1005" w:type="dxa"/>
            <w:tcBorders>
              <w:top w:val="nil"/>
              <w:left w:val="nil"/>
              <w:bottom w:val="single" w:sz="4" w:space="0" w:color="000000"/>
              <w:right w:val="single" w:sz="4" w:space="0" w:color="000000"/>
            </w:tcBorders>
            <w:shd w:val="clear" w:color="000000" w:fill="FFFFFF"/>
            <w:noWrap/>
            <w:vAlign w:val="center"/>
            <w:hideMark/>
          </w:tcPr>
          <w:p w14:paraId="610E29A9"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286</w:t>
            </w:r>
          </w:p>
        </w:tc>
        <w:tc>
          <w:tcPr>
            <w:tcW w:w="1005" w:type="dxa"/>
            <w:tcBorders>
              <w:top w:val="nil"/>
              <w:left w:val="nil"/>
              <w:bottom w:val="single" w:sz="4" w:space="0" w:color="000000"/>
              <w:right w:val="single" w:sz="4" w:space="0" w:color="000000"/>
            </w:tcBorders>
            <w:shd w:val="clear" w:color="000000" w:fill="FFFFFF"/>
            <w:noWrap/>
            <w:vAlign w:val="center"/>
            <w:hideMark/>
          </w:tcPr>
          <w:p w14:paraId="7761100F"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218</w:t>
            </w:r>
          </w:p>
        </w:tc>
        <w:tc>
          <w:tcPr>
            <w:tcW w:w="1005" w:type="dxa"/>
            <w:tcBorders>
              <w:top w:val="nil"/>
              <w:left w:val="nil"/>
              <w:bottom w:val="single" w:sz="4" w:space="0" w:color="000000"/>
            </w:tcBorders>
            <w:shd w:val="clear" w:color="000000" w:fill="FFFFFF"/>
            <w:noWrap/>
            <w:vAlign w:val="center"/>
            <w:hideMark/>
          </w:tcPr>
          <w:p w14:paraId="61B1FD38"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147</w:t>
            </w:r>
          </w:p>
        </w:tc>
      </w:tr>
      <w:tr w:rsidR="001B2726" w:rsidRPr="001B2726" w14:paraId="41ED15FE" w14:textId="77777777" w:rsidTr="001B2726">
        <w:trPr>
          <w:trHeight w:val="285"/>
        </w:trPr>
        <w:tc>
          <w:tcPr>
            <w:tcW w:w="1843" w:type="dxa"/>
            <w:tcBorders>
              <w:top w:val="nil"/>
              <w:bottom w:val="single" w:sz="4" w:space="0" w:color="auto"/>
              <w:right w:val="nil"/>
            </w:tcBorders>
            <w:shd w:val="clear" w:color="000000" w:fill="FFFFFF"/>
            <w:noWrap/>
            <w:vAlign w:val="center"/>
            <w:hideMark/>
          </w:tcPr>
          <w:p w14:paraId="792340C2" w14:textId="3D46813B" w:rsidR="00E3317C" w:rsidRPr="00E3317C" w:rsidRDefault="00E3317C" w:rsidP="00E3317C">
            <w:pPr>
              <w:spacing w:after="0" w:line="240" w:lineRule="auto"/>
              <w:jc w:val="left"/>
              <w:rPr>
                <w:rFonts w:eastAsia="Times New Roman" w:cs="Times New Roman"/>
                <w:i/>
                <w:iCs/>
                <w:color w:val="000000"/>
                <w:sz w:val="18"/>
                <w:szCs w:val="18"/>
                <w:lang w:eastAsia="ru-RU"/>
              </w:rPr>
            </w:pPr>
            <w:r w:rsidRPr="001B2726">
              <w:rPr>
                <w:rFonts w:eastAsia="Times New Roman" w:cs="Times New Roman"/>
                <w:i/>
                <w:iCs/>
                <w:color w:val="000000"/>
                <w:sz w:val="18"/>
                <w:szCs w:val="18"/>
                <w:lang w:val="en-US" w:eastAsia="ru-RU"/>
              </w:rPr>
              <w:t xml:space="preserve">     </w:t>
            </w:r>
            <w:r w:rsidRPr="00E3317C">
              <w:rPr>
                <w:rFonts w:eastAsia="Times New Roman" w:cs="Times New Roman"/>
                <w:i/>
                <w:iCs/>
                <w:color w:val="000000"/>
                <w:sz w:val="18"/>
                <w:szCs w:val="18"/>
                <w:lang w:eastAsia="ru-RU"/>
              </w:rPr>
              <w:t>in 30 min. periods</w:t>
            </w:r>
          </w:p>
        </w:tc>
        <w:tc>
          <w:tcPr>
            <w:tcW w:w="441" w:type="dxa"/>
            <w:tcBorders>
              <w:top w:val="single" w:sz="4" w:space="0" w:color="000000"/>
              <w:left w:val="single" w:sz="4" w:space="0" w:color="000000"/>
              <w:bottom w:val="single" w:sz="4" w:space="0" w:color="auto"/>
              <w:right w:val="double" w:sz="4" w:space="0" w:color="auto"/>
            </w:tcBorders>
            <w:shd w:val="clear" w:color="000000" w:fill="FFFFFF"/>
            <w:noWrap/>
            <w:vAlign w:val="center"/>
            <w:hideMark/>
          </w:tcPr>
          <w:p w14:paraId="587859DF" w14:textId="77777777" w:rsidR="00E3317C" w:rsidRPr="00E3317C" w:rsidRDefault="00E3317C" w:rsidP="006129C4">
            <w:pPr>
              <w:spacing w:after="0" w:line="240" w:lineRule="auto"/>
              <w:ind w:left="-71" w:right="-30"/>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w:t>
            </w:r>
          </w:p>
        </w:tc>
        <w:tc>
          <w:tcPr>
            <w:tcW w:w="881" w:type="dxa"/>
            <w:tcBorders>
              <w:top w:val="nil"/>
              <w:left w:val="double" w:sz="4" w:space="0" w:color="auto"/>
              <w:bottom w:val="single" w:sz="4" w:space="0" w:color="auto"/>
              <w:right w:val="single" w:sz="4" w:space="0" w:color="000000"/>
            </w:tcBorders>
            <w:shd w:val="clear" w:color="000000" w:fill="FFFFFF"/>
            <w:noWrap/>
            <w:vAlign w:val="center"/>
            <w:hideMark/>
          </w:tcPr>
          <w:p w14:paraId="1C1CA28C"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11744</w:t>
            </w:r>
          </w:p>
        </w:tc>
        <w:tc>
          <w:tcPr>
            <w:tcW w:w="881" w:type="dxa"/>
            <w:tcBorders>
              <w:top w:val="nil"/>
              <w:left w:val="nil"/>
              <w:bottom w:val="single" w:sz="4" w:space="0" w:color="auto"/>
              <w:right w:val="single" w:sz="4" w:space="0" w:color="000000"/>
            </w:tcBorders>
            <w:shd w:val="clear" w:color="000000" w:fill="FFFFFF"/>
            <w:noWrap/>
            <w:vAlign w:val="center"/>
            <w:hideMark/>
          </w:tcPr>
          <w:p w14:paraId="119482DE"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3005</w:t>
            </w:r>
          </w:p>
        </w:tc>
        <w:tc>
          <w:tcPr>
            <w:tcW w:w="881" w:type="dxa"/>
            <w:tcBorders>
              <w:top w:val="nil"/>
              <w:left w:val="nil"/>
              <w:bottom w:val="single" w:sz="4" w:space="0" w:color="auto"/>
              <w:right w:val="single" w:sz="4" w:space="0" w:color="000000"/>
            </w:tcBorders>
            <w:shd w:val="clear" w:color="000000" w:fill="FFFFFF"/>
            <w:noWrap/>
            <w:vAlign w:val="center"/>
            <w:hideMark/>
          </w:tcPr>
          <w:p w14:paraId="096D465C"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10162</w:t>
            </w:r>
          </w:p>
        </w:tc>
        <w:tc>
          <w:tcPr>
            <w:tcW w:w="881" w:type="dxa"/>
            <w:tcBorders>
              <w:top w:val="nil"/>
              <w:left w:val="nil"/>
              <w:bottom w:val="single" w:sz="4" w:space="0" w:color="auto"/>
              <w:right w:val="single" w:sz="4" w:space="0" w:color="000000"/>
            </w:tcBorders>
            <w:shd w:val="clear" w:color="000000" w:fill="FFFFFF"/>
            <w:noWrap/>
            <w:vAlign w:val="center"/>
            <w:hideMark/>
          </w:tcPr>
          <w:p w14:paraId="4030E461"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6004</w:t>
            </w:r>
          </w:p>
        </w:tc>
        <w:tc>
          <w:tcPr>
            <w:tcW w:w="881" w:type="dxa"/>
            <w:tcBorders>
              <w:top w:val="nil"/>
              <w:left w:val="nil"/>
              <w:bottom w:val="single" w:sz="4" w:space="0" w:color="auto"/>
              <w:right w:val="single" w:sz="4" w:space="0" w:color="000000"/>
            </w:tcBorders>
            <w:shd w:val="clear" w:color="000000" w:fill="FFFFFF"/>
            <w:noWrap/>
            <w:vAlign w:val="center"/>
            <w:hideMark/>
          </w:tcPr>
          <w:p w14:paraId="2EB6367B"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8016</w:t>
            </w:r>
          </w:p>
        </w:tc>
        <w:tc>
          <w:tcPr>
            <w:tcW w:w="881" w:type="dxa"/>
            <w:tcBorders>
              <w:top w:val="nil"/>
              <w:left w:val="nil"/>
              <w:bottom w:val="single" w:sz="4" w:space="0" w:color="auto"/>
              <w:right w:val="single" w:sz="4" w:space="0" w:color="000000"/>
            </w:tcBorders>
            <w:shd w:val="clear" w:color="000000" w:fill="FFFFFF"/>
            <w:noWrap/>
            <w:vAlign w:val="center"/>
            <w:hideMark/>
          </w:tcPr>
          <w:p w14:paraId="1F54CCF9"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2641</w:t>
            </w:r>
          </w:p>
        </w:tc>
        <w:tc>
          <w:tcPr>
            <w:tcW w:w="889" w:type="dxa"/>
            <w:tcBorders>
              <w:top w:val="nil"/>
              <w:left w:val="nil"/>
              <w:bottom w:val="single" w:sz="4" w:space="0" w:color="auto"/>
              <w:right w:val="single" w:sz="4" w:space="0" w:color="000000"/>
            </w:tcBorders>
            <w:shd w:val="clear" w:color="000000" w:fill="FFFFFF"/>
            <w:noWrap/>
            <w:vAlign w:val="center"/>
            <w:hideMark/>
          </w:tcPr>
          <w:p w14:paraId="13484074"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7511</w:t>
            </w:r>
          </w:p>
        </w:tc>
        <w:tc>
          <w:tcPr>
            <w:tcW w:w="881" w:type="dxa"/>
            <w:tcBorders>
              <w:top w:val="nil"/>
              <w:left w:val="nil"/>
              <w:bottom w:val="single" w:sz="4" w:space="0" w:color="auto"/>
              <w:right w:val="single" w:sz="4" w:space="0" w:color="000000"/>
            </w:tcBorders>
            <w:shd w:val="clear" w:color="000000" w:fill="FFFFFF"/>
            <w:noWrap/>
            <w:vAlign w:val="center"/>
            <w:hideMark/>
          </w:tcPr>
          <w:p w14:paraId="55DD6D5E"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5053</w:t>
            </w:r>
          </w:p>
        </w:tc>
        <w:tc>
          <w:tcPr>
            <w:tcW w:w="881" w:type="dxa"/>
            <w:tcBorders>
              <w:top w:val="single" w:sz="4" w:space="0" w:color="000000"/>
              <w:left w:val="nil"/>
              <w:bottom w:val="single" w:sz="4" w:space="0" w:color="auto"/>
              <w:right w:val="dashSmallGap" w:sz="4" w:space="0" w:color="auto"/>
            </w:tcBorders>
            <w:shd w:val="clear" w:color="000000" w:fill="FFFFFF"/>
            <w:noWrap/>
            <w:vAlign w:val="center"/>
            <w:hideMark/>
          </w:tcPr>
          <w:p w14:paraId="2AB99713"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373</w:t>
            </w:r>
          </w:p>
        </w:tc>
        <w:tc>
          <w:tcPr>
            <w:tcW w:w="258" w:type="dxa"/>
            <w:tcBorders>
              <w:top w:val="nil"/>
              <w:left w:val="dashSmallGap" w:sz="4" w:space="0" w:color="auto"/>
              <w:bottom w:val="single" w:sz="4" w:space="0" w:color="auto"/>
              <w:right w:val="dashSmallGap" w:sz="4" w:space="0" w:color="auto"/>
            </w:tcBorders>
            <w:shd w:val="clear" w:color="000000" w:fill="FFFFFF"/>
            <w:noWrap/>
            <w:vAlign w:val="center"/>
            <w:hideMark/>
          </w:tcPr>
          <w:p w14:paraId="2CE58B45"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890" w:type="dxa"/>
            <w:tcBorders>
              <w:top w:val="single" w:sz="4" w:space="0" w:color="000000"/>
              <w:left w:val="dashSmallGap" w:sz="4" w:space="0" w:color="auto"/>
              <w:bottom w:val="single" w:sz="4" w:space="0" w:color="auto"/>
              <w:right w:val="single" w:sz="4" w:space="0" w:color="000000"/>
            </w:tcBorders>
            <w:shd w:val="clear" w:color="000000" w:fill="FFFFFF"/>
            <w:noWrap/>
            <w:vAlign w:val="center"/>
            <w:hideMark/>
          </w:tcPr>
          <w:p w14:paraId="7D1CA7F6"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6680</w:t>
            </w:r>
          </w:p>
        </w:tc>
        <w:tc>
          <w:tcPr>
            <w:tcW w:w="1005" w:type="dxa"/>
            <w:tcBorders>
              <w:top w:val="nil"/>
              <w:left w:val="nil"/>
              <w:bottom w:val="single" w:sz="4" w:space="0" w:color="auto"/>
              <w:right w:val="single" w:sz="4" w:space="0" w:color="000000"/>
            </w:tcBorders>
            <w:shd w:val="clear" w:color="000000" w:fill="FFFFFF"/>
            <w:noWrap/>
            <w:vAlign w:val="center"/>
            <w:hideMark/>
          </w:tcPr>
          <w:p w14:paraId="4F6476A9"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10941</w:t>
            </w:r>
          </w:p>
        </w:tc>
        <w:tc>
          <w:tcPr>
            <w:tcW w:w="1005" w:type="dxa"/>
            <w:tcBorders>
              <w:top w:val="nil"/>
              <w:left w:val="nil"/>
              <w:bottom w:val="single" w:sz="4" w:space="0" w:color="auto"/>
              <w:right w:val="single" w:sz="4" w:space="0" w:color="000000"/>
            </w:tcBorders>
            <w:shd w:val="clear" w:color="000000" w:fill="FFFFFF"/>
            <w:noWrap/>
            <w:vAlign w:val="center"/>
            <w:hideMark/>
          </w:tcPr>
          <w:p w14:paraId="5C29199E"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8206</w:t>
            </w:r>
          </w:p>
        </w:tc>
        <w:tc>
          <w:tcPr>
            <w:tcW w:w="1005" w:type="dxa"/>
            <w:tcBorders>
              <w:top w:val="nil"/>
              <w:left w:val="nil"/>
              <w:bottom w:val="single" w:sz="4" w:space="0" w:color="auto"/>
            </w:tcBorders>
            <w:shd w:val="clear" w:color="000000" w:fill="FFFFFF"/>
            <w:noWrap/>
            <w:vAlign w:val="center"/>
            <w:hideMark/>
          </w:tcPr>
          <w:p w14:paraId="2FC8B5A4"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6406</w:t>
            </w:r>
          </w:p>
        </w:tc>
      </w:tr>
      <w:tr w:rsidR="00E3317C" w:rsidRPr="001B2726" w14:paraId="07922578" w14:textId="77777777" w:rsidTr="001B2726">
        <w:trPr>
          <w:trHeight w:val="285"/>
        </w:trPr>
        <w:tc>
          <w:tcPr>
            <w:tcW w:w="14389" w:type="dxa"/>
            <w:gridSpan w:val="16"/>
            <w:tcBorders>
              <w:top w:val="single" w:sz="4" w:space="0" w:color="000000"/>
              <w:left w:val="nil"/>
              <w:bottom w:val="single" w:sz="4" w:space="0" w:color="auto"/>
              <w:right w:val="nil"/>
            </w:tcBorders>
            <w:shd w:val="clear" w:color="000000" w:fill="FFFFFF"/>
            <w:noWrap/>
            <w:vAlign w:val="center"/>
            <w:hideMark/>
          </w:tcPr>
          <w:p w14:paraId="0B9B78CB" w14:textId="1E8A1AE7" w:rsidR="00E3317C" w:rsidRPr="001B2726" w:rsidRDefault="00E3317C" w:rsidP="00E3317C">
            <w:pPr>
              <w:spacing w:after="0" w:line="240" w:lineRule="auto"/>
              <w:jc w:val="center"/>
              <w:rPr>
                <w:rFonts w:eastAsia="Times New Roman" w:cs="Times New Roman"/>
                <w:b/>
                <w:bCs/>
                <w:color w:val="000000"/>
                <w:sz w:val="18"/>
                <w:szCs w:val="18"/>
                <w:lang w:val="en-US" w:eastAsia="ru-RU"/>
              </w:rPr>
            </w:pPr>
            <w:r w:rsidRPr="00E3317C">
              <w:rPr>
                <w:rFonts w:eastAsia="Times New Roman" w:cs="Times New Roman"/>
                <w:b/>
                <w:bCs/>
                <w:color w:val="000000"/>
                <w:sz w:val="18"/>
                <w:szCs w:val="18"/>
                <w:lang w:val="en-US" w:eastAsia="ru-RU"/>
              </w:rPr>
              <w:t>Price deviation</w:t>
            </w:r>
          </w:p>
          <w:p w14:paraId="7EF7E827" w14:textId="7B661CD7" w:rsidR="00E3317C" w:rsidRPr="00E3317C" w:rsidRDefault="00E3317C" w:rsidP="00E3317C">
            <w:pPr>
              <w:spacing w:after="0" w:line="240" w:lineRule="auto"/>
              <w:jc w:val="center"/>
              <w:rPr>
                <w:rFonts w:eastAsia="Times New Roman" w:cs="Times New Roman"/>
                <w:b/>
                <w:bCs/>
                <w:color w:val="000000"/>
                <w:sz w:val="18"/>
                <w:szCs w:val="18"/>
                <w:lang w:val="en-US" w:eastAsia="ru-RU"/>
              </w:rPr>
            </w:pPr>
          </w:p>
        </w:tc>
      </w:tr>
      <w:tr w:rsidR="00E3317C" w:rsidRPr="00566F83" w14:paraId="7D0907B0" w14:textId="77777777" w:rsidTr="001B2726">
        <w:trPr>
          <w:trHeight w:val="285"/>
        </w:trPr>
        <w:tc>
          <w:tcPr>
            <w:tcW w:w="14389" w:type="dxa"/>
            <w:gridSpan w:val="16"/>
            <w:tcBorders>
              <w:top w:val="single" w:sz="4" w:space="0" w:color="auto"/>
              <w:left w:val="nil"/>
              <w:bottom w:val="single" w:sz="4" w:space="0" w:color="000000"/>
              <w:right w:val="nil"/>
            </w:tcBorders>
            <w:shd w:val="clear" w:color="000000" w:fill="FFFFFF"/>
            <w:noWrap/>
            <w:vAlign w:val="center"/>
            <w:hideMark/>
          </w:tcPr>
          <w:p w14:paraId="1D7A6F35" w14:textId="57697BD5" w:rsidR="00E3317C" w:rsidRPr="00E3317C" w:rsidRDefault="00E3317C" w:rsidP="00E3317C">
            <w:pPr>
              <w:spacing w:after="0" w:line="240" w:lineRule="auto"/>
              <w:jc w:val="left"/>
              <w:rPr>
                <w:rFonts w:eastAsia="Times New Roman" w:cs="Times New Roman"/>
                <w:color w:val="000000"/>
                <w:sz w:val="18"/>
                <w:szCs w:val="18"/>
                <w:lang w:val="en-US" w:eastAsia="ru-RU"/>
              </w:rPr>
            </w:pPr>
            <w:r w:rsidRPr="00E3317C">
              <w:rPr>
                <w:rFonts w:eastAsia="Times New Roman" w:cs="Times New Roman"/>
                <w:color w:val="000000"/>
                <w:sz w:val="18"/>
                <w:szCs w:val="18"/>
                <w:lang w:val="en-US" w:eastAsia="ru-RU"/>
              </w:rPr>
              <w:t>Mean</w:t>
            </w:r>
            <w:r w:rsidRPr="001B2726">
              <w:rPr>
                <w:rFonts w:eastAsia="Times New Roman" w:cs="Times New Roman"/>
                <w:color w:val="000000"/>
                <w:sz w:val="18"/>
                <w:szCs w:val="18"/>
                <w:lang w:val="en-US" w:eastAsia="ru-RU"/>
              </w:rPr>
              <w:t xml:space="preserve"> deviation from theoretical value</w:t>
            </w:r>
            <w:r w:rsidRPr="00E3317C">
              <w:rPr>
                <w:rFonts w:eastAsia="Times New Roman" w:cs="Times New Roman"/>
                <w:color w:val="000000"/>
                <w:sz w:val="18"/>
                <w:szCs w:val="18"/>
                <w:lang w:val="en-US" w:eastAsia="ru-RU"/>
              </w:rPr>
              <w:t> </w:t>
            </w:r>
          </w:p>
        </w:tc>
      </w:tr>
      <w:tr w:rsidR="001B2726" w:rsidRPr="001B2726" w14:paraId="5AAE9133" w14:textId="77777777" w:rsidTr="001B2726">
        <w:trPr>
          <w:trHeight w:val="285"/>
        </w:trPr>
        <w:tc>
          <w:tcPr>
            <w:tcW w:w="1843" w:type="dxa"/>
            <w:tcBorders>
              <w:top w:val="nil"/>
              <w:bottom w:val="single" w:sz="4" w:space="0" w:color="000000"/>
              <w:right w:val="nil"/>
            </w:tcBorders>
            <w:shd w:val="clear" w:color="000000" w:fill="FFFFFF"/>
            <w:noWrap/>
            <w:vAlign w:val="center"/>
            <w:hideMark/>
          </w:tcPr>
          <w:p w14:paraId="5E78D70F" w14:textId="609225E9" w:rsidR="00E3317C" w:rsidRPr="00E3317C" w:rsidRDefault="00E3317C" w:rsidP="00E3317C">
            <w:pPr>
              <w:spacing w:after="0" w:line="240" w:lineRule="auto"/>
              <w:jc w:val="left"/>
              <w:rPr>
                <w:rFonts w:eastAsia="Times New Roman" w:cs="Times New Roman"/>
                <w:i/>
                <w:iCs/>
                <w:color w:val="000000"/>
                <w:sz w:val="18"/>
                <w:szCs w:val="18"/>
                <w:lang w:eastAsia="ru-RU"/>
              </w:rPr>
            </w:pPr>
            <w:r w:rsidRPr="001B2726">
              <w:rPr>
                <w:rFonts w:eastAsia="Times New Roman" w:cs="Times New Roman"/>
                <w:i/>
                <w:iCs/>
                <w:color w:val="000000"/>
                <w:sz w:val="18"/>
                <w:szCs w:val="18"/>
                <w:lang w:val="en-US" w:eastAsia="ru-RU"/>
              </w:rPr>
              <w:t xml:space="preserve">     </w:t>
            </w:r>
            <w:r w:rsidRPr="00E3317C">
              <w:rPr>
                <w:rFonts w:eastAsia="Times New Roman" w:cs="Times New Roman"/>
                <w:i/>
                <w:iCs/>
                <w:color w:val="000000"/>
                <w:sz w:val="18"/>
                <w:szCs w:val="18"/>
                <w:lang w:eastAsia="ru-RU"/>
              </w:rPr>
              <w:t>30-minutes periods</w:t>
            </w:r>
          </w:p>
        </w:tc>
        <w:tc>
          <w:tcPr>
            <w:tcW w:w="441" w:type="dxa"/>
            <w:tcBorders>
              <w:top w:val="nil"/>
              <w:left w:val="single" w:sz="4" w:space="0" w:color="000000"/>
              <w:bottom w:val="single" w:sz="4" w:space="0" w:color="000000"/>
              <w:right w:val="double" w:sz="4" w:space="0" w:color="auto"/>
            </w:tcBorders>
            <w:shd w:val="clear" w:color="000000" w:fill="FFFFFF"/>
            <w:noWrap/>
            <w:vAlign w:val="center"/>
            <w:hideMark/>
          </w:tcPr>
          <w:p w14:paraId="5CDF387C" w14:textId="77777777" w:rsidR="00E3317C" w:rsidRPr="00E3317C" w:rsidRDefault="00E3317C" w:rsidP="006129C4">
            <w:pPr>
              <w:spacing w:after="0" w:line="240" w:lineRule="auto"/>
              <w:ind w:left="-99" w:right="-11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b.p.</w:t>
            </w:r>
          </w:p>
        </w:tc>
        <w:tc>
          <w:tcPr>
            <w:tcW w:w="881" w:type="dxa"/>
            <w:tcBorders>
              <w:top w:val="nil"/>
              <w:left w:val="double" w:sz="4" w:space="0" w:color="auto"/>
              <w:bottom w:val="single" w:sz="4" w:space="0" w:color="000000"/>
              <w:right w:val="single" w:sz="4" w:space="0" w:color="000000"/>
            </w:tcBorders>
            <w:shd w:val="clear" w:color="000000" w:fill="FFFFFF"/>
            <w:noWrap/>
            <w:vAlign w:val="center"/>
            <w:hideMark/>
          </w:tcPr>
          <w:p w14:paraId="7A86C54F"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4,43</w:t>
            </w:r>
          </w:p>
        </w:tc>
        <w:tc>
          <w:tcPr>
            <w:tcW w:w="881" w:type="dxa"/>
            <w:tcBorders>
              <w:top w:val="nil"/>
              <w:left w:val="nil"/>
              <w:bottom w:val="single" w:sz="4" w:space="0" w:color="000000"/>
              <w:right w:val="single" w:sz="4" w:space="0" w:color="000000"/>
            </w:tcBorders>
            <w:shd w:val="clear" w:color="000000" w:fill="FFFFFF"/>
            <w:noWrap/>
            <w:vAlign w:val="center"/>
            <w:hideMark/>
          </w:tcPr>
          <w:p w14:paraId="1F4C66DB"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-1,47</w:t>
            </w:r>
          </w:p>
        </w:tc>
        <w:tc>
          <w:tcPr>
            <w:tcW w:w="881" w:type="dxa"/>
            <w:tcBorders>
              <w:top w:val="nil"/>
              <w:left w:val="nil"/>
              <w:bottom w:val="single" w:sz="4" w:space="0" w:color="000000"/>
              <w:right w:val="single" w:sz="4" w:space="0" w:color="000000"/>
            </w:tcBorders>
            <w:shd w:val="clear" w:color="000000" w:fill="FFFFFF"/>
            <w:noWrap/>
            <w:vAlign w:val="center"/>
            <w:hideMark/>
          </w:tcPr>
          <w:p w14:paraId="51129C79"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1,31</w:t>
            </w:r>
          </w:p>
        </w:tc>
        <w:tc>
          <w:tcPr>
            <w:tcW w:w="881" w:type="dxa"/>
            <w:tcBorders>
              <w:top w:val="nil"/>
              <w:left w:val="nil"/>
              <w:bottom w:val="single" w:sz="4" w:space="0" w:color="000000"/>
              <w:right w:val="single" w:sz="4" w:space="0" w:color="000000"/>
            </w:tcBorders>
            <w:shd w:val="clear" w:color="000000" w:fill="FFFFFF"/>
            <w:noWrap/>
            <w:vAlign w:val="center"/>
            <w:hideMark/>
          </w:tcPr>
          <w:p w14:paraId="5209C1A5"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0,01</w:t>
            </w:r>
          </w:p>
        </w:tc>
        <w:tc>
          <w:tcPr>
            <w:tcW w:w="881" w:type="dxa"/>
            <w:tcBorders>
              <w:top w:val="nil"/>
              <w:left w:val="nil"/>
              <w:bottom w:val="single" w:sz="4" w:space="0" w:color="000000"/>
              <w:right w:val="single" w:sz="4" w:space="0" w:color="000000"/>
            </w:tcBorders>
            <w:shd w:val="clear" w:color="000000" w:fill="FFFFFF"/>
            <w:noWrap/>
            <w:vAlign w:val="center"/>
            <w:hideMark/>
          </w:tcPr>
          <w:p w14:paraId="5B56C22A"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-1,50</w:t>
            </w:r>
          </w:p>
        </w:tc>
        <w:tc>
          <w:tcPr>
            <w:tcW w:w="881" w:type="dxa"/>
            <w:tcBorders>
              <w:top w:val="nil"/>
              <w:left w:val="nil"/>
              <w:bottom w:val="single" w:sz="4" w:space="0" w:color="000000"/>
              <w:right w:val="single" w:sz="4" w:space="0" w:color="000000"/>
            </w:tcBorders>
            <w:shd w:val="clear" w:color="000000" w:fill="FFFFFF"/>
            <w:noWrap/>
            <w:vAlign w:val="center"/>
            <w:hideMark/>
          </w:tcPr>
          <w:p w14:paraId="2A639C53"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-1,63</w:t>
            </w:r>
          </w:p>
        </w:tc>
        <w:tc>
          <w:tcPr>
            <w:tcW w:w="889" w:type="dxa"/>
            <w:tcBorders>
              <w:top w:val="nil"/>
              <w:left w:val="nil"/>
              <w:bottom w:val="single" w:sz="4" w:space="0" w:color="000000"/>
              <w:right w:val="single" w:sz="4" w:space="0" w:color="000000"/>
            </w:tcBorders>
            <w:shd w:val="clear" w:color="000000" w:fill="FFFFFF"/>
            <w:noWrap/>
            <w:vAlign w:val="center"/>
            <w:hideMark/>
          </w:tcPr>
          <w:p w14:paraId="4A70F88A"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1,25</w:t>
            </w:r>
          </w:p>
        </w:tc>
        <w:tc>
          <w:tcPr>
            <w:tcW w:w="881" w:type="dxa"/>
            <w:tcBorders>
              <w:top w:val="nil"/>
              <w:left w:val="nil"/>
              <w:bottom w:val="single" w:sz="4" w:space="0" w:color="000000"/>
              <w:right w:val="single" w:sz="4" w:space="0" w:color="000000"/>
            </w:tcBorders>
            <w:shd w:val="clear" w:color="000000" w:fill="FFFFFF"/>
            <w:noWrap/>
            <w:vAlign w:val="center"/>
            <w:hideMark/>
          </w:tcPr>
          <w:p w14:paraId="6AFB9E8C"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-0,43</w:t>
            </w:r>
          </w:p>
        </w:tc>
        <w:tc>
          <w:tcPr>
            <w:tcW w:w="881" w:type="dxa"/>
            <w:tcBorders>
              <w:top w:val="nil"/>
              <w:left w:val="nil"/>
              <w:bottom w:val="single" w:sz="4" w:space="0" w:color="000000"/>
              <w:right w:val="dashSmallGap" w:sz="4" w:space="0" w:color="auto"/>
            </w:tcBorders>
            <w:shd w:val="clear" w:color="000000" w:fill="FFFFFF"/>
            <w:noWrap/>
            <w:vAlign w:val="center"/>
            <w:hideMark/>
          </w:tcPr>
          <w:p w14:paraId="51FE4796"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-0,51</w:t>
            </w:r>
          </w:p>
        </w:tc>
        <w:tc>
          <w:tcPr>
            <w:tcW w:w="258" w:type="dxa"/>
            <w:tcBorders>
              <w:top w:val="nil"/>
              <w:left w:val="dashSmallGap" w:sz="4" w:space="0" w:color="auto"/>
              <w:bottom w:val="nil"/>
              <w:right w:val="dashSmallGap" w:sz="4" w:space="0" w:color="auto"/>
            </w:tcBorders>
            <w:shd w:val="clear" w:color="000000" w:fill="FFFFFF"/>
            <w:noWrap/>
            <w:vAlign w:val="center"/>
            <w:hideMark/>
          </w:tcPr>
          <w:p w14:paraId="230D2088"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890" w:type="dxa"/>
            <w:tcBorders>
              <w:top w:val="nil"/>
              <w:left w:val="dashSmallGap" w:sz="4" w:space="0" w:color="auto"/>
              <w:bottom w:val="single" w:sz="4" w:space="0" w:color="000000"/>
              <w:right w:val="single" w:sz="4" w:space="0" w:color="000000"/>
            </w:tcBorders>
            <w:shd w:val="clear" w:color="000000" w:fill="FFFFFF"/>
            <w:noWrap/>
            <w:vAlign w:val="center"/>
            <w:hideMark/>
          </w:tcPr>
          <w:p w14:paraId="49A5CF7B"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1,45</w:t>
            </w:r>
          </w:p>
        </w:tc>
        <w:tc>
          <w:tcPr>
            <w:tcW w:w="1005" w:type="dxa"/>
            <w:tcBorders>
              <w:top w:val="nil"/>
              <w:left w:val="nil"/>
              <w:bottom w:val="single" w:sz="4" w:space="0" w:color="000000"/>
              <w:right w:val="single" w:sz="4" w:space="0" w:color="000000"/>
            </w:tcBorders>
            <w:shd w:val="clear" w:color="000000" w:fill="FFFFFF"/>
            <w:noWrap/>
            <w:vAlign w:val="center"/>
            <w:hideMark/>
          </w:tcPr>
          <w:p w14:paraId="791585DC"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0,26</w:t>
            </w:r>
          </w:p>
        </w:tc>
        <w:tc>
          <w:tcPr>
            <w:tcW w:w="1005" w:type="dxa"/>
            <w:tcBorders>
              <w:top w:val="nil"/>
              <w:left w:val="nil"/>
              <w:bottom w:val="single" w:sz="4" w:space="0" w:color="000000"/>
              <w:right w:val="single" w:sz="4" w:space="0" w:color="000000"/>
            </w:tcBorders>
            <w:shd w:val="clear" w:color="000000" w:fill="FFFFFF"/>
            <w:noWrap/>
            <w:vAlign w:val="center"/>
            <w:hideMark/>
          </w:tcPr>
          <w:p w14:paraId="49BD4381"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1,55</w:t>
            </w:r>
          </w:p>
        </w:tc>
        <w:tc>
          <w:tcPr>
            <w:tcW w:w="1005" w:type="dxa"/>
            <w:tcBorders>
              <w:top w:val="nil"/>
              <w:left w:val="nil"/>
              <w:bottom w:val="single" w:sz="4" w:space="0" w:color="000000"/>
            </w:tcBorders>
            <w:shd w:val="clear" w:color="000000" w:fill="FFFFFF"/>
            <w:noWrap/>
            <w:vAlign w:val="center"/>
            <w:hideMark/>
          </w:tcPr>
          <w:p w14:paraId="7CD38BFE"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0,16</w:t>
            </w:r>
          </w:p>
        </w:tc>
      </w:tr>
      <w:tr w:rsidR="001B2726" w:rsidRPr="001B2726" w14:paraId="534CFA41" w14:textId="77777777" w:rsidTr="001B2726">
        <w:trPr>
          <w:trHeight w:val="285"/>
        </w:trPr>
        <w:tc>
          <w:tcPr>
            <w:tcW w:w="1843" w:type="dxa"/>
            <w:tcBorders>
              <w:top w:val="nil"/>
              <w:bottom w:val="single" w:sz="4" w:space="0" w:color="000000"/>
              <w:right w:val="nil"/>
            </w:tcBorders>
            <w:shd w:val="clear" w:color="000000" w:fill="FFFFFF"/>
            <w:noWrap/>
            <w:vAlign w:val="center"/>
            <w:hideMark/>
          </w:tcPr>
          <w:p w14:paraId="76052A2A" w14:textId="6E4C6707" w:rsidR="00E3317C" w:rsidRPr="00E3317C" w:rsidRDefault="00E3317C" w:rsidP="00E3317C">
            <w:pPr>
              <w:spacing w:after="0" w:line="240" w:lineRule="auto"/>
              <w:jc w:val="left"/>
              <w:rPr>
                <w:rFonts w:eastAsia="Times New Roman" w:cs="Times New Roman"/>
                <w:i/>
                <w:iCs/>
                <w:color w:val="000000"/>
                <w:sz w:val="18"/>
                <w:szCs w:val="18"/>
                <w:lang w:eastAsia="ru-RU"/>
              </w:rPr>
            </w:pPr>
            <w:r w:rsidRPr="001B2726">
              <w:rPr>
                <w:rFonts w:eastAsia="Times New Roman" w:cs="Times New Roman"/>
                <w:i/>
                <w:iCs/>
                <w:color w:val="000000"/>
                <w:sz w:val="18"/>
                <w:szCs w:val="18"/>
                <w:lang w:val="en-US" w:eastAsia="ru-RU"/>
              </w:rPr>
              <w:t xml:space="preserve">     </w:t>
            </w:r>
            <w:r w:rsidRPr="00E3317C">
              <w:rPr>
                <w:rFonts w:eastAsia="Times New Roman" w:cs="Times New Roman"/>
                <w:i/>
                <w:iCs/>
                <w:color w:val="000000"/>
                <w:sz w:val="18"/>
                <w:szCs w:val="18"/>
                <w:lang w:eastAsia="ru-RU"/>
              </w:rPr>
              <w:t>daily averages</w:t>
            </w:r>
          </w:p>
        </w:tc>
        <w:tc>
          <w:tcPr>
            <w:tcW w:w="441" w:type="dxa"/>
            <w:tcBorders>
              <w:top w:val="single" w:sz="4" w:space="0" w:color="000000"/>
              <w:left w:val="single" w:sz="4" w:space="0" w:color="000000"/>
              <w:bottom w:val="single" w:sz="4" w:space="0" w:color="000000"/>
              <w:right w:val="double" w:sz="4" w:space="0" w:color="auto"/>
            </w:tcBorders>
            <w:shd w:val="clear" w:color="000000" w:fill="FFFFFF"/>
            <w:noWrap/>
            <w:vAlign w:val="center"/>
            <w:hideMark/>
          </w:tcPr>
          <w:p w14:paraId="3F2F88E4" w14:textId="77777777" w:rsidR="00E3317C" w:rsidRPr="00E3317C" w:rsidRDefault="00E3317C" w:rsidP="006129C4">
            <w:pPr>
              <w:spacing w:after="0" w:line="240" w:lineRule="auto"/>
              <w:ind w:left="-99" w:right="-11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b.p.</w:t>
            </w:r>
          </w:p>
        </w:tc>
        <w:tc>
          <w:tcPr>
            <w:tcW w:w="881" w:type="dxa"/>
            <w:tcBorders>
              <w:top w:val="nil"/>
              <w:left w:val="double" w:sz="4" w:space="0" w:color="auto"/>
              <w:bottom w:val="single" w:sz="4" w:space="0" w:color="000000"/>
              <w:right w:val="single" w:sz="4" w:space="0" w:color="000000"/>
            </w:tcBorders>
            <w:shd w:val="clear" w:color="000000" w:fill="FFFFFF"/>
            <w:noWrap/>
            <w:vAlign w:val="center"/>
            <w:hideMark/>
          </w:tcPr>
          <w:p w14:paraId="1DA36195"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1,72</w:t>
            </w:r>
          </w:p>
        </w:tc>
        <w:tc>
          <w:tcPr>
            <w:tcW w:w="881" w:type="dxa"/>
            <w:tcBorders>
              <w:top w:val="nil"/>
              <w:left w:val="nil"/>
              <w:bottom w:val="single" w:sz="4" w:space="0" w:color="000000"/>
              <w:right w:val="single" w:sz="4" w:space="0" w:color="000000"/>
            </w:tcBorders>
            <w:shd w:val="clear" w:color="000000" w:fill="FFFFFF"/>
            <w:noWrap/>
            <w:vAlign w:val="center"/>
            <w:hideMark/>
          </w:tcPr>
          <w:p w14:paraId="1FE340EF"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-1,46</w:t>
            </w:r>
          </w:p>
        </w:tc>
        <w:tc>
          <w:tcPr>
            <w:tcW w:w="881" w:type="dxa"/>
            <w:tcBorders>
              <w:top w:val="nil"/>
              <w:left w:val="nil"/>
              <w:bottom w:val="single" w:sz="4" w:space="0" w:color="000000"/>
              <w:right w:val="single" w:sz="4" w:space="0" w:color="000000"/>
            </w:tcBorders>
            <w:shd w:val="clear" w:color="000000" w:fill="FFFFFF"/>
            <w:noWrap/>
            <w:vAlign w:val="center"/>
            <w:hideMark/>
          </w:tcPr>
          <w:p w14:paraId="6C3EE651"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1,23</w:t>
            </w:r>
          </w:p>
        </w:tc>
        <w:tc>
          <w:tcPr>
            <w:tcW w:w="881" w:type="dxa"/>
            <w:tcBorders>
              <w:top w:val="nil"/>
              <w:left w:val="nil"/>
              <w:bottom w:val="single" w:sz="4" w:space="0" w:color="000000"/>
              <w:right w:val="single" w:sz="4" w:space="0" w:color="000000"/>
            </w:tcBorders>
            <w:shd w:val="clear" w:color="000000" w:fill="FFFFFF"/>
            <w:noWrap/>
            <w:vAlign w:val="center"/>
            <w:hideMark/>
          </w:tcPr>
          <w:p w14:paraId="441694EE"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-0,02</w:t>
            </w:r>
          </w:p>
        </w:tc>
        <w:tc>
          <w:tcPr>
            <w:tcW w:w="881" w:type="dxa"/>
            <w:tcBorders>
              <w:top w:val="nil"/>
              <w:left w:val="nil"/>
              <w:bottom w:val="single" w:sz="4" w:space="0" w:color="000000"/>
              <w:right w:val="single" w:sz="4" w:space="0" w:color="000000"/>
            </w:tcBorders>
            <w:shd w:val="clear" w:color="000000" w:fill="FFFFFF"/>
            <w:noWrap/>
            <w:vAlign w:val="center"/>
            <w:hideMark/>
          </w:tcPr>
          <w:p w14:paraId="315C50B1"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-0,97</w:t>
            </w:r>
          </w:p>
        </w:tc>
        <w:tc>
          <w:tcPr>
            <w:tcW w:w="881" w:type="dxa"/>
            <w:tcBorders>
              <w:top w:val="nil"/>
              <w:left w:val="nil"/>
              <w:bottom w:val="single" w:sz="4" w:space="0" w:color="000000"/>
              <w:right w:val="single" w:sz="4" w:space="0" w:color="000000"/>
            </w:tcBorders>
            <w:shd w:val="clear" w:color="000000" w:fill="FFFFFF"/>
            <w:noWrap/>
            <w:vAlign w:val="center"/>
            <w:hideMark/>
          </w:tcPr>
          <w:p w14:paraId="3D907529"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-1,61</w:t>
            </w:r>
          </w:p>
        </w:tc>
        <w:tc>
          <w:tcPr>
            <w:tcW w:w="889" w:type="dxa"/>
            <w:tcBorders>
              <w:top w:val="nil"/>
              <w:left w:val="nil"/>
              <w:bottom w:val="single" w:sz="4" w:space="0" w:color="000000"/>
              <w:right w:val="single" w:sz="4" w:space="0" w:color="000000"/>
            </w:tcBorders>
            <w:shd w:val="clear" w:color="000000" w:fill="FFFFFF"/>
            <w:noWrap/>
            <w:vAlign w:val="center"/>
            <w:hideMark/>
          </w:tcPr>
          <w:p w14:paraId="69EB7E15"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1,23</w:t>
            </w:r>
          </w:p>
        </w:tc>
        <w:tc>
          <w:tcPr>
            <w:tcW w:w="881" w:type="dxa"/>
            <w:tcBorders>
              <w:top w:val="nil"/>
              <w:left w:val="nil"/>
              <w:bottom w:val="single" w:sz="4" w:space="0" w:color="000000"/>
              <w:right w:val="single" w:sz="4" w:space="0" w:color="000000"/>
            </w:tcBorders>
            <w:shd w:val="clear" w:color="000000" w:fill="FFFFFF"/>
            <w:noWrap/>
            <w:vAlign w:val="center"/>
            <w:hideMark/>
          </w:tcPr>
          <w:p w14:paraId="0A50E3D1"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-0,40</w:t>
            </w:r>
          </w:p>
        </w:tc>
        <w:tc>
          <w:tcPr>
            <w:tcW w:w="881" w:type="dxa"/>
            <w:tcBorders>
              <w:top w:val="single" w:sz="4" w:space="0" w:color="000000"/>
              <w:left w:val="nil"/>
              <w:bottom w:val="single" w:sz="4" w:space="0" w:color="000000"/>
              <w:right w:val="dashSmallGap" w:sz="4" w:space="0" w:color="auto"/>
            </w:tcBorders>
            <w:shd w:val="clear" w:color="000000" w:fill="FFFFFF"/>
            <w:noWrap/>
            <w:vAlign w:val="center"/>
            <w:hideMark/>
          </w:tcPr>
          <w:p w14:paraId="5C4089E3"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-0,51</w:t>
            </w:r>
          </w:p>
        </w:tc>
        <w:tc>
          <w:tcPr>
            <w:tcW w:w="258" w:type="dxa"/>
            <w:tcBorders>
              <w:top w:val="nil"/>
              <w:left w:val="dashSmallGap" w:sz="4" w:space="0" w:color="auto"/>
              <w:bottom w:val="nil"/>
              <w:right w:val="dashSmallGap" w:sz="4" w:space="0" w:color="auto"/>
            </w:tcBorders>
            <w:shd w:val="clear" w:color="000000" w:fill="FFFFFF"/>
            <w:noWrap/>
            <w:vAlign w:val="center"/>
            <w:hideMark/>
          </w:tcPr>
          <w:p w14:paraId="32F6B5D0"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890" w:type="dxa"/>
            <w:tcBorders>
              <w:top w:val="single" w:sz="4" w:space="0" w:color="000000"/>
              <w:left w:val="dashSmallGap" w:sz="4" w:space="0" w:color="auto"/>
              <w:bottom w:val="single" w:sz="4" w:space="0" w:color="000000"/>
              <w:right w:val="single" w:sz="4" w:space="0" w:color="000000"/>
            </w:tcBorders>
            <w:shd w:val="clear" w:color="000000" w:fill="FFFFFF"/>
            <w:noWrap/>
            <w:vAlign w:val="center"/>
            <w:hideMark/>
          </w:tcPr>
          <w:p w14:paraId="3DA9B911"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1,27</w:t>
            </w:r>
          </w:p>
        </w:tc>
        <w:tc>
          <w:tcPr>
            <w:tcW w:w="1005" w:type="dxa"/>
            <w:tcBorders>
              <w:top w:val="nil"/>
              <w:left w:val="nil"/>
              <w:bottom w:val="single" w:sz="4" w:space="0" w:color="000000"/>
              <w:right w:val="single" w:sz="4" w:space="0" w:color="000000"/>
            </w:tcBorders>
            <w:shd w:val="clear" w:color="000000" w:fill="FFFFFF"/>
            <w:noWrap/>
            <w:vAlign w:val="center"/>
            <w:hideMark/>
          </w:tcPr>
          <w:p w14:paraId="332D861C"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0,28</w:t>
            </w:r>
          </w:p>
        </w:tc>
        <w:tc>
          <w:tcPr>
            <w:tcW w:w="1005" w:type="dxa"/>
            <w:tcBorders>
              <w:top w:val="nil"/>
              <w:left w:val="nil"/>
              <w:bottom w:val="single" w:sz="4" w:space="0" w:color="000000"/>
              <w:right w:val="single" w:sz="4" w:space="0" w:color="000000"/>
            </w:tcBorders>
            <w:shd w:val="clear" w:color="000000" w:fill="FFFFFF"/>
            <w:noWrap/>
            <w:vAlign w:val="center"/>
            <w:hideMark/>
          </w:tcPr>
          <w:p w14:paraId="747EBE34"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1,49</w:t>
            </w:r>
          </w:p>
        </w:tc>
        <w:tc>
          <w:tcPr>
            <w:tcW w:w="1005" w:type="dxa"/>
            <w:tcBorders>
              <w:top w:val="nil"/>
              <w:left w:val="nil"/>
              <w:bottom w:val="single" w:sz="4" w:space="0" w:color="000000"/>
            </w:tcBorders>
            <w:shd w:val="clear" w:color="000000" w:fill="FFFFFF"/>
            <w:noWrap/>
            <w:vAlign w:val="center"/>
            <w:hideMark/>
          </w:tcPr>
          <w:p w14:paraId="3D53CF85"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0,17</w:t>
            </w:r>
          </w:p>
        </w:tc>
      </w:tr>
      <w:tr w:rsidR="00E3317C" w:rsidRPr="00566F83" w14:paraId="745A3438" w14:textId="77777777" w:rsidTr="001B2726">
        <w:trPr>
          <w:trHeight w:val="285"/>
        </w:trPr>
        <w:tc>
          <w:tcPr>
            <w:tcW w:w="14389" w:type="dxa"/>
            <w:gridSpan w:val="16"/>
            <w:tcBorders>
              <w:top w:val="single" w:sz="4" w:space="0" w:color="000000"/>
              <w:left w:val="nil"/>
              <w:bottom w:val="single" w:sz="4" w:space="0" w:color="000000"/>
              <w:right w:val="nil"/>
            </w:tcBorders>
            <w:shd w:val="clear" w:color="000000" w:fill="FFFFFF"/>
            <w:noWrap/>
            <w:vAlign w:val="center"/>
            <w:hideMark/>
          </w:tcPr>
          <w:p w14:paraId="4E5029A3" w14:textId="230080A0" w:rsidR="00E3317C" w:rsidRPr="00E3317C" w:rsidRDefault="00E3317C" w:rsidP="00E3317C">
            <w:pPr>
              <w:spacing w:after="0" w:line="240" w:lineRule="auto"/>
              <w:jc w:val="left"/>
              <w:rPr>
                <w:rFonts w:eastAsia="Times New Roman" w:cs="Times New Roman"/>
                <w:color w:val="000000"/>
                <w:sz w:val="18"/>
                <w:szCs w:val="18"/>
                <w:lang w:val="en-US" w:eastAsia="ru-RU"/>
              </w:rPr>
            </w:pPr>
            <w:r w:rsidRPr="00E3317C">
              <w:rPr>
                <w:rFonts w:eastAsia="Times New Roman" w:cs="Times New Roman"/>
                <w:color w:val="000000"/>
                <w:sz w:val="18"/>
                <w:szCs w:val="18"/>
                <w:lang w:val="en-US" w:eastAsia="ru-RU"/>
              </w:rPr>
              <w:t>Standard deviation</w:t>
            </w:r>
            <w:r w:rsidRPr="001B2726">
              <w:rPr>
                <w:rFonts w:eastAsia="Times New Roman" w:cs="Times New Roman"/>
                <w:color w:val="000000"/>
                <w:sz w:val="18"/>
                <w:szCs w:val="18"/>
                <w:lang w:val="en-US" w:eastAsia="ru-RU"/>
              </w:rPr>
              <w:t xml:space="preserve"> from daily average price</w:t>
            </w:r>
          </w:p>
        </w:tc>
      </w:tr>
      <w:tr w:rsidR="001B2726" w:rsidRPr="001B2726" w14:paraId="14E08507" w14:textId="77777777" w:rsidTr="001B2726">
        <w:trPr>
          <w:trHeight w:val="285"/>
        </w:trPr>
        <w:tc>
          <w:tcPr>
            <w:tcW w:w="1843" w:type="dxa"/>
            <w:tcBorders>
              <w:top w:val="nil"/>
              <w:bottom w:val="single" w:sz="4" w:space="0" w:color="000000"/>
              <w:right w:val="nil"/>
            </w:tcBorders>
            <w:shd w:val="clear" w:color="000000" w:fill="FFFFFF"/>
            <w:noWrap/>
            <w:vAlign w:val="center"/>
            <w:hideMark/>
          </w:tcPr>
          <w:p w14:paraId="439238A9" w14:textId="46AA89D8" w:rsidR="00E3317C" w:rsidRPr="00E3317C" w:rsidRDefault="00E3317C" w:rsidP="00E3317C">
            <w:pPr>
              <w:spacing w:after="0" w:line="240" w:lineRule="auto"/>
              <w:jc w:val="left"/>
              <w:rPr>
                <w:rFonts w:eastAsia="Times New Roman" w:cs="Times New Roman"/>
                <w:i/>
                <w:iCs/>
                <w:color w:val="000000"/>
                <w:sz w:val="18"/>
                <w:szCs w:val="18"/>
                <w:lang w:eastAsia="ru-RU"/>
              </w:rPr>
            </w:pPr>
            <w:r w:rsidRPr="001B2726">
              <w:rPr>
                <w:rFonts w:eastAsia="Times New Roman" w:cs="Times New Roman"/>
                <w:i/>
                <w:iCs/>
                <w:color w:val="000000"/>
                <w:sz w:val="18"/>
                <w:szCs w:val="18"/>
                <w:lang w:val="en-US" w:eastAsia="ru-RU"/>
              </w:rPr>
              <w:t xml:space="preserve">     </w:t>
            </w:r>
            <w:r w:rsidRPr="00E3317C">
              <w:rPr>
                <w:rFonts w:eastAsia="Times New Roman" w:cs="Times New Roman"/>
                <w:i/>
                <w:iCs/>
                <w:color w:val="000000"/>
                <w:sz w:val="18"/>
                <w:szCs w:val="18"/>
                <w:lang w:eastAsia="ru-RU"/>
              </w:rPr>
              <w:t>30-minutes periods</w:t>
            </w:r>
          </w:p>
        </w:tc>
        <w:tc>
          <w:tcPr>
            <w:tcW w:w="441" w:type="dxa"/>
            <w:tcBorders>
              <w:top w:val="single" w:sz="4" w:space="0" w:color="000000"/>
              <w:left w:val="single" w:sz="4" w:space="0" w:color="000000"/>
              <w:bottom w:val="single" w:sz="4" w:space="0" w:color="000000"/>
              <w:right w:val="double" w:sz="4" w:space="0" w:color="auto"/>
            </w:tcBorders>
            <w:shd w:val="clear" w:color="000000" w:fill="FFFFFF"/>
            <w:noWrap/>
            <w:vAlign w:val="center"/>
            <w:hideMark/>
          </w:tcPr>
          <w:p w14:paraId="5B949006" w14:textId="77777777" w:rsidR="00E3317C" w:rsidRPr="00E3317C" w:rsidRDefault="00E3317C" w:rsidP="006129C4">
            <w:pPr>
              <w:spacing w:after="0" w:line="240" w:lineRule="auto"/>
              <w:ind w:left="-99" w:right="-11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b.p.</w:t>
            </w:r>
          </w:p>
        </w:tc>
        <w:tc>
          <w:tcPr>
            <w:tcW w:w="881" w:type="dxa"/>
            <w:tcBorders>
              <w:top w:val="single" w:sz="4" w:space="0" w:color="000000"/>
              <w:left w:val="double" w:sz="4" w:space="0" w:color="auto"/>
              <w:bottom w:val="single" w:sz="4" w:space="0" w:color="000000"/>
              <w:right w:val="single" w:sz="4" w:space="0" w:color="000000"/>
            </w:tcBorders>
            <w:shd w:val="clear" w:color="000000" w:fill="FFFFFF"/>
            <w:noWrap/>
            <w:vAlign w:val="center"/>
            <w:hideMark/>
          </w:tcPr>
          <w:p w14:paraId="6D660DD8"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1,38</w:t>
            </w:r>
          </w:p>
        </w:tc>
        <w:tc>
          <w:tcPr>
            <w:tcW w:w="881" w:type="dxa"/>
            <w:tcBorders>
              <w:top w:val="single" w:sz="4" w:space="0" w:color="000000"/>
              <w:left w:val="nil"/>
              <w:bottom w:val="single" w:sz="4" w:space="0" w:color="000000"/>
              <w:right w:val="single" w:sz="4" w:space="0" w:color="000000"/>
            </w:tcBorders>
            <w:shd w:val="clear" w:color="000000" w:fill="FFFFFF"/>
            <w:noWrap/>
            <w:vAlign w:val="center"/>
            <w:hideMark/>
          </w:tcPr>
          <w:p w14:paraId="7F2E053C"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6,01</w:t>
            </w:r>
          </w:p>
        </w:tc>
        <w:tc>
          <w:tcPr>
            <w:tcW w:w="881" w:type="dxa"/>
            <w:tcBorders>
              <w:top w:val="single" w:sz="4" w:space="0" w:color="000000"/>
              <w:left w:val="nil"/>
              <w:bottom w:val="single" w:sz="4" w:space="0" w:color="000000"/>
              <w:right w:val="single" w:sz="4" w:space="0" w:color="000000"/>
            </w:tcBorders>
            <w:shd w:val="clear" w:color="000000" w:fill="FFFFFF"/>
            <w:noWrap/>
            <w:vAlign w:val="center"/>
            <w:hideMark/>
          </w:tcPr>
          <w:p w14:paraId="238BD30C"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1,87</w:t>
            </w:r>
          </w:p>
        </w:tc>
        <w:tc>
          <w:tcPr>
            <w:tcW w:w="881" w:type="dxa"/>
            <w:tcBorders>
              <w:top w:val="single" w:sz="4" w:space="0" w:color="000000"/>
              <w:left w:val="nil"/>
              <w:bottom w:val="single" w:sz="4" w:space="0" w:color="000000"/>
              <w:right w:val="single" w:sz="4" w:space="0" w:color="000000"/>
            </w:tcBorders>
            <w:shd w:val="clear" w:color="000000" w:fill="FFFFFF"/>
            <w:noWrap/>
            <w:vAlign w:val="center"/>
            <w:hideMark/>
          </w:tcPr>
          <w:p w14:paraId="462C3DC3"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2,21</w:t>
            </w:r>
          </w:p>
        </w:tc>
        <w:tc>
          <w:tcPr>
            <w:tcW w:w="881" w:type="dxa"/>
            <w:tcBorders>
              <w:top w:val="single" w:sz="4" w:space="0" w:color="000000"/>
              <w:left w:val="nil"/>
              <w:bottom w:val="single" w:sz="4" w:space="0" w:color="000000"/>
              <w:right w:val="single" w:sz="4" w:space="0" w:color="000000"/>
            </w:tcBorders>
            <w:shd w:val="clear" w:color="000000" w:fill="FFFFFF"/>
            <w:noWrap/>
            <w:vAlign w:val="center"/>
            <w:hideMark/>
          </w:tcPr>
          <w:p w14:paraId="2A4A49D8"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2,92</w:t>
            </w:r>
          </w:p>
        </w:tc>
        <w:tc>
          <w:tcPr>
            <w:tcW w:w="881" w:type="dxa"/>
            <w:tcBorders>
              <w:top w:val="single" w:sz="4" w:space="0" w:color="000000"/>
              <w:left w:val="nil"/>
              <w:bottom w:val="single" w:sz="4" w:space="0" w:color="000000"/>
              <w:right w:val="single" w:sz="4" w:space="0" w:color="000000"/>
            </w:tcBorders>
            <w:shd w:val="clear" w:color="000000" w:fill="FFFFFF"/>
            <w:noWrap/>
            <w:vAlign w:val="center"/>
            <w:hideMark/>
          </w:tcPr>
          <w:p w14:paraId="7EFF9B70"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6,73</w:t>
            </w:r>
          </w:p>
        </w:tc>
        <w:tc>
          <w:tcPr>
            <w:tcW w:w="889" w:type="dxa"/>
            <w:tcBorders>
              <w:top w:val="single" w:sz="4" w:space="0" w:color="000000"/>
              <w:left w:val="nil"/>
              <w:bottom w:val="single" w:sz="4" w:space="0" w:color="000000"/>
              <w:right w:val="single" w:sz="4" w:space="0" w:color="000000"/>
            </w:tcBorders>
            <w:shd w:val="clear" w:color="000000" w:fill="FFFFFF"/>
            <w:noWrap/>
            <w:vAlign w:val="center"/>
            <w:hideMark/>
          </w:tcPr>
          <w:p w14:paraId="2EFB0BD4"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0,67</w:t>
            </w:r>
          </w:p>
        </w:tc>
        <w:tc>
          <w:tcPr>
            <w:tcW w:w="881" w:type="dxa"/>
            <w:tcBorders>
              <w:top w:val="single" w:sz="4" w:space="0" w:color="000000"/>
              <w:left w:val="nil"/>
              <w:bottom w:val="single" w:sz="4" w:space="0" w:color="000000"/>
              <w:right w:val="single" w:sz="4" w:space="0" w:color="000000"/>
            </w:tcBorders>
            <w:shd w:val="clear" w:color="000000" w:fill="FFFFFF"/>
            <w:noWrap/>
            <w:vAlign w:val="center"/>
            <w:hideMark/>
          </w:tcPr>
          <w:p w14:paraId="70018C78"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2,88</w:t>
            </w:r>
          </w:p>
        </w:tc>
        <w:tc>
          <w:tcPr>
            <w:tcW w:w="881" w:type="dxa"/>
            <w:tcBorders>
              <w:top w:val="nil"/>
              <w:left w:val="nil"/>
              <w:bottom w:val="single" w:sz="4" w:space="0" w:color="000000"/>
              <w:right w:val="dashSmallGap" w:sz="4" w:space="0" w:color="auto"/>
            </w:tcBorders>
            <w:shd w:val="clear" w:color="000000" w:fill="FFFFFF"/>
            <w:noWrap/>
            <w:vAlign w:val="center"/>
            <w:hideMark/>
          </w:tcPr>
          <w:p w14:paraId="0676CA3D"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6,09</w:t>
            </w:r>
          </w:p>
        </w:tc>
        <w:tc>
          <w:tcPr>
            <w:tcW w:w="258" w:type="dxa"/>
            <w:tcBorders>
              <w:top w:val="nil"/>
              <w:left w:val="dashSmallGap" w:sz="4" w:space="0" w:color="auto"/>
              <w:bottom w:val="nil"/>
              <w:right w:val="dashSmallGap" w:sz="4" w:space="0" w:color="auto"/>
            </w:tcBorders>
            <w:shd w:val="clear" w:color="000000" w:fill="FFFFFF"/>
            <w:noWrap/>
            <w:vAlign w:val="bottom"/>
            <w:hideMark/>
          </w:tcPr>
          <w:p w14:paraId="16393658"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890" w:type="dxa"/>
            <w:tcBorders>
              <w:top w:val="nil"/>
              <w:left w:val="dashSmallGap" w:sz="4" w:space="0" w:color="auto"/>
              <w:bottom w:val="single" w:sz="4" w:space="0" w:color="000000"/>
              <w:right w:val="single" w:sz="4" w:space="0" w:color="000000"/>
            </w:tcBorders>
            <w:shd w:val="clear" w:color="000000" w:fill="FFFFFF"/>
            <w:noWrap/>
            <w:vAlign w:val="center"/>
            <w:hideMark/>
          </w:tcPr>
          <w:p w14:paraId="2BE67994"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7,72</w:t>
            </w:r>
          </w:p>
        </w:tc>
        <w:tc>
          <w:tcPr>
            <w:tcW w:w="1005" w:type="dxa"/>
            <w:tcBorders>
              <w:top w:val="single" w:sz="4" w:space="0" w:color="000000"/>
              <w:left w:val="nil"/>
              <w:bottom w:val="single" w:sz="4" w:space="0" w:color="000000"/>
              <w:right w:val="single" w:sz="4" w:space="0" w:color="000000"/>
            </w:tcBorders>
            <w:shd w:val="clear" w:color="000000" w:fill="FFFFFF"/>
            <w:noWrap/>
            <w:vAlign w:val="center"/>
            <w:hideMark/>
          </w:tcPr>
          <w:p w14:paraId="43D2F1AA"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1,58</w:t>
            </w:r>
          </w:p>
        </w:tc>
        <w:tc>
          <w:tcPr>
            <w:tcW w:w="1005" w:type="dxa"/>
            <w:tcBorders>
              <w:top w:val="single" w:sz="4" w:space="0" w:color="000000"/>
              <w:left w:val="nil"/>
              <w:bottom w:val="single" w:sz="4" w:space="0" w:color="000000"/>
              <w:right w:val="single" w:sz="4" w:space="0" w:color="000000"/>
            </w:tcBorders>
            <w:shd w:val="clear" w:color="000000" w:fill="FFFFFF"/>
            <w:noWrap/>
            <w:vAlign w:val="center"/>
            <w:hideMark/>
          </w:tcPr>
          <w:p w14:paraId="0E8DEADE"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1,89</w:t>
            </w:r>
          </w:p>
        </w:tc>
        <w:tc>
          <w:tcPr>
            <w:tcW w:w="1005" w:type="dxa"/>
            <w:tcBorders>
              <w:top w:val="single" w:sz="4" w:space="0" w:color="000000"/>
              <w:left w:val="nil"/>
              <w:bottom w:val="single" w:sz="4" w:space="0" w:color="000000"/>
            </w:tcBorders>
            <w:shd w:val="clear" w:color="000000" w:fill="FFFFFF"/>
            <w:noWrap/>
            <w:vAlign w:val="center"/>
            <w:hideMark/>
          </w:tcPr>
          <w:p w14:paraId="7577ED89" w14:textId="77777777" w:rsidR="00E3317C" w:rsidRPr="00E3317C" w:rsidRDefault="00E3317C" w:rsidP="00E3317C">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1,37</w:t>
            </w:r>
          </w:p>
        </w:tc>
      </w:tr>
      <w:tr w:rsidR="00E3317C" w:rsidRPr="00566F83" w14:paraId="267483C7" w14:textId="77777777" w:rsidTr="001B2726">
        <w:trPr>
          <w:trHeight w:val="285"/>
        </w:trPr>
        <w:tc>
          <w:tcPr>
            <w:tcW w:w="14389" w:type="dxa"/>
            <w:gridSpan w:val="16"/>
            <w:tcBorders>
              <w:top w:val="single" w:sz="4" w:space="0" w:color="000000"/>
              <w:left w:val="nil"/>
              <w:bottom w:val="single" w:sz="4" w:space="0" w:color="000000"/>
              <w:right w:val="nil"/>
            </w:tcBorders>
            <w:shd w:val="clear" w:color="000000" w:fill="FFFFFF"/>
            <w:noWrap/>
            <w:vAlign w:val="center"/>
            <w:hideMark/>
          </w:tcPr>
          <w:p w14:paraId="70DE97DA" w14:textId="2520BCF1" w:rsidR="00E3317C" w:rsidRPr="00E3317C" w:rsidRDefault="00E3317C" w:rsidP="00E3317C">
            <w:pPr>
              <w:spacing w:after="0" w:line="240" w:lineRule="auto"/>
              <w:jc w:val="left"/>
              <w:rPr>
                <w:rFonts w:eastAsia="Times New Roman" w:cs="Times New Roman"/>
                <w:color w:val="000000"/>
                <w:sz w:val="18"/>
                <w:szCs w:val="18"/>
                <w:lang w:val="en-US" w:eastAsia="ru-RU"/>
              </w:rPr>
            </w:pPr>
            <w:r w:rsidRPr="00E3317C">
              <w:rPr>
                <w:rFonts w:eastAsia="Times New Roman" w:cs="Times New Roman"/>
                <w:color w:val="000000"/>
                <w:sz w:val="18"/>
                <w:szCs w:val="18"/>
                <w:lang w:val="en-US" w:eastAsia="ru-RU"/>
              </w:rPr>
              <w:t>Max/min</w:t>
            </w:r>
            <w:r w:rsidRPr="001B2726">
              <w:rPr>
                <w:rFonts w:eastAsia="Times New Roman" w:cs="Times New Roman"/>
                <w:color w:val="000000"/>
                <w:sz w:val="18"/>
                <w:szCs w:val="18"/>
                <w:lang w:val="en-US" w:eastAsia="ru-RU"/>
              </w:rPr>
              <w:t xml:space="preserve"> deviation from theoretical value</w:t>
            </w:r>
          </w:p>
        </w:tc>
      </w:tr>
      <w:tr w:rsidR="001B2726" w:rsidRPr="001B2726" w14:paraId="452D116A" w14:textId="77777777" w:rsidTr="001B2726">
        <w:trPr>
          <w:trHeight w:val="288"/>
        </w:trPr>
        <w:tc>
          <w:tcPr>
            <w:tcW w:w="1843" w:type="dxa"/>
            <w:tcBorders>
              <w:top w:val="single" w:sz="4" w:space="0" w:color="000000"/>
              <w:bottom w:val="single" w:sz="4" w:space="0" w:color="000000"/>
              <w:right w:val="nil"/>
            </w:tcBorders>
            <w:shd w:val="clear" w:color="000000" w:fill="FFFFFF"/>
            <w:noWrap/>
            <w:vAlign w:val="center"/>
            <w:hideMark/>
          </w:tcPr>
          <w:p w14:paraId="5EF02D40" w14:textId="64918AF7" w:rsidR="00E3317C" w:rsidRPr="00E3317C" w:rsidRDefault="00E3317C" w:rsidP="00E3317C">
            <w:pPr>
              <w:spacing w:after="0" w:line="240" w:lineRule="auto"/>
              <w:jc w:val="left"/>
              <w:rPr>
                <w:rFonts w:eastAsia="Times New Roman" w:cs="Times New Roman"/>
                <w:i/>
                <w:iCs/>
                <w:color w:val="000000"/>
                <w:sz w:val="18"/>
                <w:szCs w:val="18"/>
                <w:lang w:eastAsia="ru-RU"/>
              </w:rPr>
            </w:pPr>
            <w:r w:rsidRPr="001B2726">
              <w:rPr>
                <w:rFonts w:eastAsia="Times New Roman" w:cs="Times New Roman"/>
                <w:i/>
                <w:iCs/>
                <w:color w:val="000000"/>
                <w:sz w:val="18"/>
                <w:szCs w:val="18"/>
                <w:lang w:val="en-US" w:eastAsia="ru-RU"/>
              </w:rPr>
              <w:t xml:space="preserve">     </w:t>
            </w:r>
            <w:r w:rsidRPr="00E3317C">
              <w:rPr>
                <w:rFonts w:eastAsia="Times New Roman" w:cs="Times New Roman"/>
                <w:i/>
                <w:iCs/>
                <w:color w:val="000000"/>
                <w:sz w:val="18"/>
                <w:szCs w:val="18"/>
                <w:lang w:eastAsia="ru-RU"/>
              </w:rPr>
              <w:t>30-minutes periods</w:t>
            </w:r>
          </w:p>
        </w:tc>
        <w:tc>
          <w:tcPr>
            <w:tcW w:w="441" w:type="dxa"/>
            <w:tcBorders>
              <w:top w:val="single" w:sz="4" w:space="0" w:color="000000"/>
              <w:left w:val="single" w:sz="4" w:space="0" w:color="000000"/>
              <w:bottom w:val="single" w:sz="4" w:space="0" w:color="000000"/>
              <w:right w:val="double" w:sz="4" w:space="0" w:color="auto"/>
            </w:tcBorders>
            <w:shd w:val="clear" w:color="000000" w:fill="FFFFFF"/>
            <w:noWrap/>
            <w:vAlign w:val="center"/>
            <w:hideMark/>
          </w:tcPr>
          <w:p w14:paraId="3F04E6C9" w14:textId="77777777" w:rsidR="00E3317C" w:rsidRPr="00E3317C" w:rsidRDefault="00E3317C" w:rsidP="006129C4">
            <w:pPr>
              <w:spacing w:after="0" w:line="240" w:lineRule="auto"/>
              <w:ind w:left="-99" w:right="-11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b.p.</w:t>
            </w:r>
          </w:p>
        </w:tc>
        <w:tc>
          <w:tcPr>
            <w:tcW w:w="881" w:type="dxa"/>
            <w:tcBorders>
              <w:top w:val="single" w:sz="4" w:space="0" w:color="000000"/>
              <w:left w:val="double" w:sz="4" w:space="0" w:color="auto"/>
              <w:bottom w:val="single" w:sz="4" w:space="0" w:color="000000"/>
              <w:right w:val="single" w:sz="4" w:space="0" w:color="000000"/>
            </w:tcBorders>
            <w:shd w:val="clear" w:color="000000" w:fill="FFFFFF"/>
            <w:noWrap/>
            <w:vAlign w:val="center"/>
            <w:hideMark/>
          </w:tcPr>
          <w:p w14:paraId="3A16947F"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37,1 / -22,2</w:t>
            </w:r>
          </w:p>
        </w:tc>
        <w:tc>
          <w:tcPr>
            <w:tcW w:w="881" w:type="dxa"/>
            <w:tcBorders>
              <w:top w:val="single" w:sz="4" w:space="0" w:color="000000"/>
              <w:left w:val="nil"/>
              <w:bottom w:val="single" w:sz="4" w:space="0" w:color="000000"/>
              <w:right w:val="single" w:sz="4" w:space="0" w:color="000000"/>
            </w:tcBorders>
            <w:shd w:val="clear" w:color="000000" w:fill="FFFFFF"/>
            <w:noWrap/>
            <w:vAlign w:val="center"/>
            <w:hideMark/>
          </w:tcPr>
          <w:p w14:paraId="0F4BA00F"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41,7 / -70,3</w:t>
            </w:r>
          </w:p>
        </w:tc>
        <w:tc>
          <w:tcPr>
            <w:tcW w:w="88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4823B5"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68,1 / -45,9</w:t>
            </w:r>
          </w:p>
        </w:tc>
        <w:tc>
          <w:tcPr>
            <w:tcW w:w="881" w:type="dxa"/>
            <w:tcBorders>
              <w:top w:val="single" w:sz="4" w:space="0" w:color="000000"/>
              <w:left w:val="nil"/>
              <w:bottom w:val="single" w:sz="4" w:space="0" w:color="000000"/>
              <w:right w:val="single" w:sz="4" w:space="0" w:color="000000"/>
            </w:tcBorders>
            <w:shd w:val="clear" w:color="000000" w:fill="FFFFFF"/>
            <w:noWrap/>
            <w:vAlign w:val="center"/>
            <w:hideMark/>
          </w:tcPr>
          <w:p w14:paraId="618EC2CC"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25,4 / -17,7</w:t>
            </w:r>
          </w:p>
        </w:tc>
        <w:tc>
          <w:tcPr>
            <w:tcW w:w="88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D40977"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24,8 / -29,8</w:t>
            </w:r>
          </w:p>
        </w:tc>
        <w:tc>
          <w:tcPr>
            <w:tcW w:w="881" w:type="dxa"/>
            <w:tcBorders>
              <w:top w:val="single" w:sz="4" w:space="0" w:color="000000"/>
              <w:left w:val="nil"/>
              <w:bottom w:val="single" w:sz="4" w:space="0" w:color="000000"/>
              <w:right w:val="single" w:sz="4" w:space="0" w:color="000000"/>
            </w:tcBorders>
            <w:shd w:val="clear" w:color="000000" w:fill="FFFFFF"/>
            <w:noWrap/>
            <w:vAlign w:val="center"/>
            <w:hideMark/>
          </w:tcPr>
          <w:p w14:paraId="2D7BEFA6"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59,8 / -43,9</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A58FD8"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12,6 / -5,9</w:t>
            </w:r>
          </w:p>
        </w:tc>
        <w:tc>
          <w:tcPr>
            <w:tcW w:w="881" w:type="dxa"/>
            <w:tcBorders>
              <w:top w:val="single" w:sz="4" w:space="0" w:color="000000"/>
              <w:left w:val="nil"/>
              <w:bottom w:val="single" w:sz="4" w:space="0" w:color="000000"/>
              <w:right w:val="single" w:sz="4" w:space="0" w:color="000000"/>
            </w:tcBorders>
            <w:shd w:val="clear" w:color="000000" w:fill="FFFFFF"/>
            <w:noWrap/>
            <w:vAlign w:val="center"/>
            <w:hideMark/>
          </w:tcPr>
          <w:p w14:paraId="188C1176"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31,7 / -38</w:t>
            </w:r>
          </w:p>
        </w:tc>
        <w:tc>
          <w:tcPr>
            <w:tcW w:w="881" w:type="dxa"/>
            <w:tcBorders>
              <w:top w:val="nil"/>
              <w:left w:val="nil"/>
              <w:bottom w:val="single" w:sz="4" w:space="0" w:color="000000"/>
              <w:right w:val="dashSmallGap" w:sz="4" w:space="0" w:color="auto"/>
            </w:tcBorders>
            <w:shd w:val="clear" w:color="000000" w:fill="FFFFFF"/>
            <w:noWrap/>
            <w:vAlign w:val="center"/>
            <w:hideMark/>
          </w:tcPr>
          <w:p w14:paraId="508693FD"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29,1 / -29,3</w:t>
            </w:r>
          </w:p>
        </w:tc>
        <w:tc>
          <w:tcPr>
            <w:tcW w:w="258" w:type="dxa"/>
            <w:tcBorders>
              <w:top w:val="nil"/>
              <w:left w:val="dashSmallGap" w:sz="4" w:space="0" w:color="auto"/>
              <w:bottom w:val="nil"/>
              <w:right w:val="dashSmallGap" w:sz="4" w:space="0" w:color="auto"/>
            </w:tcBorders>
            <w:shd w:val="clear" w:color="000000" w:fill="FFFFFF"/>
            <w:noWrap/>
            <w:vAlign w:val="center"/>
            <w:hideMark/>
          </w:tcPr>
          <w:p w14:paraId="55E82C9F"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890" w:type="dxa"/>
            <w:tcBorders>
              <w:top w:val="nil"/>
              <w:left w:val="dashSmallGap" w:sz="4" w:space="0" w:color="auto"/>
              <w:bottom w:val="single" w:sz="4" w:space="0" w:color="000000"/>
              <w:right w:val="single" w:sz="4" w:space="0" w:color="000000"/>
            </w:tcBorders>
            <w:shd w:val="clear" w:color="000000" w:fill="FFFFFF"/>
            <w:noWrap/>
            <w:vAlign w:val="center"/>
            <w:hideMark/>
          </w:tcPr>
          <w:p w14:paraId="4704B630" w14:textId="77777777" w:rsidR="00E3317C" w:rsidRPr="00E3317C" w:rsidRDefault="00E3317C" w:rsidP="00E3317C">
            <w:pPr>
              <w:spacing w:after="0" w:line="240" w:lineRule="auto"/>
              <w:ind w:left="-115" w:right="-106"/>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77,7 / -78,4</w:t>
            </w:r>
          </w:p>
        </w:tc>
        <w:tc>
          <w:tcPr>
            <w:tcW w:w="1005" w:type="dxa"/>
            <w:tcBorders>
              <w:top w:val="single" w:sz="4" w:space="0" w:color="000000"/>
              <w:left w:val="nil"/>
              <w:bottom w:val="single" w:sz="4" w:space="0" w:color="000000"/>
              <w:right w:val="single" w:sz="4" w:space="0" w:color="000000"/>
            </w:tcBorders>
            <w:shd w:val="clear" w:color="000000" w:fill="FFFFFF"/>
            <w:noWrap/>
            <w:vAlign w:val="center"/>
            <w:hideMark/>
          </w:tcPr>
          <w:p w14:paraId="1ACE34E5" w14:textId="77777777" w:rsidR="00E3317C" w:rsidRPr="00E3317C" w:rsidRDefault="00E3317C" w:rsidP="00E3317C">
            <w:pPr>
              <w:spacing w:after="0" w:line="240" w:lineRule="auto"/>
              <w:ind w:left="-115" w:right="-106"/>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31 / -30</w:t>
            </w:r>
          </w:p>
        </w:tc>
        <w:tc>
          <w:tcPr>
            <w:tcW w:w="1005" w:type="dxa"/>
            <w:tcBorders>
              <w:top w:val="single" w:sz="4" w:space="0" w:color="000000"/>
              <w:left w:val="nil"/>
              <w:bottom w:val="single" w:sz="4" w:space="0" w:color="000000"/>
              <w:right w:val="single" w:sz="4" w:space="0" w:color="000000"/>
            </w:tcBorders>
            <w:shd w:val="clear" w:color="000000" w:fill="FFFFFF"/>
            <w:noWrap/>
            <w:vAlign w:val="center"/>
            <w:hideMark/>
          </w:tcPr>
          <w:p w14:paraId="73CFE66B" w14:textId="77777777" w:rsidR="00E3317C" w:rsidRPr="00E3317C" w:rsidRDefault="00E3317C" w:rsidP="00E3317C">
            <w:pPr>
              <w:spacing w:after="0" w:line="240" w:lineRule="auto"/>
              <w:ind w:left="-115" w:right="-106"/>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31,4 / -18,2</w:t>
            </w:r>
          </w:p>
        </w:tc>
        <w:tc>
          <w:tcPr>
            <w:tcW w:w="1005" w:type="dxa"/>
            <w:tcBorders>
              <w:top w:val="single" w:sz="4" w:space="0" w:color="000000"/>
              <w:left w:val="nil"/>
              <w:bottom w:val="single" w:sz="4" w:space="0" w:color="000000"/>
            </w:tcBorders>
            <w:shd w:val="clear" w:color="000000" w:fill="FFFFFF"/>
            <w:noWrap/>
            <w:vAlign w:val="center"/>
            <w:hideMark/>
          </w:tcPr>
          <w:p w14:paraId="09C77DAD" w14:textId="77777777" w:rsidR="00E3317C" w:rsidRPr="00E3317C" w:rsidRDefault="00E3317C" w:rsidP="00E3317C">
            <w:pPr>
              <w:spacing w:after="0" w:line="240" w:lineRule="auto"/>
              <w:ind w:left="-115" w:right="-106"/>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23,8 / -19,1</w:t>
            </w:r>
          </w:p>
        </w:tc>
      </w:tr>
      <w:tr w:rsidR="001B2726" w:rsidRPr="001B2726" w14:paraId="7DC86D74" w14:textId="77777777" w:rsidTr="001B2726">
        <w:trPr>
          <w:trHeight w:val="285"/>
        </w:trPr>
        <w:tc>
          <w:tcPr>
            <w:tcW w:w="1843" w:type="dxa"/>
            <w:tcBorders>
              <w:top w:val="nil"/>
              <w:bottom w:val="single" w:sz="4" w:space="0" w:color="auto"/>
              <w:right w:val="nil"/>
            </w:tcBorders>
            <w:shd w:val="clear" w:color="000000" w:fill="FFFFFF"/>
            <w:noWrap/>
            <w:vAlign w:val="center"/>
            <w:hideMark/>
          </w:tcPr>
          <w:p w14:paraId="6D01F8DB" w14:textId="00C2C5B7" w:rsidR="00E3317C" w:rsidRPr="00E3317C" w:rsidRDefault="00E3317C" w:rsidP="00E3317C">
            <w:pPr>
              <w:spacing w:after="0" w:line="240" w:lineRule="auto"/>
              <w:jc w:val="left"/>
              <w:rPr>
                <w:rFonts w:eastAsia="Times New Roman" w:cs="Times New Roman"/>
                <w:i/>
                <w:iCs/>
                <w:color w:val="000000"/>
                <w:sz w:val="18"/>
                <w:szCs w:val="18"/>
                <w:lang w:eastAsia="ru-RU"/>
              </w:rPr>
            </w:pPr>
            <w:r w:rsidRPr="001B2726">
              <w:rPr>
                <w:rFonts w:eastAsia="Times New Roman" w:cs="Times New Roman"/>
                <w:i/>
                <w:iCs/>
                <w:color w:val="000000"/>
                <w:sz w:val="18"/>
                <w:szCs w:val="18"/>
                <w:lang w:val="en-US" w:eastAsia="ru-RU"/>
              </w:rPr>
              <w:t xml:space="preserve">     </w:t>
            </w:r>
            <w:r w:rsidRPr="00E3317C">
              <w:rPr>
                <w:rFonts w:eastAsia="Times New Roman" w:cs="Times New Roman"/>
                <w:i/>
                <w:iCs/>
                <w:color w:val="000000"/>
                <w:sz w:val="18"/>
                <w:szCs w:val="18"/>
                <w:lang w:eastAsia="ru-RU"/>
              </w:rPr>
              <w:t>daily averages</w:t>
            </w:r>
          </w:p>
        </w:tc>
        <w:tc>
          <w:tcPr>
            <w:tcW w:w="441" w:type="dxa"/>
            <w:tcBorders>
              <w:top w:val="single" w:sz="4" w:space="0" w:color="000000"/>
              <w:left w:val="single" w:sz="4" w:space="0" w:color="000000"/>
              <w:bottom w:val="single" w:sz="4" w:space="0" w:color="auto"/>
              <w:right w:val="double" w:sz="4" w:space="0" w:color="auto"/>
            </w:tcBorders>
            <w:shd w:val="clear" w:color="000000" w:fill="FFFFFF"/>
            <w:noWrap/>
            <w:vAlign w:val="center"/>
            <w:hideMark/>
          </w:tcPr>
          <w:p w14:paraId="7FB4D23B" w14:textId="77777777" w:rsidR="00E3317C" w:rsidRPr="00E3317C" w:rsidRDefault="00E3317C" w:rsidP="006129C4">
            <w:pPr>
              <w:spacing w:after="0" w:line="240" w:lineRule="auto"/>
              <w:ind w:left="-99" w:right="-114"/>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b.p.</w:t>
            </w:r>
          </w:p>
        </w:tc>
        <w:tc>
          <w:tcPr>
            <w:tcW w:w="881" w:type="dxa"/>
            <w:tcBorders>
              <w:top w:val="nil"/>
              <w:left w:val="double" w:sz="4" w:space="0" w:color="auto"/>
              <w:bottom w:val="single" w:sz="4" w:space="0" w:color="auto"/>
              <w:right w:val="single" w:sz="4" w:space="0" w:color="000000"/>
            </w:tcBorders>
            <w:shd w:val="clear" w:color="000000" w:fill="FFFFFF"/>
            <w:noWrap/>
            <w:vAlign w:val="center"/>
            <w:hideMark/>
          </w:tcPr>
          <w:p w14:paraId="56F21832"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26 / -0,3</w:t>
            </w:r>
          </w:p>
        </w:tc>
        <w:tc>
          <w:tcPr>
            <w:tcW w:w="881" w:type="dxa"/>
            <w:tcBorders>
              <w:top w:val="nil"/>
              <w:left w:val="nil"/>
              <w:bottom w:val="single" w:sz="4" w:space="0" w:color="auto"/>
              <w:right w:val="single" w:sz="4" w:space="0" w:color="000000"/>
            </w:tcBorders>
            <w:shd w:val="clear" w:color="000000" w:fill="FFFFFF"/>
            <w:noWrap/>
            <w:vAlign w:val="center"/>
            <w:hideMark/>
          </w:tcPr>
          <w:p w14:paraId="20970C42"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10,9 / -47,8</w:t>
            </w:r>
          </w:p>
        </w:tc>
        <w:tc>
          <w:tcPr>
            <w:tcW w:w="881" w:type="dxa"/>
            <w:tcBorders>
              <w:top w:val="nil"/>
              <w:left w:val="single" w:sz="4" w:space="0" w:color="000000"/>
              <w:bottom w:val="single" w:sz="4" w:space="0" w:color="auto"/>
              <w:right w:val="single" w:sz="4" w:space="0" w:color="000000"/>
            </w:tcBorders>
            <w:shd w:val="clear" w:color="000000" w:fill="FFFFFF"/>
            <w:noWrap/>
            <w:vAlign w:val="center"/>
            <w:hideMark/>
          </w:tcPr>
          <w:p w14:paraId="5DBE0E80"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68,1 / -23,2</w:t>
            </w:r>
          </w:p>
        </w:tc>
        <w:tc>
          <w:tcPr>
            <w:tcW w:w="881" w:type="dxa"/>
            <w:tcBorders>
              <w:top w:val="nil"/>
              <w:left w:val="nil"/>
              <w:bottom w:val="single" w:sz="4" w:space="0" w:color="auto"/>
              <w:right w:val="single" w:sz="4" w:space="0" w:color="000000"/>
            </w:tcBorders>
            <w:shd w:val="clear" w:color="000000" w:fill="FFFFFF"/>
            <w:noWrap/>
            <w:vAlign w:val="center"/>
            <w:hideMark/>
          </w:tcPr>
          <w:p w14:paraId="5F3F2C20"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25,4 / -8,9</w:t>
            </w:r>
          </w:p>
        </w:tc>
        <w:tc>
          <w:tcPr>
            <w:tcW w:w="881" w:type="dxa"/>
            <w:tcBorders>
              <w:top w:val="nil"/>
              <w:left w:val="single" w:sz="4" w:space="0" w:color="000000"/>
              <w:bottom w:val="single" w:sz="4" w:space="0" w:color="auto"/>
              <w:right w:val="single" w:sz="4" w:space="0" w:color="000000"/>
            </w:tcBorders>
            <w:shd w:val="clear" w:color="000000" w:fill="FFFFFF"/>
            <w:noWrap/>
            <w:vAlign w:val="center"/>
            <w:hideMark/>
          </w:tcPr>
          <w:p w14:paraId="158CA97C"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0,7 / -7,2</w:t>
            </w:r>
          </w:p>
        </w:tc>
        <w:tc>
          <w:tcPr>
            <w:tcW w:w="881" w:type="dxa"/>
            <w:tcBorders>
              <w:top w:val="nil"/>
              <w:left w:val="nil"/>
              <w:bottom w:val="single" w:sz="4" w:space="0" w:color="auto"/>
              <w:right w:val="single" w:sz="4" w:space="0" w:color="000000"/>
            </w:tcBorders>
            <w:shd w:val="clear" w:color="000000" w:fill="FFFFFF"/>
            <w:noWrap/>
            <w:vAlign w:val="center"/>
            <w:hideMark/>
          </w:tcPr>
          <w:p w14:paraId="504EB610"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7,1 / -11,3</w:t>
            </w:r>
          </w:p>
        </w:tc>
        <w:tc>
          <w:tcPr>
            <w:tcW w:w="889" w:type="dxa"/>
            <w:tcBorders>
              <w:top w:val="nil"/>
              <w:left w:val="single" w:sz="4" w:space="0" w:color="000000"/>
              <w:bottom w:val="single" w:sz="4" w:space="0" w:color="auto"/>
              <w:right w:val="single" w:sz="4" w:space="0" w:color="000000"/>
            </w:tcBorders>
            <w:shd w:val="clear" w:color="000000" w:fill="FFFFFF"/>
            <w:noWrap/>
            <w:vAlign w:val="center"/>
            <w:hideMark/>
          </w:tcPr>
          <w:p w14:paraId="76AB709B"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8,4 / -0,5</w:t>
            </w:r>
          </w:p>
        </w:tc>
        <w:tc>
          <w:tcPr>
            <w:tcW w:w="881" w:type="dxa"/>
            <w:tcBorders>
              <w:top w:val="nil"/>
              <w:left w:val="nil"/>
              <w:bottom w:val="single" w:sz="4" w:space="0" w:color="auto"/>
              <w:right w:val="single" w:sz="4" w:space="0" w:color="000000"/>
            </w:tcBorders>
            <w:shd w:val="clear" w:color="000000" w:fill="FFFFFF"/>
            <w:noWrap/>
            <w:vAlign w:val="center"/>
            <w:hideMark/>
          </w:tcPr>
          <w:p w14:paraId="2A0BE09F"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8,8 / -38</w:t>
            </w:r>
          </w:p>
        </w:tc>
        <w:tc>
          <w:tcPr>
            <w:tcW w:w="881" w:type="dxa"/>
            <w:tcBorders>
              <w:top w:val="single" w:sz="4" w:space="0" w:color="000000"/>
              <w:left w:val="nil"/>
              <w:bottom w:val="single" w:sz="4" w:space="0" w:color="auto"/>
              <w:right w:val="dashSmallGap" w:sz="4" w:space="0" w:color="auto"/>
            </w:tcBorders>
            <w:shd w:val="clear" w:color="000000" w:fill="FFFFFF"/>
            <w:noWrap/>
            <w:vAlign w:val="center"/>
            <w:hideMark/>
          </w:tcPr>
          <w:p w14:paraId="24B50669" w14:textId="77777777" w:rsidR="00E3317C" w:rsidRPr="00E3317C" w:rsidRDefault="00E3317C" w:rsidP="00E3317C">
            <w:pPr>
              <w:spacing w:after="0" w:line="240" w:lineRule="auto"/>
              <w:ind w:left="-95" w:right="-139"/>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10,3 / -17,8</w:t>
            </w:r>
          </w:p>
        </w:tc>
        <w:tc>
          <w:tcPr>
            <w:tcW w:w="258" w:type="dxa"/>
            <w:tcBorders>
              <w:top w:val="nil"/>
              <w:left w:val="dashSmallGap" w:sz="4" w:space="0" w:color="auto"/>
              <w:bottom w:val="single" w:sz="4" w:space="0" w:color="auto"/>
              <w:right w:val="dashSmallGap" w:sz="4" w:space="0" w:color="auto"/>
            </w:tcBorders>
            <w:shd w:val="clear" w:color="000000" w:fill="FFFFFF"/>
            <w:noWrap/>
            <w:vAlign w:val="center"/>
            <w:hideMark/>
          </w:tcPr>
          <w:p w14:paraId="4FC3AB08" w14:textId="77777777" w:rsidR="00E3317C" w:rsidRPr="00E3317C" w:rsidRDefault="00E3317C" w:rsidP="00E3317C">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890" w:type="dxa"/>
            <w:tcBorders>
              <w:top w:val="single" w:sz="4" w:space="0" w:color="000000"/>
              <w:left w:val="dashSmallGap" w:sz="4" w:space="0" w:color="auto"/>
              <w:bottom w:val="single" w:sz="4" w:space="0" w:color="auto"/>
              <w:right w:val="single" w:sz="4" w:space="0" w:color="000000"/>
            </w:tcBorders>
            <w:shd w:val="clear" w:color="000000" w:fill="FFFFFF"/>
            <w:noWrap/>
            <w:vAlign w:val="center"/>
            <w:hideMark/>
          </w:tcPr>
          <w:p w14:paraId="20853749" w14:textId="77777777" w:rsidR="00E3317C" w:rsidRPr="00E3317C" w:rsidRDefault="00E3317C" w:rsidP="00E3317C">
            <w:pPr>
              <w:spacing w:after="0" w:line="240" w:lineRule="auto"/>
              <w:ind w:left="-115" w:right="-106"/>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25,6 / -7,5</w:t>
            </w:r>
          </w:p>
        </w:tc>
        <w:tc>
          <w:tcPr>
            <w:tcW w:w="1005" w:type="dxa"/>
            <w:tcBorders>
              <w:top w:val="nil"/>
              <w:left w:val="nil"/>
              <w:bottom w:val="single" w:sz="4" w:space="0" w:color="auto"/>
              <w:right w:val="single" w:sz="4" w:space="0" w:color="000000"/>
            </w:tcBorders>
            <w:shd w:val="clear" w:color="000000" w:fill="FFFFFF"/>
            <w:noWrap/>
            <w:vAlign w:val="center"/>
            <w:hideMark/>
          </w:tcPr>
          <w:p w14:paraId="31A6BC25" w14:textId="77777777" w:rsidR="00E3317C" w:rsidRPr="00E3317C" w:rsidRDefault="00E3317C" w:rsidP="00E3317C">
            <w:pPr>
              <w:spacing w:after="0" w:line="240" w:lineRule="auto"/>
              <w:ind w:left="-115" w:right="-106"/>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10,2 / -4,1</w:t>
            </w:r>
          </w:p>
        </w:tc>
        <w:tc>
          <w:tcPr>
            <w:tcW w:w="1005" w:type="dxa"/>
            <w:tcBorders>
              <w:top w:val="nil"/>
              <w:left w:val="nil"/>
              <w:bottom w:val="single" w:sz="4" w:space="0" w:color="auto"/>
              <w:right w:val="single" w:sz="4" w:space="0" w:color="000000"/>
            </w:tcBorders>
            <w:shd w:val="clear" w:color="000000" w:fill="FFFFFF"/>
            <w:noWrap/>
            <w:vAlign w:val="center"/>
            <w:hideMark/>
          </w:tcPr>
          <w:p w14:paraId="648C9C00" w14:textId="77777777" w:rsidR="00E3317C" w:rsidRPr="00E3317C" w:rsidRDefault="00E3317C" w:rsidP="00E3317C">
            <w:pPr>
              <w:spacing w:after="0" w:line="240" w:lineRule="auto"/>
              <w:ind w:left="-115" w:right="-106"/>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11,3 / -1,1</w:t>
            </w:r>
          </w:p>
        </w:tc>
        <w:tc>
          <w:tcPr>
            <w:tcW w:w="1005" w:type="dxa"/>
            <w:tcBorders>
              <w:top w:val="nil"/>
              <w:left w:val="nil"/>
              <w:bottom w:val="single" w:sz="4" w:space="0" w:color="auto"/>
            </w:tcBorders>
            <w:shd w:val="clear" w:color="000000" w:fill="FFFFFF"/>
            <w:noWrap/>
            <w:vAlign w:val="center"/>
            <w:hideMark/>
          </w:tcPr>
          <w:p w14:paraId="01498D90" w14:textId="77777777" w:rsidR="00E3317C" w:rsidRPr="00E3317C" w:rsidRDefault="00E3317C" w:rsidP="00E3317C">
            <w:pPr>
              <w:spacing w:after="0" w:line="240" w:lineRule="auto"/>
              <w:ind w:left="-115" w:right="-106"/>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1,2 / -3,7</w:t>
            </w:r>
          </w:p>
        </w:tc>
      </w:tr>
      <w:tr w:rsidR="006129C4" w:rsidRPr="001B2726" w14:paraId="2A81B070" w14:textId="77777777" w:rsidTr="001B2726">
        <w:trPr>
          <w:trHeight w:val="285"/>
        </w:trPr>
        <w:tc>
          <w:tcPr>
            <w:tcW w:w="14389" w:type="dxa"/>
            <w:gridSpan w:val="16"/>
            <w:tcBorders>
              <w:top w:val="single" w:sz="4" w:space="0" w:color="auto"/>
              <w:left w:val="nil"/>
              <w:bottom w:val="single" w:sz="4" w:space="0" w:color="auto"/>
              <w:right w:val="nil"/>
            </w:tcBorders>
            <w:shd w:val="clear" w:color="000000" w:fill="FFFFFF"/>
            <w:noWrap/>
            <w:vAlign w:val="center"/>
            <w:hideMark/>
          </w:tcPr>
          <w:p w14:paraId="38803BC4" w14:textId="60D8CEF1" w:rsidR="006129C4" w:rsidRPr="00E3317C" w:rsidRDefault="006129C4" w:rsidP="006129C4">
            <w:pPr>
              <w:spacing w:after="0" w:line="240" w:lineRule="auto"/>
              <w:jc w:val="center"/>
              <w:rPr>
                <w:rFonts w:eastAsia="Times New Roman" w:cs="Times New Roman"/>
                <w:b/>
                <w:bCs/>
                <w:color w:val="000000"/>
                <w:sz w:val="18"/>
                <w:szCs w:val="18"/>
                <w:lang w:eastAsia="ru-RU"/>
              </w:rPr>
            </w:pPr>
            <w:r w:rsidRPr="001B2726">
              <w:rPr>
                <w:rFonts w:eastAsia="Times New Roman" w:cs="Times New Roman"/>
                <w:b/>
                <w:bCs/>
                <w:color w:val="000000"/>
                <w:sz w:val="18"/>
                <w:szCs w:val="18"/>
                <w:lang w:val="en-US" w:eastAsia="ru-RU"/>
              </w:rPr>
              <w:t>Shape of daily deviation</w:t>
            </w:r>
          </w:p>
        </w:tc>
      </w:tr>
      <w:tr w:rsidR="001B2726" w:rsidRPr="001B2726" w14:paraId="2A221650" w14:textId="77777777" w:rsidTr="001B2726">
        <w:trPr>
          <w:trHeight w:val="285"/>
        </w:trPr>
        <w:tc>
          <w:tcPr>
            <w:tcW w:w="1843" w:type="dxa"/>
            <w:tcBorders>
              <w:top w:val="single" w:sz="4" w:space="0" w:color="auto"/>
              <w:bottom w:val="single" w:sz="4" w:space="0" w:color="000000"/>
            </w:tcBorders>
            <w:shd w:val="clear" w:color="000000" w:fill="FFFFFF"/>
            <w:noWrap/>
            <w:vAlign w:val="center"/>
          </w:tcPr>
          <w:p w14:paraId="4C5A712F" w14:textId="0BF90A1E" w:rsidR="006129C4" w:rsidRPr="00E3317C" w:rsidRDefault="006129C4" w:rsidP="006129C4">
            <w:pPr>
              <w:spacing w:after="0" w:line="240" w:lineRule="auto"/>
              <w:jc w:val="left"/>
              <w:rPr>
                <w:rFonts w:eastAsia="Times New Roman" w:cs="Times New Roman"/>
                <w:color w:val="000000"/>
                <w:sz w:val="18"/>
                <w:szCs w:val="18"/>
                <w:lang w:val="en-US" w:eastAsia="ru-RU"/>
              </w:rPr>
            </w:pPr>
          </w:p>
        </w:tc>
        <w:tc>
          <w:tcPr>
            <w:tcW w:w="441" w:type="dxa"/>
            <w:tcBorders>
              <w:top w:val="single" w:sz="4" w:space="0" w:color="auto"/>
              <w:left w:val="nil"/>
              <w:bottom w:val="single" w:sz="4" w:space="0" w:color="000000"/>
              <w:right w:val="double" w:sz="4" w:space="0" w:color="auto"/>
            </w:tcBorders>
            <w:shd w:val="clear" w:color="000000" w:fill="FFFFFF"/>
            <w:noWrap/>
            <w:vAlign w:val="bottom"/>
            <w:hideMark/>
          </w:tcPr>
          <w:p w14:paraId="44B4F044" w14:textId="77777777" w:rsidR="006129C4" w:rsidRPr="00E3317C" w:rsidRDefault="006129C4" w:rsidP="006129C4">
            <w:pPr>
              <w:spacing w:after="0" w:line="240" w:lineRule="auto"/>
              <w:jc w:val="center"/>
              <w:rPr>
                <w:rFonts w:eastAsia="Times New Roman" w:cs="Times New Roman"/>
                <w:color w:val="000000"/>
                <w:sz w:val="18"/>
                <w:szCs w:val="18"/>
                <w:lang w:val="en-US" w:eastAsia="ru-RU"/>
              </w:rPr>
            </w:pPr>
            <w:r w:rsidRPr="00E3317C">
              <w:rPr>
                <w:rFonts w:eastAsia="Times New Roman" w:cs="Times New Roman"/>
                <w:color w:val="000000"/>
                <w:sz w:val="18"/>
                <w:szCs w:val="18"/>
                <w:lang w:val="en-US" w:eastAsia="ru-RU"/>
              </w:rPr>
              <w:t> </w:t>
            </w:r>
          </w:p>
        </w:tc>
        <w:tc>
          <w:tcPr>
            <w:tcW w:w="881" w:type="dxa"/>
            <w:tcBorders>
              <w:top w:val="single" w:sz="4" w:space="0" w:color="auto"/>
              <w:left w:val="double" w:sz="4" w:space="0" w:color="auto"/>
              <w:bottom w:val="single" w:sz="4" w:space="0" w:color="000000"/>
              <w:right w:val="single" w:sz="4" w:space="0" w:color="000000"/>
            </w:tcBorders>
            <w:shd w:val="clear" w:color="000000" w:fill="FFFFFF"/>
            <w:noWrap/>
            <w:vAlign w:val="center"/>
            <w:hideMark/>
          </w:tcPr>
          <w:p w14:paraId="6C723286" w14:textId="77777777" w:rsidR="006129C4" w:rsidRPr="00E3317C" w:rsidRDefault="006129C4" w:rsidP="006129C4">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pos conv</w:t>
            </w:r>
          </w:p>
        </w:tc>
        <w:tc>
          <w:tcPr>
            <w:tcW w:w="881" w:type="dxa"/>
            <w:tcBorders>
              <w:top w:val="single" w:sz="4" w:space="0" w:color="auto"/>
              <w:left w:val="nil"/>
              <w:bottom w:val="single" w:sz="4" w:space="0" w:color="000000"/>
              <w:right w:val="single" w:sz="4" w:space="0" w:color="000000"/>
            </w:tcBorders>
            <w:shd w:val="clear" w:color="000000" w:fill="FFFFFF"/>
            <w:noWrap/>
            <w:vAlign w:val="center"/>
            <w:hideMark/>
          </w:tcPr>
          <w:p w14:paraId="74092601" w14:textId="77777777" w:rsidR="006129C4" w:rsidRPr="00E3317C" w:rsidRDefault="006129C4" w:rsidP="006129C4">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neg conv</w:t>
            </w:r>
          </w:p>
        </w:tc>
        <w:tc>
          <w:tcPr>
            <w:tcW w:w="881"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14:paraId="1E03E0C9" w14:textId="77777777" w:rsidR="006129C4" w:rsidRPr="00E3317C" w:rsidRDefault="006129C4" w:rsidP="006129C4">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pos conv</w:t>
            </w:r>
          </w:p>
        </w:tc>
        <w:tc>
          <w:tcPr>
            <w:tcW w:w="881" w:type="dxa"/>
            <w:tcBorders>
              <w:top w:val="single" w:sz="4" w:space="0" w:color="auto"/>
              <w:left w:val="nil"/>
              <w:bottom w:val="single" w:sz="4" w:space="0" w:color="000000"/>
              <w:right w:val="single" w:sz="4" w:space="0" w:color="000000"/>
            </w:tcBorders>
            <w:shd w:val="clear" w:color="000000" w:fill="FFFFFF"/>
            <w:noWrap/>
            <w:vAlign w:val="center"/>
            <w:hideMark/>
          </w:tcPr>
          <w:p w14:paraId="15D35291" w14:textId="77777777" w:rsidR="006129C4" w:rsidRPr="00E3317C" w:rsidRDefault="006129C4" w:rsidP="006129C4">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zero dev</w:t>
            </w:r>
          </w:p>
        </w:tc>
        <w:tc>
          <w:tcPr>
            <w:tcW w:w="881" w:type="dxa"/>
            <w:tcBorders>
              <w:top w:val="single" w:sz="4" w:space="0" w:color="auto"/>
              <w:left w:val="nil"/>
              <w:bottom w:val="single" w:sz="4" w:space="0" w:color="000000"/>
              <w:right w:val="single" w:sz="4" w:space="0" w:color="000000"/>
            </w:tcBorders>
            <w:shd w:val="clear" w:color="000000" w:fill="FFFFFF"/>
            <w:noWrap/>
            <w:vAlign w:val="center"/>
            <w:hideMark/>
          </w:tcPr>
          <w:p w14:paraId="67134C74" w14:textId="77777777" w:rsidR="006129C4" w:rsidRPr="00E3317C" w:rsidRDefault="006129C4" w:rsidP="006129C4">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neg conv</w:t>
            </w:r>
          </w:p>
        </w:tc>
        <w:tc>
          <w:tcPr>
            <w:tcW w:w="881" w:type="dxa"/>
            <w:tcBorders>
              <w:top w:val="single" w:sz="4" w:space="0" w:color="auto"/>
              <w:left w:val="nil"/>
              <w:bottom w:val="single" w:sz="4" w:space="0" w:color="000000"/>
              <w:right w:val="single" w:sz="4" w:space="0" w:color="000000"/>
            </w:tcBorders>
            <w:shd w:val="clear" w:color="000000" w:fill="FFFFFF"/>
            <w:noWrap/>
            <w:vAlign w:val="center"/>
            <w:hideMark/>
          </w:tcPr>
          <w:p w14:paraId="6A68FECA" w14:textId="77777777" w:rsidR="006129C4" w:rsidRPr="00E3317C" w:rsidRDefault="006129C4" w:rsidP="006129C4">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neg conv</w:t>
            </w:r>
          </w:p>
        </w:tc>
        <w:tc>
          <w:tcPr>
            <w:tcW w:w="889"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14:paraId="590386DD" w14:textId="77777777" w:rsidR="006129C4" w:rsidRPr="00E3317C" w:rsidRDefault="006129C4" w:rsidP="006129C4">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pos conv</w:t>
            </w:r>
          </w:p>
        </w:tc>
        <w:tc>
          <w:tcPr>
            <w:tcW w:w="881" w:type="dxa"/>
            <w:tcBorders>
              <w:top w:val="single" w:sz="4" w:space="0" w:color="auto"/>
              <w:left w:val="nil"/>
              <w:bottom w:val="single" w:sz="4" w:space="0" w:color="000000"/>
              <w:right w:val="single" w:sz="4" w:space="0" w:color="000000"/>
            </w:tcBorders>
            <w:shd w:val="clear" w:color="000000" w:fill="FFFFFF"/>
            <w:noWrap/>
            <w:vAlign w:val="center"/>
            <w:hideMark/>
          </w:tcPr>
          <w:p w14:paraId="7759B34F" w14:textId="77777777" w:rsidR="006129C4" w:rsidRPr="00E3317C" w:rsidRDefault="006129C4" w:rsidP="006129C4">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zero dev</w:t>
            </w:r>
          </w:p>
        </w:tc>
        <w:tc>
          <w:tcPr>
            <w:tcW w:w="881" w:type="dxa"/>
            <w:tcBorders>
              <w:top w:val="single" w:sz="4" w:space="0" w:color="auto"/>
              <w:left w:val="nil"/>
              <w:bottom w:val="single" w:sz="4" w:space="0" w:color="000000"/>
              <w:right w:val="dashSmallGap" w:sz="4" w:space="0" w:color="auto"/>
            </w:tcBorders>
            <w:shd w:val="clear" w:color="000000" w:fill="FFFFFF"/>
            <w:noWrap/>
            <w:vAlign w:val="center"/>
            <w:hideMark/>
          </w:tcPr>
          <w:p w14:paraId="4740D489" w14:textId="77777777" w:rsidR="006129C4" w:rsidRPr="00E3317C" w:rsidRDefault="006129C4" w:rsidP="006129C4">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zero dev</w:t>
            </w:r>
          </w:p>
        </w:tc>
        <w:tc>
          <w:tcPr>
            <w:tcW w:w="258" w:type="dxa"/>
            <w:tcBorders>
              <w:top w:val="single" w:sz="4" w:space="0" w:color="auto"/>
              <w:left w:val="dashSmallGap" w:sz="4" w:space="0" w:color="auto"/>
              <w:bottom w:val="nil"/>
              <w:right w:val="dashSmallGap" w:sz="4" w:space="0" w:color="auto"/>
            </w:tcBorders>
            <w:shd w:val="clear" w:color="000000" w:fill="FFFFFF"/>
            <w:noWrap/>
            <w:vAlign w:val="center"/>
            <w:hideMark/>
          </w:tcPr>
          <w:p w14:paraId="1D2668E8" w14:textId="77777777" w:rsidR="006129C4" w:rsidRPr="00E3317C" w:rsidRDefault="006129C4" w:rsidP="006129C4">
            <w:pPr>
              <w:spacing w:after="0" w:line="240" w:lineRule="auto"/>
              <w:jc w:val="left"/>
              <w:rPr>
                <w:rFonts w:eastAsia="Times New Roman" w:cs="Times New Roman"/>
                <w:color w:val="000000"/>
                <w:sz w:val="18"/>
                <w:szCs w:val="18"/>
                <w:lang w:eastAsia="ru-RU"/>
              </w:rPr>
            </w:pPr>
            <w:r w:rsidRPr="00E3317C">
              <w:rPr>
                <w:rFonts w:eastAsia="Times New Roman" w:cs="Times New Roman"/>
                <w:color w:val="000000"/>
                <w:sz w:val="18"/>
                <w:szCs w:val="18"/>
                <w:lang w:eastAsia="ru-RU"/>
              </w:rPr>
              <w:t> </w:t>
            </w:r>
          </w:p>
        </w:tc>
        <w:tc>
          <w:tcPr>
            <w:tcW w:w="890" w:type="dxa"/>
            <w:tcBorders>
              <w:top w:val="single" w:sz="4" w:space="0" w:color="auto"/>
              <w:left w:val="dashSmallGap" w:sz="4" w:space="0" w:color="auto"/>
              <w:bottom w:val="single" w:sz="4" w:space="0" w:color="000000"/>
              <w:right w:val="single" w:sz="4" w:space="0" w:color="000000"/>
            </w:tcBorders>
            <w:shd w:val="clear" w:color="000000" w:fill="FFFFFF"/>
            <w:noWrap/>
            <w:vAlign w:val="center"/>
            <w:hideMark/>
          </w:tcPr>
          <w:p w14:paraId="65935DA7" w14:textId="77777777" w:rsidR="006129C4" w:rsidRPr="00E3317C" w:rsidRDefault="006129C4" w:rsidP="006129C4">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wave</w:t>
            </w:r>
          </w:p>
        </w:tc>
        <w:tc>
          <w:tcPr>
            <w:tcW w:w="1005" w:type="dxa"/>
            <w:tcBorders>
              <w:top w:val="single" w:sz="4" w:space="0" w:color="auto"/>
              <w:left w:val="nil"/>
              <w:bottom w:val="single" w:sz="4" w:space="0" w:color="000000"/>
              <w:right w:val="single" w:sz="4" w:space="0" w:color="000000"/>
            </w:tcBorders>
            <w:shd w:val="clear" w:color="000000" w:fill="FFFFFF"/>
            <w:noWrap/>
            <w:vAlign w:val="center"/>
            <w:hideMark/>
          </w:tcPr>
          <w:p w14:paraId="617CB38C" w14:textId="77777777" w:rsidR="006129C4" w:rsidRPr="00E3317C" w:rsidRDefault="006129C4" w:rsidP="006129C4">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wave</w:t>
            </w:r>
          </w:p>
        </w:tc>
        <w:tc>
          <w:tcPr>
            <w:tcW w:w="1005" w:type="dxa"/>
            <w:tcBorders>
              <w:top w:val="single" w:sz="4" w:space="0" w:color="auto"/>
              <w:left w:val="nil"/>
              <w:bottom w:val="single" w:sz="4" w:space="0" w:color="000000"/>
              <w:right w:val="single" w:sz="4" w:space="0" w:color="000000"/>
            </w:tcBorders>
            <w:shd w:val="clear" w:color="000000" w:fill="FFFFFF"/>
            <w:noWrap/>
            <w:vAlign w:val="center"/>
            <w:hideMark/>
          </w:tcPr>
          <w:p w14:paraId="0800E093" w14:textId="77777777" w:rsidR="006129C4" w:rsidRPr="00E3317C" w:rsidRDefault="006129C4" w:rsidP="006129C4">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pos conv</w:t>
            </w:r>
          </w:p>
        </w:tc>
        <w:tc>
          <w:tcPr>
            <w:tcW w:w="1005" w:type="dxa"/>
            <w:tcBorders>
              <w:top w:val="single" w:sz="4" w:space="0" w:color="auto"/>
              <w:left w:val="nil"/>
              <w:bottom w:val="single" w:sz="4" w:space="0" w:color="000000"/>
            </w:tcBorders>
            <w:shd w:val="clear" w:color="000000" w:fill="FFFFFF"/>
            <w:noWrap/>
            <w:vAlign w:val="center"/>
            <w:hideMark/>
          </w:tcPr>
          <w:p w14:paraId="24B40B4C" w14:textId="77777777" w:rsidR="006129C4" w:rsidRPr="00E3317C" w:rsidRDefault="006129C4" w:rsidP="006129C4">
            <w:pPr>
              <w:spacing w:after="0" w:line="240" w:lineRule="auto"/>
              <w:jc w:val="center"/>
              <w:rPr>
                <w:rFonts w:eastAsia="Times New Roman" w:cs="Times New Roman"/>
                <w:color w:val="000000"/>
                <w:sz w:val="18"/>
                <w:szCs w:val="18"/>
                <w:lang w:eastAsia="ru-RU"/>
              </w:rPr>
            </w:pPr>
            <w:r w:rsidRPr="00E3317C">
              <w:rPr>
                <w:rFonts w:eastAsia="Times New Roman" w:cs="Times New Roman"/>
                <w:color w:val="000000"/>
                <w:sz w:val="18"/>
                <w:szCs w:val="18"/>
                <w:lang w:eastAsia="ru-RU"/>
              </w:rPr>
              <w:t>zero dev</w:t>
            </w:r>
          </w:p>
        </w:tc>
      </w:tr>
    </w:tbl>
    <w:p w14:paraId="30147085" w14:textId="77777777" w:rsidR="006129C4" w:rsidRPr="009D599D" w:rsidRDefault="006129C4" w:rsidP="006129C4">
      <w:pPr>
        <w:pStyle w:val="a1"/>
      </w:pPr>
      <w:r>
        <w:t>Source: Author’s calculations</w:t>
      </w:r>
    </w:p>
    <w:p w14:paraId="7E3E21A6" w14:textId="7852F1EA" w:rsidR="006129C4" w:rsidRPr="006129C4" w:rsidRDefault="009D599D" w:rsidP="00E3317C">
      <w:pPr>
        <w:spacing w:after="0" w:line="360" w:lineRule="auto"/>
        <w:rPr>
          <w:rFonts w:cs="Times New Roman"/>
          <w:sz w:val="16"/>
          <w:szCs w:val="16"/>
          <w:lang w:val="en-US"/>
        </w:rPr>
      </w:pPr>
      <w:r w:rsidRPr="006129C4">
        <w:rPr>
          <w:rFonts w:cs="Times New Roman"/>
          <w:sz w:val="16"/>
          <w:szCs w:val="16"/>
          <w:lang w:val="en-US"/>
        </w:rPr>
        <w:t>Legend:</w:t>
      </w:r>
      <w:r w:rsidR="00E310B8" w:rsidRPr="006129C4">
        <w:rPr>
          <w:rFonts w:cs="Times New Roman"/>
          <w:sz w:val="16"/>
          <w:szCs w:val="16"/>
          <w:lang w:val="en-US"/>
        </w:rPr>
        <w:t xml:space="preserve"> </w:t>
      </w:r>
      <w:r w:rsidRPr="006129C4">
        <w:rPr>
          <w:rFonts w:cs="Times New Roman"/>
          <w:sz w:val="16"/>
          <w:szCs w:val="16"/>
          <w:lang w:val="en-US"/>
        </w:rPr>
        <w:t>pos / neg conv: positive / negative convergence of price deviation to zero</w:t>
      </w:r>
      <w:r w:rsidR="00296D1A" w:rsidRPr="006129C4">
        <w:rPr>
          <w:rFonts w:cs="Times New Roman"/>
          <w:sz w:val="16"/>
          <w:szCs w:val="16"/>
          <w:lang w:val="en-US"/>
        </w:rPr>
        <w:t>,</w:t>
      </w:r>
      <w:r w:rsidR="00E310B8" w:rsidRPr="006129C4">
        <w:rPr>
          <w:rFonts w:cs="Times New Roman"/>
          <w:sz w:val="16"/>
          <w:szCs w:val="16"/>
          <w:lang w:val="en-US"/>
        </w:rPr>
        <w:t xml:space="preserve"> </w:t>
      </w:r>
    </w:p>
    <w:p w14:paraId="313C7B4C" w14:textId="77777777" w:rsidR="006129C4" w:rsidRPr="006129C4" w:rsidRDefault="009D599D" w:rsidP="00E3317C">
      <w:pPr>
        <w:spacing w:after="0" w:line="360" w:lineRule="auto"/>
        <w:rPr>
          <w:rFonts w:cs="Times New Roman"/>
          <w:sz w:val="16"/>
          <w:szCs w:val="16"/>
          <w:lang w:val="en-US"/>
        </w:rPr>
      </w:pPr>
      <w:r w:rsidRPr="006129C4">
        <w:rPr>
          <w:rFonts w:cs="Times New Roman"/>
          <w:sz w:val="16"/>
          <w:szCs w:val="16"/>
          <w:lang w:val="en-US"/>
        </w:rPr>
        <w:t>zero dev: zero price deviation</w:t>
      </w:r>
      <w:r w:rsidR="00296D1A" w:rsidRPr="006129C4">
        <w:rPr>
          <w:rFonts w:cs="Times New Roman"/>
          <w:sz w:val="16"/>
          <w:szCs w:val="16"/>
          <w:lang w:val="en-US"/>
        </w:rPr>
        <w:t>,</w:t>
      </w:r>
      <w:r w:rsidR="00E310B8" w:rsidRPr="006129C4">
        <w:rPr>
          <w:rFonts w:cs="Times New Roman"/>
          <w:sz w:val="16"/>
          <w:szCs w:val="16"/>
          <w:lang w:val="en-US"/>
        </w:rPr>
        <w:t xml:space="preserve"> </w:t>
      </w:r>
    </w:p>
    <w:p w14:paraId="2758442F" w14:textId="1B2D716A" w:rsidR="009D599D" w:rsidRPr="006129C4" w:rsidRDefault="009D599D" w:rsidP="00E3317C">
      <w:pPr>
        <w:spacing w:after="0" w:line="360" w:lineRule="auto"/>
        <w:rPr>
          <w:rFonts w:cs="Times New Roman"/>
          <w:sz w:val="16"/>
          <w:szCs w:val="16"/>
          <w:lang w:val="en-US"/>
        </w:rPr>
      </w:pPr>
      <w:r w:rsidRPr="006129C4">
        <w:rPr>
          <w:rFonts w:cs="Times New Roman"/>
          <w:sz w:val="16"/>
          <w:szCs w:val="16"/>
          <w:lang w:val="en-US"/>
        </w:rPr>
        <w:t>wave:  price deviation changes from negative to positive several times</w:t>
      </w:r>
    </w:p>
    <w:p w14:paraId="3964B3D8" w14:textId="21767E52" w:rsidR="00171FE1" w:rsidRDefault="00171FE1">
      <w:pPr>
        <w:jc w:val="left"/>
        <w:rPr>
          <w:rFonts w:cs="Times New Roman"/>
          <w:sz w:val="14"/>
          <w:szCs w:val="14"/>
          <w:lang w:val="en-US"/>
        </w:rPr>
      </w:pPr>
      <w:r>
        <w:rPr>
          <w:rFonts w:cs="Times New Roman"/>
          <w:sz w:val="14"/>
          <w:szCs w:val="14"/>
          <w:lang w:val="en-US"/>
        </w:rPr>
        <w:br w:type="page"/>
      </w:r>
    </w:p>
    <w:p w14:paraId="306073B7" w14:textId="26E77D42" w:rsidR="00296D1A" w:rsidRPr="002B70F9" w:rsidRDefault="00293CAC" w:rsidP="00293CAC">
      <w:pPr>
        <w:pStyle w:val="a0"/>
      </w:pPr>
      <w:r w:rsidRPr="00293CAC">
        <w:lastRenderedPageBreak/>
        <w:t xml:space="preserve">Table </w:t>
      </w:r>
      <w:r>
        <w:fldChar w:fldCharType="begin"/>
      </w:r>
      <w:r w:rsidRPr="00293CAC">
        <w:instrText xml:space="preserve"> SEQ Table \* ARABIC </w:instrText>
      </w:r>
      <w:r>
        <w:fldChar w:fldCharType="separate"/>
      </w:r>
      <w:r w:rsidR="004D16C9">
        <w:rPr>
          <w:noProof/>
        </w:rPr>
        <w:t>5</w:t>
      </w:r>
      <w:r>
        <w:fldChar w:fldCharType="end"/>
      </w:r>
      <w:r>
        <w:t xml:space="preserve">. </w:t>
      </w:r>
      <w:r w:rsidR="002B70F9" w:rsidRPr="002B70F9">
        <w:t>Presentation of the model adopted for the calculation</w:t>
      </w:r>
      <w:r w:rsidR="002B70F9">
        <w:t>: EUR/CHF FX future example</w:t>
      </w:r>
    </w:p>
    <w:tbl>
      <w:tblPr>
        <w:tblW w:w="15037" w:type="dxa"/>
        <w:tblLook w:val="04A0" w:firstRow="1" w:lastRow="0" w:firstColumn="1" w:lastColumn="0" w:noHBand="0" w:noVBand="1"/>
      </w:tblPr>
      <w:tblGrid>
        <w:gridCol w:w="1026"/>
        <w:gridCol w:w="857"/>
        <w:gridCol w:w="1169"/>
        <w:gridCol w:w="1169"/>
        <w:gridCol w:w="660"/>
        <w:gridCol w:w="837"/>
        <w:gridCol w:w="888"/>
        <w:gridCol w:w="1049"/>
        <w:gridCol w:w="972"/>
        <w:gridCol w:w="1177"/>
        <w:gridCol w:w="396"/>
        <w:gridCol w:w="1176"/>
        <w:gridCol w:w="1240"/>
        <w:gridCol w:w="1161"/>
        <w:gridCol w:w="1260"/>
      </w:tblGrid>
      <w:tr w:rsidR="00DA4B44" w:rsidRPr="00171FE1" w14:paraId="3E2BA11E" w14:textId="77777777" w:rsidTr="00664AA2">
        <w:trPr>
          <w:trHeight w:val="288"/>
        </w:trPr>
        <w:tc>
          <w:tcPr>
            <w:tcW w:w="4881" w:type="dxa"/>
            <w:gridSpan w:val="5"/>
            <w:tcBorders>
              <w:top w:val="single" w:sz="4" w:space="0" w:color="auto"/>
              <w:bottom w:val="single" w:sz="4" w:space="0" w:color="auto"/>
              <w:right w:val="single" w:sz="4" w:space="0" w:color="auto"/>
            </w:tcBorders>
            <w:shd w:val="clear" w:color="auto" w:fill="auto"/>
            <w:noWrap/>
            <w:vAlign w:val="center"/>
            <w:hideMark/>
          </w:tcPr>
          <w:p w14:paraId="51B13FD5" w14:textId="77777777" w:rsidR="002B70F9" w:rsidRPr="00171FE1" w:rsidRDefault="002B70F9" w:rsidP="00F51C51">
            <w:pPr>
              <w:spacing w:after="0" w:line="360" w:lineRule="auto"/>
              <w:jc w:val="center"/>
              <w:rPr>
                <w:rFonts w:eastAsia="Times New Roman" w:cs="Times New Roman"/>
                <w:color w:val="000000"/>
                <w:sz w:val="18"/>
                <w:szCs w:val="18"/>
                <w:lang w:eastAsia="ru-RU"/>
              </w:rPr>
            </w:pPr>
            <w:r w:rsidRPr="00171FE1">
              <w:rPr>
                <w:rFonts w:eastAsia="Times New Roman" w:cs="Times New Roman"/>
                <w:b/>
                <w:bCs/>
                <w:color w:val="000000"/>
                <w:sz w:val="18"/>
                <w:szCs w:val="18"/>
                <w:lang w:eastAsia="ru-RU"/>
              </w:rPr>
              <w:t>Trade data</w:t>
            </w:r>
          </w:p>
        </w:tc>
        <w:tc>
          <w:tcPr>
            <w:tcW w:w="492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7EABE8D" w14:textId="77777777" w:rsidR="002B70F9" w:rsidRPr="00171FE1" w:rsidRDefault="002B70F9" w:rsidP="00F51C51">
            <w:pPr>
              <w:spacing w:after="0" w:line="360" w:lineRule="auto"/>
              <w:ind w:right="-114"/>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CHF LIBOR</w:t>
            </w:r>
          </w:p>
        </w:tc>
        <w:tc>
          <w:tcPr>
            <w:tcW w:w="15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9CD77B" w14:textId="77777777" w:rsidR="002B70F9" w:rsidRPr="00171FE1" w:rsidRDefault="002B70F9" w:rsidP="00F51C51">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EURIBOR</w:t>
            </w:r>
          </w:p>
        </w:tc>
        <w:tc>
          <w:tcPr>
            <w:tcW w:w="3661" w:type="dxa"/>
            <w:gridSpan w:val="3"/>
            <w:tcBorders>
              <w:top w:val="single" w:sz="4" w:space="0" w:color="auto"/>
              <w:left w:val="nil"/>
              <w:bottom w:val="single" w:sz="4" w:space="0" w:color="auto"/>
            </w:tcBorders>
            <w:shd w:val="clear" w:color="auto" w:fill="auto"/>
            <w:vAlign w:val="center"/>
          </w:tcPr>
          <w:p w14:paraId="53033C42" w14:textId="77777777" w:rsidR="002B70F9" w:rsidRPr="00171FE1" w:rsidRDefault="002B70F9" w:rsidP="00F51C51">
            <w:pPr>
              <w:spacing w:after="0" w:line="360" w:lineRule="auto"/>
              <w:jc w:val="center"/>
              <w:rPr>
                <w:rFonts w:eastAsia="Times New Roman" w:cs="Times New Roman"/>
                <w:color w:val="000000"/>
                <w:sz w:val="18"/>
                <w:szCs w:val="18"/>
                <w:lang w:eastAsia="ru-RU"/>
              </w:rPr>
            </w:pPr>
            <w:r w:rsidRPr="00171FE1">
              <w:rPr>
                <w:rFonts w:eastAsia="Times New Roman" w:cs="Times New Roman"/>
                <w:b/>
                <w:bCs/>
                <w:color w:val="000000"/>
                <w:sz w:val="18"/>
                <w:szCs w:val="18"/>
                <w:lang w:eastAsia="ru-RU"/>
              </w:rPr>
              <w:t>Deviation</w:t>
            </w:r>
          </w:p>
        </w:tc>
      </w:tr>
      <w:tr w:rsidR="0020303E" w:rsidRPr="00171FE1" w14:paraId="7D1C3A69" w14:textId="77777777" w:rsidTr="00664AA2">
        <w:trPr>
          <w:trHeight w:val="20"/>
        </w:trPr>
        <w:tc>
          <w:tcPr>
            <w:tcW w:w="1026" w:type="dxa"/>
            <w:tcBorders>
              <w:top w:val="nil"/>
              <w:bottom w:val="single" w:sz="4" w:space="0" w:color="auto"/>
              <w:right w:val="single" w:sz="4" w:space="0" w:color="auto"/>
            </w:tcBorders>
            <w:shd w:val="clear" w:color="auto" w:fill="auto"/>
            <w:noWrap/>
            <w:vAlign w:val="center"/>
            <w:hideMark/>
          </w:tcPr>
          <w:p w14:paraId="2AD0E061" w14:textId="77777777" w:rsidR="002B70F9" w:rsidRPr="00171FE1" w:rsidRDefault="002B70F9" w:rsidP="00171FE1">
            <w:pPr>
              <w:spacing w:after="0" w:line="360" w:lineRule="auto"/>
              <w:ind w:left="-105" w:right="-78"/>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Date</w:t>
            </w:r>
          </w:p>
        </w:tc>
        <w:tc>
          <w:tcPr>
            <w:tcW w:w="857" w:type="dxa"/>
            <w:tcBorders>
              <w:top w:val="nil"/>
              <w:left w:val="nil"/>
              <w:bottom w:val="single" w:sz="4" w:space="0" w:color="auto"/>
              <w:right w:val="single" w:sz="4" w:space="0" w:color="auto"/>
            </w:tcBorders>
            <w:shd w:val="clear" w:color="auto" w:fill="auto"/>
            <w:noWrap/>
            <w:vAlign w:val="center"/>
            <w:hideMark/>
          </w:tcPr>
          <w:p w14:paraId="2A3CB2F8" w14:textId="77777777" w:rsidR="002B70F9" w:rsidRPr="00171FE1" w:rsidRDefault="002B70F9" w:rsidP="00831D01">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Time</w:t>
            </w:r>
          </w:p>
        </w:tc>
        <w:tc>
          <w:tcPr>
            <w:tcW w:w="1169" w:type="dxa"/>
            <w:tcBorders>
              <w:top w:val="nil"/>
              <w:left w:val="nil"/>
              <w:bottom w:val="single" w:sz="4" w:space="0" w:color="auto"/>
              <w:right w:val="single" w:sz="4" w:space="0" w:color="auto"/>
            </w:tcBorders>
            <w:shd w:val="clear" w:color="auto" w:fill="auto"/>
            <w:noWrap/>
            <w:vAlign w:val="center"/>
            <w:hideMark/>
          </w:tcPr>
          <w:p w14:paraId="75AAA3BD" w14:textId="77777777" w:rsidR="002B70F9" w:rsidRPr="00171FE1" w:rsidRDefault="002B70F9" w:rsidP="0020303E">
            <w:pPr>
              <w:spacing w:after="0" w:line="360" w:lineRule="auto"/>
              <w:ind w:left="-151" w:right="-37"/>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FX future price</w:t>
            </w:r>
          </w:p>
        </w:tc>
        <w:tc>
          <w:tcPr>
            <w:tcW w:w="1169" w:type="dxa"/>
            <w:tcBorders>
              <w:top w:val="nil"/>
              <w:left w:val="nil"/>
              <w:bottom w:val="single" w:sz="4" w:space="0" w:color="auto"/>
              <w:right w:val="single" w:sz="4" w:space="0" w:color="auto"/>
            </w:tcBorders>
            <w:shd w:val="clear" w:color="auto" w:fill="auto"/>
            <w:noWrap/>
            <w:vAlign w:val="center"/>
            <w:hideMark/>
          </w:tcPr>
          <w:p w14:paraId="2E588D16" w14:textId="77777777" w:rsidR="002B70F9" w:rsidRPr="00171FE1" w:rsidRDefault="002B70F9" w:rsidP="00831D01">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FX spot price</w:t>
            </w:r>
          </w:p>
        </w:tc>
        <w:tc>
          <w:tcPr>
            <w:tcW w:w="660" w:type="dxa"/>
            <w:tcBorders>
              <w:top w:val="nil"/>
              <w:left w:val="nil"/>
              <w:bottom w:val="single" w:sz="4" w:space="0" w:color="auto"/>
              <w:right w:val="single" w:sz="4" w:space="0" w:color="auto"/>
            </w:tcBorders>
            <w:shd w:val="clear" w:color="auto" w:fill="auto"/>
            <w:noWrap/>
            <w:vAlign w:val="center"/>
            <w:hideMark/>
          </w:tcPr>
          <w:p w14:paraId="16294F8C" w14:textId="77777777" w:rsidR="002B70F9" w:rsidRPr="00171FE1" w:rsidRDefault="002B70F9" w:rsidP="00831D01">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Days until exp</w:t>
            </w:r>
          </w:p>
        </w:tc>
        <w:tc>
          <w:tcPr>
            <w:tcW w:w="837" w:type="dxa"/>
            <w:tcBorders>
              <w:top w:val="nil"/>
              <w:left w:val="nil"/>
              <w:bottom w:val="single" w:sz="4" w:space="0" w:color="auto"/>
              <w:right w:val="single" w:sz="4" w:space="0" w:color="auto"/>
            </w:tcBorders>
            <w:shd w:val="clear" w:color="auto" w:fill="auto"/>
            <w:noWrap/>
            <w:vAlign w:val="center"/>
            <w:hideMark/>
          </w:tcPr>
          <w:p w14:paraId="49DD7D6F" w14:textId="77777777" w:rsidR="002B70F9" w:rsidRPr="00171FE1" w:rsidRDefault="002B70F9" w:rsidP="00831D01">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Min days</w:t>
            </w:r>
          </w:p>
        </w:tc>
        <w:tc>
          <w:tcPr>
            <w:tcW w:w="888" w:type="dxa"/>
            <w:tcBorders>
              <w:top w:val="nil"/>
              <w:left w:val="nil"/>
              <w:bottom w:val="single" w:sz="4" w:space="0" w:color="auto"/>
              <w:right w:val="single" w:sz="4" w:space="0" w:color="auto"/>
            </w:tcBorders>
            <w:shd w:val="clear" w:color="auto" w:fill="auto"/>
            <w:noWrap/>
            <w:vAlign w:val="center"/>
            <w:hideMark/>
          </w:tcPr>
          <w:p w14:paraId="5121E16B" w14:textId="77777777" w:rsidR="002B70F9" w:rsidRPr="00171FE1" w:rsidRDefault="002B70F9" w:rsidP="00831D01">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Max days</w:t>
            </w:r>
          </w:p>
        </w:tc>
        <w:tc>
          <w:tcPr>
            <w:tcW w:w="1049" w:type="dxa"/>
            <w:tcBorders>
              <w:top w:val="nil"/>
              <w:left w:val="nil"/>
              <w:bottom w:val="single" w:sz="4" w:space="0" w:color="auto"/>
              <w:right w:val="single" w:sz="4" w:space="0" w:color="auto"/>
            </w:tcBorders>
            <w:shd w:val="clear" w:color="auto" w:fill="auto"/>
            <w:noWrap/>
            <w:vAlign w:val="center"/>
            <w:hideMark/>
          </w:tcPr>
          <w:p w14:paraId="1BD19466" w14:textId="77777777" w:rsidR="002B70F9" w:rsidRPr="00171FE1" w:rsidRDefault="002B70F9" w:rsidP="0020303E">
            <w:pPr>
              <w:spacing w:after="0" w:line="360" w:lineRule="auto"/>
              <w:ind w:left="-56" w:right="-110"/>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Min days rate</w:t>
            </w:r>
          </w:p>
        </w:tc>
        <w:tc>
          <w:tcPr>
            <w:tcW w:w="972" w:type="dxa"/>
            <w:tcBorders>
              <w:top w:val="nil"/>
              <w:left w:val="nil"/>
              <w:bottom w:val="single" w:sz="4" w:space="0" w:color="auto"/>
              <w:right w:val="single" w:sz="4" w:space="0" w:color="auto"/>
            </w:tcBorders>
            <w:shd w:val="clear" w:color="auto" w:fill="auto"/>
            <w:noWrap/>
            <w:vAlign w:val="center"/>
            <w:hideMark/>
          </w:tcPr>
          <w:p w14:paraId="5236CE51" w14:textId="77777777" w:rsidR="002B70F9" w:rsidRPr="00171FE1" w:rsidRDefault="002B70F9" w:rsidP="0020303E">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Max days rate</w:t>
            </w:r>
          </w:p>
        </w:tc>
        <w:tc>
          <w:tcPr>
            <w:tcW w:w="1177" w:type="dxa"/>
            <w:tcBorders>
              <w:top w:val="nil"/>
              <w:left w:val="nil"/>
              <w:bottom w:val="single" w:sz="4" w:space="0" w:color="auto"/>
              <w:right w:val="single" w:sz="4" w:space="0" w:color="auto"/>
            </w:tcBorders>
            <w:shd w:val="clear" w:color="auto" w:fill="auto"/>
            <w:noWrap/>
            <w:vAlign w:val="center"/>
            <w:hideMark/>
          </w:tcPr>
          <w:p w14:paraId="1B95DB49" w14:textId="77777777" w:rsidR="002B70F9" w:rsidRPr="00171FE1" w:rsidRDefault="002B70F9" w:rsidP="00831D01">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Interpolated CHF LIBOR</w:t>
            </w:r>
          </w:p>
        </w:tc>
        <w:tc>
          <w:tcPr>
            <w:tcW w:w="396" w:type="dxa"/>
            <w:tcBorders>
              <w:top w:val="nil"/>
              <w:left w:val="nil"/>
              <w:bottom w:val="single" w:sz="4" w:space="0" w:color="auto"/>
              <w:right w:val="single" w:sz="4" w:space="0" w:color="auto"/>
            </w:tcBorders>
            <w:shd w:val="clear" w:color="auto" w:fill="auto"/>
            <w:noWrap/>
            <w:vAlign w:val="center"/>
            <w:hideMark/>
          </w:tcPr>
          <w:p w14:paraId="5F0A3B89" w14:textId="77777777" w:rsidR="002B70F9" w:rsidRPr="00171FE1" w:rsidRDefault="002B70F9" w:rsidP="00831D01">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w:t>
            </w:r>
          </w:p>
        </w:tc>
        <w:tc>
          <w:tcPr>
            <w:tcW w:w="1176" w:type="dxa"/>
            <w:tcBorders>
              <w:top w:val="nil"/>
              <w:left w:val="nil"/>
              <w:bottom w:val="single" w:sz="4" w:space="0" w:color="auto"/>
              <w:right w:val="single" w:sz="4" w:space="0" w:color="auto"/>
            </w:tcBorders>
            <w:shd w:val="clear" w:color="auto" w:fill="auto"/>
            <w:noWrap/>
            <w:vAlign w:val="center"/>
            <w:hideMark/>
          </w:tcPr>
          <w:p w14:paraId="269AE391" w14:textId="77777777" w:rsidR="002B70F9" w:rsidRPr="00171FE1" w:rsidRDefault="002B70F9" w:rsidP="00831D01">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Interpolated EURIBOR</w:t>
            </w:r>
          </w:p>
        </w:tc>
        <w:tc>
          <w:tcPr>
            <w:tcW w:w="1240" w:type="dxa"/>
            <w:tcBorders>
              <w:top w:val="nil"/>
              <w:left w:val="nil"/>
              <w:bottom w:val="single" w:sz="4" w:space="0" w:color="auto"/>
              <w:right w:val="single" w:sz="4" w:space="0" w:color="auto"/>
            </w:tcBorders>
            <w:shd w:val="clear" w:color="auto" w:fill="auto"/>
            <w:noWrap/>
            <w:vAlign w:val="center"/>
          </w:tcPr>
          <w:p w14:paraId="1F1901A0" w14:textId="01719659" w:rsidR="002B70F9" w:rsidRPr="00DA4B44" w:rsidRDefault="00DA4B44" w:rsidP="003B1FF7">
            <w:pPr>
              <w:spacing w:after="0" w:line="360" w:lineRule="auto"/>
              <w:ind w:left="-26"/>
              <w:jc w:val="left"/>
              <w:rPr>
                <w:rFonts w:eastAsia="Times New Roman" w:cs="Times New Roman"/>
                <w:b/>
                <w:bCs/>
                <w:color w:val="000000"/>
                <w:sz w:val="18"/>
                <w:szCs w:val="18"/>
                <w:lang w:val="en-US" w:eastAsia="ru-RU"/>
              </w:rPr>
            </w:pPr>
            <w:r>
              <w:rPr>
                <w:rFonts w:eastAsia="Times New Roman" w:cs="Times New Roman"/>
                <w:b/>
                <w:bCs/>
                <w:color w:val="000000"/>
                <w:sz w:val="18"/>
                <w:szCs w:val="18"/>
                <w:lang w:val="en-US" w:eastAsia="ru-RU"/>
              </w:rPr>
              <w:t>Theoretical FX forward price</w:t>
            </w:r>
          </w:p>
        </w:tc>
        <w:tc>
          <w:tcPr>
            <w:tcW w:w="1161" w:type="dxa"/>
            <w:tcBorders>
              <w:top w:val="nil"/>
              <w:left w:val="nil"/>
              <w:bottom w:val="single" w:sz="4" w:space="0" w:color="auto"/>
              <w:right w:val="single" w:sz="4" w:space="0" w:color="auto"/>
            </w:tcBorders>
            <w:shd w:val="clear" w:color="auto" w:fill="auto"/>
            <w:noWrap/>
            <w:vAlign w:val="center"/>
            <w:hideMark/>
          </w:tcPr>
          <w:p w14:paraId="1D6029B3" w14:textId="26BED005" w:rsidR="002B70F9" w:rsidRPr="00171FE1" w:rsidRDefault="00CF055C" w:rsidP="0020303E">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Price d</w:t>
            </w:r>
            <w:r w:rsidR="002B70F9" w:rsidRPr="00171FE1">
              <w:rPr>
                <w:rFonts w:eastAsia="Times New Roman" w:cs="Times New Roman"/>
                <w:b/>
                <w:bCs/>
                <w:color w:val="000000"/>
                <w:sz w:val="18"/>
                <w:szCs w:val="18"/>
                <w:lang w:eastAsia="ru-RU"/>
              </w:rPr>
              <w:t>eviation, b.p.</w:t>
            </w:r>
          </w:p>
        </w:tc>
        <w:tc>
          <w:tcPr>
            <w:tcW w:w="1260" w:type="dxa"/>
            <w:tcBorders>
              <w:top w:val="nil"/>
              <w:left w:val="nil"/>
              <w:bottom w:val="single" w:sz="4" w:space="0" w:color="auto"/>
            </w:tcBorders>
            <w:shd w:val="clear" w:color="auto" w:fill="auto"/>
            <w:noWrap/>
            <w:vAlign w:val="center"/>
            <w:hideMark/>
          </w:tcPr>
          <w:p w14:paraId="0D2C71F3" w14:textId="1C649A59" w:rsidR="002B70F9" w:rsidRPr="00171FE1" w:rsidRDefault="002B70F9" w:rsidP="0020303E">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Average daily deviation</w:t>
            </w:r>
          </w:p>
        </w:tc>
      </w:tr>
      <w:tr w:rsidR="00DC1C4E" w:rsidRPr="00171FE1" w14:paraId="5A5F267B" w14:textId="77777777" w:rsidTr="00DC1C4E">
        <w:trPr>
          <w:trHeight w:val="20"/>
        </w:trPr>
        <w:tc>
          <w:tcPr>
            <w:tcW w:w="1026" w:type="dxa"/>
            <w:tcBorders>
              <w:top w:val="nil"/>
              <w:bottom w:val="single" w:sz="4" w:space="0" w:color="auto"/>
              <w:right w:val="single" w:sz="4" w:space="0" w:color="auto"/>
            </w:tcBorders>
            <w:shd w:val="clear" w:color="auto" w:fill="auto"/>
            <w:noWrap/>
            <w:vAlign w:val="center"/>
            <w:hideMark/>
          </w:tcPr>
          <w:p w14:paraId="3EF9C4C2" w14:textId="77777777" w:rsidR="00DA4B44" w:rsidRPr="00171FE1" w:rsidRDefault="00DA4B44" w:rsidP="00DC1C4E">
            <w:pPr>
              <w:spacing w:after="0" w:line="360" w:lineRule="auto"/>
              <w:ind w:right="-7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24.11.2020</w:t>
            </w:r>
          </w:p>
        </w:tc>
        <w:tc>
          <w:tcPr>
            <w:tcW w:w="857" w:type="dxa"/>
            <w:tcBorders>
              <w:top w:val="nil"/>
              <w:left w:val="nil"/>
              <w:bottom w:val="single" w:sz="4" w:space="0" w:color="auto"/>
              <w:right w:val="single" w:sz="4" w:space="0" w:color="auto"/>
            </w:tcBorders>
            <w:shd w:val="clear" w:color="auto" w:fill="auto"/>
            <w:noWrap/>
            <w:vAlign w:val="center"/>
            <w:hideMark/>
          </w:tcPr>
          <w:p w14:paraId="0EFE0EA3"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23:30:00</w:t>
            </w:r>
          </w:p>
        </w:tc>
        <w:tc>
          <w:tcPr>
            <w:tcW w:w="1169" w:type="dxa"/>
            <w:tcBorders>
              <w:top w:val="nil"/>
              <w:left w:val="nil"/>
              <w:bottom w:val="single" w:sz="4" w:space="0" w:color="auto"/>
              <w:right w:val="single" w:sz="4" w:space="0" w:color="auto"/>
            </w:tcBorders>
            <w:shd w:val="clear" w:color="auto" w:fill="auto"/>
            <w:noWrap/>
            <w:vAlign w:val="center"/>
            <w:hideMark/>
          </w:tcPr>
          <w:p w14:paraId="4384339E"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0,9229349</w:t>
            </w:r>
          </w:p>
        </w:tc>
        <w:tc>
          <w:tcPr>
            <w:tcW w:w="1169" w:type="dxa"/>
            <w:tcBorders>
              <w:top w:val="nil"/>
              <w:left w:val="nil"/>
              <w:bottom w:val="single" w:sz="4" w:space="0" w:color="auto"/>
              <w:right w:val="single" w:sz="4" w:space="0" w:color="auto"/>
            </w:tcBorders>
            <w:shd w:val="clear" w:color="auto" w:fill="auto"/>
            <w:noWrap/>
            <w:vAlign w:val="center"/>
            <w:hideMark/>
          </w:tcPr>
          <w:p w14:paraId="41BD1B46"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0,9229775</w:t>
            </w:r>
          </w:p>
        </w:tc>
        <w:tc>
          <w:tcPr>
            <w:tcW w:w="660" w:type="dxa"/>
            <w:tcBorders>
              <w:top w:val="nil"/>
              <w:left w:val="nil"/>
              <w:bottom w:val="single" w:sz="4" w:space="0" w:color="auto"/>
              <w:right w:val="single" w:sz="4" w:space="0" w:color="auto"/>
            </w:tcBorders>
            <w:shd w:val="clear" w:color="auto" w:fill="auto"/>
            <w:noWrap/>
            <w:vAlign w:val="center"/>
            <w:hideMark/>
          </w:tcPr>
          <w:p w14:paraId="0ECC3555"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20</w:t>
            </w:r>
          </w:p>
        </w:tc>
        <w:tc>
          <w:tcPr>
            <w:tcW w:w="837" w:type="dxa"/>
            <w:tcBorders>
              <w:top w:val="nil"/>
              <w:left w:val="nil"/>
              <w:bottom w:val="single" w:sz="4" w:space="0" w:color="auto"/>
              <w:right w:val="single" w:sz="4" w:space="0" w:color="auto"/>
            </w:tcBorders>
            <w:shd w:val="clear" w:color="auto" w:fill="auto"/>
            <w:noWrap/>
            <w:vAlign w:val="center"/>
            <w:hideMark/>
          </w:tcPr>
          <w:p w14:paraId="4B26BCBE"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7</w:t>
            </w:r>
          </w:p>
        </w:tc>
        <w:tc>
          <w:tcPr>
            <w:tcW w:w="888" w:type="dxa"/>
            <w:tcBorders>
              <w:top w:val="nil"/>
              <w:left w:val="nil"/>
              <w:bottom w:val="single" w:sz="4" w:space="0" w:color="auto"/>
              <w:right w:val="single" w:sz="4" w:space="0" w:color="auto"/>
            </w:tcBorders>
            <w:shd w:val="clear" w:color="auto" w:fill="auto"/>
            <w:noWrap/>
            <w:vAlign w:val="center"/>
            <w:hideMark/>
          </w:tcPr>
          <w:p w14:paraId="2823AE13"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30</w:t>
            </w:r>
          </w:p>
        </w:tc>
        <w:tc>
          <w:tcPr>
            <w:tcW w:w="1049" w:type="dxa"/>
            <w:tcBorders>
              <w:top w:val="nil"/>
              <w:left w:val="nil"/>
              <w:bottom w:val="single" w:sz="4" w:space="0" w:color="auto"/>
              <w:right w:val="single" w:sz="4" w:space="0" w:color="auto"/>
            </w:tcBorders>
            <w:shd w:val="clear" w:color="auto" w:fill="auto"/>
            <w:noWrap/>
            <w:vAlign w:val="center"/>
            <w:hideMark/>
          </w:tcPr>
          <w:p w14:paraId="7BD9DBB3" w14:textId="77777777" w:rsidR="00DA4B44" w:rsidRPr="00171FE1" w:rsidRDefault="00DA4B44" w:rsidP="00DC1C4E">
            <w:pPr>
              <w:spacing w:after="0" w:line="360" w:lineRule="auto"/>
              <w:ind w:left="-56" w:right="-14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-0,8282%</w:t>
            </w:r>
          </w:p>
        </w:tc>
        <w:tc>
          <w:tcPr>
            <w:tcW w:w="972" w:type="dxa"/>
            <w:tcBorders>
              <w:top w:val="nil"/>
              <w:left w:val="nil"/>
              <w:bottom w:val="single" w:sz="4" w:space="0" w:color="auto"/>
              <w:right w:val="single" w:sz="4" w:space="0" w:color="auto"/>
            </w:tcBorders>
            <w:shd w:val="clear" w:color="auto" w:fill="auto"/>
            <w:noWrap/>
            <w:vAlign w:val="center"/>
            <w:hideMark/>
          </w:tcPr>
          <w:p w14:paraId="6FCE6932"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-0,8040%</w:t>
            </w:r>
          </w:p>
        </w:tc>
        <w:tc>
          <w:tcPr>
            <w:tcW w:w="1177" w:type="dxa"/>
            <w:tcBorders>
              <w:top w:val="nil"/>
              <w:left w:val="nil"/>
              <w:bottom w:val="single" w:sz="4" w:space="0" w:color="auto"/>
              <w:right w:val="single" w:sz="4" w:space="0" w:color="auto"/>
            </w:tcBorders>
            <w:shd w:val="clear" w:color="auto" w:fill="auto"/>
            <w:noWrap/>
            <w:vAlign w:val="center"/>
            <w:hideMark/>
          </w:tcPr>
          <w:p w14:paraId="5CA69714"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-0,814522%</w:t>
            </w:r>
          </w:p>
        </w:tc>
        <w:tc>
          <w:tcPr>
            <w:tcW w:w="396" w:type="dxa"/>
            <w:tcBorders>
              <w:top w:val="nil"/>
              <w:left w:val="nil"/>
              <w:bottom w:val="single" w:sz="4" w:space="0" w:color="auto"/>
              <w:right w:val="single" w:sz="4" w:space="0" w:color="auto"/>
            </w:tcBorders>
            <w:shd w:val="clear" w:color="auto" w:fill="auto"/>
            <w:noWrap/>
            <w:vAlign w:val="center"/>
            <w:hideMark/>
          </w:tcPr>
          <w:p w14:paraId="7DFEB41A" w14:textId="77777777" w:rsidR="00DA4B44" w:rsidRPr="00171FE1" w:rsidRDefault="00DA4B44" w:rsidP="00DC1C4E">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w:t>
            </w:r>
          </w:p>
        </w:tc>
        <w:tc>
          <w:tcPr>
            <w:tcW w:w="1176" w:type="dxa"/>
            <w:tcBorders>
              <w:top w:val="nil"/>
              <w:left w:val="nil"/>
              <w:bottom w:val="single" w:sz="4" w:space="0" w:color="auto"/>
              <w:right w:val="single" w:sz="4" w:space="0" w:color="auto"/>
            </w:tcBorders>
            <w:shd w:val="clear" w:color="auto" w:fill="auto"/>
            <w:noWrap/>
            <w:vAlign w:val="center"/>
            <w:hideMark/>
          </w:tcPr>
          <w:p w14:paraId="2F50417B" w14:textId="59CE3529"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w:t>
            </w:r>
            <w:r w:rsidRPr="00171FE1">
              <w:rPr>
                <w:rFonts w:eastAsia="Times New Roman" w:cs="Times New Roman"/>
                <w:color w:val="000000"/>
                <w:sz w:val="18"/>
                <w:szCs w:val="18"/>
                <w:lang w:val="en-US" w:eastAsia="ru-RU"/>
              </w:rPr>
              <w:t>0</w:t>
            </w:r>
            <w:r w:rsidRPr="00171FE1">
              <w:rPr>
                <w:rFonts w:eastAsia="Times New Roman" w:cs="Times New Roman"/>
                <w:color w:val="000000"/>
                <w:sz w:val="18"/>
                <w:szCs w:val="18"/>
                <w:lang w:eastAsia="ru-RU"/>
              </w:rPr>
              <w:t>,544391%</w:t>
            </w:r>
          </w:p>
        </w:tc>
        <w:tc>
          <w:tcPr>
            <w:tcW w:w="1240" w:type="dxa"/>
            <w:tcBorders>
              <w:top w:val="nil"/>
              <w:left w:val="nil"/>
              <w:bottom w:val="single" w:sz="8" w:space="0" w:color="auto"/>
              <w:right w:val="single" w:sz="8" w:space="0" w:color="auto"/>
            </w:tcBorders>
            <w:shd w:val="clear" w:color="auto" w:fill="auto"/>
            <w:noWrap/>
            <w:vAlign w:val="center"/>
          </w:tcPr>
          <w:p w14:paraId="34ECE539" w14:textId="1263872F" w:rsidR="00DA4B44" w:rsidRPr="00171FE1" w:rsidRDefault="00DA4B44" w:rsidP="00DC1C4E">
            <w:pPr>
              <w:spacing w:after="0" w:line="360" w:lineRule="auto"/>
              <w:ind w:left="-26"/>
              <w:jc w:val="center"/>
              <w:rPr>
                <w:rFonts w:eastAsia="Times New Roman" w:cs="Times New Roman"/>
                <w:color w:val="000000"/>
                <w:sz w:val="18"/>
                <w:szCs w:val="18"/>
                <w:lang w:eastAsia="ru-RU"/>
              </w:rPr>
            </w:pPr>
            <w:r>
              <w:rPr>
                <w:color w:val="000000"/>
                <w:sz w:val="18"/>
                <w:szCs w:val="18"/>
              </w:rPr>
              <w:t>0,923114152</w:t>
            </w:r>
          </w:p>
        </w:tc>
        <w:tc>
          <w:tcPr>
            <w:tcW w:w="1161" w:type="dxa"/>
            <w:tcBorders>
              <w:top w:val="nil"/>
              <w:left w:val="nil"/>
              <w:bottom w:val="single" w:sz="4" w:space="0" w:color="auto"/>
              <w:right w:val="single" w:sz="4" w:space="0" w:color="auto"/>
            </w:tcBorders>
            <w:shd w:val="clear" w:color="auto" w:fill="auto"/>
            <w:noWrap/>
            <w:vAlign w:val="center"/>
            <w:hideMark/>
          </w:tcPr>
          <w:p w14:paraId="7F2297DE" w14:textId="12D5DBC2"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-1,94145639</w:t>
            </w:r>
          </w:p>
        </w:tc>
        <w:tc>
          <w:tcPr>
            <w:tcW w:w="1260" w:type="dxa"/>
            <w:tcBorders>
              <w:top w:val="nil"/>
              <w:left w:val="nil"/>
              <w:bottom w:val="single" w:sz="4" w:space="0" w:color="auto"/>
            </w:tcBorders>
            <w:shd w:val="clear" w:color="auto" w:fill="auto"/>
            <w:noWrap/>
            <w:vAlign w:val="center"/>
            <w:hideMark/>
          </w:tcPr>
          <w:p w14:paraId="6D290985" w14:textId="6B3D461C"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0,05178546</w:t>
            </w:r>
          </w:p>
        </w:tc>
      </w:tr>
      <w:tr w:rsidR="00DC1C4E" w:rsidRPr="00171FE1" w14:paraId="60033AC4" w14:textId="77777777" w:rsidTr="00DC1C4E">
        <w:trPr>
          <w:trHeight w:val="20"/>
        </w:trPr>
        <w:tc>
          <w:tcPr>
            <w:tcW w:w="1026" w:type="dxa"/>
            <w:tcBorders>
              <w:top w:val="nil"/>
              <w:bottom w:val="single" w:sz="4" w:space="0" w:color="auto"/>
              <w:right w:val="single" w:sz="4" w:space="0" w:color="auto"/>
            </w:tcBorders>
            <w:shd w:val="clear" w:color="auto" w:fill="auto"/>
            <w:noWrap/>
            <w:vAlign w:val="center"/>
            <w:hideMark/>
          </w:tcPr>
          <w:p w14:paraId="0F541D92" w14:textId="77777777" w:rsidR="00DA4B44" w:rsidRPr="00171FE1" w:rsidRDefault="00DA4B44" w:rsidP="00DC1C4E">
            <w:pPr>
              <w:spacing w:after="0" w:line="360" w:lineRule="auto"/>
              <w:ind w:right="-7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24.11.2020</w:t>
            </w:r>
          </w:p>
        </w:tc>
        <w:tc>
          <w:tcPr>
            <w:tcW w:w="857" w:type="dxa"/>
            <w:tcBorders>
              <w:top w:val="nil"/>
              <w:left w:val="nil"/>
              <w:bottom w:val="single" w:sz="4" w:space="0" w:color="auto"/>
              <w:right w:val="single" w:sz="4" w:space="0" w:color="auto"/>
            </w:tcBorders>
            <w:shd w:val="clear" w:color="auto" w:fill="auto"/>
            <w:noWrap/>
            <w:vAlign w:val="center"/>
            <w:hideMark/>
          </w:tcPr>
          <w:p w14:paraId="28FF1832"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23:00:00</w:t>
            </w:r>
          </w:p>
        </w:tc>
        <w:tc>
          <w:tcPr>
            <w:tcW w:w="1169" w:type="dxa"/>
            <w:tcBorders>
              <w:top w:val="nil"/>
              <w:left w:val="nil"/>
              <w:bottom w:val="single" w:sz="4" w:space="0" w:color="auto"/>
              <w:right w:val="single" w:sz="4" w:space="0" w:color="auto"/>
            </w:tcBorders>
            <w:shd w:val="clear" w:color="auto" w:fill="auto"/>
            <w:noWrap/>
            <w:vAlign w:val="center"/>
            <w:hideMark/>
          </w:tcPr>
          <w:p w14:paraId="5D500BCE"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0,9228498</w:t>
            </w:r>
          </w:p>
        </w:tc>
        <w:tc>
          <w:tcPr>
            <w:tcW w:w="1169" w:type="dxa"/>
            <w:tcBorders>
              <w:top w:val="nil"/>
              <w:left w:val="nil"/>
              <w:bottom w:val="single" w:sz="4" w:space="0" w:color="auto"/>
              <w:right w:val="single" w:sz="4" w:space="0" w:color="auto"/>
            </w:tcBorders>
            <w:shd w:val="clear" w:color="auto" w:fill="auto"/>
            <w:noWrap/>
            <w:vAlign w:val="center"/>
            <w:hideMark/>
          </w:tcPr>
          <w:p w14:paraId="62E1CF47"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0,9227220</w:t>
            </w:r>
          </w:p>
        </w:tc>
        <w:tc>
          <w:tcPr>
            <w:tcW w:w="660" w:type="dxa"/>
            <w:tcBorders>
              <w:top w:val="nil"/>
              <w:left w:val="nil"/>
              <w:bottom w:val="single" w:sz="4" w:space="0" w:color="auto"/>
              <w:right w:val="single" w:sz="4" w:space="0" w:color="auto"/>
            </w:tcBorders>
            <w:shd w:val="clear" w:color="auto" w:fill="auto"/>
            <w:noWrap/>
            <w:vAlign w:val="center"/>
            <w:hideMark/>
          </w:tcPr>
          <w:p w14:paraId="0BD9B0C9"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20</w:t>
            </w:r>
          </w:p>
        </w:tc>
        <w:tc>
          <w:tcPr>
            <w:tcW w:w="837" w:type="dxa"/>
            <w:tcBorders>
              <w:top w:val="nil"/>
              <w:left w:val="nil"/>
              <w:bottom w:val="single" w:sz="4" w:space="0" w:color="auto"/>
              <w:right w:val="single" w:sz="4" w:space="0" w:color="auto"/>
            </w:tcBorders>
            <w:shd w:val="clear" w:color="auto" w:fill="auto"/>
            <w:noWrap/>
            <w:vAlign w:val="center"/>
            <w:hideMark/>
          </w:tcPr>
          <w:p w14:paraId="395FC844"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7</w:t>
            </w:r>
          </w:p>
        </w:tc>
        <w:tc>
          <w:tcPr>
            <w:tcW w:w="888" w:type="dxa"/>
            <w:tcBorders>
              <w:top w:val="nil"/>
              <w:left w:val="nil"/>
              <w:bottom w:val="single" w:sz="4" w:space="0" w:color="auto"/>
              <w:right w:val="single" w:sz="4" w:space="0" w:color="auto"/>
            </w:tcBorders>
            <w:shd w:val="clear" w:color="auto" w:fill="auto"/>
            <w:noWrap/>
            <w:vAlign w:val="center"/>
            <w:hideMark/>
          </w:tcPr>
          <w:p w14:paraId="2A92A9DA"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30</w:t>
            </w:r>
          </w:p>
        </w:tc>
        <w:tc>
          <w:tcPr>
            <w:tcW w:w="1049" w:type="dxa"/>
            <w:tcBorders>
              <w:top w:val="nil"/>
              <w:left w:val="nil"/>
              <w:bottom w:val="single" w:sz="4" w:space="0" w:color="auto"/>
              <w:right w:val="single" w:sz="4" w:space="0" w:color="auto"/>
            </w:tcBorders>
            <w:shd w:val="clear" w:color="auto" w:fill="auto"/>
            <w:noWrap/>
            <w:vAlign w:val="center"/>
            <w:hideMark/>
          </w:tcPr>
          <w:p w14:paraId="578ADF2B" w14:textId="77777777" w:rsidR="00DA4B44" w:rsidRPr="00171FE1" w:rsidRDefault="00DA4B44" w:rsidP="00DC1C4E">
            <w:pPr>
              <w:spacing w:after="0" w:line="360" w:lineRule="auto"/>
              <w:ind w:left="-198" w:right="-14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-0,8282%</w:t>
            </w:r>
          </w:p>
        </w:tc>
        <w:tc>
          <w:tcPr>
            <w:tcW w:w="972" w:type="dxa"/>
            <w:tcBorders>
              <w:top w:val="nil"/>
              <w:left w:val="nil"/>
              <w:bottom w:val="single" w:sz="4" w:space="0" w:color="auto"/>
              <w:right w:val="single" w:sz="4" w:space="0" w:color="auto"/>
            </w:tcBorders>
            <w:shd w:val="clear" w:color="auto" w:fill="auto"/>
            <w:noWrap/>
            <w:vAlign w:val="center"/>
            <w:hideMark/>
          </w:tcPr>
          <w:p w14:paraId="05A05FB3"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-0,8040%</w:t>
            </w:r>
          </w:p>
        </w:tc>
        <w:tc>
          <w:tcPr>
            <w:tcW w:w="1177" w:type="dxa"/>
            <w:tcBorders>
              <w:top w:val="nil"/>
              <w:left w:val="nil"/>
              <w:bottom w:val="single" w:sz="4" w:space="0" w:color="auto"/>
              <w:right w:val="single" w:sz="4" w:space="0" w:color="auto"/>
            </w:tcBorders>
            <w:shd w:val="clear" w:color="auto" w:fill="auto"/>
            <w:noWrap/>
            <w:vAlign w:val="center"/>
            <w:hideMark/>
          </w:tcPr>
          <w:p w14:paraId="7483F8CB"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-0,814522%</w:t>
            </w:r>
          </w:p>
        </w:tc>
        <w:tc>
          <w:tcPr>
            <w:tcW w:w="396" w:type="dxa"/>
            <w:tcBorders>
              <w:top w:val="nil"/>
              <w:left w:val="nil"/>
              <w:bottom w:val="single" w:sz="4" w:space="0" w:color="auto"/>
              <w:right w:val="single" w:sz="4" w:space="0" w:color="auto"/>
            </w:tcBorders>
            <w:shd w:val="clear" w:color="auto" w:fill="auto"/>
            <w:noWrap/>
            <w:vAlign w:val="center"/>
            <w:hideMark/>
          </w:tcPr>
          <w:p w14:paraId="05EC6861" w14:textId="77777777" w:rsidR="00DA4B44" w:rsidRPr="00171FE1" w:rsidRDefault="00DA4B44" w:rsidP="00DC1C4E">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w:t>
            </w:r>
          </w:p>
        </w:tc>
        <w:tc>
          <w:tcPr>
            <w:tcW w:w="1176" w:type="dxa"/>
            <w:tcBorders>
              <w:top w:val="nil"/>
              <w:left w:val="nil"/>
              <w:bottom w:val="single" w:sz="4" w:space="0" w:color="auto"/>
              <w:right w:val="single" w:sz="4" w:space="0" w:color="auto"/>
            </w:tcBorders>
            <w:shd w:val="clear" w:color="auto" w:fill="auto"/>
            <w:noWrap/>
            <w:vAlign w:val="center"/>
            <w:hideMark/>
          </w:tcPr>
          <w:p w14:paraId="596D029D" w14:textId="56DA4042"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-0,544391%</w:t>
            </w:r>
          </w:p>
        </w:tc>
        <w:tc>
          <w:tcPr>
            <w:tcW w:w="1240" w:type="dxa"/>
            <w:tcBorders>
              <w:top w:val="nil"/>
              <w:left w:val="nil"/>
              <w:bottom w:val="single" w:sz="8" w:space="0" w:color="auto"/>
              <w:right w:val="single" w:sz="8" w:space="0" w:color="auto"/>
            </w:tcBorders>
            <w:shd w:val="clear" w:color="auto" w:fill="auto"/>
            <w:noWrap/>
            <w:vAlign w:val="center"/>
          </w:tcPr>
          <w:p w14:paraId="460A35C6" w14:textId="3A6CBEBF" w:rsidR="00DA4B44" w:rsidRPr="00171FE1" w:rsidRDefault="00DA4B44" w:rsidP="00DC1C4E">
            <w:pPr>
              <w:spacing w:after="0" w:line="360" w:lineRule="auto"/>
              <w:ind w:left="-26"/>
              <w:jc w:val="center"/>
              <w:rPr>
                <w:rFonts w:eastAsia="Times New Roman" w:cs="Times New Roman"/>
                <w:color w:val="000000"/>
                <w:sz w:val="18"/>
                <w:szCs w:val="18"/>
                <w:lang w:eastAsia="ru-RU"/>
              </w:rPr>
            </w:pPr>
            <w:r>
              <w:rPr>
                <w:color w:val="000000"/>
                <w:sz w:val="18"/>
                <w:szCs w:val="18"/>
              </w:rPr>
              <w:t>0,92285862</w:t>
            </w:r>
          </w:p>
        </w:tc>
        <w:tc>
          <w:tcPr>
            <w:tcW w:w="1161" w:type="dxa"/>
            <w:tcBorders>
              <w:top w:val="nil"/>
              <w:left w:val="nil"/>
              <w:bottom w:val="single" w:sz="4" w:space="0" w:color="auto"/>
              <w:right w:val="single" w:sz="4" w:space="0" w:color="auto"/>
            </w:tcBorders>
            <w:shd w:val="clear" w:color="auto" w:fill="auto"/>
            <w:noWrap/>
            <w:vAlign w:val="center"/>
            <w:hideMark/>
          </w:tcPr>
          <w:p w14:paraId="10BDC69F" w14:textId="315C4B5D"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-0,09598746</w:t>
            </w:r>
          </w:p>
        </w:tc>
        <w:tc>
          <w:tcPr>
            <w:tcW w:w="1260" w:type="dxa"/>
            <w:tcBorders>
              <w:top w:val="nil"/>
              <w:left w:val="nil"/>
              <w:bottom w:val="single" w:sz="4" w:space="0" w:color="auto"/>
            </w:tcBorders>
            <w:shd w:val="clear" w:color="auto" w:fill="auto"/>
            <w:noWrap/>
            <w:vAlign w:val="center"/>
            <w:hideMark/>
          </w:tcPr>
          <w:p w14:paraId="5B79857F" w14:textId="28B7943D"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0,05178546</w:t>
            </w:r>
          </w:p>
        </w:tc>
      </w:tr>
      <w:tr w:rsidR="00DC1C4E" w:rsidRPr="00171FE1" w14:paraId="65BD3CCA" w14:textId="77777777" w:rsidTr="00DC1C4E">
        <w:trPr>
          <w:trHeight w:val="20"/>
        </w:trPr>
        <w:tc>
          <w:tcPr>
            <w:tcW w:w="1026" w:type="dxa"/>
            <w:tcBorders>
              <w:top w:val="nil"/>
              <w:bottom w:val="single" w:sz="4" w:space="0" w:color="auto"/>
              <w:right w:val="single" w:sz="4" w:space="0" w:color="auto"/>
            </w:tcBorders>
            <w:shd w:val="clear" w:color="auto" w:fill="auto"/>
            <w:noWrap/>
            <w:vAlign w:val="center"/>
            <w:hideMark/>
          </w:tcPr>
          <w:p w14:paraId="76F2650A" w14:textId="77777777" w:rsidR="00DA4B44" w:rsidRPr="00171FE1" w:rsidRDefault="00DA4B44" w:rsidP="00DC1C4E">
            <w:pPr>
              <w:spacing w:after="0" w:line="360" w:lineRule="auto"/>
              <w:ind w:right="-7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24.11.2020</w:t>
            </w:r>
          </w:p>
        </w:tc>
        <w:tc>
          <w:tcPr>
            <w:tcW w:w="857" w:type="dxa"/>
            <w:tcBorders>
              <w:top w:val="nil"/>
              <w:left w:val="nil"/>
              <w:bottom w:val="single" w:sz="4" w:space="0" w:color="auto"/>
              <w:right w:val="single" w:sz="4" w:space="0" w:color="auto"/>
            </w:tcBorders>
            <w:shd w:val="clear" w:color="auto" w:fill="auto"/>
            <w:noWrap/>
            <w:vAlign w:val="center"/>
            <w:hideMark/>
          </w:tcPr>
          <w:p w14:paraId="4C1B29CB"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22:30:00</w:t>
            </w:r>
          </w:p>
        </w:tc>
        <w:tc>
          <w:tcPr>
            <w:tcW w:w="1169" w:type="dxa"/>
            <w:tcBorders>
              <w:top w:val="nil"/>
              <w:left w:val="nil"/>
              <w:bottom w:val="single" w:sz="4" w:space="0" w:color="auto"/>
              <w:right w:val="single" w:sz="4" w:space="0" w:color="auto"/>
            </w:tcBorders>
            <w:shd w:val="clear" w:color="auto" w:fill="auto"/>
            <w:noWrap/>
            <w:vAlign w:val="center"/>
            <w:hideMark/>
          </w:tcPr>
          <w:p w14:paraId="491F1FA5"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0,9232758</w:t>
            </w:r>
          </w:p>
        </w:tc>
        <w:tc>
          <w:tcPr>
            <w:tcW w:w="1169" w:type="dxa"/>
            <w:tcBorders>
              <w:top w:val="nil"/>
              <w:left w:val="nil"/>
              <w:bottom w:val="single" w:sz="4" w:space="0" w:color="auto"/>
              <w:right w:val="single" w:sz="4" w:space="0" w:color="auto"/>
            </w:tcBorders>
            <w:shd w:val="clear" w:color="auto" w:fill="auto"/>
            <w:noWrap/>
            <w:vAlign w:val="center"/>
            <w:hideMark/>
          </w:tcPr>
          <w:p w14:paraId="4A0DE10C"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0,9231479</w:t>
            </w:r>
          </w:p>
        </w:tc>
        <w:tc>
          <w:tcPr>
            <w:tcW w:w="660" w:type="dxa"/>
            <w:tcBorders>
              <w:top w:val="nil"/>
              <w:left w:val="nil"/>
              <w:bottom w:val="single" w:sz="4" w:space="0" w:color="auto"/>
              <w:right w:val="single" w:sz="4" w:space="0" w:color="auto"/>
            </w:tcBorders>
            <w:shd w:val="clear" w:color="auto" w:fill="auto"/>
            <w:noWrap/>
            <w:vAlign w:val="center"/>
            <w:hideMark/>
          </w:tcPr>
          <w:p w14:paraId="117F569D"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20</w:t>
            </w:r>
          </w:p>
        </w:tc>
        <w:tc>
          <w:tcPr>
            <w:tcW w:w="837" w:type="dxa"/>
            <w:tcBorders>
              <w:top w:val="nil"/>
              <w:left w:val="nil"/>
              <w:bottom w:val="single" w:sz="4" w:space="0" w:color="auto"/>
              <w:right w:val="single" w:sz="4" w:space="0" w:color="auto"/>
            </w:tcBorders>
            <w:shd w:val="clear" w:color="auto" w:fill="auto"/>
            <w:noWrap/>
            <w:vAlign w:val="center"/>
            <w:hideMark/>
          </w:tcPr>
          <w:p w14:paraId="5D2A82ED"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7</w:t>
            </w:r>
          </w:p>
        </w:tc>
        <w:tc>
          <w:tcPr>
            <w:tcW w:w="888" w:type="dxa"/>
            <w:tcBorders>
              <w:top w:val="nil"/>
              <w:left w:val="nil"/>
              <w:bottom w:val="single" w:sz="4" w:space="0" w:color="auto"/>
              <w:right w:val="single" w:sz="4" w:space="0" w:color="auto"/>
            </w:tcBorders>
            <w:shd w:val="clear" w:color="auto" w:fill="auto"/>
            <w:noWrap/>
            <w:vAlign w:val="center"/>
            <w:hideMark/>
          </w:tcPr>
          <w:p w14:paraId="42ED9949"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30</w:t>
            </w:r>
          </w:p>
        </w:tc>
        <w:tc>
          <w:tcPr>
            <w:tcW w:w="1049" w:type="dxa"/>
            <w:tcBorders>
              <w:top w:val="nil"/>
              <w:left w:val="nil"/>
              <w:bottom w:val="single" w:sz="4" w:space="0" w:color="auto"/>
              <w:right w:val="single" w:sz="4" w:space="0" w:color="auto"/>
            </w:tcBorders>
            <w:shd w:val="clear" w:color="auto" w:fill="auto"/>
            <w:noWrap/>
            <w:vAlign w:val="center"/>
            <w:hideMark/>
          </w:tcPr>
          <w:p w14:paraId="301E6188" w14:textId="77777777" w:rsidR="00DA4B44" w:rsidRPr="00171FE1" w:rsidRDefault="00DA4B44" w:rsidP="00DC1C4E">
            <w:pPr>
              <w:spacing w:after="0" w:line="360" w:lineRule="auto"/>
              <w:ind w:left="-198" w:right="-14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-0,8282%</w:t>
            </w:r>
          </w:p>
        </w:tc>
        <w:tc>
          <w:tcPr>
            <w:tcW w:w="972" w:type="dxa"/>
            <w:tcBorders>
              <w:top w:val="nil"/>
              <w:left w:val="nil"/>
              <w:bottom w:val="single" w:sz="4" w:space="0" w:color="auto"/>
              <w:right w:val="single" w:sz="4" w:space="0" w:color="auto"/>
            </w:tcBorders>
            <w:shd w:val="clear" w:color="auto" w:fill="auto"/>
            <w:noWrap/>
            <w:vAlign w:val="center"/>
            <w:hideMark/>
          </w:tcPr>
          <w:p w14:paraId="18907A59"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-0,8040%</w:t>
            </w:r>
          </w:p>
        </w:tc>
        <w:tc>
          <w:tcPr>
            <w:tcW w:w="1177" w:type="dxa"/>
            <w:tcBorders>
              <w:top w:val="nil"/>
              <w:left w:val="nil"/>
              <w:bottom w:val="single" w:sz="4" w:space="0" w:color="auto"/>
              <w:right w:val="single" w:sz="4" w:space="0" w:color="auto"/>
            </w:tcBorders>
            <w:shd w:val="clear" w:color="auto" w:fill="auto"/>
            <w:noWrap/>
            <w:vAlign w:val="center"/>
            <w:hideMark/>
          </w:tcPr>
          <w:p w14:paraId="79B256EF"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-0,814522%</w:t>
            </w:r>
          </w:p>
        </w:tc>
        <w:tc>
          <w:tcPr>
            <w:tcW w:w="396" w:type="dxa"/>
            <w:tcBorders>
              <w:top w:val="nil"/>
              <w:left w:val="nil"/>
              <w:bottom w:val="single" w:sz="4" w:space="0" w:color="auto"/>
              <w:right w:val="single" w:sz="4" w:space="0" w:color="auto"/>
            </w:tcBorders>
            <w:shd w:val="clear" w:color="auto" w:fill="auto"/>
            <w:noWrap/>
            <w:vAlign w:val="center"/>
            <w:hideMark/>
          </w:tcPr>
          <w:p w14:paraId="49BE0E47" w14:textId="77777777" w:rsidR="00DA4B44" w:rsidRPr="00171FE1" w:rsidRDefault="00DA4B44" w:rsidP="00DC1C4E">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w:t>
            </w:r>
          </w:p>
        </w:tc>
        <w:tc>
          <w:tcPr>
            <w:tcW w:w="1176" w:type="dxa"/>
            <w:tcBorders>
              <w:top w:val="nil"/>
              <w:left w:val="nil"/>
              <w:bottom w:val="single" w:sz="4" w:space="0" w:color="auto"/>
              <w:right w:val="single" w:sz="4" w:space="0" w:color="auto"/>
            </w:tcBorders>
            <w:shd w:val="clear" w:color="auto" w:fill="auto"/>
            <w:noWrap/>
            <w:vAlign w:val="center"/>
            <w:hideMark/>
          </w:tcPr>
          <w:p w14:paraId="1B369296" w14:textId="0DE00011"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-0,544391%</w:t>
            </w:r>
          </w:p>
        </w:tc>
        <w:tc>
          <w:tcPr>
            <w:tcW w:w="1240" w:type="dxa"/>
            <w:tcBorders>
              <w:top w:val="nil"/>
              <w:left w:val="nil"/>
              <w:bottom w:val="single" w:sz="8" w:space="0" w:color="auto"/>
              <w:right w:val="single" w:sz="8" w:space="0" w:color="auto"/>
            </w:tcBorders>
            <w:shd w:val="clear" w:color="auto" w:fill="auto"/>
            <w:noWrap/>
            <w:vAlign w:val="center"/>
          </w:tcPr>
          <w:p w14:paraId="17A24156" w14:textId="78DE7D80" w:rsidR="00DA4B44" w:rsidRPr="00171FE1" w:rsidRDefault="00DA4B44" w:rsidP="00DC1C4E">
            <w:pPr>
              <w:spacing w:after="0" w:line="360" w:lineRule="auto"/>
              <w:ind w:left="-26"/>
              <w:jc w:val="center"/>
              <w:rPr>
                <w:rFonts w:eastAsia="Times New Roman" w:cs="Times New Roman"/>
                <w:color w:val="000000"/>
                <w:sz w:val="18"/>
                <w:szCs w:val="18"/>
                <w:lang w:eastAsia="ru-RU"/>
              </w:rPr>
            </w:pPr>
            <w:r>
              <w:rPr>
                <w:color w:val="000000"/>
                <w:sz w:val="18"/>
                <w:szCs w:val="18"/>
              </w:rPr>
              <w:t>0,92328459</w:t>
            </w:r>
          </w:p>
        </w:tc>
        <w:tc>
          <w:tcPr>
            <w:tcW w:w="1161" w:type="dxa"/>
            <w:tcBorders>
              <w:top w:val="nil"/>
              <w:left w:val="nil"/>
              <w:bottom w:val="single" w:sz="4" w:space="0" w:color="auto"/>
              <w:right w:val="single" w:sz="4" w:space="0" w:color="auto"/>
            </w:tcBorders>
            <w:shd w:val="clear" w:color="auto" w:fill="auto"/>
            <w:noWrap/>
            <w:vAlign w:val="center"/>
            <w:hideMark/>
          </w:tcPr>
          <w:p w14:paraId="46B1469A" w14:textId="3CC3F6DE"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-0,09534852</w:t>
            </w:r>
          </w:p>
        </w:tc>
        <w:tc>
          <w:tcPr>
            <w:tcW w:w="1260" w:type="dxa"/>
            <w:tcBorders>
              <w:top w:val="nil"/>
              <w:left w:val="nil"/>
              <w:bottom w:val="single" w:sz="4" w:space="0" w:color="auto"/>
            </w:tcBorders>
            <w:shd w:val="clear" w:color="auto" w:fill="auto"/>
            <w:noWrap/>
            <w:vAlign w:val="center"/>
            <w:hideMark/>
          </w:tcPr>
          <w:p w14:paraId="19EE4AEE" w14:textId="25BEA993"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0,05178546</w:t>
            </w:r>
          </w:p>
        </w:tc>
      </w:tr>
      <w:tr w:rsidR="00DA4B44" w:rsidRPr="00171FE1" w14:paraId="0900226A" w14:textId="77777777" w:rsidTr="0090384E">
        <w:trPr>
          <w:trHeight w:val="60"/>
        </w:trPr>
        <w:tc>
          <w:tcPr>
            <w:tcW w:w="15037" w:type="dxa"/>
            <w:gridSpan w:val="15"/>
            <w:tcBorders>
              <w:top w:val="nil"/>
              <w:bottom w:val="single" w:sz="4" w:space="0" w:color="auto"/>
            </w:tcBorders>
            <w:shd w:val="clear" w:color="auto" w:fill="auto"/>
            <w:noWrap/>
            <w:vAlign w:val="center"/>
          </w:tcPr>
          <w:p w14:paraId="0EF93202" w14:textId="77777777" w:rsidR="00DA4B44" w:rsidRPr="0090384E" w:rsidRDefault="00DA4B44" w:rsidP="00DC1C4E">
            <w:pPr>
              <w:spacing w:after="0" w:line="360" w:lineRule="auto"/>
              <w:ind w:left="-26" w:right="-88"/>
              <w:jc w:val="center"/>
              <w:rPr>
                <w:rFonts w:eastAsia="Times New Roman" w:cs="Times New Roman"/>
                <w:color w:val="000000"/>
                <w:sz w:val="2"/>
                <w:szCs w:val="2"/>
                <w:lang w:eastAsia="ru-RU"/>
              </w:rPr>
            </w:pPr>
          </w:p>
        </w:tc>
      </w:tr>
      <w:tr w:rsidR="00DA4B44" w:rsidRPr="00171FE1" w14:paraId="2D4E67BA" w14:textId="77777777" w:rsidTr="00DC1C4E">
        <w:trPr>
          <w:trHeight w:val="288"/>
        </w:trPr>
        <w:tc>
          <w:tcPr>
            <w:tcW w:w="1026" w:type="dxa"/>
            <w:tcBorders>
              <w:top w:val="nil"/>
              <w:bottom w:val="single" w:sz="4" w:space="0" w:color="auto"/>
              <w:right w:val="single" w:sz="4" w:space="0" w:color="auto"/>
            </w:tcBorders>
            <w:shd w:val="clear" w:color="auto" w:fill="auto"/>
            <w:noWrap/>
            <w:vAlign w:val="center"/>
            <w:hideMark/>
          </w:tcPr>
          <w:p w14:paraId="6534EC03" w14:textId="77777777" w:rsidR="00DA4B44" w:rsidRPr="00171FE1" w:rsidRDefault="00DA4B44" w:rsidP="00DC1C4E">
            <w:pPr>
              <w:spacing w:after="0" w:line="360" w:lineRule="auto"/>
              <w:ind w:right="-7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08.10.2020</w:t>
            </w:r>
          </w:p>
        </w:tc>
        <w:tc>
          <w:tcPr>
            <w:tcW w:w="857" w:type="dxa"/>
            <w:tcBorders>
              <w:top w:val="nil"/>
              <w:left w:val="nil"/>
              <w:bottom w:val="single" w:sz="4" w:space="0" w:color="auto"/>
              <w:right w:val="single" w:sz="4" w:space="0" w:color="auto"/>
            </w:tcBorders>
            <w:shd w:val="clear" w:color="auto" w:fill="auto"/>
            <w:noWrap/>
            <w:vAlign w:val="center"/>
            <w:hideMark/>
          </w:tcPr>
          <w:p w14:paraId="3A4F0F13"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17:30:00</w:t>
            </w:r>
          </w:p>
        </w:tc>
        <w:tc>
          <w:tcPr>
            <w:tcW w:w="1169" w:type="dxa"/>
            <w:tcBorders>
              <w:top w:val="nil"/>
              <w:left w:val="nil"/>
              <w:bottom w:val="single" w:sz="4" w:space="0" w:color="auto"/>
              <w:right w:val="single" w:sz="4" w:space="0" w:color="auto"/>
            </w:tcBorders>
            <w:shd w:val="clear" w:color="auto" w:fill="auto"/>
            <w:noWrap/>
            <w:vAlign w:val="center"/>
            <w:hideMark/>
          </w:tcPr>
          <w:p w14:paraId="06021988"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0,9276438</w:t>
            </w:r>
          </w:p>
        </w:tc>
        <w:tc>
          <w:tcPr>
            <w:tcW w:w="1169" w:type="dxa"/>
            <w:tcBorders>
              <w:top w:val="nil"/>
              <w:left w:val="nil"/>
              <w:bottom w:val="single" w:sz="4" w:space="0" w:color="auto"/>
              <w:right w:val="single" w:sz="4" w:space="0" w:color="auto"/>
            </w:tcBorders>
            <w:shd w:val="clear" w:color="auto" w:fill="auto"/>
            <w:noWrap/>
            <w:vAlign w:val="center"/>
            <w:hideMark/>
          </w:tcPr>
          <w:p w14:paraId="199A30C7"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0,9271707</w:t>
            </w:r>
          </w:p>
        </w:tc>
        <w:tc>
          <w:tcPr>
            <w:tcW w:w="660" w:type="dxa"/>
            <w:tcBorders>
              <w:top w:val="nil"/>
              <w:left w:val="nil"/>
              <w:bottom w:val="single" w:sz="4" w:space="0" w:color="auto"/>
              <w:right w:val="single" w:sz="4" w:space="0" w:color="auto"/>
            </w:tcBorders>
            <w:shd w:val="clear" w:color="auto" w:fill="auto"/>
            <w:noWrap/>
            <w:vAlign w:val="center"/>
            <w:hideMark/>
          </w:tcPr>
          <w:p w14:paraId="4B4E08E0"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67</w:t>
            </w:r>
          </w:p>
        </w:tc>
        <w:tc>
          <w:tcPr>
            <w:tcW w:w="837" w:type="dxa"/>
            <w:tcBorders>
              <w:top w:val="nil"/>
              <w:left w:val="nil"/>
              <w:bottom w:val="single" w:sz="4" w:space="0" w:color="auto"/>
              <w:right w:val="single" w:sz="4" w:space="0" w:color="auto"/>
            </w:tcBorders>
            <w:shd w:val="clear" w:color="auto" w:fill="auto"/>
            <w:noWrap/>
            <w:vAlign w:val="center"/>
            <w:hideMark/>
          </w:tcPr>
          <w:p w14:paraId="0BB75743"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60</w:t>
            </w:r>
          </w:p>
        </w:tc>
        <w:tc>
          <w:tcPr>
            <w:tcW w:w="888" w:type="dxa"/>
            <w:tcBorders>
              <w:top w:val="nil"/>
              <w:left w:val="nil"/>
              <w:bottom w:val="single" w:sz="4" w:space="0" w:color="auto"/>
              <w:right w:val="single" w:sz="4" w:space="0" w:color="auto"/>
            </w:tcBorders>
            <w:shd w:val="clear" w:color="auto" w:fill="auto"/>
            <w:noWrap/>
            <w:vAlign w:val="center"/>
            <w:hideMark/>
          </w:tcPr>
          <w:p w14:paraId="139B6FAC"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90</w:t>
            </w:r>
          </w:p>
        </w:tc>
        <w:tc>
          <w:tcPr>
            <w:tcW w:w="1049" w:type="dxa"/>
            <w:tcBorders>
              <w:top w:val="nil"/>
              <w:left w:val="nil"/>
              <w:bottom w:val="single" w:sz="4" w:space="0" w:color="auto"/>
              <w:right w:val="single" w:sz="4" w:space="0" w:color="auto"/>
            </w:tcBorders>
            <w:shd w:val="clear" w:color="auto" w:fill="auto"/>
            <w:noWrap/>
            <w:vAlign w:val="center"/>
            <w:hideMark/>
          </w:tcPr>
          <w:p w14:paraId="4D17D427" w14:textId="77777777" w:rsidR="00DA4B44" w:rsidRPr="00171FE1" w:rsidRDefault="00DA4B44" w:rsidP="00DC1C4E">
            <w:pPr>
              <w:spacing w:after="0" w:line="360" w:lineRule="auto"/>
              <w:ind w:left="-198" w:right="-14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-0,7618%</w:t>
            </w:r>
          </w:p>
        </w:tc>
        <w:tc>
          <w:tcPr>
            <w:tcW w:w="972" w:type="dxa"/>
            <w:tcBorders>
              <w:top w:val="nil"/>
              <w:left w:val="nil"/>
              <w:bottom w:val="single" w:sz="4" w:space="0" w:color="auto"/>
              <w:right w:val="single" w:sz="4" w:space="0" w:color="auto"/>
            </w:tcBorders>
            <w:shd w:val="clear" w:color="auto" w:fill="auto"/>
            <w:noWrap/>
            <w:vAlign w:val="center"/>
            <w:hideMark/>
          </w:tcPr>
          <w:p w14:paraId="2632BEA0"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-0,7600%</w:t>
            </w:r>
          </w:p>
        </w:tc>
        <w:tc>
          <w:tcPr>
            <w:tcW w:w="1177" w:type="dxa"/>
            <w:tcBorders>
              <w:top w:val="nil"/>
              <w:left w:val="nil"/>
              <w:bottom w:val="single" w:sz="4" w:space="0" w:color="auto"/>
              <w:right w:val="single" w:sz="4" w:space="0" w:color="auto"/>
            </w:tcBorders>
            <w:shd w:val="clear" w:color="auto" w:fill="auto"/>
            <w:noWrap/>
            <w:vAlign w:val="center"/>
            <w:hideMark/>
          </w:tcPr>
          <w:p w14:paraId="03C7CD88"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-0,761380%</w:t>
            </w:r>
          </w:p>
        </w:tc>
        <w:tc>
          <w:tcPr>
            <w:tcW w:w="396" w:type="dxa"/>
            <w:tcBorders>
              <w:top w:val="nil"/>
              <w:left w:val="nil"/>
              <w:bottom w:val="single" w:sz="4" w:space="0" w:color="auto"/>
              <w:right w:val="single" w:sz="4" w:space="0" w:color="auto"/>
            </w:tcBorders>
            <w:shd w:val="clear" w:color="auto" w:fill="auto"/>
            <w:noWrap/>
            <w:vAlign w:val="center"/>
            <w:hideMark/>
          </w:tcPr>
          <w:p w14:paraId="23247FDF" w14:textId="77777777" w:rsidR="00DA4B44" w:rsidRPr="00171FE1" w:rsidRDefault="00DA4B44" w:rsidP="00DC1C4E">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w:t>
            </w:r>
          </w:p>
        </w:tc>
        <w:tc>
          <w:tcPr>
            <w:tcW w:w="1176" w:type="dxa"/>
            <w:tcBorders>
              <w:top w:val="nil"/>
              <w:left w:val="nil"/>
              <w:bottom w:val="single" w:sz="4" w:space="0" w:color="auto"/>
              <w:right w:val="single" w:sz="4" w:space="0" w:color="auto"/>
            </w:tcBorders>
            <w:shd w:val="clear" w:color="auto" w:fill="auto"/>
            <w:noWrap/>
            <w:vAlign w:val="center"/>
            <w:hideMark/>
          </w:tcPr>
          <w:p w14:paraId="4A4A60F5" w14:textId="656F48B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-0,516733%</w:t>
            </w:r>
          </w:p>
        </w:tc>
        <w:tc>
          <w:tcPr>
            <w:tcW w:w="1240" w:type="dxa"/>
            <w:tcBorders>
              <w:top w:val="nil"/>
              <w:left w:val="nil"/>
              <w:bottom w:val="single" w:sz="8" w:space="0" w:color="auto"/>
              <w:right w:val="single" w:sz="8" w:space="0" w:color="auto"/>
            </w:tcBorders>
            <w:shd w:val="clear" w:color="auto" w:fill="auto"/>
            <w:noWrap/>
            <w:vAlign w:val="center"/>
          </w:tcPr>
          <w:p w14:paraId="227673C4" w14:textId="723FE4D1" w:rsidR="00DA4B44" w:rsidRPr="00171FE1" w:rsidRDefault="00DA4B44" w:rsidP="00DC1C4E">
            <w:pPr>
              <w:spacing w:after="0" w:line="360" w:lineRule="auto"/>
              <w:ind w:left="-26" w:right="164"/>
              <w:jc w:val="center"/>
              <w:rPr>
                <w:rFonts w:eastAsia="Times New Roman" w:cs="Times New Roman"/>
                <w:color w:val="000000"/>
                <w:sz w:val="18"/>
                <w:szCs w:val="18"/>
                <w:lang w:eastAsia="ru-RU"/>
              </w:rPr>
            </w:pPr>
            <w:r>
              <w:rPr>
                <w:color w:val="000000"/>
                <w:sz w:val="18"/>
                <w:szCs w:val="18"/>
              </w:rPr>
              <w:t>0,9275872</w:t>
            </w:r>
          </w:p>
        </w:tc>
        <w:tc>
          <w:tcPr>
            <w:tcW w:w="1161" w:type="dxa"/>
            <w:tcBorders>
              <w:top w:val="nil"/>
              <w:left w:val="nil"/>
              <w:bottom w:val="single" w:sz="4" w:space="0" w:color="auto"/>
              <w:right w:val="single" w:sz="4" w:space="0" w:color="auto"/>
            </w:tcBorders>
            <w:shd w:val="clear" w:color="auto" w:fill="auto"/>
            <w:noWrap/>
            <w:vAlign w:val="center"/>
            <w:hideMark/>
          </w:tcPr>
          <w:p w14:paraId="3543FB19" w14:textId="44E27272"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0,60998389</w:t>
            </w:r>
          </w:p>
        </w:tc>
        <w:tc>
          <w:tcPr>
            <w:tcW w:w="1260" w:type="dxa"/>
            <w:tcBorders>
              <w:top w:val="nil"/>
              <w:left w:val="nil"/>
              <w:bottom w:val="single" w:sz="4" w:space="0" w:color="auto"/>
            </w:tcBorders>
            <w:shd w:val="clear" w:color="auto" w:fill="auto"/>
            <w:noWrap/>
            <w:vAlign w:val="center"/>
            <w:hideMark/>
          </w:tcPr>
          <w:p w14:paraId="0C04C035" w14:textId="1E7C35D6"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-0,46112820</w:t>
            </w:r>
          </w:p>
        </w:tc>
      </w:tr>
      <w:tr w:rsidR="00DA4B44" w:rsidRPr="00171FE1" w14:paraId="2919140B" w14:textId="77777777" w:rsidTr="00DC1C4E">
        <w:trPr>
          <w:trHeight w:val="288"/>
        </w:trPr>
        <w:tc>
          <w:tcPr>
            <w:tcW w:w="1026" w:type="dxa"/>
            <w:tcBorders>
              <w:top w:val="nil"/>
              <w:bottom w:val="single" w:sz="4" w:space="0" w:color="auto"/>
              <w:right w:val="single" w:sz="4" w:space="0" w:color="auto"/>
            </w:tcBorders>
            <w:shd w:val="clear" w:color="auto" w:fill="auto"/>
            <w:noWrap/>
            <w:vAlign w:val="center"/>
            <w:hideMark/>
          </w:tcPr>
          <w:p w14:paraId="33EE266F" w14:textId="77777777" w:rsidR="00DA4B44" w:rsidRPr="00171FE1" w:rsidRDefault="00DA4B44" w:rsidP="00DC1C4E">
            <w:pPr>
              <w:spacing w:after="0" w:line="360" w:lineRule="auto"/>
              <w:ind w:right="-7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08.10.2020</w:t>
            </w:r>
          </w:p>
        </w:tc>
        <w:tc>
          <w:tcPr>
            <w:tcW w:w="857" w:type="dxa"/>
            <w:tcBorders>
              <w:top w:val="nil"/>
              <w:left w:val="nil"/>
              <w:bottom w:val="single" w:sz="4" w:space="0" w:color="auto"/>
              <w:right w:val="single" w:sz="4" w:space="0" w:color="auto"/>
            </w:tcBorders>
            <w:shd w:val="clear" w:color="auto" w:fill="auto"/>
            <w:noWrap/>
            <w:vAlign w:val="center"/>
            <w:hideMark/>
          </w:tcPr>
          <w:p w14:paraId="52453E53"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17:00:00</w:t>
            </w:r>
          </w:p>
        </w:tc>
        <w:tc>
          <w:tcPr>
            <w:tcW w:w="1169" w:type="dxa"/>
            <w:tcBorders>
              <w:top w:val="nil"/>
              <w:left w:val="nil"/>
              <w:bottom w:val="single" w:sz="4" w:space="0" w:color="auto"/>
              <w:right w:val="single" w:sz="4" w:space="0" w:color="auto"/>
            </w:tcBorders>
            <w:shd w:val="clear" w:color="auto" w:fill="auto"/>
            <w:noWrap/>
            <w:vAlign w:val="center"/>
            <w:hideMark/>
          </w:tcPr>
          <w:p w14:paraId="4574D35D"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0,9269559</w:t>
            </w:r>
          </w:p>
        </w:tc>
        <w:tc>
          <w:tcPr>
            <w:tcW w:w="1169" w:type="dxa"/>
            <w:tcBorders>
              <w:top w:val="nil"/>
              <w:left w:val="nil"/>
              <w:bottom w:val="single" w:sz="4" w:space="0" w:color="auto"/>
              <w:right w:val="single" w:sz="4" w:space="0" w:color="auto"/>
            </w:tcBorders>
            <w:shd w:val="clear" w:color="auto" w:fill="auto"/>
            <w:noWrap/>
            <w:vAlign w:val="center"/>
            <w:hideMark/>
          </w:tcPr>
          <w:p w14:paraId="2DDD6F21"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0,9266552</w:t>
            </w:r>
          </w:p>
        </w:tc>
        <w:tc>
          <w:tcPr>
            <w:tcW w:w="660" w:type="dxa"/>
            <w:tcBorders>
              <w:top w:val="nil"/>
              <w:left w:val="nil"/>
              <w:bottom w:val="single" w:sz="4" w:space="0" w:color="auto"/>
              <w:right w:val="single" w:sz="4" w:space="0" w:color="auto"/>
            </w:tcBorders>
            <w:shd w:val="clear" w:color="auto" w:fill="auto"/>
            <w:noWrap/>
            <w:vAlign w:val="center"/>
            <w:hideMark/>
          </w:tcPr>
          <w:p w14:paraId="22FCFE63"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67</w:t>
            </w:r>
          </w:p>
        </w:tc>
        <w:tc>
          <w:tcPr>
            <w:tcW w:w="837" w:type="dxa"/>
            <w:tcBorders>
              <w:top w:val="nil"/>
              <w:left w:val="nil"/>
              <w:bottom w:val="single" w:sz="4" w:space="0" w:color="auto"/>
              <w:right w:val="single" w:sz="4" w:space="0" w:color="auto"/>
            </w:tcBorders>
            <w:shd w:val="clear" w:color="auto" w:fill="auto"/>
            <w:noWrap/>
            <w:vAlign w:val="center"/>
            <w:hideMark/>
          </w:tcPr>
          <w:p w14:paraId="5EB7D4AF"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60</w:t>
            </w:r>
          </w:p>
        </w:tc>
        <w:tc>
          <w:tcPr>
            <w:tcW w:w="888" w:type="dxa"/>
            <w:tcBorders>
              <w:top w:val="nil"/>
              <w:left w:val="nil"/>
              <w:bottom w:val="single" w:sz="4" w:space="0" w:color="auto"/>
              <w:right w:val="single" w:sz="4" w:space="0" w:color="auto"/>
            </w:tcBorders>
            <w:shd w:val="clear" w:color="auto" w:fill="auto"/>
            <w:noWrap/>
            <w:vAlign w:val="center"/>
            <w:hideMark/>
          </w:tcPr>
          <w:p w14:paraId="4D672AAB"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90</w:t>
            </w:r>
          </w:p>
        </w:tc>
        <w:tc>
          <w:tcPr>
            <w:tcW w:w="1049" w:type="dxa"/>
            <w:tcBorders>
              <w:top w:val="nil"/>
              <w:left w:val="nil"/>
              <w:bottom w:val="single" w:sz="4" w:space="0" w:color="auto"/>
              <w:right w:val="single" w:sz="4" w:space="0" w:color="auto"/>
            </w:tcBorders>
            <w:shd w:val="clear" w:color="auto" w:fill="auto"/>
            <w:noWrap/>
            <w:vAlign w:val="center"/>
            <w:hideMark/>
          </w:tcPr>
          <w:p w14:paraId="09DCCDF2" w14:textId="77777777" w:rsidR="00DA4B44" w:rsidRPr="00171FE1" w:rsidRDefault="00DA4B44" w:rsidP="00DC1C4E">
            <w:pPr>
              <w:spacing w:after="0" w:line="360" w:lineRule="auto"/>
              <w:ind w:left="-198" w:right="-14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-0,7618%</w:t>
            </w:r>
          </w:p>
        </w:tc>
        <w:tc>
          <w:tcPr>
            <w:tcW w:w="972" w:type="dxa"/>
            <w:tcBorders>
              <w:top w:val="nil"/>
              <w:left w:val="nil"/>
              <w:bottom w:val="single" w:sz="4" w:space="0" w:color="auto"/>
              <w:right w:val="single" w:sz="4" w:space="0" w:color="auto"/>
            </w:tcBorders>
            <w:shd w:val="clear" w:color="auto" w:fill="auto"/>
            <w:noWrap/>
            <w:vAlign w:val="center"/>
            <w:hideMark/>
          </w:tcPr>
          <w:p w14:paraId="76D57EFF"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-0,7600%</w:t>
            </w:r>
          </w:p>
        </w:tc>
        <w:tc>
          <w:tcPr>
            <w:tcW w:w="1177" w:type="dxa"/>
            <w:tcBorders>
              <w:top w:val="nil"/>
              <w:left w:val="nil"/>
              <w:bottom w:val="single" w:sz="4" w:space="0" w:color="auto"/>
              <w:right w:val="single" w:sz="4" w:space="0" w:color="auto"/>
            </w:tcBorders>
            <w:shd w:val="clear" w:color="auto" w:fill="auto"/>
            <w:noWrap/>
            <w:vAlign w:val="center"/>
            <w:hideMark/>
          </w:tcPr>
          <w:p w14:paraId="777604C7"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-0,761380%</w:t>
            </w:r>
          </w:p>
        </w:tc>
        <w:tc>
          <w:tcPr>
            <w:tcW w:w="396" w:type="dxa"/>
            <w:tcBorders>
              <w:top w:val="nil"/>
              <w:left w:val="nil"/>
              <w:bottom w:val="single" w:sz="4" w:space="0" w:color="auto"/>
              <w:right w:val="single" w:sz="4" w:space="0" w:color="auto"/>
            </w:tcBorders>
            <w:shd w:val="clear" w:color="auto" w:fill="auto"/>
            <w:noWrap/>
            <w:vAlign w:val="center"/>
            <w:hideMark/>
          </w:tcPr>
          <w:p w14:paraId="05A24826" w14:textId="77777777" w:rsidR="00DA4B44" w:rsidRPr="00171FE1" w:rsidRDefault="00DA4B44" w:rsidP="00DC1C4E">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w:t>
            </w:r>
          </w:p>
        </w:tc>
        <w:tc>
          <w:tcPr>
            <w:tcW w:w="1176" w:type="dxa"/>
            <w:tcBorders>
              <w:top w:val="nil"/>
              <w:left w:val="nil"/>
              <w:bottom w:val="single" w:sz="4" w:space="0" w:color="auto"/>
              <w:right w:val="single" w:sz="4" w:space="0" w:color="auto"/>
            </w:tcBorders>
            <w:shd w:val="clear" w:color="auto" w:fill="auto"/>
            <w:noWrap/>
            <w:vAlign w:val="center"/>
            <w:hideMark/>
          </w:tcPr>
          <w:p w14:paraId="3DB6850A" w14:textId="79458BB0"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-0,516733%</w:t>
            </w:r>
          </w:p>
        </w:tc>
        <w:tc>
          <w:tcPr>
            <w:tcW w:w="1240" w:type="dxa"/>
            <w:tcBorders>
              <w:top w:val="nil"/>
              <w:left w:val="nil"/>
              <w:bottom w:val="single" w:sz="8" w:space="0" w:color="auto"/>
              <w:right w:val="single" w:sz="8" w:space="0" w:color="auto"/>
            </w:tcBorders>
            <w:shd w:val="clear" w:color="auto" w:fill="auto"/>
            <w:noWrap/>
            <w:vAlign w:val="center"/>
          </w:tcPr>
          <w:p w14:paraId="1E1AA30E" w14:textId="183A2BAD" w:rsidR="00DA4B44" w:rsidRPr="00171FE1" w:rsidRDefault="00DA4B44" w:rsidP="00DC1C4E">
            <w:pPr>
              <w:spacing w:after="0" w:line="360" w:lineRule="auto"/>
              <w:ind w:left="-26" w:right="164"/>
              <w:jc w:val="center"/>
              <w:rPr>
                <w:rFonts w:eastAsia="Times New Roman" w:cs="Times New Roman"/>
                <w:color w:val="000000"/>
                <w:sz w:val="18"/>
                <w:szCs w:val="18"/>
                <w:lang w:eastAsia="ru-RU"/>
              </w:rPr>
            </w:pPr>
            <w:r>
              <w:rPr>
                <w:color w:val="000000"/>
                <w:sz w:val="18"/>
                <w:szCs w:val="18"/>
              </w:rPr>
              <w:t>0,92707147</w:t>
            </w:r>
          </w:p>
        </w:tc>
        <w:tc>
          <w:tcPr>
            <w:tcW w:w="1161" w:type="dxa"/>
            <w:tcBorders>
              <w:top w:val="nil"/>
              <w:left w:val="nil"/>
              <w:bottom w:val="single" w:sz="4" w:space="0" w:color="auto"/>
              <w:right w:val="single" w:sz="4" w:space="0" w:color="auto"/>
            </w:tcBorders>
            <w:shd w:val="clear" w:color="auto" w:fill="auto"/>
            <w:noWrap/>
            <w:vAlign w:val="center"/>
            <w:hideMark/>
          </w:tcPr>
          <w:p w14:paraId="7EEE226E" w14:textId="3E4D6A69"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-1,24687729</w:t>
            </w:r>
          </w:p>
        </w:tc>
        <w:tc>
          <w:tcPr>
            <w:tcW w:w="1260" w:type="dxa"/>
            <w:tcBorders>
              <w:top w:val="nil"/>
              <w:left w:val="nil"/>
              <w:bottom w:val="single" w:sz="4" w:space="0" w:color="auto"/>
            </w:tcBorders>
            <w:shd w:val="clear" w:color="auto" w:fill="auto"/>
            <w:noWrap/>
            <w:vAlign w:val="center"/>
            <w:hideMark/>
          </w:tcPr>
          <w:p w14:paraId="10ABC7B5" w14:textId="1E2A0685"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-0,46112820</w:t>
            </w:r>
          </w:p>
        </w:tc>
      </w:tr>
      <w:tr w:rsidR="00DA4B44" w:rsidRPr="00171FE1" w14:paraId="7F795D10" w14:textId="77777777" w:rsidTr="00DC1C4E">
        <w:trPr>
          <w:trHeight w:val="288"/>
        </w:trPr>
        <w:tc>
          <w:tcPr>
            <w:tcW w:w="1026" w:type="dxa"/>
            <w:tcBorders>
              <w:top w:val="nil"/>
              <w:bottom w:val="single" w:sz="4" w:space="0" w:color="auto"/>
              <w:right w:val="single" w:sz="4" w:space="0" w:color="auto"/>
            </w:tcBorders>
            <w:shd w:val="clear" w:color="auto" w:fill="auto"/>
            <w:noWrap/>
            <w:vAlign w:val="center"/>
            <w:hideMark/>
          </w:tcPr>
          <w:p w14:paraId="4222A0B2" w14:textId="77777777" w:rsidR="00DA4B44" w:rsidRPr="00171FE1" w:rsidRDefault="00DA4B44" w:rsidP="00DC1C4E">
            <w:pPr>
              <w:spacing w:after="0" w:line="360" w:lineRule="auto"/>
              <w:ind w:right="-7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08.10.2020</w:t>
            </w:r>
          </w:p>
        </w:tc>
        <w:tc>
          <w:tcPr>
            <w:tcW w:w="857" w:type="dxa"/>
            <w:tcBorders>
              <w:top w:val="nil"/>
              <w:left w:val="nil"/>
              <w:bottom w:val="single" w:sz="4" w:space="0" w:color="auto"/>
              <w:right w:val="single" w:sz="4" w:space="0" w:color="auto"/>
            </w:tcBorders>
            <w:shd w:val="clear" w:color="auto" w:fill="auto"/>
            <w:noWrap/>
            <w:vAlign w:val="center"/>
            <w:hideMark/>
          </w:tcPr>
          <w:p w14:paraId="457B9711"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16:30:00</w:t>
            </w:r>
          </w:p>
        </w:tc>
        <w:tc>
          <w:tcPr>
            <w:tcW w:w="1169" w:type="dxa"/>
            <w:tcBorders>
              <w:top w:val="nil"/>
              <w:left w:val="nil"/>
              <w:bottom w:val="single" w:sz="4" w:space="0" w:color="auto"/>
              <w:right w:val="single" w:sz="4" w:space="0" w:color="auto"/>
            </w:tcBorders>
            <w:shd w:val="clear" w:color="auto" w:fill="auto"/>
            <w:noWrap/>
            <w:vAlign w:val="center"/>
            <w:hideMark/>
          </w:tcPr>
          <w:p w14:paraId="315F4F2D"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0,9265265</w:t>
            </w:r>
          </w:p>
        </w:tc>
        <w:tc>
          <w:tcPr>
            <w:tcW w:w="1169" w:type="dxa"/>
            <w:tcBorders>
              <w:top w:val="nil"/>
              <w:left w:val="nil"/>
              <w:bottom w:val="single" w:sz="4" w:space="0" w:color="auto"/>
              <w:right w:val="single" w:sz="4" w:space="0" w:color="auto"/>
            </w:tcBorders>
            <w:shd w:val="clear" w:color="auto" w:fill="auto"/>
            <w:noWrap/>
            <w:vAlign w:val="center"/>
            <w:hideMark/>
          </w:tcPr>
          <w:p w14:paraId="306D4FAF"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0,9261403</w:t>
            </w:r>
          </w:p>
        </w:tc>
        <w:tc>
          <w:tcPr>
            <w:tcW w:w="660" w:type="dxa"/>
            <w:tcBorders>
              <w:top w:val="nil"/>
              <w:left w:val="nil"/>
              <w:bottom w:val="single" w:sz="4" w:space="0" w:color="auto"/>
              <w:right w:val="single" w:sz="4" w:space="0" w:color="auto"/>
            </w:tcBorders>
            <w:shd w:val="clear" w:color="auto" w:fill="auto"/>
            <w:noWrap/>
            <w:vAlign w:val="center"/>
            <w:hideMark/>
          </w:tcPr>
          <w:p w14:paraId="6C96BA59"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67</w:t>
            </w:r>
          </w:p>
        </w:tc>
        <w:tc>
          <w:tcPr>
            <w:tcW w:w="837" w:type="dxa"/>
            <w:tcBorders>
              <w:top w:val="nil"/>
              <w:left w:val="nil"/>
              <w:bottom w:val="single" w:sz="4" w:space="0" w:color="auto"/>
              <w:right w:val="single" w:sz="4" w:space="0" w:color="auto"/>
            </w:tcBorders>
            <w:shd w:val="clear" w:color="auto" w:fill="auto"/>
            <w:noWrap/>
            <w:vAlign w:val="center"/>
            <w:hideMark/>
          </w:tcPr>
          <w:p w14:paraId="6D77D700"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60</w:t>
            </w:r>
          </w:p>
        </w:tc>
        <w:tc>
          <w:tcPr>
            <w:tcW w:w="888" w:type="dxa"/>
            <w:tcBorders>
              <w:top w:val="nil"/>
              <w:left w:val="nil"/>
              <w:bottom w:val="single" w:sz="4" w:space="0" w:color="auto"/>
              <w:right w:val="single" w:sz="4" w:space="0" w:color="auto"/>
            </w:tcBorders>
            <w:shd w:val="clear" w:color="auto" w:fill="auto"/>
            <w:noWrap/>
            <w:vAlign w:val="center"/>
            <w:hideMark/>
          </w:tcPr>
          <w:p w14:paraId="297FFFC8"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90</w:t>
            </w:r>
          </w:p>
        </w:tc>
        <w:tc>
          <w:tcPr>
            <w:tcW w:w="1049" w:type="dxa"/>
            <w:tcBorders>
              <w:top w:val="nil"/>
              <w:left w:val="nil"/>
              <w:bottom w:val="single" w:sz="4" w:space="0" w:color="auto"/>
              <w:right w:val="single" w:sz="4" w:space="0" w:color="auto"/>
            </w:tcBorders>
            <w:shd w:val="clear" w:color="auto" w:fill="auto"/>
            <w:noWrap/>
            <w:vAlign w:val="center"/>
            <w:hideMark/>
          </w:tcPr>
          <w:p w14:paraId="2E845AF9" w14:textId="77777777" w:rsidR="00DA4B44" w:rsidRPr="00171FE1" w:rsidRDefault="00DA4B44" w:rsidP="00DC1C4E">
            <w:pPr>
              <w:spacing w:after="0" w:line="360" w:lineRule="auto"/>
              <w:ind w:left="-198" w:right="-14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-0,7618%</w:t>
            </w:r>
          </w:p>
        </w:tc>
        <w:tc>
          <w:tcPr>
            <w:tcW w:w="972" w:type="dxa"/>
            <w:tcBorders>
              <w:top w:val="nil"/>
              <w:left w:val="nil"/>
              <w:bottom w:val="single" w:sz="4" w:space="0" w:color="auto"/>
              <w:right w:val="single" w:sz="4" w:space="0" w:color="auto"/>
            </w:tcBorders>
            <w:shd w:val="clear" w:color="auto" w:fill="auto"/>
            <w:noWrap/>
            <w:vAlign w:val="center"/>
            <w:hideMark/>
          </w:tcPr>
          <w:p w14:paraId="26A2C897"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-0,7600%</w:t>
            </w:r>
          </w:p>
        </w:tc>
        <w:tc>
          <w:tcPr>
            <w:tcW w:w="1177" w:type="dxa"/>
            <w:tcBorders>
              <w:top w:val="nil"/>
              <w:left w:val="nil"/>
              <w:bottom w:val="single" w:sz="4" w:space="0" w:color="auto"/>
              <w:right w:val="single" w:sz="4" w:space="0" w:color="auto"/>
            </w:tcBorders>
            <w:shd w:val="clear" w:color="auto" w:fill="auto"/>
            <w:noWrap/>
            <w:vAlign w:val="center"/>
            <w:hideMark/>
          </w:tcPr>
          <w:p w14:paraId="4DF6234B"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-0,761380%</w:t>
            </w:r>
          </w:p>
        </w:tc>
        <w:tc>
          <w:tcPr>
            <w:tcW w:w="396" w:type="dxa"/>
            <w:tcBorders>
              <w:top w:val="nil"/>
              <w:left w:val="nil"/>
              <w:bottom w:val="single" w:sz="4" w:space="0" w:color="auto"/>
              <w:right w:val="single" w:sz="4" w:space="0" w:color="auto"/>
            </w:tcBorders>
            <w:shd w:val="clear" w:color="auto" w:fill="auto"/>
            <w:noWrap/>
            <w:vAlign w:val="center"/>
            <w:hideMark/>
          </w:tcPr>
          <w:p w14:paraId="76B4D74C" w14:textId="77777777" w:rsidR="00DA4B44" w:rsidRPr="00171FE1" w:rsidRDefault="00DA4B44" w:rsidP="00DC1C4E">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w:t>
            </w:r>
          </w:p>
        </w:tc>
        <w:tc>
          <w:tcPr>
            <w:tcW w:w="1176" w:type="dxa"/>
            <w:tcBorders>
              <w:top w:val="nil"/>
              <w:left w:val="nil"/>
              <w:bottom w:val="single" w:sz="4" w:space="0" w:color="auto"/>
              <w:right w:val="single" w:sz="4" w:space="0" w:color="auto"/>
            </w:tcBorders>
            <w:shd w:val="clear" w:color="auto" w:fill="auto"/>
            <w:noWrap/>
            <w:vAlign w:val="center"/>
            <w:hideMark/>
          </w:tcPr>
          <w:p w14:paraId="12B483C3" w14:textId="7C0CDEC3"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-0,516733%</w:t>
            </w:r>
          </w:p>
        </w:tc>
        <w:tc>
          <w:tcPr>
            <w:tcW w:w="1240" w:type="dxa"/>
            <w:tcBorders>
              <w:top w:val="nil"/>
              <w:left w:val="nil"/>
              <w:bottom w:val="single" w:sz="8" w:space="0" w:color="auto"/>
              <w:right w:val="single" w:sz="8" w:space="0" w:color="auto"/>
            </w:tcBorders>
            <w:shd w:val="clear" w:color="auto" w:fill="auto"/>
            <w:noWrap/>
            <w:vAlign w:val="center"/>
          </w:tcPr>
          <w:p w14:paraId="322F7AC6" w14:textId="0AAA482B" w:rsidR="00DA4B44" w:rsidRPr="00171FE1" w:rsidRDefault="00DA4B44" w:rsidP="00DC1C4E">
            <w:pPr>
              <w:spacing w:after="0" w:line="360" w:lineRule="auto"/>
              <w:ind w:left="-26" w:right="164"/>
              <w:jc w:val="center"/>
              <w:rPr>
                <w:rFonts w:eastAsia="Times New Roman" w:cs="Times New Roman"/>
                <w:color w:val="000000"/>
                <w:sz w:val="18"/>
                <w:szCs w:val="18"/>
                <w:lang w:eastAsia="ru-RU"/>
              </w:rPr>
            </w:pPr>
            <w:r>
              <w:rPr>
                <w:color w:val="000000"/>
                <w:sz w:val="18"/>
                <w:szCs w:val="18"/>
              </w:rPr>
              <w:t>0,92655631</w:t>
            </w:r>
          </w:p>
        </w:tc>
        <w:tc>
          <w:tcPr>
            <w:tcW w:w="1161" w:type="dxa"/>
            <w:tcBorders>
              <w:top w:val="nil"/>
              <w:left w:val="nil"/>
              <w:bottom w:val="single" w:sz="4" w:space="0" w:color="auto"/>
              <w:right w:val="single" w:sz="4" w:space="0" w:color="auto"/>
            </w:tcBorders>
            <w:shd w:val="clear" w:color="auto" w:fill="auto"/>
            <w:noWrap/>
            <w:vAlign w:val="center"/>
            <w:hideMark/>
          </w:tcPr>
          <w:p w14:paraId="6285DAD7" w14:textId="3AF826AC"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-0,32226914</w:t>
            </w:r>
          </w:p>
        </w:tc>
        <w:tc>
          <w:tcPr>
            <w:tcW w:w="1260" w:type="dxa"/>
            <w:tcBorders>
              <w:top w:val="nil"/>
              <w:left w:val="nil"/>
              <w:bottom w:val="single" w:sz="4" w:space="0" w:color="auto"/>
            </w:tcBorders>
            <w:shd w:val="clear" w:color="auto" w:fill="auto"/>
            <w:noWrap/>
            <w:vAlign w:val="center"/>
            <w:hideMark/>
          </w:tcPr>
          <w:p w14:paraId="44294CF0" w14:textId="4D48E37F"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-0,46112820</w:t>
            </w:r>
          </w:p>
        </w:tc>
      </w:tr>
      <w:tr w:rsidR="00DA4B44" w:rsidRPr="00171FE1" w14:paraId="0703A9F2" w14:textId="77777777" w:rsidTr="0090384E">
        <w:trPr>
          <w:trHeight w:val="60"/>
        </w:trPr>
        <w:tc>
          <w:tcPr>
            <w:tcW w:w="15037" w:type="dxa"/>
            <w:gridSpan w:val="15"/>
            <w:tcBorders>
              <w:top w:val="nil"/>
              <w:bottom w:val="single" w:sz="4" w:space="0" w:color="auto"/>
            </w:tcBorders>
            <w:shd w:val="clear" w:color="auto" w:fill="auto"/>
            <w:noWrap/>
            <w:vAlign w:val="center"/>
          </w:tcPr>
          <w:p w14:paraId="05757B31" w14:textId="77777777" w:rsidR="00DA4B44" w:rsidRPr="0090384E" w:rsidRDefault="00DA4B44" w:rsidP="0090384E">
            <w:pPr>
              <w:spacing w:after="0" w:line="360" w:lineRule="auto"/>
              <w:ind w:right="-88"/>
              <w:rPr>
                <w:rFonts w:eastAsia="Times New Roman" w:cs="Times New Roman"/>
                <w:color w:val="000000"/>
                <w:sz w:val="2"/>
                <w:szCs w:val="2"/>
                <w:lang w:eastAsia="ru-RU"/>
              </w:rPr>
            </w:pPr>
          </w:p>
        </w:tc>
      </w:tr>
      <w:tr w:rsidR="00DA4B44" w:rsidRPr="00171FE1" w14:paraId="3696CC9A" w14:textId="77777777" w:rsidTr="00DC1C4E">
        <w:trPr>
          <w:trHeight w:val="288"/>
        </w:trPr>
        <w:tc>
          <w:tcPr>
            <w:tcW w:w="1026" w:type="dxa"/>
            <w:tcBorders>
              <w:top w:val="nil"/>
              <w:bottom w:val="single" w:sz="4" w:space="0" w:color="auto"/>
              <w:right w:val="single" w:sz="4" w:space="0" w:color="auto"/>
            </w:tcBorders>
            <w:shd w:val="clear" w:color="auto" w:fill="auto"/>
            <w:noWrap/>
            <w:vAlign w:val="center"/>
            <w:hideMark/>
          </w:tcPr>
          <w:p w14:paraId="329B63A9" w14:textId="77777777" w:rsidR="00DA4B44" w:rsidRPr="00171FE1" w:rsidRDefault="00DA4B44" w:rsidP="00DC1C4E">
            <w:pPr>
              <w:spacing w:after="0" w:line="360" w:lineRule="auto"/>
              <w:ind w:right="-7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08.09.2020</w:t>
            </w:r>
          </w:p>
        </w:tc>
        <w:tc>
          <w:tcPr>
            <w:tcW w:w="857" w:type="dxa"/>
            <w:tcBorders>
              <w:top w:val="nil"/>
              <w:left w:val="nil"/>
              <w:bottom w:val="single" w:sz="4" w:space="0" w:color="auto"/>
              <w:right w:val="single" w:sz="4" w:space="0" w:color="auto"/>
            </w:tcBorders>
            <w:shd w:val="clear" w:color="auto" w:fill="auto"/>
            <w:noWrap/>
            <w:vAlign w:val="center"/>
            <w:hideMark/>
          </w:tcPr>
          <w:p w14:paraId="0E4B0D75"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18:00:00</w:t>
            </w:r>
          </w:p>
        </w:tc>
        <w:tc>
          <w:tcPr>
            <w:tcW w:w="1169" w:type="dxa"/>
            <w:tcBorders>
              <w:top w:val="nil"/>
              <w:left w:val="nil"/>
              <w:bottom w:val="single" w:sz="4" w:space="0" w:color="auto"/>
              <w:right w:val="single" w:sz="4" w:space="0" w:color="auto"/>
            </w:tcBorders>
            <w:shd w:val="clear" w:color="auto" w:fill="auto"/>
            <w:noWrap/>
            <w:vAlign w:val="center"/>
            <w:hideMark/>
          </w:tcPr>
          <w:p w14:paraId="70500AC8"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0,9251550</w:t>
            </w:r>
          </w:p>
        </w:tc>
        <w:tc>
          <w:tcPr>
            <w:tcW w:w="1169" w:type="dxa"/>
            <w:tcBorders>
              <w:top w:val="nil"/>
              <w:left w:val="nil"/>
              <w:bottom w:val="single" w:sz="4" w:space="0" w:color="auto"/>
              <w:right w:val="single" w:sz="4" w:space="0" w:color="auto"/>
            </w:tcBorders>
            <w:shd w:val="clear" w:color="auto" w:fill="auto"/>
            <w:noWrap/>
            <w:vAlign w:val="center"/>
            <w:hideMark/>
          </w:tcPr>
          <w:p w14:paraId="49BA8D39"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0,9246845</w:t>
            </w:r>
          </w:p>
        </w:tc>
        <w:tc>
          <w:tcPr>
            <w:tcW w:w="660" w:type="dxa"/>
            <w:tcBorders>
              <w:top w:val="nil"/>
              <w:left w:val="nil"/>
              <w:bottom w:val="single" w:sz="4" w:space="0" w:color="auto"/>
              <w:right w:val="single" w:sz="4" w:space="0" w:color="auto"/>
            </w:tcBorders>
            <w:shd w:val="clear" w:color="auto" w:fill="auto"/>
            <w:noWrap/>
            <w:vAlign w:val="center"/>
            <w:hideMark/>
          </w:tcPr>
          <w:p w14:paraId="14C89335"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97</w:t>
            </w:r>
          </w:p>
        </w:tc>
        <w:tc>
          <w:tcPr>
            <w:tcW w:w="837" w:type="dxa"/>
            <w:tcBorders>
              <w:top w:val="nil"/>
              <w:left w:val="nil"/>
              <w:bottom w:val="single" w:sz="4" w:space="0" w:color="auto"/>
              <w:right w:val="single" w:sz="4" w:space="0" w:color="auto"/>
            </w:tcBorders>
            <w:shd w:val="clear" w:color="auto" w:fill="auto"/>
            <w:noWrap/>
            <w:vAlign w:val="center"/>
            <w:hideMark/>
          </w:tcPr>
          <w:p w14:paraId="6DC42760"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90</w:t>
            </w:r>
          </w:p>
        </w:tc>
        <w:tc>
          <w:tcPr>
            <w:tcW w:w="888" w:type="dxa"/>
            <w:tcBorders>
              <w:top w:val="nil"/>
              <w:left w:val="nil"/>
              <w:bottom w:val="single" w:sz="4" w:space="0" w:color="auto"/>
              <w:right w:val="single" w:sz="4" w:space="0" w:color="auto"/>
            </w:tcBorders>
            <w:shd w:val="clear" w:color="auto" w:fill="auto"/>
            <w:noWrap/>
            <w:vAlign w:val="center"/>
            <w:hideMark/>
          </w:tcPr>
          <w:p w14:paraId="192786E3"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180</w:t>
            </w:r>
          </w:p>
        </w:tc>
        <w:tc>
          <w:tcPr>
            <w:tcW w:w="1049" w:type="dxa"/>
            <w:tcBorders>
              <w:top w:val="nil"/>
              <w:left w:val="nil"/>
              <w:bottom w:val="single" w:sz="4" w:space="0" w:color="auto"/>
              <w:right w:val="single" w:sz="4" w:space="0" w:color="auto"/>
            </w:tcBorders>
            <w:shd w:val="clear" w:color="auto" w:fill="auto"/>
            <w:noWrap/>
            <w:vAlign w:val="center"/>
            <w:hideMark/>
          </w:tcPr>
          <w:p w14:paraId="1C6E736E" w14:textId="77777777" w:rsidR="00DA4B44" w:rsidRPr="00171FE1" w:rsidRDefault="00DA4B44" w:rsidP="00DC1C4E">
            <w:pPr>
              <w:spacing w:after="0" w:line="360" w:lineRule="auto"/>
              <w:ind w:left="-198" w:right="-14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-0,7390%</w:t>
            </w:r>
          </w:p>
        </w:tc>
        <w:tc>
          <w:tcPr>
            <w:tcW w:w="972" w:type="dxa"/>
            <w:tcBorders>
              <w:top w:val="nil"/>
              <w:left w:val="nil"/>
              <w:bottom w:val="single" w:sz="4" w:space="0" w:color="auto"/>
              <w:right w:val="single" w:sz="4" w:space="0" w:color="auto"/>
            </w:tcBorders>
            <w:shd w:val="clear" w:color="auto" w:fill="auto"/>
            <w:noWrap/>
            <w:vAlign w:val="center"/>
            <w:hideMark/>
          </w:tcPr>
          <w:p w14:paraId="544F08F1"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-0,6960%</w:t>
            </w:r>
          </w:p>
        </w:tc>
        <w:tc>
          <w:tcPr>
            <w:tcW w:w="1177" w:type="dxa"/>
            <w:tcBorders>
              <w:top w:val="nil"/>
              <w:left w:val="nil"/>
              <w:bottom w:val="single" w:sz="4" w:space="0" w:color="auto"/>
              <w:right w:val="single" w:sz="4" w:space="0" w:color="auto"/>
            </w:tcBorders>
            <w:shd w:val="clear" w:color="auto" w:fill="auto"/>
            <w:noWrap/>
            <w:vAlign w:val="center"/>
            <w:hideMark/>
          </w:tcPr>
          <w:p w14:paraId="7716F86A"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-0,735656%</w:t>
            </w:r>
          </w:p>
        </w:tc>
        <w:tc>
          <w:tcPr>
            <w:tcW w:w="396" w:type="dxa"/>
            <w:tcBorders>
              <w:top w:val="nil"/>
              <w:left w:val="nil"/>
              <w:bottom w:val="single" w:sz="4" w:space="0" w:color="auto"/>
              <w:right w:val="single" w:sz="4" w:space="0" w:color="auto"/>
            </w:tcBorders>
            <w:shd w:val="clear" w:color="auto" w:fill="auto"/>
            <w:noWrap/>
            <w:vAlign w:val="center"/>
            <w:hideMark/>
          </w:tcPr>
          <w:p w14:paraId="4744E5CE" w14:textId="77777777" w:rsidR="00DA4B44" w:rsidRPr="00171FE1" w:rsidRDefault="00DA4B44" w:rsidP="00DC1C4E">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w:t>
            </w:r>
          </w:p>
        </w:tc>
        <w:tc>
          <w:tcPr>
            <w:tcW w:w="1176" w:type="dxa"/>
            <w:tcBorders>
              <w:top w:val="nil"/>
              <w:left w:val="nil"/>
              <w:bottom w:val="single" w:sz="4" w:space="0" w:color="auto"/>
              <w:right w:val="single" w:sz="4" w:space="0" w:color="auto"/>
            </w:tcBorders>
            <w:shd w:val="clear" w:color="auto" w:fill="auto"/>
            <w:noWrap/>
            <w:vAlign w:val="center"/>
            <w:hideMark/>
          </w:tcPr>
          <w:p w14:paraId="3930EDDF" w14:textId="14CADA8D"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-0,485744%</w:t>
            </w:r>
          </w:p>
        </w:tc>
        <w:tc>
          <w:tcPr>
            <w:tcW w:w="1240" w:type="dxa"/>
            <w:tcBorders>
              <w:top w:val="nil"/>
              <w:left w:val="nil"/>
              <w:bottom w:val="single" w:sz="8" w:space="0" w:color="auto"/>
              <w:right w:val="single" w:sz="8" w:space="0" w:color="auto"/>
            </w:tcBorders>
            <w:shd w:val="clear" w:color="auto" w:fill="auto"/>
            <w:noWrap/>
            <w:vAlign w:val="center"/>
          </w:tcPr>
          <w:p w14:paraId="25225C47" w14:textId="6BC35031" w:rsidR="00DA4B44" w:rsidRPr="00171FE1" w:rsidRDefault="00DA4B44" w:rsidP="00DC1C4E">
            <w:pPr>
              <w:spacing w:after="0" w:line="360" w:lineRule="auto"/>
              <w:ind w:left="-26" w:right="-88"/>
              <w:jc w:val="center"/>
              <w:rPr>
                <w:rFonts w:eastAsia="Times New Roman" w:cs="Times New Roman"/>
                <w:color w:val="000000"/>
                <w:sz w:val="18"/>
                <w:szCs w:val="18"/>
                <w:lang w:eastAsia="ru-RU"/>
              </w:rPr>
            </w:pPr>
            <w:r>
              <w:rPr>
                <w:color w:val="000000"/>
                <w:sz w:val="18"/>
                <w:szCs w:val="18"/>
              </w:rPr>
              <w:t>0,92529878</w:t>
            </w:r>
          </w:p>
        </w:tc>
        <w:tc>
          <w:tcPr>
            <w:tcW w:w="1161" w:type="dxa"/>
            <w:tcBorders>
              <w:top w:val="nil"/>
              <w:left w:val="nil"/>
              <w:bottom w:val="single" w:sz="4" w:space="0" w:color="auto"/>
              <w:right w:val="single" w:sz="4" w:space="0" w:color="auto"/>
            </w:tcBorders>
            <w:shd w:val="clear" w:color="auto" w:fill="auto"/>
            <w:noWrap/>
            <w:vAlign w:val="center"/>
            <w:hideMark/>
          </w:tcPr>
          <w:p w14:paraId="323AE896" w14:textId="5CF056DF"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-1,55429438</w:t>
            </w:r>
          </w:p>
        </w:tc>
        <w:tc>
          <w:tcPr>
            <w:tcW w:w="1260" w:type="dxa"/>
            <w:tcBorders>
              <w:top w:val="nil"/>
              <w:left w:val="nil"/>
              <w:bottom w:val="single" w:sz="4" w:space="0" w:color="auto"/>
            </w:tcBorders>
            <w:shd w:val="clear" w:color="auto" w:fill="auto"/>
            <w:noWrap/>
            <w:vAlign w:val="center"/>
            <w:hideMark/>
          </w:tcPr>
          <w:p w14:paraId="18F97F56" w14:textId="004C6E69"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0,21497810</w:t>
            </w:r>
          </w:p>
        </w:tc>
      </w:tr>
      <w:tr w:rsidR="00DA4B44" w:rsidRPr="00171FE1" w14:paraId="33837007" w14:textId="77777777" w:rsidTr="00DC1C4E">
        <w:trPr>
          <w:trHeight w:val="288"/>
        </w:trPr>
        <w:tc>
          <w:tcPr>
            <w:tcW w:w="1026" w:type="dxa"/>
            <w:tcBorders>
              <w:top w:val="nil"/>
              <w:bottom w:val="single" w:sz="4" w:space="0" w:color="auto"/>
              <w:right w:val="single" w:sz="4" w:space="0" w:color="auto"/>
            </w:tcBorders>
            <w:shd w:val="clear" w:color="auto" w:fill="auto"/>
            <w:noWrap/>
            <w:vAlign w:val="center"/>
            <w:hideMark/>
          </w:tcPr>
          <w:p w14:paraId="5233F8ED" w14:textId="77777777" w:rsidR="00DA4B44" w:rsidRPr="00171FE1" w:rsidRDefault="00DA4B44" w:rsidP="00DC1C4E">
            <w:pPr>
              <w:spacing w:after="0" w:line="360" w:lineRule="auto"/>
              <w:ind w:right="-7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08.09.2020</w:t>
            </w:r>
          </w:p>
        </w:tc>
        <w:tc>
          <w:tcPr>
            <w:tcW w:w="857" w:type="dxa"/>
            <w:tcBorders>
              <w:top w:val="nil"/>
              <w:left w:val="nil"/>
              <w:bottom w:val="single" w:sz="4" w:space="0" w:color="auto"/>
              <w:right w:val="single" w:sz="4" w:space="0" w:color="auto"/>
            </w:tcBorders>
            <w:shd w:val="clear" w:color="auto" w:fill="auto"/>
            <w:noWrap/>
            <w:vAlign w:val="center"/>
            <w:hideMark/>
          </w:tcPr>
          <w:p w14:paraId="2EE172CB"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17:30:00</w:t>
            </w:r>
          </w:p>
        </w:tc>
        <w:tc>
          <w:tcPr>
            <w:tcW w:w="1169" w:type="dxa"/>
            <w:tcBorders>
              <w:top w:val="nil"/>
              <w:left w:val="nil"/>
              <w:bottom w:val="single" w:sz="4" w:space="0" w:color="auto"/>
              <w:right w:val="single" w:sz="4" w:space="0" w:color="auto"/>
            </w:tcBorders>
            <w:shd w:val="clear" w:color="auto" w:fill="auto"/>
            <w:noWrap/>
            <w:vAlign w:val="center"/>
            <w:hideMark/>
          </w:tcPr>
          <w:p w14:paraId="19FD8F4B"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0,9249838</w:t>
            </w:r>
          </w:p>
        </w:tc>
        <w:tc>
          <w:tcPr>
            <w:tcW w:w="1169" w:type="dxa"/>
            <w:tcBorders>
              <w:top w:val="nil"/>
              <w:left w:val="nil"/>
              <w:bottom w:val="single" w:sz="4" w:space="0" w:color="auto"/>
              <w:right w:val="single" w:sz="4" w:space="0" w:color="auto"/>
            </w:tcBorders>
            <w:shd w:val="clear" w:color="auto" w:fill="auto"/>
            <w:noWrap/>
            <w:vAlign w:val="center"/>
            <w:hideMark/>
          </w:tcPr>
          <w:p w14:paraId="2F6EF6E8"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0,9242571</w:t>
            </w:r>
          </w:p>
        </w:tc>
        <w:tc>
          <w:tcPr>
            <w:tcW w:w="660" w:type="dxa"/>
            <w:tcBorders>
              <w:top w:val="nil"/>
              <w:left w:val="nil"/>
              <w:bottom w:val="single" w:sz="4" w:space="0" w:color="auto"/>
              <w:right w:val="single" w:sz="4" w:space="0" w:color="auto"/>
            </w:tcBorders>
            <w:shd w:val="clear" w:color="auto" w:fill="auto"/>
            <w:noWrap/>
            <w:vAlign w:val="center"/>
            <w:hideMark/>
          </w:tcPr>
          <w:p w14:paraId="4F02E0C5"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97</w:t>
            </w:r>
          </w:p>
        </w:tc>
        <w:tc>
          <w:tcPr>
            <w:tcW w:w="837" w:type="dxa"/>
            <w:tcBorders>
              <w:top w:val="nil"/>
              <w:left w:val="nil"/>
              <w:bottom w:val="single" w:sz="4" w:space="0" w:color="auto"/>
              <w:right w:val="single" w:sz="4" w:space="0" w:color="auto"/>
            </w:tcBorders>
            <w:shd w:val="clear" w:color="auto" w:fill="auto"/>
            <w:noWrap/>
            <w:vAlign w:val="center"/>
            <w:hideMark/>
          </w:tcPr>
          <w:p w14:paraId="3C75D223"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90</w:t>
            </w:r>
          </w:p>
        </w:tc>
        <w:tc>
          <w:tcPr>
            <w:tcW w:w="888" w:type="dxa"/>
            <w:tcBorders>
              <w:top w:val="nil"/>
              <w:left w:val="nil"/>
              <w:bottom w:val="single" w:sz="4" w:space="0" w:color="auto"/>
              <w:right w:val="single" w:sz="4" w:space="0" w:color="auto"/>
            </w:tcBorders>
            <w:shd w:val="clear" w:color="auto" w:fill="auto"/>
            <w:noWrap/>
            <w:vAlign w:val="center"/>
            <w:hideMark/>
          </w:tcPr>
          <w:p w14:paraId="0F0B6A20"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180</w:t>
            </w:r>
          </w:p>
        </w:tc>
        <w:tc>
          <w:tcPr>
            <w:tcW w:w="1049" w:type="dxa"/>
            <w:tcBorders>
              <w:top w:val="nil"/>
              <w:left w:val="nil"/>
              <w:bottom w:val="single" w:sz="4" w:space="0" w:color="auto"/>
              <w:right w:val="single" w:sz="4" w:space="0" w:color="auto"/>
            </w:tcBorders>
            <w:shd w:val="clear" w:color="auto" w:fill="auto"/>
            <w:noWrap/>
            <w:vAlign w:val="center"/>
            <w:hideMark/>
          </w:tcPr>
          <w:p w14:paraId="43F30632" w14:textId="77777777" w:rsidR="00DA4B44" w:rsidRPr="00171FE1" w:rsidRDefault="00DA4B44" w:rsidP="00DC1C4E">
            <w:pPr>
              <w:spacing w:after="0" w:line="360" w:lineRule="auto"/>
              <w:ind w:left="-198" w:right="-14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-0,7390%</w:t>
            </w:r>
          </w:p>
        </w:tc>
        <w:tc>
          <w:tcPr>
            <w:tcW w:w="972" w:type="dxa"/>
            <w:tcBorders>
              <w:top w:val="nil"/>
              <w:left w:val="nil"/>
              <w:bottom w:val="single" w:sz="4" w:space="0" w:color="auto"/>
              <w:right w:val="single" w:sz="4" w:space="0" w:color="auto"/>
            </w:tcBorders>
            <w:shd w:val="clear" w:color="auto" w:fill="auto"/>
            <w:noWrap/>
            <w:vAlign w:val="center"/>
            <w:hideMark/>
          </w:tcPr>
          <w:p w14:paraId="5D418B52"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-0,6960%</w:t>
            </w:r>
          </w:p>
        </w:tc>
        <w:tc>
          <w:tcPr>
            <w:tcW w:w="1177" w:type="dxa"/>
            <w:tcBorders>
              <w:top w:val="nil"/>
              <w:left w:val="nil"/>
              <w:bottom w:val="single" w:sz="4" w:space="0" w:color="auto"/>
              <w:right w:val="single" w:sz="4" w:space="0" w:color="auto"/>
            </w:tcBorders>
            <w:shd w:val="clear" w:color="auto" w:fill="auto"/>
            <w:noWrap/>
            <w:vAlign w:val="center"/>
            <w:hideMark/>
          </w:tcPr>
          <w:p w14:paraId="368ABCDB"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-0,735656%</w:t>
            </w:r>
          </w:p>
        </w:tc>
        <w:tc>
          <w:tcPr>
            <w:tcW w:w="396" w:type="dxa"/>
            <w:tcBorders>
              <w:top w:val="nil"/>
              <w:left w:val="nil"/>
              <w:bottom w:val="single" w:sz="4" w:space="0" w:color="auto"/>
              <w:right w:val="single" w:sz="4" w:space="0" w:color="auto"/>
            </w:tcBorders>
            <w:shd w:val="clear" w:color="auto" w:fill="auto"/>
            <w:noWrap/>
            <w:vAlign w:val="center"/>
            <w:hideMark/>
          </w:tcPr>
          <w:p w14:paraId="037BDEE6" w14:textId="77777777" w:rsidR="00DA4B44" w:rsidRPr="00171FE1" w:rsidRDefault="00DA4B44" w:rsidP="00DC1C4E">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w:t>
            </w:r>
          </w:p>
        </w:tc>
        <w:tc>
          <w:tcPr>
            <w:tcW w:w="1176" w:type="dxa"/>
            <w:tcBorders>
              <w:top w:val="nil"/>
              <w:left w:val="nil"/>
              <w:bottom w:val="single" w:sz="4" w:space="0" w:color="auto"/>
              <w:right w:val="single" w:sz="4" w:space="0" w:color="auto"/>
            </w:tcBorders>
            <w:shd w:val="clear" w:color="auto" w:fill="auto"/>
            <w:noWrap/>
            <w:vAlign w:val="center"/>
            <w:hideMark/>
          </w:tcPr>
          <w:p w14:paraId="4222E004" w14:textId="452F0281"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-0,485744%</w:t>
            </w:r>
          </w:p>
        </w:tc>
        <w:tc>
          <w:tcPr>
            <w:tcW w:w="1240" w:type="dxa"/>
            <w:tcBorders>
              <w:top w:val="nil"/>
              <w:left w:val="nil"/>
              <w:bottom w:val="single" w:sz="8" w:space="0" w:color="auto"/>
              <w:right w:val="single" w:sz="8" w:space="0" w:color="auto"/>
            </w:tcBorders>
            <w:shd w:val="clear" w:color="auto" w:fill="auto"/>
            <w:noWrap/>
            <w:vAlign w:val="center"/>
          </w:tcPr>
          <w:p w14:paraId="4EF8D7B6" w14:textId="3EE84AB5" w:rsidR="00DA4B44" w:rsidRPr="00171FE1" w:rsidRDefault="00DA4B44" w:rsidP="00DC1C4E">
            <w:pPr>
              <w:spacing w:after="0" w:line="360" w:lineRule="auto"/>
              <w:ind w:right="-88"/>
              <w:jc w:val="center"/>
              <w:rPr>
                <w:rFonts w:eastAsia="Times New Roman" w:cs="Times New Roman"/>
                <w:color w:val="000000"/>
                <w:sz w:val="18"/>
                <w:szCs w:val="18"/>
                <w:lang w:eastAsia="ru-RU"/>
              </w:rPr>
            </w:pPr>
            <w:r>
              <w:rPr>
                <w:color w:val="000000"/>
                <w:sz w:val="18"/>
                <w:szCs w:val="18"/>
              </w:rPr>
              <w:t>0,92487118</w:t>
            </w:r>
          </w:p>
        </w:tc>
        <w:tc>
          <w:tcPr>
            <w:tcW w:w="1161" w:type="dxa"/>
            <w:tcBorders>
              <w:top w:val="nil"/>
              <w:left w:val="nil"/>
              <w:bottom w:val="single" w:sz="4" w:space="0" w:color="auto"/>
              <w:right w:val="single" w:sz="4" w:space="0" w:color="auto"/>
            </w:tcBorders>
            <w:shd w:val="clear" w:color="auto" w:fill="auto"/>
            <w:noWrap/>
            <w:vAlign w:val="center"/>
            <w:hideMark/>
          </w:tcPr>
          <w:p w14:paraId="3B784E4A" w14:textId="6AE3FB43"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1,21787398</w:t>
            </w:r>
          </w:p>
        </w:tc>
        <w:tc>
          <w:tcPr>
            <w:tcW w:w="1260" w:type="dxa"/>
            <w:tcBorders>
              <w:top w:val="nil"/>
              <w:left w:val="nil"/>
              <w:bottom w:val="single" w:sz="4" w:space="0" w:color="auto"/>
            </w:tcBorders>
            <w:shd w:val="clear" w:color="auto" w:fill="auto"/>
            <w:noWrap/>
            <w:vAlign w:val="center"/>
            <w:hideMark/>
          </w:tcPr>
          <w:p w14:paraId="11603950" w14:textId="0F345B82"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0,21497810</w:t>
            </w:r>
          </w:p>
        </w:tc>
      </w:tr>
      <w:tr w:rsidR="00DA4B44" w:rsidRPr="00171FE1" w14:paraId="585861B0" w14:textId="77777777" w:rsidTr="00942E2A">
        <w:trPr>
          <w:trHeight w:val="288"/>
        </w:trPr>
        <w:tc>
          <w:tcPr>
            <w:tcW w:w="1026" w:type="dxa"/>
            <w:tcBorders>
              <w:top w:val="nil"/>
              <w:bottom w:val="single" w:sz="4" w:space="0" w:color="auto"/>
              <w:right w:val="single" w:sz="4" w:space="0" w:color="auto"/>
            </w:tcBorders>
            <w:shd w:val="clear" w:color="auto" w:fill="auto"/>
            <w:noWrap/>
            <w:vAlign w:val="center"/>
            <w:hideMark/>
          </w:tcPr>
          <w:p w14:paraId="546D9EB3" w14:textId="77777777" w:rsidR="00DA4B44" w:rsidRPr="00171FE1" w:rsidRDefault="00DA4B44" w:rsidP="00DC1C4E">
            <w:pPr>
              <w:spacing w:after="0" w:line="360" w:lineRule="auto"/>
              <w:ind w:right="-7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08.09.2020</w:t>
            </w:r>
          </w:p>
        </w:tc>
        <w:tc>
          <w:tcPr>
            <w:tcW w:w="857" w:type="dxa"/>
            <w:tcBorders>
              <w:top w:val="nil"/>
              <w:left w:val="nil"/>
              <w:bottom w:val="single" w:sz="4" w:space="0" w:color="auto"/>
              <w:right w:val="single" w:sz="4" w:space="0" w:color="auto"/>
            </w:tcBorders>
            <w:shd w:val="clear" w:color="auto" w:fill="auto"/>
            <w:noWrap/>
            <w:vAlign w:val="center"/>
            <w:hideMark/>
          </w:tcPr>
          <w:p w14:paraId="0C6E10EC"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17:00:00</w:t>
            </w:r>
          </w:p>
        </w:tc>
        <w:tc>
          <w:tcPr>
            <w:tcW w:w="1169" w:type="dxa"/>
            <w:tcBorders>
              <w:top w:val="nil"/>
              <w:left w:val="nil"/>
              <w:bottom w:val="single" w:sz="4" w:space="0" w:color="auto"/>
              <w:right w:val="single" w:sz="4" w:space="0" w:color="auto"/>
            </w:tcBorders>
            <w:shd w:val="clear" w:color="auto" w:fill="auto"/>
            <w:noWrap/>
            <w:vAlign w:val="center"/>
            <w:hideMark/>
          </w:tcPr>
          <w:p w14:paraId="758BE3AE"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0,9246417</w:t>
            </w:r>
          </w:p>
        </w:tc>
        <w:tc>
          <w:tcPr>
            <w:tcW w:w="1169" w:type="dxa"/>
            <w:tcBorders>
              <w:top w:val="nil"/>
              <w:left w:val="nil"/>
              <w:bottom w:val="single" w:sz="4" w:space="0" w:color="auto"/>
              <w:right w:val="single" w:sz="4" w:space="0" w:color="auto"/>
            </w:tcBorders>
            <w:shd w:val="clear" w:color="auto" w:fill="auto"/>
            <w:noWrap/>
            <w:vAlign w:val="center"/>
            <w:hideMark/>
          </w:tcPr>
          <w:p w14:paraId="12AA8206"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0,9240863</w:t>
            </w:r>
          </w:p>
        </w:tc>
        <w:tc>
          <w:tcPr>
            <w:tcW w:w="660" w:type="dxa"/>
            <w:tcBorders>
              <w:top w:val="nil"/>
              <w:left w:val="nil"/>
              <w:bottom w:val="single" w:sz="4" w:space="0" w:color="auto"/>
              <w:right w:val="single" w:sz="4" w:space="0" w:color="auto"/>
            </w:tcBorders>
            <w:shd w:val="clear" w:color="auto" w:fill="auto"/>
            <w:noWrap/>
            <w:vAlign w:val="center"/>
            <w:hideMark/>
          </w:tcPr>
          <w:p w14:paraId="324AE4BE"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97</w:t>
            </w:r>
          </w:p>
        </w:tc>
        <w:tc>
          <w:tcPr>
            <w:tcW w:w="837" w:type="dxa"/>
            <w:tcBorders>
              <w:top w:val="nil"/>
              <w:left w:val="nil"/>
              <w:bottom w:val="single" w:sz="4" w:space="0" w:color="auto"/>
              <w:right w:val="single" w:sz="4" w:space="0" w:color="auto"/>
            </w:tcBorders>
            <w:shd w:val="clear" w:color="auto" w:fill="auto"/>
            <w:noWrap/>
            <w:vAlign w:val="center"/>
            <w:hideMark/>
          </w:tcPr>
          <w:p w14:paraId="7E360837"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90</w:t>
            </w:r>
          </w:p>
        </w:tc>
        <w:tc>
          <w:tcPr>
            <w:tcW w:w="888" w:type="dxa"/>
            <w:tcBorders>
              <w:top w:val="nil"/>
              <w:left w:val="nil"/>
              <w:bottom w:val="single" w:sz="4" w:space="0" w:color="auto"/>
              <w:right w:val="single" w:sz="4" w:space="0" w:color="auto"/>
            </w:tcBorders>
            <w:shd w:val="clear" w:color="auto" w:fill="auto"/>
            <w:noWrap/>
            <w:vAlign w:val="center"/>
            <w:hideMark/>
          </w:tcPr>
          <w:p w14:paraId="79E612D9"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180</w:t>
            </w:r>
          </w:p>
        </w:tc>
        <w:tc>
          <w:tcPr>
            <w:tcW w:w="1049" w:type="dxa"/>
            <w:tcBorders>
              <w:top w:val="nil"/>
              <w:left w:val="nil"/>
              <w:bottom w:val="single" w:sz="4" w:space="0" w:color="auto"/>
              <w:right w:val="single" w:sz="4" w:space="0" w:color="auto"/>
            </w:tcBorders>
            <w:shd w:val="clear" w:color="auto" w:fill="auto"/>
            <w:noWrap/>
            <w:vAlign w:val="center"/>
            <w:hideMark/>
          </w:tcPr>
          <w:p w14:paraId="0A6E0C31" w14:textId="77777777" w:rsidR="00DA4B44" w:rsidRPr="00171FE1" w:rsidRDefault="00DA4B44" w:rsidP="00DC1C4E">
            <w:pPr>
              <w:spacing w:after="0" w:line="360" w:lineRule="auto"/>
              <w:ind w:left="-198" w:right="-148"/>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-0,7390%</w:t>
            </w:r>
          </w:p>
        </w:tc>
        <w:tc>
          <w:tcPr>
            <w:tcW w:w="972" w:type="dxa"/>
            <w:tcBorders>
              <w:top w:val="nil"/>
              <w:left w:val="nil"/>
              <w:bottom w:val="single" w:sz="4" w:space="0" w:color="auto"/>
              <w:right w:val="single" w:sz="4" w:space="0" w:color="auto"/>
            </w:tcBorders>
            <w:shd w:val="clear" w:color="auto" w:fill="auto"/>
            <w:noWrap/>
            <w:vAlign w:val="center"/>
            <w:hideMark/>
          </w:tcPr>
          <w:p w14:paraId="3AD662EE"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-0,6960%</w:t>
            </w:r>
          </w:p>
        </w:tc>
        <w:tc>
          <w:tcPr>
            <w:tcW w:w="1177" w:type="dxa"/>
            <w:tcBorders>
              <w:top w:val="nil"/>
              <w:left w:val="nil"/>
              <w:bottom w:val="single" w:sz="4" w:space="0" w:color="auto"/>
              <w:right w:val="single" w:sz="4" w:space="0" w:color="auto"/>
            </w:tcBorders>
            <w:shd w:val="clear" w:color="auto" w:fill="auto"/>
            <w:noWrap/>
            <w:vAlign w:val="center"/>
            <w:hideMark/>
          </w:tcPr>
          <w:p w14:paraId="4D9E27F7" w14:textId="77777777"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-0,735656%</w:t>
            </w:r>
          </w:p>
        </w:tc>
        <w:tc>
          <w:tcPr>
            <w:tcW w:w="396" w:type="dxa"/>
            <w:tcBorders>
              <w:top w:val="nil"/>
              <w:left w:val="nil"/>
              <w:bottom w:val="single" w:sz="4" w:space="0" w:color="auto"/>
              <w:right w:val="single" w:sz="4" w:space="0" w:color="auto"/>
            </w:tcBorders>
            <w:shd w:val="clear" w:color="auto" w:fill="auto"/>
            <w:noWrap/>
            <w:vAlign w:val="center"/>
            <w:hideMark/>
          </w:tcPr>
          <w:p w14:paraId="477010F6" w14:textId="77777777" w:rsidR="00DA4B44" w:rsidRPr="00171FE1" w:rsidRDefault="00DA4B44" w:rsidP="00DC1C4E">
            <w:pPr>
              <w:spacing w:after="0" w:line="360" w:lineRule="auto"/>
              <w:jc w:val="center"/>
              <w:rPr>
                <w:rFonts w:eastAsia="Times New Roman" w:cs="Times New Roman"/>
                <w:b/>
                <w:bCs/>
                <w:color w:val="000000"/>
                <w:sz w:val="18"/>
                <w:szCs w:val="18"/>
                <w:lang w:eastAsia="ru-RU"/>
              </w:rPr>
            </w:pPr>
            <w:r w:rsidRPr="00171FE1">
              <w:rPr>
                <w:rFonts w:eastAsia="Times New Roman" w:cs="Times New Roman"/>
                <w:b/>
                <w:bCs/>
                <w:color w:val="000000"/>
                <w:sz w:val="18"/>
                <w:szCs w:val="18"/>
                <w:lang w:eastAsia="ru-RU"/>
              </w:rPr>
              <w:t>…</w:t>
            </w:r>
          </w:p>
        </w:tc>
        <w:tc>
          <w:tcPr>
            <w:tcW w:w="1176" w:type="dxa"/>
            <w:tcBorders>
              <w:top w:val="nil"/>
              <w:left w:val="nil"/>
              <w:bottom w:val="single" w:sz="4" w:space="0" w:color="auto"/>
              <w:right w:val="single" w:sz="4" w:space="0" w:color="auto"/>
            </w:tcBorders>
            <w:shd w:val="clear" w:color="auto" w:fill="auto"/>
            <w:noWrap/>
            <w:vAlign w:val="center"/>
            <w:hideMark/>
          </w:tcPr>
          <w:p w14:paraId="31478C3A" w14:textId="377FD9F1"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-0,485744%</w:t>
            </w:r>
          </w:p>
        </w:tc>
        <w:tc>
          <w:tcPr>
            <w:tcW w:w="1240" w:type="dxa"/>
            <w:tcBorders>
              <w:top w:val="nil"/>
              <w:left w:val="nil"/>
              <w:bottom w:val="single" w:sz="4" w:space="0" w:color="auto"/>
              <w:right w:val="single" w:sz="8" w:space="0" w:color="auto"/>
            </w:tcBorders>
            <w:shd w:val="clear" w:color="auto" w:fill="auto"/>
            <w:noWrap/>
            <w:vAlign w:val="center"/>
          </w:tcPr>
          <w:p w14:paraId="20DB6543" w14:textId="7086D299" w:rsidR="00DA4B44" w:rsidRPr="00171FE1" w:rsidRDefault="00DA4B44" w:rsidP="00DC1C4E">
            <w:pPr>
              <w:spacing w:after="0" w:line="360" w:lineRule="auto"/>
              <w:ind w:left="-26" w:right="-88"/>
              <w:jc w:val="center"/>
              <w:rPr>
                <w:rFonts w:eastAsia="Times New Roman" w:cs="Times New Roman"/>
                <w:color w:val="000000"/>
                <w:sz w:val="18"/>
                <w:szCs w:val="18"/>
                <w:lang w:eastAsia="ru-RU"/>
              </w:rPr>
            </w:pPr>
            <w:r>
              <w:rPr>
                <w:color w:val="000000"/>
                <w:sz w:val="18"/>
                <w:szCs w:val="18"/>
              </w:rPr>
              <w:t>0,92470024</w:t>
            </w:r>
          </w:p>
        </w:tc>
        <w:tc>
          <w:tcPr>
            <w:tcW w:w="1161" w:type="dxa"/>
            <w:tcBorders>
              <w:top w:val="nil"/>
              <w:left w:val="nil"/>
              <w:bottom w:val="single" w:sz="4" w:space="0" w:color="auto"/>
              <w:right w:val="single" w:sz="4" w:space="0" w:color="auto"/>
            </w:tcBorders>
            <w:shd w:val="clear" w:color="auto" w:fill="auto"/>
            <w:noWrap/>
            <w:vAlign w:val="center"/>
            <w:hideMark/>
          </w:tcPr>
          <w:p w14:paraId="1BC88D2A" w14:textId="0B41804F"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-0,63308764</w:t>
            </w:r>
          </w:p>
        </w:tc>
        <w:tc>
          <w:tcPr>
            <w:tcW w:w="1260" w:type="dxa"/>
            <w:tcBorders>
              <w:top w:val="nil"/>
              <w:left w:val="nil"/>
              <w:bottom w:val="single" w:sz="4" w:space="0" w:color="auto"/>
            </w:tcBorders>
            <w:shd w:val="clear" w:color="auto" w:fill="auto"/>
            <w:noWrap/>
            <w:vAlign w:val="center"/>
            <w:hideMark/>
          </w:tcPr>
          <w:p w14:paraId="77DC4538" w14:textId="66A747E4" w:rsidR="00DA4B44" w:rsidRPr="00171FE1" w:rsidRDefault="00DA4B44" w:rsidP="00DC1C4E">
            <w:pPr>
              <w:spacing w:after="0" w:line="360" w:lineRule="auto"/>
              <w:jc w:val="center"/>
              <w:rPr>
                <w:rFonts w:eastAsia="Times New Roman" w:cs="Times New Roman"/>
                <w:color w:val="000000"/>
                <w:sz w:val="18"/>
                <w:szCs w:val="18"/>
                <w:lang w:eastAsia="ru-RU"/>
              </w:rPr>
            </w:pPr>
            <w:r w:rsidRPr="00171FE1">
              <w:rPr>
                <w:rFonts w:eastAsia="Times New Roman" w:cs="Times New Roman"/>
                <w:color w:val="000000"/>
                <w:sz w:val="18"/>
                <w:szCs w:val="18"/>
                <w:lang w:eastAsia="ru-RU"/>
              </w:rPr>
              <w:t>0,21497810</w:t>
            </w:r>
          </w:p>
        </w:tc>
      </w:tr>
      <w:tr w:rsidR="00942E2A" w:rsidRPr="00171FE1" w14:paraId="6882E9EC" w14:textId="77777777" w:rsidTr="00942E2A">
        <w:trPr>
          <w:trHeight w:val="288"/>
        </w:trPr>
        <w:tc>
          <w:tcPr>
            <w:tcW w:w="15037" w:type="dxa"/>
            <w:gridSpan w:val="15"/>
            <w:tcBorders>
              <w:top w:val="single" w:sz="4" w:space="0" w:color="auto"/>
            </w:tcBorders>
            <w:shd w:val="clear" w:color="auto" w:fill="auto"/>
            <w:noWrap/>
            <w:vAlign w:val="center"/>
          </w:tcPr>
          <w:p w14:paraId="5EC93854" w14:textId="1C6376C5" w:rsidR="00942E2A" w:rsidRPr="00985237" w:rsidRDefault="00942E2A" w:rsidP="00942E2A">
            <w:pPr>
              <w:pStyle w:val="a1"/>
              <w:rPr>
                <w:lang w:val="ru-RU" w:eastAsia="ru-RU"/>
              </w:rPr>
            </w:pPr>
            <w:r>
              <w:rPr>
                <w:lang w:eastAsia="ru-RU"/>
              </w:rPr>
              <w:t>Source: Author’s calculations</w:t>
            </w:r>
          </w:p>
        </w:tc>
      </w:tr>
    </w:tbl>
    <w:p w14:paraId="6BAD847B" w14:textId="15E990DB" w:rsidR="000D3DA6" w:rsidRDefault="000D3DA6" w:rsidP="008226B3">
      <w:pPr>
        <w:spacing w:line="360" w:lineRule="auto"/>
        <w:ind w:firstLine="709"/>
        <w:rPr>
          <w:rFonts w:cs="Times New Roman"/>
          <w:lang w:val="en-US"/>
        </w:rPr>
        <w:sectPr w:rsidR="000D3DA6" w:rsidSect="008226B3">
          <w:pgSz w:w="16838" w:h="11906" w:orient="landscape"/>
          <w:pgMar w:top="1134" w:right="851" w:bottom="1134" w:left="1701" w:header="709" w:footer="709" w:gutter="0"/>
          <w:cols w:space="708"/>
          <w:docGrid w:linePitch="360"/>
        </w:sectPr>
      </w:pPr>
    </w:p>
    <w:tbl>
      <w:tblPr>
        <w:tblStyle w:val="TableGrid"/>
        <w:tblW w:w="97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776"/>
      </w:tblGrid>
      <w:tr w:rsidR="0090384E" w:rsidRPr="00566F83" w14:paraId="2FFCF3B4" w14:textId="77777777" w:rsidTr="00B2091A">
        <w:trPr>
          <w:trHeight w:val="322"/>
        </w:trPr>
        <w:tc>
          <w:tcPr>
            <w:tcW w:w="9776" w:type="dxa"/>
          </w:tcPr>
          <w:p w14:paraId="69099744" w14:textId="1AF9D91D" w:rsidR="0090384E" w:rsidRPr="0090384E" w:rsidRDefault="0090384E" w:rsidP="0090384E">
            <w:pPr>
              <w:pStyle w:val="a0"/>
            </w:pPr>
            <w:r w:rsidRPr="0090384E">
              <w:lastRenderedPageBreak/>
              <w:t xml:space="preserve"> Table </w:t>
            </w:r>
            <w:r>
              <w:fldChar w:fldCharType="begin"/>
            </w:r>
            <w:r w:rsidRPr="0090384E">
              <w:instrText xml:space="preserve"> SEQ Table \* ARABIC </w:instrText>
            </w:r>
            <w:r>
              <w:fldChar w:fldCharType="separate"/>
            </w:r>
            <w:r w:rsidR="004D16C9">
              <w:rPr>
                <w:noProof/>
              </w:rPr>
              <w:t>6</w:t>
            </w:r>
            <w:r>
              <w:fldChar w:fldCharType="end"/>
            </w:r>
            <w:r w:rsidRPr="0090384E">
              <w:t xml:space="preserve">. </w:t>
            </w:r>
            <w:r>
              <w:t>Dependence between FX future liquidity and it’s volatility around daily average price</w:t>
            </w:r>
          </w:p>
        </w:tc>
      </w:tr>
      <w:tr w:rsidR="0090384E" w:rsidRPr="00566F83" w14:paraId="1C8D9359" w14:textId="77777777" w:rsidTr="00B2091A">
        <w:trPr>
          <w:trHeight w:val="3549"/>
        </w:trPr>
        <w:tc>
          <w:tcPr>
            <w:tcW w:w="9776" w:type="dxa"/>
          </w:tcPr>
          <w:p w14:paraId="34EFD1BE" w14:textId="77777777" w:rsidR="0090384E" w:rsidRDefault="0090384E" w:rsidP="00DB3E64">
            <w:pPr>
              <w:spacing w:line="360" w:lineRule="auto"/>
              <w:jc w:val="center"/>
              <w:rPr>
                <w:rFonts w:cs="Times New Roman"/>
                <w:lang w:val="en-US"/>
              </w:rPr>
            </w:pPr>
            <w:r>
              <w:rPr>
                <w:rFonts w:cs="Times New Roman"/>
                <w:noProof/>
                <w:lang w:val="en-US"/>
              </w:rPr>
              <w:drawing>
                <wp:inline distT="0" distB="0" distL="0" distR="0" wp14:anchorId="4607F001" wp14:editId="14965CA4">
                  <wp:extent cx="5995162" cy="36195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2980" cy="3642332"/>
                          </a:xfrm>
                          <a:prstGeom prst="rect">
                            <a:avLst/>
                          </a:prstGeom>
                          <a:noFill/>
                        </pic:spPr>
                      </pic:pic>
                    </a:graphicData>
                  </a:graphic>
                </wp:inline>
              </w:drawing>
            </w:r>
          </w:p>
          <w:p w14:paraId="0CC4CDA3" w14:textId="77777777" w:rsidR="00541373" w:rsidRDefault="004322BB" w:rsidP="004322BB">
            <w:pPr>
              <w:pStyle w:val="ListParagraph"/>
              <w:jc w:val="center"/>
              <w:rPr>
                <w:rFonts w:cs="Times New Roman"/>
                <w:sz w:val="18"/>
                <w:szCs w:val="16"/>
                <w:lang w:val="en-US"/>
              </w:rPr>
            </w:pPr>
            <w:r>
              <w:rPr>
                <w:rFonts w:cs="Times New Roman"/>
                <w:noProof/>
                <w:sz w:val="18"/>
                <w:szCs w:val="16"/>
                <w:lang w:val="en-US"/>
              </w:rPr>
              <mc:AlternateContent>
                <mc:Choice Requires="wps">
                  <w:drawing>
                    <wp:anchor distT="0" distB="0" distL="114300" distR="114300" simplePos="0" relativeHeight="251664384" behindDoc="0" locked="0" layoutInCell="1" allowOverlap="1" wp14:anchorId="5AA867AF" wp14:editId="0B7D32E7">
                      <wp:simplePos x="0" y="0"/>
                      <wp:positionH relativeFrom="column">
                        <wp:posOffset>1746885</wp:posOffset>
                      </wp:positionH>
                      <wp:positionV relativeFrom="paragraph">
                        <wp:posOffset>34381</wp:posOffset>
                      </wp:positionV>
                      <wp:extent cx="85725" cy="85725"/>
                      <wp:effectExtent l="0" t="0" r="9525" b="9525"/>
                      <wp:wrapNone/>
                      <wp:docPr id="5" name="Oval 5"/>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4AD729" id="Oval 5" o:spid="_x0000_s1026" style="position:absolute;margin-left:137.55pt;margin-top:2.7pt;width:6.75pt;height: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DKhwIAAIMFAAAOAAAAZHJzL2Uyb0RvYy54bWysVE1vGyEQvVfqf0Dcm7WtuE2trCPLUapK&#10;URIlqXImLHiRgKGAvXZ/fQfY3bhJ1ENVH/DAzLz52DdzfrE3muyEDwpsTacnE0qE5dAou6npj8er&#10;T2eUhMhswzRYUdODCPRi+fHDeecWYgYt6EZ4giA2LDpX0zZGt6iqwFthWDgBJywqJXjDIl79pmo8&#10;6xDd6Go2mXyuOvCN88BFCPh6WZR0mfGlFDzeShlEJLqmmFvMp8/nczqr5TlbbDxzreJ9GuwfsjBM&#10;WQw6Ql2yyMjWqzdQRnEPAWQ84WAqkFJxkWvAaqaTV9U8tMyJXAs2J7ixTeH/wfKb3Z0nqqnpnBLL&#10;DH6i2x3TZJ4607mwQIMHd+f7W0AxlbmX3qR/LIDsczcPYzfFPhKOj2fzLzME5agpImJUL67Oh/hN&#10;gCFJqKnQWrmQqmULtrsOsVgPVuk5gFbNldI6XxJDxFp7gunWlHEubJylrDHGH5baJnsLybOo00uV&#10;iivlZCketEh22t4LiQ3BAmY5mUzF14GmRdWyRpT48wn+huhDajmXDJiQJcYfsXuAwfK4iGkP09sn&#10;V5GZPDpP/pZYKXH0yJHBxtHZKAv+PQAdx8jFfmhSaU3q0jM0B6SLhzJHwfErhV/vmoV4xzwODo4Y&#10;LoN4i4fU0NUUeomSFvyv996TPfIZtZR0OIg1DT+3zAtK9HeLTP86PT1Nk5svp8gpvPhjzfOxxm7N&#10;GpAPU1w7jmcx2Uc9iNKDecKdsUpRUcUsx9g15dEPl3UsCwK3DherVTbDaXUsXtsHxxN46mqi5uP+&#10;iXnXUzgi829gGNo3NC62ydPCahtBqszxl772/cZJz8Tpt1JaJcf3bPWyO5e/AQAA//8DAFBLAwQU&#10;AAYACAAAACEAxL2aJ+AAAAAIAQAADwAAAGRycy9kb3ducmV2LnhtbEyPwU7DMBBE70j8g7VIXFDr&#10;JKIlDXEqhIADpxIq1KMTb+Oo8TqK3STl6zEnOK7maeZtvp1Nx0YcXGtJQLyMgCHVVrXUCNh/vi5S&#10;YM5LUrKzhAIu6GBbXF/lMlN2og8cS9+wUEIukwK0933Guas1GumWtkcK2dEORvpwDg1Xg5xCuel4&#10;EkVrbmRLYUHLHp811qfybAScqsthF9tNqQ9vdfVy9338ep9GIW5v5qdHYB5n/wfDr35QhyI4VfZM&#10;yrFOQPKwigMqYHUPLORJmq6BVQFMN8CLnP9/oPgBAAD//wMAUEsBAi0AFAAGAAgAAAAhALaDOJL+&#10;AAAA4QEAABMAAAAAAAAAAAAAAAAAAAAAAFtDb250ZW50X1R5cGVzXS54bWxQSwECLQAUAAYACAAA&#10;ACEAOP0h/9YAAACUAQAACwAAAAAAAAAAAAAAAAAvAQAAX3JlbHMvLnJlbHNQSwECLQAUAAYACAAA&#10;ACEARhSwyocCAACDBQAADgAAAAAAAAAAAAAAAAAuAgAAZHJzL2Uyb0RvYy54bWxQSwECLQAUAAYA&#10;CAAAACEAxL2aJ+AAAAAIAQAADwAAAAAAAAAAAAAAAADhBAAAZHJzL2Rvd25yZXYueG1sUEsFBgAA&#10;AAAEAAQA8wAAAO4FAAAAAA==&#10;" fillcolor="#ed7d31 [3205]" stroked="f" strokeweight="1pt">
                      <v:stroke joinstyle="miter"/>
                    </v:oval>
                  </w:pict>
                </mc:Fallback>
              </mc:AlternateContent>
            </w:r>
            <w:r>
              <w:rPr>
                <w:rFonts w:cs="Times New Roman"/>
                <w:noProof/>
                <w:sz w:val="18"/>
                <w:szCs w:val="16"/>
                <w:lang w:val="en-US"/>
              </w:rPr>
              <mc:AlternateContent>
                <mc:Choice Requires="wps">
                  <w:drawing>
                    <wp:anchor distT="0" distB="0" distL="114300" distR="114300" simplePos="0" relativeHeight="251665408" behindDoc="0" locked="0" layoutInCell="1" allowOverlap="1" wp14:anchorId="022B811D" wp14:editId="5D168F9F">
                      <wp:simplePos x="0" y="0"/>
                      <wp:positionH relativeFrom="column">
                        <wp:posOffset>3287214</wp:posOffset>
                      </wp:positionH>
                      <wp:positionV relativeFrom="paragraph">
                        <wp:posOffset>34381</wp:posOffset>
                      </wp:positionV>
                      <wp:extent cx="85725" cy="85725"/>
                      <wp:effectExtent l="0" t="0" r="9525" b="9525"/>
                      <wp:wrapNone/>
                      <wp:docPr id="13" name="Oval 13"/>
                      <wp:cNvGraphicFramePr/>
                      <a:graphic xmlns:a="http://schemas.openxmlformats.org/drawingml/2006/main">
                        <a:graphicData uri="http://schemas.microsoft.com/office/word/2010/wordprocessingShape">
                          <wps:wsp>
                            <wps:cNvSpPr/>
                            <wps:spPr>
                              <a:xfrm>
                                <a:off x="0" y="0"/>
                                <a:ext cx="85725" cy="857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AD9E93" id="Oval 13" o:spid="_x0000_s1026" style="position:absolute;margin-left:258.85pt;margin-top:2.7pt;width:6.75pt;height: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yOdgIAAE4FAAAOAAAAZHJzL2Uyb0RvYy54bWysVEtvGyEQvlfqf0Dcm7XdpE0tryPLUapK&#10;UWLVqXImLGSRgKGAvXZ/fQdYr6066qHqHth5fvNghtnNzmiyFT4osDUdX4woEZZDo+xrTX883X24&#10;piREZhumwYqa7kWgN/P372adm4oJtKAb4QmC2DDtXE3bGN20qgJvhWHhApywqJTgDYvI+teq8axD&#10;dKOryWj0qerAN84DFyGg9LYo6TzjSyl4fJQyiEh0TTG3mE+fz5d0VvMZm7565lrF+zTYP2RhmLIY&#10;dIC6ZZGRjVdnUEZxDwFkvOBgKpBScZFrwGrGoz+qWbfMiVwLNie4oU3h/8Hyh+3KE9Xg3X2kxDKD&#10;d/S4ZZogi73pXJiiydqtfM8FJFOhO+lN+mMJZJf7uR/6KXaRcBReX32eXFHCUVNIxKiOrs6H+FWA&#10;IYmoqdBauZDqZVO2vQ+xWB+skljbdFq4U1oXbZJUKcuSV6biXoti/V1IrA0zmWTUPFViqT3BCmvK&#10;OBc2jouqZY0o4qsRfql4THXwyJy2CJiQJcYfsHuANLHn2AWmt0+uIg/l4Dz6W2LFefDIkcHGwdko&#10;C/4tAI1V9ZGL/aFJpTWpSy/Q7PHmPZSVCI7fKbyGexbiinncAdwW3Ov4iIfU0NUUeoqSFvyvt+TJ&#10;HkcTtZR0uFM1DT83zAtK9DeLQ/tlfHmZljAzlzgcyPhTzcupxm7MEvCaxviCOJ7JZB/1gZQezDOu&#10;/yJFRRWzHGPXlEd/YJax7Do+IFwsFtkMF8+xeG/Xjifw1NU0Y0+7Z+ZdP4sRR/gBDvt3No/FNnla&#10;WGwiSJWH9djXvt+4tHlw+gcmvQqnfLY6PoPz3wAAAP//AwBQSwMEFAAGAAgAAAAhAKnVk/3eAAAA&#10;CAEAAA8AAABkcnMvZG93bnJldi54bWxMj01PwzAMhu9I/IfISFzQlnZQNkrTqUJC4oD42BDnrDFt&#10;ROOUJNvKv8ec4GbrffT6cbWe3CAOGKL1pCCfZyCQWm8sdQretvezFYiYNBk9eEIF3xhhXZ+eVLo0&#10;/kiveNikTnAJxVIr6FMaSylj26PTce5HJM4+fHA68Ro6aYI+crkb5CLLrqXTlvhCr0e867H93Oyd&#10;gosgmyk8FfKLXGefHx+cbV7elTo/m5pbEAmn9AfDrz6rQ81OO78nE8WgoMiXS0Z5uALBeXGZL0Ds&#10;GFzdgKwr+f+B+gcAAP//AwBQSwECLQAUAAYACAAAACEAtoM4kv4AAADhAQAAEwAAAAAAAAAAAAAA&#10;AAAAAAAAW0NvbnRlbnRfVHlwZXNdLnhtbFBLAQItABQABgAIAAAAIQA4/SH/1gAAAJQBAAALAAAA&#10;AAAAAAAAAAAAAC8BAABfcmVscy8ucmVsc1BLAQItABQABgAIAAAAIQDbxgyOdgIAAE4FAAAOAAAA&#10;AAAAAAAAAAAAAC4CAABkcnMvZTJvRG9jLnhtbFBLAQItABQABgAIAAAAIQCp1ZP93gAAAAgBAAAP&#10;AAAAAAAAAAAAAAAAANAEAABkcnMvZG93bnJldi54bWxQSwUGAAAAAAQABADzAAAA2wUAAAAA&#10;" fillcolor="#4472c4 [3204]" stroked="f" strokeweight="1pt">
                      <v:stroke joinstyle="miter"/>
                    </v:oval>
                  </w:pict>
                </mc:Fallback>
              </mc:AlternateContent>
            </w:r>
            <w:r w:rsidR="00541373" w:rsidRPr="00541373">
              <w:rPr>
                <w:rFonts w:cs="Times New Roman"/>
                <w:sz w:val="18"/>
                <w:szCs w:val="16"/>
                <w:lang w:val="en-US"/>
              </w:rPr>
              <w:t xml:space="preserve">«Negative set» FX futures </w:t>
            </w:r>
            <w:r w:rsidRPr="004322BB">
              <w:rPr>
                <w:rFonts w:cs="Times New Roman"/>
                <w:sz w:val="18"/>
                <w:szCs w:val="16"/>
                <w:lang w:val="en-US"/>
              </w:rPr>
              <w:t xml:space="preserve">          «</w:t>
            </w:r>
            <w:r w:rsidRPr="00541373">
              <w:rPr>
                <w:rFonts w:cs="Times New Roman"/>
                <w:sz w:val="18"/>
                <w:szCs w:val="16"/>
                <w:lang w:val="en-US"/>
              </w:rPr>
              <w:t>Reference set</w:t>
            </w:r>
            <w:r w:rsidRPr="004322BB">
              <w:rPr>
                <w:rFonts w:cs="Times New Roman"/>
                <w:sz w:val="18"/>
                <w:szCs w:val="16"/>
                <w:lang w:val="en-US"/>
              </w:rPr>
              <w:t>»</w:t>
            </w:r>
            <w:r w:rsidRPr="00541373">
              <w:rPr>
                <w:rFonts w:cs="Times New Roman"/>
                <w:sz w:val="18"/>
                <w:szCs w:val="16"/>
                <w:lang w:val="en-US"/>
              </w:rPr>
              <w:t xml:space="preserve"> FX futures</w:t>
            </w:r>
          </w:p>
          <w:p w14:paraId="161E1EBA" w14:textId="01B16037" w:rsidR="00602173" w:rsidRPr="00602173" w:rsidRDefault="00602173" w:rsidP="004322BB">
            <w:pPr>
              <w:pStyle w:val="ListParagraph"/>
              <w:jc w:val="center"/>
              <w:rPr>
                <w:rFonts w:cs="Times New Roman"/>
                <w:sz w:val="8"/>
                <w:szCs w:val="6"/>
                <w:lang w:val="en-US"/>
              </w:rPr>
            </w:pPr>
          </w:p>
        </w:tc>
      </w:tr>
      <w:tr w:rsidR="0090384E" w14:paraId="71C5A2EA" w14:textId="77777777" w:rsidTr="00B2091A">
        <w:trPr>
          <w:trHeight w:val="322"/>
        </w:trPr>
        <w:tc>
          <w:tcPr>
            <w:tcW w:w="9776" w:type="dxa"/>
          </w:tcPr>
          <w:p w14:paraId="7E5A85A2" w14:textId="5F0D0871" w:rsidR="0090384E" w:rsidRDefault="0090384E" w:rsidP="0090384E">
            <w:pPr>
              <w:pStyle w:val="a1"/>
            </w:pPr>
            <w:r>
              <w:t>Source: Author’s calculations</w:t>
            </w:r>
          </w:p>
        </w:tc>
      </w:tr>
    </w:tbl>
    <w:p w14:paraId="01E0FC3A" w14:textId="6B290356" w:rsidR="002B70F9" w:rsidRDefault="000D3DA6" w:rsidP="008226B3">
      <w:pPr>
        <w:spacing w:after="0" w:line="360" w:lineRule="auto"/>
        <w:ind w:firstLine="709"/>
        <w:rPr>
          <w:rFonts w:cs="Times New Roman"/>
          <w:lang w:val="en-US"/>
        </w:rPr>
      </w:pPr>
      <w:r>
        <w:rPr>
          <w:rFonts w:cs="Times New Roman"/>
          <w:lang w:val="en-US"/>
        </w:rPr>
        <w:t>Now it is possible to derive</w:t>
      </w:r>
      <w:r w:rsidR="00985237" w:rsidRPr="00985237">
        <w:rPr>
          <w:rFonts w:cs="Times New Roman"/>
          <w:lang w:val="en-US"/>
        </w:rPr>
        <w:t xml:space="preserve"> </w:t>
      </w:r>
      <w:r w:rsidR="00985237">
        <w:rPr>
          <w:rFonts w:cs="Times New Roman"/>
          <w:lang w:val="en-US"/>
        </w:rPr>
        <w:t>some</w:t>
      </w:r>
      <w:r>
        <w:rPr>
          <w:rFonts w:cs="Times New Roman"/>
          <w:lang w:val="en-US"/>
        </w:rPr>
        <w:t xml:space="preserve"> general conclusions. We want to express them with reference to the currencies in </w:t>
      </w:r>
      <w:r w:rsidRPr="000D3DA6">
        <w:rPr>
          <w:rFonts w:cs="Times New Roman"/>
          <w:lang w:val="en-US"/>
        </w:rPr>
        <w:t>«</w:t>
      </w:r>
      <w:r>
        <w:rPr>
          <w:rFonts w:cs="Times New Roman"/>
          <w:lang w:val="en-US"/>
        </w:rPr>
        <w:t>Negative set</w:t>
      </w:r>
      <w:r w:rsidRPr="000D3DA6">
        <w:rPr>
          <w:rFonts w:cs="Times New Roman"/>
          <w:lang w:val="en-US"/>
        </w:rPr>
        <w:t xml:space="preserve">» </w:t>
      </w:r>
      <w:r>
        <w:rPr>
          <w:rFonts w:cs="Times New Roman"/>
          <w:lang w:val="en-US"/>
        </w:rPr>
        <w:t xml:space="preserve">separately </w:t>
      </w:r>
      <w:r w:rsidR="00CF055C">
        <w:rPr>
          <w:rFonts w:cs="Times New Roman"/>
          <w:lang w:val="en-US"/>
        </w:rPr>
        <w:t>from the other currencies in the sample:</w:t>
      </w:r>
    </w:p>
    <w:p w14:paraId="62C4049C" w14:textId="325A601C" w:rsidR="00C4230B" w:rsidRDefault="00CF055C" w:rsidP="008226B3">
      <w:pPr>
        <w:spacing w:after="0" w:line="360" w:lineRule="auto"/>
        <w:ind w:firstLine="709"/>
        <w:rPr>
          <w:rFonts w:cs="Times New Roman"/>
          <w:lang w:val="en-US"/>
        </w:rPr>
      </w:pPr>
      <w:r w:rsidRPr="00CF055C">
        <w:rPr>
          <w:rFonts w:cs="Times New Roman"/>
          <w:b/>
          <w:bCs/>
          <w:lang w:val="en-US"/>
        </w:rPr>
        <w:t>JPY</w:t>
      </w:r>
      <w:r>
        <w:rPr>
          <w:rFonts w:cs="Times New Roman"/>
          <w:lang w:val="en-US"/>
        </w:rPr>
        <w:t xml:space="preserve">: deviation of FX futures that reference JPY is within 3 basis points (in daily averages), but the underpricing of the FX future is consistent for either GBP/JPY, </w:t>
      </w:r>
      <w:r w:rsidR="00C4230B">
        <w:rPr>
          <w:rFonts w:cs="Times New Roman"/>
          <w:lang w:val="en-US"/>
        </w:rPr>
        <w:t xml:space="preserve">EUR/JPY, AUD/JPY contracts, or for JPY/USD contract: positive value of </w:t>
      </w:r>
      <w:r w:rsidR="00035965">
        <w:rPr>
          <w:rFonts w:cs="Times New Roman"/>
          <w:lang w:val="en-US"/>
        </w:rPr>
        <w:t xml:space="preserve">JPY/USD </w:t>
      </w:r>
      <w:r w:rsidR="00C4230B">
        <w:rPr>
          <w:rFonts w:cs="Times New Roman"/>
          <w:lang w:val="en-US"/>
        </w:rPr>
        <w:t xml:space="preserve">deviation could be interpreted as underpricing, because, differently from the other contracts, in this contract JPY acts as a base currency (quoted first, basically the </w:t>
      </w:r>
      <w:r w:rsidR="00C4230B" w:rsidRPr="00C4230B">
        <w:rPr>
          <w:rFonts w:cs="Times New Roman"/>
          <w:i/>
          <w:iCs/>
          <w:lang w:val="en-US"/>
        </w:rPr>
        <w:t>currency purchased</w:t>
      </w:r>
      <w:r w:rsidR="00C4230B">
        <w:rPr>
          <w:rFonts w:cs="Times New Roman"/>
          <w:lang w:val="en-US"/>
        </w:rPr>
        <w:t>) and not quote currency (currency, in which other currency value is expressed). This difference of 3 basis points is small enough</w:t>
      </w:r>
      <w:r w:rsidR="008251C0">
        <w:rPr>
          <w:rFonts w:cs="Times New Roman"/>
          <w:lang w:val="en-US"/>
        </w:rPr>
        <w:t>, but consistent,</w:t>
      </w:r>
      <w:r w:rsidR="00C4230B">
        <w:rPr>
          <w:rFonts w:cs="Times New Roman"/>
          <w:lang w:val="en-US"/>
        </w:rPr>
        <w:t xml:space="preserve"> and</w:t>
      </w:r>
      <w:r w:rsidR="008251C0">
        <w:rPr>
          <w:rFonts w:cs="Times New Roman"/>
          <w:lang w:val="en-US"/>
        </w:rPr>
        <w:t>,</w:t>
      </w:r>
      <w:r w:rsidR="00C4230B">
        <w:rPr>
          <w:rFonts w:cs="Times New Roman"/>
          <w:lang w:val="en-US"/>
        </w:rPr>
        <w:t xml:space="preserve"> even</w:t>
      </w:r>
      <w:r w:rsidR="008251C0">
        <w:rPr>
          <w:rFonts w:cs="Times New Roman"/>
          <w:lang w:val="en-US"/>
        </w:rPr>
        <w:t xml:space="preserve"> if</w:t>
      </w:r>
      <w:r w:rsidR="00C4230B">
        <w:rPr>
          <w:rFonts w:cs="Times New Roman"/>
          <w:lang w:val="en-US"/>
        </w:rPr>
        <w:t xml:space="preserve"> comparable with bid-ask spreads in FX spot rate, </w:t>
      </w:r>
      <w:r w:rsidR="008251C0">
        <w:rPr>
          <w:rFonts w:cs="Times New Roman"/>
          <w:lang w:val="en-US"/>
        </w:rPr>
        <w:t>is</w:t>
      </w:r>
      <w:r w:rsidR="00C4230B">
        <w:rPr>
          <w:rFonts w:cs="Times New Roman"/>
          <w:lang w:val="en-US"/>
        </w:rPr>
        <w:t xml:space="preserve"> still worthful for analysis. It is definetily </w:t>
      </w:r>
      <w:r w:rsidR="008251C0">
        <w:rPr>
          <w:rFonts w:cs="Times New Roman"/>
          <w:lang w:val="en-US"/>
        </w:rPr>
        <w:t>important</w:t>
      </w:r>
      <w:r w:rsidR="00C4230B">
        <w:rPr>
          <w:rFonts w:cs="Times New Roman"/>
          <w:lang w:val="en-US"/>
        </w:rPr>
        <w:t xml:space="preserve"> to define</w:t>
      </w:r>
      <w:r w:rsidR="00DC34B6">
        <w:rPr>
          <w:rFonts w:cs="Times New Roman"/>
          <w:lang w:val="en-US"/>
        </w:rPr>
        <w:t>:</w:t>
      </w:r>
    </w:p>
    <w:p w14:paraId="6D61CCD8" w14:textId="60B35F7A" w:rsidR="00C4230B" w:rsidRPr="00C4230B" w:rsidRDefault="00C4230B" w:rsidP="008226B3">
      <w:pPr>
        <w:spacing w:after="0" w:line="360" w:lineRule="auto"/>
        <w:ind w:firstLine="709"/>
        <w:rPr>
          <w:rFonts w:cs="Times New Roman"/>
          <w:lang w:val="en-US"/>
        </w:rPr>
      </w:pPr>
      <w:r>
        <w:rPr>
          <w:rFonts w:cs="Times New Roman"/>
          <w:lang w:val="en-US"/>
        </w:rPr>
        <w:t xml:space="preserve">(a) risk-free rate implied in interbank transactions in JPY: see </w:t>
      </w:r>
      <w:r w:rsidRPr="00C4230B">
        <w:rPr>
          <w:rFonts w:cs="Times New Roman"/>
          <w:lang w:val="en-US"/>
        </w:rPr>
        <w:t>«</w:t>
      </w:r>
      <w:r w:rsidR="00C1321D">
        <w:rPr>
          <w:rFonts w:cs="Times New Roman"/>
          <w:lang w:val="en-US"/>
        </w:rPr>
        <w:t>implied risk-free rate</w:t>
      </w:r>
      <w:r w:rsidR="00C1321D" w:rsidRPr="00C1321D">
        <w:rPr>
          <w:rFonts w:cs="Times New Roman"/>
          <w:lang w:val="en-US"/>
        </w:rPr>
        <w:t>»</w:t>
      </w:r>
      <w:r>
        <w:rPr>
          <w:rFonts w:cs="Times New Roman"/>
          <w:lang w:val="en-US"/>
        </w:rPr>
        <w:t xml:space="preserve"> hypothesis;</w:t>
      </w:r>
    </w:p>
    <w:p w14:paraId="6C1BFD03" w14:textId="79F5C6AE" w:rsidR="00CF055C" w:rsidRDefault="00C4230B" w:rsidP="008226B3">
      <w:pPr>
        <w:spacing w:after="0" w:line="360" w:lineRule="auto"/>
        <w:ind w:firstLine="709"/>
        <w:rPr>
          <w:rFonts w:cs="Times New Roman"/>
          <w:lang w:val="en-US"/>
        </w:rPr>
      </w:pPr>
      <w:r>
        <w:rPr>
          <w:rFonts w:cs="Times New Roman"/>
          <w:lang w:val="en-US"/>
        </w:rPr>
        <w:t xml:space="preserve">(b) </w:t>
      </w:r>
      <w:r w:rsidR="00DC34B6">
        <w:rPr>
          <w:rFonts w:cs="Times New Roman"/>
          <w:lang w:val="en-US"/>
        </w:rPr>
        <w:t xml:space="preserve">sensitivity of JPY contracts to the announcements of LIBOR rates: see </w:t>
      </w:r>
      <w:r w:rsidR="00DC34B6" w:rsidRPr="00DC34B6">
        <w:rPr>
          <w:rFonts w:cs="Times New Roman"/>
          <w:lang w:val="en-US"/>
        </w:rPr>
        <w:t>«</w:t>
      </w:r>
      <w:r w:rsidR="00DC34B6">
        <w:rPr>
          <w:rFonts w:cs="Times New Roman"/>
          <w:lang w:val="en-US"/>
        </w:rPr>
        <w:t>LIBOR sensitivity</w:t>
      </w:r>
      <w:r w:rsidR="00DC34B6" w:rsidRPr="00DC34B6">
        <w:rPr>
          <w:rFonts w:cs="Times New Roman"/>
          <w:lang w:val="en-US"/>
        </w:rPr>
        <w:t xml:space="preserve">» </w:t>
      </w:r>
      <w:r w:rsidR="00DC34B6">
        <w:rPr>
          <w:rFonts w:cs="Times New Roman"/>
          <w:lang w:val="en-US"/>
        </w:rPr>
        <w:t>hypothesis;</w:t>
      </w:r>
    </w:p>
    <w:p w14:paraId="2C764358" w14:textId="549318F9" w:rsidR="00DC34B6" w:rsidRDefault="00DC34B6" w:rsidP="008226B3">
      <w:pPr>
        <w:spacing w:after="0" w:line="360" w:lineRule="auto"/>
        <w:ind w:firstLine="709"/>
        <w:rPr>
          <w:rFonts w:cs="Times New Roman"/>
          <w:lang w:val="en-US"/>
        </w:rPr>
      </w:pPr>
      <w:r>
        <w:rPr>
          <w:rFonts w:cs="Times New Roman"/>
          <w:lang w:val="en-US"/>
        </w:rPr>
        <w:t xml:space="preserve">(c) correlation of GBP/JPY, EUR/JPY, AUD/JPY </w:t>
      </w:r>
      <w:r w:rsidRPr="00C1321D">
        <w:rPr>
          <w:rFonts w:cs="Times New Roman"/>
          <w:lang w:val="en-US"/>
        </w:rPr>
        <w:t xml:space="preserve">and </w:t>
      </w:r>
      <w:r w:rsidR="00C1321D" w:rsidRPr="00C1321D">
        <w:rPr>
          <w:rFonts w:cs="Times New Roman"/>
          <w:lang w:val="en-US"/>
        </w:rPr>
        <w:t>JPY</w:t>
      </w:r>
      <w:r w:rsidRPr="00C1321D">
        <w:rPr>
          <w:rFonts w:cs="Times New Roman"/>
          <w:lang w:val="en-US"/>
        </w:rPr>
        <w:t>/</w:t>
      </w:r>
      <w:r w:rsidR="00C1321D" w:rsidRPr="00C1321D">
        <w:rPr>
          <w:rFonts w:cs="Times New Roman"/>
          <w:lang w:val="en-US"/>
        </w:rPr>
        <w:t>USD</w:t>
      </w:r>
      <w:r w:rsidRPr="00C1321D">
        <w:rPr>
          <w:rFonts w:cs="Times New Roman"/>
          <w:lang w:val="en-US"/>
        </w:rPr>
        <w:t xml:space="preserve"> (now in reversed variant)</w:t>
      </w:r>
      <w:r>
        <w:rPr>
          <w:rFonts w:cs="Times New Roman"/>
          <w:lang w:val="en-US"/>
        </w:rPr>
        <w:t xml:space="preserve"> FX rates to the Interest rates differential</w:t>
      </w:r>
      <w:r>
        <w:rPr>
          <w:rStyle w:val="FootnoteReference"/>
          <w:rFonts w:cs="Times New Roman"/>
          <w:lang w:val="en-US"/>
        </w:rPr>
        <w:footnoteReference w:id="58"/>
      </w:r>
      <w:r>
        <w:rPr>
          <w:rFonts w:cs="Times New Roman"/>
          <w:lang w:val="en-US"/>
        </w:rPr>
        <w:t>;</w:t>
      </w:r>
    </w:p>
    <w:p w14:paraId="70597D1F" w14:textId="31DBE731" w:rsidR="008251C0" w:rsidRDefault="00F6002E" w:rsidP="008226B3">
      <w:pPr>
        <w:spacing w:after="0" w:line="360" w:lineRule="auto"/>
        <w:ind w:firstLine="709"/>
        <w:rPr>
          <w:rFonts w:cs="Times New Roman"/>
          <w:lang w:val="en-US"/>
        </w:rPr>
      </w:pPr>
      <w:r w:rsidRPr="00F6002E">
        <w:rPr>
          <w:rFonts w:cs="Times New Roman"/>
          <w:b/>
          <w:bCs/>
          <w:lang w:val="en-US"/>
        </w:rPr>
        <w:lastRenderedPageBreak/>
        <w:t>CHF</w:t>
      </w:r>
      <w:r>
        <w:rPr>
          <w:rFonts w:cs="Times New Roman"/>
          <w:lang w:val="en-US"/>
        </w:rPr>
        <w:t>: Swiss franc is viewed under three currency pairs, but</w:t>
      </w:r>
      <w:r w:rsidR="00463F96">
        <w:rPr>
          <w:rFonts w:cs="Times New Roman"/>
          <w:lang w:val="en-US"/>
        </w:rPr>
        <w:t>,</w:t>
      </w:r>
      <w:r>
        <w:rPr>
          <w:rFonts w:cs="Times New Roman"/>
          <w:lang w:val="en-US"/>
        </w:rPr>
        <w:t xml:space="preserve"> unfortunately, GBP/CHF FX future is not very liquid to be truly representative for our analysis. Neverteless, it is still worthful to define that EUR/CHF pricing shows the lowest possible deviation from theoretical price in our sample</w:t>
      </w:r>
      <w:r w:rsidR="005819F1">
        <w:rPr>
          <w:rFonts w:cs="Times New Roman"/>
          <w:lang w:val="en-US"/>
        </w:rPr>
        <w:t xml:space="preserve">, while </w:t>
      </w:r>
      <w:r w:rsidR="00924521">
        <w:rPr>
          <w:rFonts w:cs="Times New Roman"/>
          <w:lang w:val="en-US"/>
        </w:rPr>
        <w:t>CHF</w:t>
      </w:r>
      <w:r w:rsidR="005819F1">
        <w:rPr>
          <w:rFonts w:cs="Times New Roman"/>
          <w:lang w:val="en-US"/>
        </w:rPr>
        <w:t>/</w:t>
      </w:r>
      <w:r w:rsidR="00924521">
        <w:rPr>
          <w:rFonts w:cs="Times New Roman"/>
          <w:lang w:val="en-US"/>
        </w:rPr>
        <w:t>USD</w:t>
      </w:r>
      <w:r w:rsidR="005819F1">
        <w:rPr>
          <w:rFonts w:cs="Times New Roman"/>
          <w:lang w:val="en-US"/>
        </w:rPr>
        <w:t xml:space="preserve"> is generally overpriced</w:t>
      </w:r>
      <w:r w:rsidR="00463F96">
        <w:rPr>
          <w:rFonts w:cs="Times New Roman"/>
          <w:lang w:val="en-US"/>
        </w:rPr>
        <w:t xml:space="preserve">. It may be explained by the control that the Swiss Central Bank, SNB, applies to the EUR/CHF FX spot rate via currency interventions, while </w:t>
      </w:r>
      <w:r w:rsidR="00924521">
        <w:rPr>
          <w:rFonts w:cs="Times New Roman"/>
          <w:lang w:val="en-US"/>
        </w:rPr>
        <w:t>USD</w:t>
      </w:r>
      <w:r w:rsidR="00463F96">
        <w:rPr>
          <w:rFonts w:cs="Times New Roman"/>
          <w:lang w:val="en-US"/>
        </w:rPr>
        <w:t>/</w:t>
      </w:r>
      <w:r w:rsidR="00924521">
        <w:rPr>
          <w:rFonts w:cs="Times New Roman"/>
          <w:lang w:val="en-US"/>
        </w:rPr>
        <w:t>CHF</w:t>
      </w:r>
      <w:r w:rsidR="00463F96">
        <w:rPr>
          <w:rFonts w:cs="Times New Roman"/>
          <w:lang w:val="en-US"/>
        </w:rPr>
        <w:t xml:space="preserve"> FX spot is more liberalized and is more exposed to ordinary supply and demand forces of FX market. </w:t>
      </w:r>
      <w:r w:rsidR="00844F7E">
        <w:rPr>
          <w:rFonts w:cs="Times New Roman"/>
          <w:lang w:val="en-US"/>
        </w:rPr>
        <w:t xml:space="preserve">Also, the patterns of </w:t>
      </w:r>
      <w:r w:rsidR="00924521">
        <w:rPr>
          <w:rFonts w:cs="Times New Roman"/>
          <w:lang w:val="en-US"/>
        </w:rPr>
        <w:t>CHF</w:t>
      </w:r>
      <w:r w:rsidR="00844F7E">
        <w:rPr>
          <w:rFonts w:cs="Times New Roman"/>
          <w:lang w:val="en-US"/>
        </w:rPr>
        <w:t>/</w:t>
      </w:r>
      <w:r w:rsidR="00924521">
        <w:rPr>
          <w:rFonts w:cs="Times New Roman"/>
          <w:lang w:val="en-US"/>
        </w:rPr>
        <w:t>USD FX future</w:t>
      </w:r>
      <w:r w:rsidR="00844F7E">
        <w:rPr>
          <w:rFonts w:cs="Times New Roman"/>
          <w:lang w:val="en-US"/>
        </w:rPr>
        <w:t xml:space="preserve"> price deviation shows interesting </w:t>
      </w:r>
      <w:r w:rsidR="00844F7E" w:rsidRPr="00844F7E">
        <w:rPr>
          <w:rFonts w:cs="Times New Roman"/>
          <w:lang w:val="en-US"/>
        </w:rPr>
        <w:t>«</w:t>
      </w:r>
      <w:r w:rsidR="00844F7E">
        <w:rPr>
          <w:rFonts w:cs="Times New Roman"/>
          <w:lang w:val="en-US"/>
        </w:rPr>
        <w:t>step</w:t>
      </w:r>
      <w:r w:rsidR="00844F7E" w:rsidRPr="00844F7E">
        <w:rPr>
          <w:rFonts w:cs="Times New Roman"/>
          <w:lang w:val="en-US"/>
        </w:rPr>
        <w:t>»</w:t>
      </w:r>
      <w:r w:rsidR="00844F7E">
        <w:rPr>
          <w:rFonts w:cs="Times New Roman"/>
          <w:lang w:val="en-US"/>
        </w:rPr>
        <w:t xml:space="preserve">, i.e. </w:t>
      </w:r>
      <w:r w:rsidR="00142523">
        <w:rPr>
          <w:rFonts w:cs="Times New Roman"/>
          <w:lang w:val="en-US"/>
        </w:rPr>
        <w:t xml:space="preserve">at the start of trade, each contract (December, March and June) tends to be overpriced, while at </w:t>
      </w:r>
      <w:r w:rsidR="008D2C73">
        <w:rPr>
          <w:rFonts w:cs="Times New Roman"/>
          <w:lang w:val="en-US"/>
        </w:rPr>
        <w:t xml:space="preserve">the following periods, </w:t>
      </w:r>
      <w:r w:rsidR="00A90C9B">
        <w:rPr>
          <w:rFonts w:cs="Times New Roman"/>
          <w:lang w:val="en-US"/>
        </w:rPr>
        <w:t>the price is close to the theoretical value.</w:t>
      </w:r>
      <w:r w:rsidR="00844F7E">
        <w:rPr>
          <w:rFonts w:cs="Times New Roman"/>
          <w:lang w:val="en-US"/>
        </w:rPr>
        <w:t xml:space="preserve"> </w:t>
      </w:r>
      <w:r w:rsidR="00A90C9B">
        <w:rPr>
          <w:rFonts w:cs="Times New Roman"/>
          <w:lang w:val="en-US"/>
        </w:rPr>
        <w:t>It could be seen in the Appendix</w:t>
      </w:r>
      <w:r w:rsidR="00985237">
        <w:rPr>
          <w:rFonts w:cs="Times New Roman"/>
          <w:lang w:val="en-US"/>
        </w:rPr>
        <w:t xml:space="preserve"> 1 </w:t>
      </w:r>
      <w:r w:rsidR="00985237" w:rsidRPr="00985237">
        <w:rPr>
          <w:rFonts w:cs="Times New Roman"/>
          <w:lang w:val="en-US"/>
        </w:rPr>
        <w:t>«</w:t>
      </w:r>
      <w:r w:rsidR="00985237" w:rsidRPr="00985237">
        <w:rPr>
          <w:rFonts w:cs="Times New Roman"/>
          <w:lang w:val="en-US"/>
        </w:rPr>
        <w:t>Appendix 1. Graphical presentation of calculation results</w:t>
      </w:r>
      <w:r w:rsidR="00985237" w:rsidRPr="00985237">
        <w:rPr>
          <w:rFonts w:cs="Times New Roman"/>
          <w:lang w:val="en-US"/>
        </w:rPr>
        <w:t>»</w:t>
      </w:r>
      <w:r w:rsidR="00A90C9B">
        <w:rPr>
          <w:rFonts w:cs="Times New Roman"/>
          <w:lang w:val="en-US"/>
        </w:rPr>
        <w:t>.</w:t>
      </w:r>
    </w:p>
    <w:p w14:paraId="2443DEB2" w14:textId="0922FA52" w:rsidR="00EC32B7" w:rsidRPr="00EC32B7" w:rsidRDefault="00EC32B7" w:rsidP="00EC32B7">
      <w:pPr>
        <w:pStyle w:val="a0"/>
      </w:pPr>
      <w:r w:rsidRPr="00EC32B7">
        <w:t xml:space="preserve">Figure </w:t>
      </w:r>
      <w:r>
        <w:fldChar w:fldCharType="begin"/>
      </w:r>
      <w:r w:rsidRPr="00EC32B7">
        <w:instrText xml:space="preserve"> SEQ Figure \* ARABIC </w:instrText>
      </w:r>
      <w:r>
        <w:fldChar w:fldCharType="separate"/>
      </w:r>
      <w:r w:rsidR="004D16C9">
        <w:rPr>
          <w:noProof/>
        </w:rPr>
        <w:t>4</w:t>
      </w:r>
      <w:r>
        <w:fldChar w:fldCharType="end"/>
      </w:r>
      <w:r w:rsidRPr="00EC32B7">
        <w:t xml:space="preserve">. </w:t>
      </w:r>
      <w:r>
        <w:t>EUR/CHF and USD/CHF FX spot rates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819F1" w14:paraId="2C17BB5F" w14:textId="77777777" w:rsidTr="005819F1">
        <w:tc>
          <w:tcPr>
            <w:tcW w:w="10762" w:type="dxa"/>
          </w:tcPr>
          <w:p w14:paraId="7F3840B7" w14:textId="763CE92D" w:rsidR="005819F1" w:rsidRDefault="00463F96" w:rsidP="008226B3">
            <w:pPr>
              <w:spacing w:line="360" w:lineRule="auto"/>
              <w:ind w:firstLine="709"/>
              <w:jc w:val="center"/>
              <w:rPr>
                <w:rFonts w:cs="Times New Roman"/>
                <w:lang w:val="en-US"/>
              </w:rPr>
            </w:pPr>
            <w:r>
              <w:rPr>
                <w:rFonts w:cs="Times New Roman"/>
                <w:noProof/>
                <w:lang w:val="en-US"/>
              </w:rPr>
              <w:drawing>
                <wp:inline distT="0" distB="0" distL="0" distR="0" wp14:anchorId="753C6A84" wp14:editId="5CEE0A13">
                  <wp:extent cx="4818185" cy="2891681"/>
                  <wp:effectExtent l="0" t="0" r="190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0797" cy="2899250"/>
                          </a:xfrm>
                          <a:prstGeom prst="rect">
                            <a:avLst/>
                          </a:prstGeom>
                          <a:noFill/>
                        </pic:spPr>
                      </pic:pic>
                    </a:graphicData>
                  </a:graphic>
                </wp:inline>
              </w:drawing>
            </w:r>
          </w:p>
        </w:tc>
      </w:tr>
    </w:tbl>
    <w:p w14:paraId="4F6B7432" w14:textId="0865D327" w:rsidR="005819F1" w:rsidRDefault="00EC32B7" w:rsidP="00EC32B7">
      <w:pPr>
        <w:pStyle w:val="a1"/>
      </w:pPr>
      <w:r>
        <w:t>Source: Refinitiv Eikon</w:t>
      </w:r>
    </w:p>
    <w:p w14:paraId="57FD93B6" w14:textId="55FAD1F1" w:rsidR="000D3DA6" w:rsidRPr="001F3A03" w:rsidRDefault="00FE26F0" w:rsidP="008226B3">
      <w:pPr>
        <w:spacing w:after="0" w:line="360" w:lineRule="auto"/>
        <w:ind w:firstLine="709"/>
        <w:rPr>
          <w:rFonts w:cs="Times New Roman"/>
          <w:lang w:val="en-US"/>
        </w:rPr>
      </w:pPr>
      <w:r w:rsidRPr="00FE26F0">
        <w:rPr>
          <w:rFonts w:cs="Times New Roman"/>
          <w:b/>
          <w:bCs/>
          <w:lang w:val="en-US"/>
        </w:rPr>
        <w:t>EUR</w:t>
      </w:r>
      <w:r>
        <w:rPr>
          <w:rFonts w:cs="Times New Roman"/>
          <w:lang w:val="en-US"/>
        </w:rPr>
        <w:t xml:space="preserve">: </w:t>
      </w:r>
      <w:r w:rsidR="006372AA">
        <w:rPr>
          <w:rFonts w:cs="Times New Roman"/>
          <w:lang w:val="en-US"/>
        </w:rPr>
        <w:t xml:space="preserve">EUR/CHF and EUR/JPY FX futures were described above, but we could look at EUR under different currency pairs: namely </w:t>
      </w:r>
      <w:r w:rsidR="00D074A5">
        <w:rPr>
          <w:rFonts w:cs="Times New Roman"/>
          <w:lang w:val="en-US"/>
        </w:rPr>
        <w:t xml:space="preserve">EUR/USD and EUR/GBP. While EUR/GBP FX future generally does not deviates from the theoretical value, the deviation of EUR/USD looks strange, especially given that it is most liquid FX future traded at IMM [International Monetary Market]. Such deviations as observed in EUR/USD, </w:t>
      </w:r>
      <w:r w:rsidR="001F3A03">
        <w:rPr>
          <w:rFonts w:cs="Times New Roman"/>
          <w:lang w:val="en-US"/>
        </w:rPr>
        <w:t>should attract our attention.</w:t>
      </w:r>
      <w:r w:rsidR="00D074A5">
        <w:rPr>
          <w:rFonts w:cs="Times New Roman"/>
          <w:lang w:val="en-US"/>
        </w:rPr>
        <w:t xml:space="preserve"> </w:t>
      </w:r>
    </w:p>
    <w:p w14:paraId="5F0C9384" w14:textId="1C1E0ED5" w:rsidR="002068D6" w:rsidRDefault="00107130" w:rsidP="008226B3">
      <w:pPr>
        <w:spacing w:after="0" w:line="360" w:lineRule="auto"/>
        <w:ind w:firstLine="709"/>
        <w:rPr>
          <w:rFonts w:cs="Times New Roman"/>
          <w:lang w:val="en-US"/>
        </w:rPr>
      </w:pPr>
      <w:r w:rsidRPr="002068D6">
        <w:rPr>
          <w:rFonts w:cs="Times New Roman"/>
          <w:lang w:val="en-US"/>
        </w:rPr>
        <w:t>For other FX futures, in «reference set», we should state that</w:t>
      </w:r>
      <w:r w:rsidR="00690BDC" w:rsidRPr="002068D6">
        <w:rPr>
          <w:rFonts w:cs="Times New Roman"/>
          <w:lang w:val="en-US"/>
        </w:rPr>
        <w:t xml:space="preserve"> the function of this set is not to be taken</w:t>
      </w:r>
      <w:r w:rsidRPr="002068D6">
        <w:rPr>
          <w:rFonts w:cs="Times New Roman"/>
          <w:lang w:val="en-US"/>
        </w:rPr>
        <w:t xml:space="preserve"> «as is»</w:t>
      </w:r>
      <w:r w:rsidR="00690BDC" w:rsidRPr="002068D6">
        <w:rPr>
          <w:rFonts w:cs="Times New Roman"/>
          <w:lang w:val="en-US"/>
        </w:rPr>
        <w:t xml:space="preserve">, but to </w:t>
      </w:r>
      <w:r w:rsidRPr="002068D6">
        <w:rPr>
          <w:rFonts w:cs="Times New Roman"/>
          <w:lang w:val="en-US"/>
        </w:rPr>
        <w:t>serve for us as a reference point for the behavior of «normal» FX future contracts</w:t>
      </w:r>
      <w:r w:rsidR="00690BDC" w:rsidRPr="002068D6">
        <w:rPr>
          <w:rFonts w:cs="Times New Roman"/>
          <w:lang w:val="en-US"/>
        </w:rPr>
        <w:t xml:space="preserve">. That means that we also test all our hypotheses on this set of contracts. It is worthful to mention, that there is no other interbank rates in RUB, CAD and AUD other than OIS on overnight rates, but contracts are still priced without very high deviations from theoretical values. </w:t>
      </w:r>
    </w:p>
    <w:p w14:paraId="482BB860" w14:textId="77777777" w:rsidR="002068D6" w:rsidRDefault="002068D6">
      <w:pPr>
        <w:jc w:val="left"/>
        <w:rPr>
          <w:rFonts w:cs="Times New Roman"/>
          <w:lang w:val="en-US"/>
        </w:rPr>
      </w:pPr>
      <w:r>
        <w:rPr>
          <w:rFonts w:cs="Times New Roman"/>
          <w:lang w:val="en-US"/>
        </w:rPr>
        <w:br w:type="page"/>
      </w:r>
    </w:p>
    <w:p w14:paraId="443EF108" w14:textId="24B1DFCA" w:rsidR="00690BDC" w:rsidRPr="00690BDC" w:rsidRDefault="00467D70" w:rsidP="008226B3">
      <w:pPr>
        <w:pStyle w:val="Heading1"/>
        <w:spacing w:line="360" w:lineRule="auto"/>
        <w:ind w:firstLine="709"/>
        <w:rPr>
          <w:lang w:val="en-US"/>
        </w:rPr>
      </w:pPr>
      <w:bookmarkStart w:id="19" w:name="_Toc73483056"/>
      <w:r>
        <w:rPr>
          <w:lang w:val="en-US"/>
        </w:rPr>
        <w:lastRenderedPageBreak/>
        <w:t xml:space="preserve">2.2. </w:t>
      </w:r>
      <w:r w:rsidR="002068D6">
        <w:rPr>
          <w:lang w:val="en-US"/>
        </w:rPr>
        <w:t>ANALYSIS OF THE MONETARY POLICY IN THE CHOSEN CURRENCY ZONES</w:t>
      </w:r>
      <w:bookmarkEnd w:id="19"/>
    </w:p>
    <w:p w14:paraId="7203C35C" w14:textId="2BCB635B" w:rsidR="00985237" w:rsidRPr="00985237" w:rsidRDefault="00985237" w:rsidP="00985237">
      <w:pPr>
        <w:spacing w:after="0" w:line="360" w:lineRule="auto"/>
        <w:ind w:firstLine="709"/>
        <w:rPr>
          <w:rFonts w:cs="Times New Roman"/>
          <w:lang w:val="en-US"/>
        </w:rPr>
      </w:pPr>
      <w:r w:rsidRPr="00985237">
        <w:rPr>
          <w:rFonts w:cs="Times New Roman"/>
          <w:lang w:val="en-US"/>
        </w:rPr>
        <w:t>As suggested by our Research method, to move in our analysis further, we should identify basic features of monetary policy in the chosen currency zones.</w:t>
      </w:r>
      <w:r>
        <w:rPr>
          <w:rFonts w:cs="Times New Roman"/>
          <w:lang w:val="en-US"/>
        </w:rPr>
        <w:t xml:space="preserve"> Only having determined them, we could move to the calculations and hypotheses testing.</w:t>
      </w:r>
    </w:p>
    <w:p w14:paraId="78E74368" w14:textId="6731868D" w:rsidR="004761C1" w:rsidRDefault="00467D70" w:rsidP="008226B3">
      <w:pPr>
        <w:pStyle w:val="Heading2"/>
        <w:spacing w:line="360" w:lineRule="auto"/>
        <w:ind w:firstLine="709"/>
        <w:rPr>
          <w:lang w:val="en-US"/>
        </w:rPr>
      </w:pPr>
      <w:bookmarkStart w:id="20" w:name="_Toc73483057"/>
      <w:r>
        <w:rPr>
          <w:lang w:val="en-US"/>
        </w:rPr>
        <w:t xml:space="preserve">2.2.1. </w:t>
      </w:r>
      <w:r w:rsidR="004761C1">
        <w:rPr>
          <w:lang w:val="en-US"/>
        </w:rPr>
        <w:t>Overview of interest rates</w:t>
      </w:r>
      <w:bookmarkEnd w:id="20"/>
    </w:p>
    <w:p w14:paraId="1E7D77EA" w14:textId="71D33ECE" w:rsidR="007D0743" w:rsidRDefault="001D1853" w:rsidP="008226B3">
      <w:pPr>
        <w:spacing w:after="0" w:line="360" w:lineRule="auto"/>
        <w:ind w:firstLine="709"/>
        <w:rPr>
          <w:rFonts w:cs="Times New Roman"/>
          <w:lang w:val="en-US"/>
        </w:rPr>
      </w:pPr>
      <w:r>
        <w:rPr>
          <w:rFonts w:cs="Times New Roman"/>
          <w:lang w:val="en-US"/>
        </w:rPr>
        <w:t xml:space="preserve">As it was said above, we know that interest rates, </w:t>
      </w:r>
      <w:r w:rsidR="00985237">
        <w:rPr>
          <w:rFonts w:cs="Times New Roman"/>
          <w:lang w:val="en-US"/>
        </w:rPr>
        <w:t>that</w:t>
      </w:r>
      <w:r>
        <w:rPr>
          <w:rFonts w:cs="Times New Roman"/>
          <w:lang w:val="en-US"/>
        </w:rPr>
        <w:t xml:space="preserve"> are applied by market participants for the valuation of FX futures are, in general, different from any kind of quoted rates, with rare exception possible for only the banks which directly participate in the formation of LIBOR and EURIBOR. And we also know that the interest rates really used in FX futures pricing are not observable for the outer researcher for the following reasons: (a) volumes of non-overnight</w:t>
      </w:r>
      <w:r w:rsidR="00F71A88" w:rsidRPr="00845BBE">
        <w:rPr>
          <w:rStyle w:val="FootnoteReference"/>
          <w:sz w:val="20"/>
          <w:szCs w:val="20"/>
        </w:rPr>
        <w:footnoteReference w:id="59"/>
      </w:r>
      <w:r w:rsidRPr="00845BBE">
        <w:rPr>
          <w:rStyle w:val="FootnoteReference"/>
          <w:sz w:val="20"/>
          <w:szCs w:val="20"/>
          <w:lang w:val="en-US"/>
        </w:rPr>
        <w:t xml:space="preserve"> </w:t>
      </w:r>
      <w:r>
        <w:rPr>
          <w:rFonts w:cs="Times New Roman"/>
          <w:lang w:val="en-US"/>
        </w:rPr>
        <w:t>interbank lending are significantly lower than the</w:t>
      </w:r>
      <w:r w:rsidR="00845BBE" w:rsidRPr="00845BBE">
        <w:rPr>
          <w:rFonts w:cs="Times New Roman"/>
          <w:lang w:val="en-US"/>
        </w:rPr>
        <w:t xml:space="preserve"> </w:t>
      </w:r>
      <w:r w:rsidR="00845BBE">
        <w:rPr>
          <w:rFonts w:cs="Times New Roman"/>
          <w:lang w:val="en-US"/>
        </w:rPr>
        <w:t>volume of</w:t>
      </w:r>
      <w:r>
        <w:rPr>
          <w:rFonts w:cs="Times New Roman"/>
          <w:lang w:val="en-US"/>
        </w:rPr>
        <w:t xml:space="preserve"> overnight</w:t>
      </w:r>
      <w:r w:rsidR="00845BBE">
        <w:rPr>
          <w:rFonts w:cs="Times New Roman"/>
          <w:lang w:val="en-US"/>
        </w:rPr>
        <w:t xml:space="preserve"> interbank</w:t>
      </w:r>
      <w:r>
        <w:rPr>
          <w:rFonts w:cs="Times New Roman"/>
          <w:lang w:val="en-US"/>
        </w:rPr>
        <w:t xml:space="preserve"> lending, (b) lack of any kind of established alternative</w:t>
      </w:r>
      <w:r w:rsidR="00F71A88">
        <w:rPr>
          <w:rFonts w:cs="Times New Roman"/>
          <w:lang w:val="en-US"/>
        </w:rPr>
        <w:t xml:space="preserve"> for the LIBOR and EURIBOR. These are also the reasons why LIBOR and EURIBOR rates, even if quoted as </w:t>
      </w:r>
      <w:r w:rsidR="00F71A88" w:rsidRPr="00F71A88">
        <w:rPr>
          <w:rFonts w:cs="Times New Roman"/>
          <w:lang w:val="en-US"/>
        </w:rPr>
        <w:t>«</w:t>
      </w:r>
      <w:r w:rsidR="00F71A88">
        <w:rPr>
          <w:rFonts w:cs="Times New Roman"/>
          <w:lang w:val="en-US"/>
        </w:rPr>
        <w:t>offered rate</w:t>
      </w:r>
      <w:r w:rsidR="007D0743">
        <w:rPr>
          <w:rFonts w:cs="Times New Roman"/>
          <w:lang w:val="en-US"/>
        </w:rPr>
        <w:t>s</w:t>
      </w:r>
      <w:r w:rsidR="00F71A88" w:rsidRPr="00F71A88">
        <w:rPr>
          <w:rFonts w:cs="Times New Roman"/>
          <w:lang w:val="en-US"/>
        </w:rPr>
        <w:t>»</w:t>
      </w:r>
      <w:r w:rsidR="00F71A88">
        <w:rPr>
          <w:rFonts w:cs="Times New Roman"/>
          <w:lang w:val="en-US"/>
        </w:rPr>
        <w:t>, i.e. reflecting only supply side of the market</w:t>
      </w:r>
      <w:r w:rsidR="007D0743">
        <w:rPr>
          <w:rFonts w:cs="Times New Roman"/>
          <w:lang w:val="en-US"/>
        </w:rPr>
        <w:t>, still deserve our attention and that is why they will be applied for the valuation of FX futures.</w:t>
      </w:r>
    </w:p>
    <w:p w14:paraId="3221F6B7" w14:textId="77777777" w:rsidR="00845BBE" w:rsidRPr="00E50D2C" w:rsidRDefault="00845BBE" w:rsidP="008226B3">
      <w:pPr>
        <w:spacing w:after="0" w:line="360" w:lineRule="auto"/>
        <w:ind w:firstLine="709"/>
        <w:rPr>
          <w:rFonts w:cs="Times New Roman"/>
          <w:lang w:val="en-US"/>
        </w:rPr>
      </w:pPr>
      <w:r>
        <w:rPr>
          <w:rFonts w:cs="Times New Roman"/>
          <w:lang w:val="en-US"/>
        </w:rPr>
        <w:t xml:space="preserve">Moving further, we could remind that we distinguished all of the chosen FX futures into the </w:t>
      </w:r>
      <w:r w:rsidRPr="00845BBE">
        <w:rPr>
          <w:rFonts w:cs="Times New Roman"/>
          <w:lang w:val="en-US"/>
        </w:rPr>
        <w:t>«</w:t>
      </w:r>
      <w:r>
        <w:rPr>
          <w:rFonts w:cs="Times New Roman"/>
          <w:lang w:val="en-US"/>
        </w:rPr>
        <w:t>negatuve set</w:t>
      </w:r>
      <w:r w:rsidRPr="00845BBE">
        <w:rPr>
          <w:rFonts w:cs="Times New Roman"/>
          <w:lang w:val="en-US"/>
        </w:rPr>
        <w:t>»</w:t>
      </w:r>
      <w:r>
        <w:rPr>
          <w:rFonts w:cs="Times New Roman"/>
          <w:lang w:val="en-US"/>
        </w:rPr>
        <w:t xml:space="preserve">, where at least 1 currency in a pair has negative interbank rate in it’s currency zone, and </w:t>
      </w:r>
      <w:r w:rsidRPr="00845BBE">
        <w:rPr>
          <w:rFonts w:cs="Times New Roman"/>
          <w:lang w:val="en-US"/>
        </w:rPr>
        <w:t>«</w:t>
      </w:r>
      <w:r>
        <w:rPr>
          <w:rFonts w:cs="Times New Roman"/>
          <w:lang w:val="en-US"/>
        </w:rPr>
        <w:t>reference set</w:t>
      </w:r>
      <w:r w:rsidRPr="00845BBE">
        <w:rPr>
          <w:rFonts w:cs="Times New Roman"/>
          <w:lang w:val="en-US"/>
        </w:rPr>
        <w:t>»</w:t>
      </w:r>
      <w:r>
        <w:rPr>
          <w:rFonts w:cs="Times New Roman"/>
          <w:lang w:val="en-US"/>
        </w:rPr>
        <w:t xml:space="preserve">, where both of the currencies have positive interbank lending rates in it’s currency zones. What are the differences between interbank rates in Switzerland, Japan and Eurozone and all other currency zones, besides of their level? As we observed in the literature review section (see point of Ito, T. made in </w:t>
      </w:r>
      <w:r w:rsidR="008004FB">
        <w:rPr>
          <w:rFonts w:cs="Times New Roman"/>
          <w:lang w:val="en-US"/>
        </w:rPr>
        <w:t>it’s paper reviewed above)</w:t>
      </w:r>
      <w:r w:rsidR="00E50D2C">
        <w:rPr>
          <w:rFonts w:cs="Times New Roman"/>
          <w:lang w:val="en-US"/>
        </w:rPr>
        <w:t xml:space="preserve">, </w:t>
      </w:r>
      <w:r w:rsidR="00E50D2C" w:rsidRPr="00E50D2C">
        <w:rPr>
          <w:rFonts w:cs="Times New Roman"/>
          <w:i/>
          <w:iCs/>
          <w:lang w:val="en-US"/>
        </w:rPr>
        <w:t>already negative</w:t>
      </w:r>
      <w:r w:rsidR="00E50D2C">
        <w:rPr>
          <w:rFonts w:cs="Times New Roman"/>
          <w:lang w:val="en-US"/>
        </w:rPr>
        <w:t xml:space="preserve"> level of interest rates provides Central Banks lesser space for further use of </w:t>
      </w:r>
      <w:r w:rsidR="00E50D2C" w:rsidRPr="00E50D2C">
        <w:rPr>
          <w:rFonts w:cs="Times New Roman"/>
          <w:i/>
          <w:iCs/>
          <w:lang w:val="en-US"/>
        </w:rPr>
        <w:t>interest rate reduction as a monetary policy tool</w:t>
      </w:r>
      <w:r w:rsidR="00E50D2C">
        <w:rPr>
          <w:rFonts w:cs="Times New Roman"/>
          <w:i/>
          <w:iCs/>
          <w:lang w:val="en-US"/>
        </w:rPr>
        <w:t>,</w:t>
      </w:r>
      <w:r w:rsidR="00E50D2C">
        <w:rPr>
          <w:rFonts w:cs="Times New Roman"/>
          <w:lang w:val="en-US"/>
        </w:rPr>
        <w:t xml:space="preserve"> which creates less volatility in interest rates expectations. We also determined that there exist derivative contract, namely Overnight Index Swap, which could represent these expectations.</w:t>
      </w:r>
    </w:p>
    <w:p w14:paraId="13053F0A" w14:textId="77777777" w:rsidR="00FE78E8" w:rsidRDefault="00AD3EAB" w:rsidP="00FE78E8">
      <w:pPr>
        <w:spacing w:line="360" w:lineRule="auto"/>
        <w:ind w:firstLine="709"/>
        <w:rPr>
          <w:rFonts w:cs="Times New Roman"/>
          <w:lang w:val="en-US"/>
        </w:rPr>
      </w:pPr>
      <w:r>
        <w:rPr>
          <w:rFonts w:cs="Times New Roman"/>
          <w:lang w:val="en-US"/>
        </w:rPr>
        <w:t>As we could see</w:t>
      </w:r>
      <w:r w:rsidR="00E50D2C">
        <w:rPr>
          <w:rFonts w:cs="Times New Roman"/>
          <w:lang w:val="en-US"/>
        </w:rPr>
        <w:t xml:space="preserve"> from the graph</w:t>
      </w:r>
      <w:r>
        <w:rPr>
          <w:rFonts w:cs="Times New Roman"/>
          <w:lang w:val="en-US"/>
        </w:rPr>
        <w:t>, for</w:t>
      </w:r>
      <w:r w:rsidR="00F87E1C" w:rsidRPr="00F87E1C">
        <w:rPr>
          <w:rFonts w:cs="Times New Roman"/>
          <w:lang w:val="en-US"/>
        </w:rPr>
        <w:t xml:space="preserve"> </w:t>
      </w:r>
      <w:r w:rsidR="00F87E1C">
        <w:rPr>
          <w:rFonts w:cs="Times New Roman"/>
          <w:lang w:val="en-US"/>
        </w:rPr>
        <w:t>all currencies where domectic interbank rate was negative, during the period of 19.03.2019-16.03.2021, there were no significant drops in the 3-month expectations of overnight rate (</w:t>
      </w:r>
      <w:r w:rsidR="00AE34E9">
        <w:rPr>
          <w:rFonts w:cs="Times New Roman"/>
          <w:lang w:val="en-US"/>
        </w:rPr>
        <w:t>the maximum drop was -0.25% for Switzerland), while for the US dollar, Canadian dollar and Australian dollar, the expectations drop by significantly higher amounts, expecting local Central Banks policy tightening.</w:t>
      </w:r>
      <w:r w:rsidR="00AE34E9" w:rsidRPr="00AE34E9">
        <w:rPr>
          <w:rFonts w:cs="Times New Roman"/>
          <w:lang w:val="en-US"/>
        </w:rPr>
        <w:t xml:space="preserve"> </w:t>
      </w:r>
      <w:r w:rsidR="00AE34E9">
        <w:rPr>
          <w:rFonts w:cs="Times New Roman"/>
          <w:lang w:val="en-US"/>
        </w:rPr>
        <w:t>We could conclude, that</w:t>
      </w:r>
      <w:r w:rsidR="00334CA5">
        <w:rPr>
          <w:rFonts w:cs="Times New Roman"/>
          <w:lang w:val="en-US"/>
        </w:rPr>
        <w:t xml:space="preserve"> the</w:t>
      </w:r>
      <w:r w:rsidR="00AE34E9">
        <w:rPr>
          <w:rFonts w:cs="Times New Roman"/>
          <w:lang w:val="en-US"/>
        </w:rPr>
        <w:t xml:space="preserve"> </w:t>
      </w:r>
      <w:r w:rsidR="00334CA5">
        <w:rPr>
          <w:rFonts w:cs="Times New Roman"/>
          <w:lang w:val="en-US"/>
        </w:rPr>
        <w:t>money market</w:t>
      </w:r>
      <w:r w:rsidR="00AE34E9">
        <w:rPr>
          <w:rFonts w:cs="Times New Roman"/>
          <w:lang w:val="en-US"/>
        </w:rPr>
        <w:t xml:space="preserve"> interest rates, being </w:t>
      </w:r>
      <w:r w:rsidR="00334CA5">
        <w:rPr>
          <w:rFonts w:cs="Times New Roman"/>
          <w:lang w:val="en-US"/>
        </w:rPr>
        <w:t xml:space="preserve">representatuve for FX futures valuation, could also be less volatile for </w:t>
      </w:r>
      <w:r w:rsidR="00334CA5">
        <w:rPr>
          <w:rFonts w:cs="Times New Roman"/>
          <w:lang w:val="en-US"/>
        </w:rPr>
        <w:lastRenderedPageBreak/>
        <w:t>the currencies zones where interbank rates are already negative. This is in line with conclusions of Ito T., reviewed above, that, given the negative level of interest rates, lesser space is available for further reduction.</w:t>
      </w:r>
      <w:r w:rsidR="00E12F13">
        <w:rPr>
          <w:rFonts w:cs="Times New Roman"/>
          <w:lang w:val="en-US"/>
        </w:rPr>
        <w:t xml:space="preserve"> </w:t>
      </w:r>
      <w:r w:rsidR="00FE78E8" w:rsidRPr="00FE78E8">
        <w:rPr>
          <w:rFonts w:cs="Times New Roman"/>
          <w:lang w:val="en-US"/>
        </w:rPr>
        <w:t xml:space="preserve">But we again should differentiate between observable interest rates (LIBOR, OIS, overnight) and unobservable (used for the valuation) interest rates and hence to state, that we expect less degree of expectations of volatility in interest rates for the rates used by the market participants, </w:t>
      </w:r>
      <w:r w:rsidR="00FE78E8" w:rsidRPr="00FE78E8">
        <w:rPr>
          <w:rFonts w:cs="Times New Roman"/>
          <w:i/>
          <w:iCs/>
          <w:lang w:val="en-US"/>
        </w:rPr>
        <w:t>if there exist strong relationship (e.g. spread) between observed quoted rates (LIBOR, EURIBOR, etc.) and unobserved rates used by market participants</w:t>
      </w:r>
      <w:r w:rsidR="00FE78E8" w:rsidRPr="00FE78E8">
        <w:rPr>
          <w:rFonts w:cs="Times New Roman"/>
          <w:lang w:val="en-US"/>
        </w:rPr>
        <w:t>.</w:t>
      </w:r>
    </w:p>
    <w:p w14:paraId="1356AD7B" w14:textId="34EEB0E3" w:rsidR="002068D6" w:rsidRPr="002068D6" w:rsidRDefault="00D95EB7" w:rsidP="00D95EB7">
      <w:pPr>
        <w:pStyle w:val="a0"/>
      </w:pPr>
      <w:r>
        <w:t xml:space="preserve">Figure </w:t>
      </w:r>
      <w:r>
        <w:fldChar w:fldCharType="begin"/>
      </w:r>
      <w:r>
        <w:instrText xml:space="preserve"> SEQ Figure \* ARABIC </w:instrText>
      </w:r>
      <w:r>
        <w:fldChar w:fldCharType="separate"/>
      </w:r>
      <w:r w:rsidR="004D16C9">
        <w:rPr>
          <w:noProof/>
        </w:rPr>
        <w:t>5</w:t>
      </w:r>
      <w:r>
        <w:fldChar w:fldCharType="end"/>
      </w:r>
      <w:r>
        <w:rPr>
          <w:rStyle w:val="CommentReference"/>
        </w:rPr>
        <w:t>.</w:t>
      </w:r>
      <w:r w:rsidR="002068D6" w:rsidRPr="00FE78E8">
        <w:t xml:space="preserve"> </w:t>
      </w:r>
      <w:r w:rsidR="002068D6">
        <w:t>3 month OIS rates for 6 currencies in a sample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068D6" w:rsidRPr="00566F83" w14:paraId="5C814C06" w14:textId="77777777" w:rsidTr="00FE78E8">
        <w:trPr>
          <w:trHeight w:val="5848"/>
        </w:trPr>
        <w:tc>
          <w:tcPr>
            <w:tcW w:w="9344" w:type="dxa"/>
          </w:tcPr>
          <w:p w14:paraId="67D7CA85" w14:textId="2A542A3C" w:rsidR="002068D6" w:rsidRDefault="002068D6" w:rsidP="008226B3">
            <w:pPr>
              <w:spacing w:line="360" w:lineRule="auto"/>
              <w:rPr>
                <w:rFonts w:cs="Times New Roman"/>
                <w:lang w:val="en-US"/>
              </w:rPr>
            </w:pPr>
            <w:r>
              <w:rPr>
                <w:noProof/>
                <w:lang w:val="en-US"/>
              </w:rPr>
              <w:drawing>
                <wp:anchor distT="0" distB="0" distL="114300" distR="114300" simplePos="0" relativeHeight="251658240" behindDoc="1" locked="0" layoutInCell="1" allowOverlap="1" wp14:anchorId="79E50C12" wp14:editId="33056E71">
                  <wp:simplePos x="0" y="0"/>
                  <wp:positionH relativeFrom="column">
                    <wp:posOffset>-68580</wp:posOffset>
                  </wp:positionH>
                  <wp:positionV relativeFrom="paragraph">
                    <wp:posOffset>24764</wp:posOffset>
                  </wp:positionV>
                  <wp:extent cx="5993529" cy="3552825"/>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6503" cy="3554588"/>
                          </a:xfrm>
                          <a:prstGeom prst="rect">
                            <a:avLst/>
                          </a:prstGeom>
                          <a:noFill/>
                        </pic:spPr>
                      </pic:pic>
                    </a:graphicData>
                  </a:graphic>
                  <wp14:sizeRelH relativeFrom="page">
                    <wp14:pctWidth>0</wp14:pctWidth>
                  </wp14:sizeRelH>
                  <wp14:sizeRelV relativeFrom="page">
                    <wp14:pctHeight>0</wp14:pctHeight>
                  </wp14:sizeRelV>
                </wp:anchor>
              </w:drawing>
            </w:r>
          </w:p>
        </w:tc>
      </w:tr>
    </w:tbl>
    <w:p w14:paraId="390A9A62" w14:textId="1DA96DCE" w:rsidR="002068D6" w:rsidRPr="002068D6" w:rsidRDefault="002068D6" w:rsidP="002068D6">
      <w:pPr>
        <w:pStyle w:val="a1"/>
      </w:pPr>
      <w:r>
        <w:t xml:space="preserve">Source: Refinitiv Eikon </w:t>
      </w:r>
      <w:r w:rsidRPr="002068D6">
        <w:t>«</w:t>
      </w:r>
      <w:r>
        <w:t>Interest Rate Derivatives OTC</w:t>
      </w:r>
      <w:r w:rsidRPr="002068D6">
        <w:t xml:space="preserve">» </w:t>
      </w:r>
      <w:r>
        <w:t>(IRDOTCSRCH)</w:t>
      </w:r>
    </w:p>
    <w:p w14:paraId="3AE29C77" w14:textId="01F48C66" w:rsidR="000D3DA6" w:rsidRDefault="00467D70" w:rsidP="002068D6">
      <w:pPr>
        <w:pStyle w:val="Heading2"/>
        <w:rPr>
          <w:lang w:val="en-US"/>
        </w:rPr>
      </w:pPr>
      <w:bookmarkStart w:id="21" w:name="_Toc73483058"/>
      <w:r>
        <w:rPr>
          <w:lang w:val="en-US"/>
        </w:rPr>
        <w:t xml:space="preserve">2.2.2. </w:t>
      </w:r>
      <w:r w:rsidR="00FE78E8">
        <w:rPr>
          <w:lang w:val="en-US"/>
        </w:rPr>
        <w:t>Main tools of monetary policy in Switzerland, Japan, Eurozone</w:t>
      </w:r>
      <w:bookmarkEnd w:id="21"/>
    </w:p>
    <w:p w14:paraId="03A17FE2" w14:textId="3861F831" w:rsidR="00FE78E8" w:rsidRDefault="00FE78E8" w:rsidP="008226B3">
      <w:pPr>
        <w:spacing w:after="0" w:line="360" w:lineRule="auto"/>
        <w:ind w:firstLine="709"/>
        <w:rPr>
          <w:rFonts w:cs="Times New Roman"/>
          <w:lang w:val="en-US"/>
        </w:rPr>
      </w:pPr>
      <w:r>
        <w:rPr>
          <w:rFonts w:cs="Times New Roman"/>
          <w:lang w:val="en-US"/>
        </w:rPr>
        <w:t>To move further in our analysis, we should identify what monetary policy tools are used by the Central Bank of Switzerland (SNB, Swiss National Bank), Eurozone (ECB, European Central Bank) and Japan (BoJ, Bank of Japan).</w:t>
      </w:r>
    </w:p>
    <w:p w14:paraId="6048CB03" w14:textId="143913AD" w:rsidR="002E7255" w:rsidRDefault="002E7255" w:rsidP="008226B3">
      <w:pPr>
        <w:spacing w:after="0" w:line="360" w:lineRule="auto"/>
        <w:ind w:firstLine="709"/>
        <w:rPr>
          <w:rFonts w:cs="Times New Roman"/>
          <w:lang w:val="en-US"/>
        </w:rPr>
      </w:pPr>
      <w:r>
        <w:rPr>
          <w:rFonts w:cs="Times New Roman"/>
          <w:lang w:val="en-US"/>
        </w:rPr>
        <w:t xml:space="preserve">From the analysis performed it was determined that </w:t>
      </w:r>
      <w:r w:rsidR="00A61F94">
        <w:rPr>
          <w:rFonts w:cs="Times New Roman"/>
          <w:lang w:val="en-US"/>
        </w:rPr>
        <w:t xml:space="preserve">monetary policy tools in the chosen currency zones are basically within the classic set of </w:t>
      </w:r>
      <w:r w:rsidR="00993CF5">
        <w:rPr>
          <w:rFonts w:cs="Times New Roman"/>
          <w:lang w:val="en-US"/>
        </w:rPr>
        <w:t>(a) manipulation of interest</w:t>
      </w:r>
      <w:r w:rsidR="00833DB3">
        <w:rPr>
          <w:rFonts w:cs="Times New Roman"/>
          <w:lang w:val="en-US"/>
        </w:rPr>
        <w:t xml:space="preserve"> rates</w:t>
      </w:r>
      <w:r w:rsidR="00993CF5">
        <w:rPr>
          <w:rFonts w:cs="Times New Roman"/>
          <w:lang w:val="en-US"/>
        </w:rPr>
        <w:t xml:space="preserve"> paid on deposit accounts held by commercial banks at the Central Bank, </w:t>
      </w:r>
      <w:r w:rsidR="00833DB3">
        <w:rPr>
          <w:rFonts w:cs="Times New Roman"/>
          <w:lang w:val="en-US"/>
        </w:rPr>
        <w:t xml:space="preserve">(b) manipulation of Loan rate, at which Central Bank could provide the loan for commercial banks, </w:t>
      </w:r>
      <w:r w:rsidR="00993CF5">
        <w:rPr>
          <w:rFonts w:cs="Times New Roman"/>
          <w:lang w:val="en-US"/>
        </w:rPr>
        <w:t>(</w:t>
      </w:r>
      <w:r w:rsidR="00833DB3">
        <w:rPr>
          <w:rFonts w:cs="Times New Roman"/>
          <w:lang w:val="en-US"/>
        </w:rPr>
        <w:t>c</w:t>
      </w:r>
      <w:r w:rsidR="00993CF5">
        <w:rPr>
          <w:rFonts w:cs="Times New Roman"/>
          <w:lang w:val="en-US"/>
        </w:rPr>
        <w:t>) asset purchase programmes, (</w:t>
      </w:r>
      <w:r w:rsidR="00833DB3">
        <w:rPr>
          <w:rFonts w:cs="Times New Roman"/>
          <w:lang w:val="en-US"/>
        </w:rPr>
        <w:t>d</w:t>
      </w:r>
      <w:r w:rsidR="00993CF5">
        <w:rPr>
          <w:rFonts w:cs="Times New Roman"/>
          <w:lang w:val="en-US"/>
        </w:rPr>
        <w:t xml:space="preserve">) </w:t>
      </w:r>
      <w:r w:rsidR="00993CF5" w:rsidRPr="00993CF5">
        <w:rPr>
          <w:rFonts w:cs="Times New Roman"/>
          <w:lang w:val="en-US"/>
        </w:rPr>
        <w:t>«</w:t>
      </w:r>
      <w:r w:rsidR="00993CF5">
        <w:rPr>
          <w:rFonts w:cs="Times New Roman"/>
          <w:lang w:val="en-US"/>
        </w:rPr>
        <w:t>forward guidances</w:t>
      </w:r>
      <w:r w:rsidR="00993CF5" w:rsidRPr="00993CF5">
        <w:rPr>
          <w:rFonts w:cs="Times New Roman"/>
          <w:lang w:val="en-US"/>
        </w:rPr>
        <w:t>»</w:t>
      </w:r>
      <w:r w:rsidR="00993CF5">
        <w:rPr>
          <w:rFonts w:cs="Times New Roman"/>
          <w:lang w:val="en-US"/>
        </w:rPr>
        <w:t>, i.e. direct statement of desirable features of the main economic parameters, (</w:t>
      </w:r>
      <w:r w:rsidR="00833DB3">
        <w:rPr>
          <w:rFonts w:cs="Times New Roman"/>
          <w:lang w:val="en-US"/>
        </w:rPr>
        <w:t>e</w:t>
      </w:r>
      <w:r w:rsidR="00993CF5">
        <w:rPr>
          <w:rFonts w:cs="Times New Roman"/>
          <w:lang w:val="en-US"/>
        </w:rPr>
        <w:t>) FX interventions (most rarely).</w:t>
      </w:r>
    </w:p>
    <w:p w14:paraId="14189907" w14:textId="54D81E82" w:rsidR="003B01B8" w:rsidRDefault="009D0F46" w:rsidP="008226B3">
      <w:pPr>
        <w:spacing w:after="0" w:line="360" w:lineRule="auto"/>
        <w:ind w:firstLine="709"/>
        <w:rPr>
          <w:rFonts w:cs="Times New Roman"/>
          <w:lang w:val="en-US"/>
        </w:rPr>
      </w:pPr>
      <w:r>
        <w:rPr>
          <w:rFonts w:cs="Times New Roman"/>
          <w:lang w:val="en-US"/>
        </w:rPr>
        <w:lastRenderedPageBreak/>
        <w:t>E</w:t>
      </w:r>
      <w:r w:rsidR="00BA1CEF">
        <w:rPr>
          <w:rFonts w:cs="Times New Roman"/>
          <w:lang w:val="en-US"/>
        </w:rPr>
        <w:t xml:space="preserve">ven if the full set of monetary policy tools is relatively wide, we should differentiate tools that directly influence FX futures through changes in interbank interest rates from all other tools (see </w:t>
      </w:r>
      <w:r w:rsidR="00BA1CEF" w:rsidRPr="00BA1CEF">
        <w:rPr>
          <w:rFonts w:cs="Times New Roman"/>
          <w:lang w:val="en-US"/>
        </w:rPr>
        <w:t>«</w:t>
      </w:r>
      <w:r w:rsidR="00833DB3">
        <w:rPr>
          <w:rFonts w:cs="Times New Roman"/>
          <w:lang w:val="en-US"/>
        </w:rPr>
        <w:t>c</w:t>
      </w:r>
      <w:r w:rsidR="00BA1CEF" w:rsidRPr="00BA1CEF">
        <w:rPr>
          <w:rFonts w:cs="Times New Roman"/>
          <w:lang w:val="en-US"/>
        </w:rPr>
        <w:t>», «</w:t>
      </w:r>
      <w:r w:rsidR="00833DB3">
        <w:rPr>
          <w:rFonts w:cs="Times New Roman"/>
          <w:lang w:val="en-US"/>
        </w:rPr>
        <w:t>d</w:t>
      </w:r>
      <w:r w:rsidR="00BA1CEF" w:rsidRPr="00BA1CEF">
        <w:rPr>
          <w:rFonts w:cs="Times New Roman"/>
          <w:lang w:val="en-US"/>
        </w:rPr>
        <w:t xml:space="preserve">» </w:t>
      </w:r>
      <w:r w:rsidR="00BA1CEF">
        <w:rPr>
          <w:rFonts w:cs="Times New Roman"/>
          <w:lang w:val="en-US"/>
        </w:rPr>
        <w:t xml:space="preserve">and </w:t>
      </w:r>
      <w:r w:rsidR="00BA1CEF" w:rsidRPr="00BA1CEF">
        <w:rPr>
          <w:rFonts w:cs="Times New Roman"/>
          <w:lang w:val="en-US"/>
        </w:rPr>
        <w:t>«</w:t>
      </w:r>
      <w:r w:rsidR="00833DB3">
        <w:rPr>
          <w:rFonts w:cs="Times New Roman"/>
          <w:lang w:val="en-US"/>
        </w:rPr>
        <w:t>e</w:t>
      </w:r>
      <w:r w:rsidR="00BA1CEF" w:rsidRPr="00BA1CEF">
        <w:rPr>
          <w:rFonts w:cs="Times New Roman"/>
          <w:lang w:val="en-US"/>
        </w:rPr>
        <w:t xml:space="preserve">» </w:t>
      </w:r>
      <w:r w:rsidR="00BA1CEF">
        <w:rPr>
          <w:rFonts w:cs="Times New Roman"/>
          <w:lang w:val="en-US"/>
        </w:rPr>
        <w:t xml:space="preserve">above) which influence could be incorporated into </w:t>
      </w:r>
      <w:r w:rsidR="00BA1CEF" w:rsidRPr="009D0F46">
        <w:rPr>
          <w:rFonts w:cs="Times New Roman"/>
          <w:i/>
          <w:iCs/>
          <w:lang w:val="en-US"/>
        </w:rPr>
        <w:t>either spot rate or interest rate</w:t>
      </w:r>
      <w:r w:rsidR="00BA1CEF">
        <w:rPr>
          <w:rFonts w:cs="Times New Roman"/>
          <w:lang w:val="en-US"/>
        </w:rPr>
        <w:t>. That is why</w:t>
      </w:r>
      <w:r w:rsidR="00833DB3">
        <w:rPr>
          <w:rFonts w:cs="Times New Roman"/>
          <w:lang w:val="en-US"/>
        </w:rPr>
        <w:t xml:space="preserve"> we concentrated our attention at the</w:t>
      </w:r>
      <w:r w:rsidR="00BA1CEF">
        <w:rPr>
          <w:rFonts w:cs="Times New Roman"/>
          <w:lang w:val="en-US"/>
        </w:rPr>
        <w:t xml:space="preserve"> </w:t>
      </w:r>
      <w:r w:rsidR="00513723">
        <w:rPr>
          <w:rFonts w:cs="Times New Roman"/>
          <w:lang w:val="en-US"/>
        </w:rPr>
        <w:t xml:space="preserve">analysis of interest rates paid at deposit accounts held by commercial banks at Central Bank and interest rate at which Central Bank is able to finance other banks </w:t>
      </w:r>
      <w:r>
        <w:rPr>
          <w:rFonts w:cs="Times New Roman"/>
          <w:lang w:val="en-US"/>
        </w:rPr>
        <w:t>at request</w:t>
      </w:r>
      <w:r w:rsidR="00513723">
        <w:rPr>
          <w:rFonts w:cs="Times New Roman"/>
          <w:lang w:val="en-US"/>
        </w:rPr>
        <w:t xml:space="preserve"> (</w:t>
      </w:r>
      <w:r w:rsidR="00513723" w:rsidRPr="00513723">
        <w:rPr>
          <w:rFonts w:cs="Times New Roman"/>
          <w:lang w:val="en-US"/>
        </w:rPr>
        <w:t>«</w:t>
      </w:r>
      <w:r w:rsidR="00513723">
        <w:rPr>
          <w:rFonts w:cs="Times New Roman"/>
          <w:lang w:val="en-US"/>
        </w:rPr>
        <w:t>loan rate</w:t>
      </w:r>
      <w:r w:rsidR="00513723" w:rsidRPr="00513723">
        <w:rPr>
          <w:rFonts w:cs="Times New Roman"/>
          <w:lang w:val="en-US"/>
        </w:rPr>
        <w:t>»</w:t>
      </w:r>
      <w:r w:rsidR="00984C70">
        <w:rPr>
          <w:rFonts w:cs="Times New Roman"/>
          <w:lang w:val="en-US"/>
        </w:rPr>
        <w:t>).</w:t>
      </w:r>
      <w:r w:rsidR="00D403E8">
        <w:rPr>
          <w:rFonts w:cs="Times New Roman"/>
          <w:lang w:val="en-US"/>
        </w:rPr>
        <w:t xml:space="preserve"> Every tool has different name in different currency zones</w:t>
      </w:r>
      <w:r w:rsidR="00770FA0">
        <w:rPr>
          <w:rFonts w:cs="Times New Roman"/>
          <w:lang w:val="en-US"/>
        </w:rPr>
        <w:t>,</w:t>
      </w:r>
      <w:r w:rsidR="00D403E8">
        <w:rPr>
          <w:rFonts w:cs="Times New Roman"/>
          <w:lang w:val="en-US"/>
        </w:rPr>
        <w:t xml:space="preserve"> but plays the same general role.</w:t>
      </w:r>
    </w:p>
    <w:p w14:paraId="5AD8CBEA" w14:textId="225A10B0" w:rsidR="00984C70" w:rsidRDefault="00984C70" w:rsidP="008226B3">
      <w:pPr>
        <w:spacing w:after="0" w:line="360" w:lineRule="auto"/>
        <w:ind w:firstLine="709"/>
        <w:rPr>
          <w:rFonts w:cs="Times New Roman"/>
          <w:lang w:val="en-US"/>
        </w:rPr>
      </w:pPr>
      <w:r>
        <w:rPr>
          <w:rFonts w:cs="Times New Roman"/>
          <w:lang w:val="en-US"/>
        </w:rPr>
        <w:t>The first tool, interest o</w:t>
      </w:r>
      <w:r w:rsidR="00D403E8">
        <w:rPr>
          <w:rFonts w:cs="Times New Roman"/>
          <w:lang w:val="en-US"/>
        </w:rPr>
        <w:t>n</w:t>
      </w:r>
      <w:r>
        <w:rPr>
          <w:rFonts w:cs="Times New Roman"/>
          <w:lang w:val="en-US"/>
        </w:rPr>
        <w:t xml:space="preserve"> deposits, </w:t>
      </w:r>
      <w:r w:rsidR="00D403E8">
        <w:rPr>
          <w:rFonts w:cs="Times New Roman"/>
          <w:lang w:val="en-US"/>
        </w:rPr>
        <w:t xml:space="preserve">determine the interest rate, which will be applied to the reserves, held by Commercial Banks (and other financial institutions) at Central Bank’s account. Because every Bank could in principle both lend excess reserves to other banks or decide to keep them at Central Bank’s account, this rate determines the opportunity cost of not providing the loan in the interbank market. </w:t>
      </w:r>
      <w:r w:rsidR="00D403E8" w:rsidRPr="003D325C">
        <w:rPr>
          <w:rFonts w:cs="Times New Roman"/>
          <w:i/>
          <w:iCs/>
          <w:lang w:val="en-US"/>
        </w:rPr>
        <w:t xml:space="preserve">If interest rate on deposits is negative, then financial institutions are effectively charged for keeping excess reserves </w:t>
      </w:r>
      <w:r w:rsidR="001B688A" w:rsidRPr="003D325C">
        <w:rPr>
          <w:rFonts w:cs="Times New Roman"/>
          <w:i/>
          <w:iCs/>
          <w:lang w:val="en-US"/>
        </w:rPr>
        <w:t>and not investing them</w:t>
      </w:r>
      <w:r w:rsidR="00770FA0" w:rsidRPr="003D325C">
        <w:rPr>
          <w:rFonts w:cs="Times New Roman"/>
          <w:i/>
          <w:iCs/>
          <w:lang w:val="en-US"/>
        </w:rPr>
        <w:t xml:space="preserve"> anywhere</w:t>
      </w:r>
      <w:r w:rsidR="00770FA0">
        <w:rPr>
          <w:rFonts w:cs="Times New Roman"/>
          <w:lang w:val="en-US"/>
        </w:rPr>
        <w:t xml:space="preserve">. Given the </w:t>
      </w:r>
      <w:r w:rsidR="00770FA0" w:rsidRPr="00770FA0">
        <w:rPr>
          <w:rFonts w:cs="Times New Roman"/>
          <w:i/>
          <w:iCs/>
          <w:lang w:val="en-US"/>
        </w:rPr>
        <w:t>limited range of financial institutions with access to the interbank market in each of the currency zones</w:t>
      </w:r>
      <w:r w:rsidR="00770FA0">
        <w:rPr>
          <w:rFonts w:cs="Times New Roman"/>
          <w:lang w:val="en-US"/>
        </w:rPr>
        <w:t xml:space="preserve">, this creates the situation when financial institutions in the chosen currency zones see </w:t>
      </w:r>
      <w:r w:rsidR="00770FA0" w:rsidRPr="00770FA0">
        <w:rPr>
          <w:rFonts w:cs="Times New Roman"/>
          <w:i/>
          <w:iCs/>
          <w:lang w:val="en-US"/>
        </w:rPr>
        <w:t>keeping excess reserves</w:t>
      </w:r>
      <w:r w:rsidR="00770FA0">
        <w:rPr>
          <w:rFonts w:cs="Times New Roman"/>
          <w:lang w:val="en-US"/>
        </w:rPr>
        <w:t xml:space="preserve"> </w:t>
      </w:r>
      <w:r w:rsidR="00770FA0" w:rsidRPr="00770FA0">
        <w:rPr>
          <w:rFonts w:cs="Times New Roman"/>
          <w:i/>
          <w:iCs/>
          <w:lang w:val="en-US"/>
        </w:rPr>
        <w:t>at CB account</w:t>
      </w:r>
      <w:r w:rsidR="00770FA0">
        <w:rPr>
          <w:rFonts w:cs="Times New Roman"/>
          <w:lang w:val="en-US"/>
        </w:rPr>
        <w:t xml:space="preserve"> as the </w:t>
      </w:r>
      <w:r w:rsidR="00770FA0" w:rsidRPr="00770FA0">
        <w:rPr>
          <w:rFonts w:cs="Times New Roman"/>
          <w:i/>
          <w:iCs/>
          <w:lang w:val="en-US"/>
        </w:rPr>
        <w:t>option of the lowest priority</w:t>
      </w:r>
      <w:r w:rsidR="00770FA0">
        <w:rPr>
          <w:rFonts w:cs="Times New Roman"/>
          <w:lang w:val="en-US"/>
        </w:rPr>
        <w:t xml:space="preserve"> and lending money on the interbank market</w:t>
      </w:r>
      <w:r w:rsidR="003D325C">
        <w:rPr>
          <w:rFonts w:cs="Times New Roman"/>
          <w:lang w:val="en-US"/>
        </w:rPr>
        <w:t xml:space="preserve">, </w:t>
      </w:r>
      <w:r w:rsidR="003D325C" w:rsidRPr="003D325C">
        <w:rPr>
          <w:rFonts w:cs="Times New Roman"/>
          <w:i/>
          <w:iCs/>
          <w:lang w:val="en-US"/>
        </w:rPr>
        <w:t>even if</w:t>
      </w:r>
      <w:r w:rsidR="00770FA0" w:rsidRPr="003D325C">
        <w:rPr>
          <w:rFonts w:cs="Times New Roman"/>
          <w:i/>
          <w:iCs/>
          <w:lang w:val="en-US"/>
        </w:rPr>
        <w:t xml:space="preserve"> </w:t>
      </w:r>
      <w:r w:rsidR="003D325C">
        <w:rPr>
          <w:rFonts w:cs="Times New Roman"/>
          <w:i/>
          <w:iCs/>
          <w:lang w:val="en-US"/>
        </w:rPr>
        <w:t>not</w:t>
      </w:r>
      <w:r w:rsidR="00770FA0" w:rsidRPr="00770FA0">
        <w:rPr>
          <w:rFonts w:cs="Times New Roman"/>
          <w:i/>
          <w:iCs/>
          <w:lang w:val="en-US"/>
        </w:rPr>
        <w:t xml:space="preserve"> profitable</w:t>
      </w:r>
      <w:r w:rsidR="00770FA0">
        <w:rPr>
          <w:rFonts w:cs="Times New Roman"/>
          <w:lang w:val="en-US"/>
        </w:rPr>
        <w:t xml:space="preserve"> (even in nominal values), but</w:t>
      </w:r>
      <w:r w:rsidR="003D325C">
        <w:rPr>
          <w:rFonts w:cs="Times New Roman"/>
          <w:lang w:val="en-US"/>
        </w:rPr>
        <w:t xml:space="preserve"> still</w:t>
      </w:r>
      <w:r w:rsidR="00770FA0">
        <w:rPr>
          <w:rFonts w:cs="Times New Roman"/>
          <w:lang w:val="en-US"/>
        </w:rPr>
        <w:t xml:space="preserve"> represents the </w:t>
      </w:r>
      <w:r w:rsidR="00770FA0" w:rsidRPr="00770FA0">
        <w:rPr>
          <w:rFonts w:cs="Times New Roman"/>
          <w:i/>
          <w:iCs/>
          <w:lang w:val="en-US"/>
        </w:rPr>
        <w:t>better option</w:t>
      </w:r>
      <w:r w:rsidR="00770FA0">
        <w:rPr>
          <w:rFonts w:cs="Times New Roman"/>
          <w:lang w:val="en-US"/>
        </w:rPr>
        <w:t>.</w:t>
      </w:r>
    </w:p>
    <w:p w14:paraId="777F80DB" w14:textId="73538C63" w:rsidR="00770FA0" w:rsidRDefault="00770FA0" w:rsidP="008226B3">
      <w:pPr>
        <w:spacing w:after="0" w:line="360" w:lineRule="auto"/>
        <w:ind w:firstLine="709"/>
        <w:rPr>
          <w:rFonts w:cs="Times New Roman"/>
          <w:lang w:val="en-US"/>
        </w:rPr>
      </w:pPr>
      <w:r>
        <w:rPr>
          <w:rFonts w:cs="Times New Roman"/>
          <w:lang w:val="en-US"/>
        </w:rPr>
        <w:t xml:space="preserve">In Switzerland, interest on deposits is called </w:t>
      </w:r>
      <w:r w:rsidRPr="00770FA0">
        <w:rPr>
          <w:rFonts w:cs="Times New Roman"/>
          <w:lang w:val="en-US"/>
        </w:rPr>
        <w:t>«</w:t>
      </w:r>
      <w:r>
        <w:rPr>
          <w:rFonts w:cs="Times New Roman"/>
          <w:lang w:val="en-US"/>
        </w:rPr>
        <w:t>sight deposits rate</w:t>
      </w:r>
      <w:r>
        <w:rPr>
          <w:rStyle w:val="FootnoteReference"/>
          <w:rFonts w:cs="Times New Roman"/>
          <w:lang w:val="en-US"/>
        </w:rPr>
        <w:footnoteReference w:id="60"/>
      </w:r>
      <w:r w:rsidRPr="00770FA0">
        <w:rPr>
          <w:rFonts w:cs="Times New Roman"/>
          <w:lang w:val="en-US"/>
        </w:rPr>
        <w:t>»</w:t>
      </w:r>
      <w:r>
        <w:rPr>
          <w:rFonts w:cs="Times New Roman"/>
          <w:lang w:val="en-US"/>
        </w:rPr>
        <w:t xml:space="preserve"> and is currently -0.75%, in Eurozone this rate is called </w:t>
      </w:r>
      <w:r w:rsidRPr="00770FA0">
        <w:rPr>
          <w:rFonts w:cs="Times New Roman"/>
          <w:sz w:val="22"/>
          <w:lang w:val="en-US"/>
        </w:rPr>
        <w:t xml:space="preserve">«interest rate on deposit facility» </w:t>
      </w:r>
      <w:r>
        <w:rPr>
          <w:rFonts w:cs="Times New Roman"/>
          <w:lang w:val="en-US"/>
        </w:rPr>
        <w:t xml:space="preserve"> and is currently -</w:t>
      </w:r>
      <w:r w:rsidRPr="00770FA0">
        <w:rPr>
          <w:rFonts w:cs="Times New Roman"/>
          <w:sz w:val="22"/>
          <w:lang w:val="en-US"/>
        </w:rPr>
        <w:t>0.5%</w:t>
      </w:r>
      <w:r>
        <w:rPr>
          <w:rFonts w:cs="Times New Roman"/>
          <w:lang w:val="en-US"/>
        </w:rPr>
        <w:t xml:space="preserve">, and in Japan this rate is called </w:t>
      </w:r>
      <w:r w:rsidRPr="00770FA0">
        <w:rPr>
          <w:rFonts w:cs="Times New Roman"/>
          <w:lang w:val="en-US"/>
        </w:rPr>
        <w:t xml:space="preserve">«policy rate» </w:t>
      </w:r>
      <w:r>
        <w:rPr>
          <w:rFonts w:cs="Times New Roman"/>
          <w:lang w:val="en-US"/>
        </w:rPr>
        <w:t xml:space="preserve"> and is currently at </w:t>
      </w:r>
      <w:r w:rsidRPr="00770FA0">
        <w:rPr>
          <w:rFonts w:cs="Times New Roman"/>
          <w:lang w:val="en-US"/>
        </w:rPr>
        <w:t>-0.1%</w:t>
      </w:r>
      <w:r>
        <w:rPr>
          <w:rFonts w:cs="Times New Roman"/>
          <w:lang w:val="en-US"/>
        </w:rPr>
        <w:t>.</w:t>
      </w:r>
      <w:r w:rsidR="00E7406E">
        <w:rPr>
          <w:rFonts w:cs="Times New Roman"/>
          <w:lang w:val="en-US"/>
        </w:rPr>
        <w:t xml:space="preserve"> Hence, we could expect overnight rates to be slightly higher than the interest on deposits rate, but </w:t>
      </w:r>
      <w:r w:rsidR="003D325C">
        <w:rPr>
          <w:rFonts w:cs="Times New Roman"/>
          <w:lang w:val="en-US"/>
        </w:rPr>
        <w:t>not necessarily</w:t>
      </w:r>
      <w:r w:rsidR="00E7406E">
        <w:rPr>
          <w:rFonts w:cs="Times New Roman"/>
          <w:lang w:val="en-US"/>
        </w:rPr>
        <w:t xml:space="preserve"> positive.</w:t>
      </w:r>
    </w:p>
    <w:p w14:paraId="680AEE5F" w14:textId="3C13ACCB" w:rsidR="00E7406E" w:rsidRDefault="00E7406E" w:rsidP="008226B3">
      <w:pPr>
        <w:spacing w:after="0" w:line="360" w:lineRule="auto"/>
        <w:ind w:firstLine="709"/>
        <w:rPr>
          <w:rFonts w:cs="Times New Roman"/>
          <w:lang w:val="en-US"/>
        </w:rPr>
      </w:pPr>
      <w:r>
        <w:rPr>
          <w:rFonts w:cs="Times New Roman"/>
          <w:lang w:val="en-US"/>
        </w:rPr>
        <w:t>The second tool, Loan rate</w:t>
      </w:r>
      <w:r w:rsidR="0014022D">
        <w:rPr>
          <w:rFonts w:cs="Times New Roman"/>
          <w:lang w:val="en-US"/>
        </w:rPr>
        <w:t xml:space="preserve">, represents the interest rate at which Central Bank is ready to provide loan to the financial institution. The presence of specific rate helps to achieve two goals: (a) </w:t>
      </w:r>
      <w:r w:rsidR="00063BB7">
        <w:rPr>
          <w:rFonts w:cs="Times New Roman"/>
          <w:lang w:val="en-US"/>
        </w:rPr>
        <w:t>it creates mechanism through which liquidity needs of financial institutions could be satisfied even at the times of financial crisis, and (b) it creates artificial bound</w:t>
      </w:r>
      <w:r w:rsidR="0046577F">
        <w:rPr>
          <w:rFonts w:cs="Times New Roman"/>
          <w:lang w:val="en-US"/>
        </w:rPr>
        <w:t xml:space="preserve"> for</w:t>
      </w:r>
      <w:r w:rsidR="007F0DE1">
        <w:rPr>
          <w:rFonts w:cs="Times New Roman"/>
          <w:lang w:val="en-US"/>
        </w:rPr>
        <w:t xml:space="preserve"> overnight interbank lending rates, because for each financial institutions Central Bank and other banks are, conceptually, the alternat</w:t>
      </w:r>
      <w:r w:rsidR="0046577F">
        <w:rPr>
          <w:rFonts w:cs="Times New Roman"/>
          <w:lang w:val="en-US"/>
        </w:rPr>
        <w:t>i</w:t>
      </w:r>
      <w:r w:rsidR="007F0DE1">
        <w:rPr>
          <w:rFonts w:cs="Times New Roman"/>
          <w:lang w:val="en-US"/>
        </w:rPr>
        <w:t>ve sources of funding. Nevertheless, the funding through Central Bank is deemed to be problematic for every bank, because it mean</w:t>
      </w:r>
      <w:r w:rsidR="00A22F54">
        <w:rPr>
          <w:rFonts w:cs="Times New Roman"/>
          <w:lang w:val="en-US"/>
        </w:rPr>
        <w:t>s</w:t>
      </w:r>
      <w:r w:rsidR="007F0DE1">
        <w:rPr>
          <w:rFonts w:cs="Times New Roman"/>
          <w:lang w:val="en-US"/>
        </w:rPr>
        <w:t xml:space="preserve"> that the cost, at which this bank could receive financing through the other banks, is too high and unacceptable. This rate may not be used directly, but with adjustments</w:t>
      </w:r>
      <w:r w:rsidR="002F429A" w:rsidRPr="002F429A">
        <w:rPr>
          <w:rFonts w:cs="Times New Roman"/>
          <w:lang w:val="en-US"/>
        </w:rPr>
        <w:t xml:space="preserve"> </w:t>
      </w:r>
      <w:r w:rsidR="002F429A">
        <w:rPr>
          <w:rFonts w:cs="Times New Roman"/>
          <w:lang w:val="en-US"/>
        </w:rPr>
        <w:t>made</w:t>
      </w:r>
      <w:r w:rsidR="007F0DE1">
        <w:rPr>
          <w:rFonts w:cs="Times New Roman"/>
          <w:lang w:val="en-US"/>
        </w:rPr>
        <w:t xml:space="preserve"> for </w:t>
      </w:r>
      <w:r w:rsidR="002F429A">
        <w:rPr>
          <w:rFonts w:cs="Times New Roman"/>
          <w:lang w:val="en-US"/>
        </w:rPr>
        <w:t>the type of loan (collaterized or incollaterized), term (overnight or longer), credit quality of the borrower.</w:t>
      </w:r>
    </w:p>
    <w:p w14:paraId="31185F77" w14:textId="51928752" w:rsidR="002F429A" w:rsidRDefault="002F429A" w:rsidP="008226B3">
      <w:pPr>
        <w:spacing w:after="0" w:line="360" w:lineRule="auto"/>
        <w:ind w:firstLine="709"/>
        <w:rPr>
          <w:rFonts w:cs="Times New Roman"/>
          <w:lang w:val="en-US"/>
        </w:rPr>
      </w:pPr>
      <w:r>
        <w:rPr>
          <w:rFonts w:cs="Times New Roman"/>
          <w:lang w:val="en-US"/>
        </w:rPr>
        <w:lastRenderedPageBreak/>
        <w:t xml:space="preserve">In Switzerland, loan rate is called </w:t>
      </w:r>
      <w:r w:rsidRPr="002F429A">
        <w:rPr>
          <w:rFonts w:cs="Times New Roman"/>
          <w:sz w:val="22"/>
          <w:lang w:val="en-US"/>
        </w:rPr>
        <w:t xml:space="preserve">«Liquidity shortage financial facility special rate» </w:t>
      </w:r>
      <w:r>
        <w:rPr>
          <w:rFonts w:cs="Times New Roman"/>
          <w:lang w:val="en-US"/>
        </w:rPr>
        <w:t xml:space="preserve">and is currently </w:t>
      </w:r>
      <w:r w:rsidRPr="002F429A">
        <w:rPr>
          <w:rFonts w:cs="Times New Roman"/>
          <w:sz w:val="22"/>
          <w:lang w:val="en-US"/>
        </w:rPr>
        <w:t>0%</w:t>
      </w:r>
      <w:r>
        <w:rPr>
          <w:rFonts w:cs="Times New Roman"/>
          <w:lang w:val="en-US"/>
        </w:rPr>
        <w:t xml:space="preserve">, in Eurozone this rate is called </w:t>
      </w:r>
      <w:r w:rsidRPr="002F429A">
        <w:rPr>
          <w:rFonts w:cs="Times New Roman"/>
          <w:lang w:val="en-US"/>
        </w:rPr>
        <w:t xml:space="preserve">«interest rate on main refinancing operations» </w:t>
      </w:r>
      <w:r>
        <w:rPr>
          <w:rFonts w:cs="Times New Roman"/>
          <w:lang w:val="en-US"/>
        </w:rPr>
        <w:t xml:space="preserve">and is currently </w:t>
      </w:r>
      <w:r w:rsidRPr="002F429A">
        <w:rPr>
          <w:rFonts w:cs="Times New Roman"/>
          <w:lang w:val="en-US"/>
        </w:rPr>
        <w:t>0%</w:t>
      </w:r>
      <w:r>
        <w:rPr>
          <w:rFonts w:cs="Times New Roman"/>
          <w:lang w:val="en-US"/>
        </w:rPr>
        <w:t xml:space="preserve">, and in Japan this rate is called </w:t>
      </w:r>
      <w:r w:rsidRPr="00427F36">
        <w:rPr>
          <w:rFonts w:cs="Times New Roman"/>
          <w:lang w:val="en-US"/>
        </w:rPr>
        <w:t xml:space="preserve">«Basic loan rate» </w:t>
      </w:r>
      <w:r>
        <w:rPr>
          <w:rFonts w:cs="Times New Roman"/>
          <w:lang w:val="en-US"/>
        </w:rPr>
        <w:t>and is currently</w:t>
      </w:r>
      <w:r w:rsidRPr="00427F36">
        <w:rPr>
          <w:rFonts w:cs="Times New Roman"/>
          <w:lang w:val="en-US"/>
        </w:rPr>
        <w:t xml:space="preserve"> 0.3%</w:t>
      </w:r>
      <w:r>
        <w:rPr>
          <w:rFonts w:cs="Times New Roman"/>
          <w:lang w:val="en-US"/>
        </w:rPr>
        <w:t>.</w:t>
      </w:r>
    </w:p>
    <w:p w14:paraId="52D38679" w14:textId="0A41307A" w:rsidR="00D95EB7" w:rsidRPr="00D95EB7" w:rsidRDefault="00975AB7" w:rsidP="00D95EB7">
      <w:pPr>
        <w:spacing w:after="0" w:line="360" w:lineRule="auto"/>
        <w:ind w:firstLine="709"/>
        <w:rPr>
          <w:rFonts w:cs="Times New Roman"/>
          <w:i/>
          <w:iCs/>
          <w:lang w:val="en-US"/>
        </w:rPr>
      </w:pPr>
      <w:r>
        <w:rPr>
          <w:rFonts w:cs="Times New Roman"/>
          <w:lang w:val="en-US"/>
        </w:rPr>
        <w:t>During the time of COVID-19 crisis, in all of the three mentioned countries other actions were taken to support economy: in form of asset purchases, statement of target rates for certain government bonds (case of Japan, where Bank of Japan made clear announcement that it will take actions to maintain interest rate on 10-year Japanese Government Bonds at the level of 0%), purchase of corporate bonds and FX interventions (case of Switzerland, made to stabilize the value of CHF around certain level to prevent FX rate volatility and (possibly) counter upward pressure on USD/CHF and EUR/CHF rates (rise in swiss franc value against US dollar and Euro)</w:t>
      </w:r>
      <w:r w:rsidR="00363C96">
        <w:rPr>
          <w:rFonts w:cs="Times New Roman"/>
          <w:lang w:val="en-US"/>
        </w:rPr>
        <w:t>, which are relevant measures for the export-oriented economy of Switzerland</w:t>
      </w:r>
      <w:r w:rsidR="00363C96">
        <w:rPr>
          <w:rStyle w:val="FootnoteReference"/>
          <w:rFonts w:cs="Times New Roman"/>
          <w:lang w:val="en-US"/>
        </w:rPr>
        <w:footnoteReference w:id="61"/>
      </w:r>
      <w:r w:rsidR="00363C96">
        <w:rPr>
          <w:rFonts w:cs="Times New Roman"/>
          <w:lang w:val="en-US"/>
        </w:rPr>
        <w:t>.</w:t>
      </w:r>
      <w:r w:rsidR="00D95EB7" w:rsidRPr="00D95EB7">
        <w:rPr>
          <w:rFonts w:cs="Times New Roman"/>
          <w:lang w:val="en-US"/>
        </w:rPr>
        <w:t xml:space="preserve"> </w:t>
      </w:r>
      <w:r w:rsidR="00767B27" w:rsidRPr="00DE5AF3">
        <w:rPr>
          <w:lang w:val="en-US"/>
        </w:rPr>
        <w:t>The mechanics of monetary policy</w:t>
      </w:r>
      <w:r w:rsidR="00403149" w:rsidRPr="00DE5AF3">
        <w:rPr>
          <w:lang w:val="en-US"/>
        </w:rPr>
        <w:t xml:space="preserve"> tools</w:t>
      </w:r>
      <w:r w:rsidR="00767B27" w:rsidRPr="00DE5AF3">
        <w:rPr>
          <w:lang w:val="en-US"/>
        </w:rPr>
        <w:t xml:space="preserve"> could be illustrated by the following picture, where all stated rates are graphed.</w:t>
      </w:r>
      <w:r w:rsidR="00D95EB7" w:rsidRPr="00D95EB7">
        <w:rPr>
          <w:rFonts w:cs="Times New Roman"/>
          <w:i/>
          <w:iCs/>
          <w:lang w:val="en-US"/>
        </w:rPr>
        <w:t xml:space="preserve"> </w:t>
      </w: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9354"/>
      </w:tblGrid>
      <w:tr w:rsidR="000E61EC" w14:paraId="2D989EB0" w14:textId="77777777" w:rsidTr="00D95EB7">
        <w:tc>
          <w:tcPr>
            <w:tcW w:w="9354" w:type="dxa"/>
            <w:tcBorders>
              <w:top w:val="nil"/>
              <w:bottom w:val="single" w:sz="4" w:space="0" w:color="auto"/>
            </w:tcBorders>
          </w:tcPr>
          <w:p w14:paraId="505D7D31" w14:textId="3C0B3CDB" w:rsidR="000E61EC" w:rsidRPr="000E61EC" w:rsidRDefault="00D95EB7" w:rsidP="00D95EB7">
            <w:pPr>
              <w:pStyle w:val="a0"/>
              <w:rPr>
                <w:noProof/>
                <w:szCs w:val="24"/>
              </w:rPr>
            </w:pPr>
            <w:r>
              <w:t xml:space="preserve">Figure </w:t>
            </w:r>
            <w:r>
              <w:fldChar w:fldCharType="begin"/>
            </w:r>
            <w:r>
              <w:instrText xml:space="preserve"> SEQ Figure \* ARABIC </w:instrText>
            </w:r>
            <w:r>
              <w:fldChar w:fldCharType="separate"/>
            </w:r>
            <w:r w:rsidR="004D16C9">
              <w:rPr>
                <w:noProof/>
              </w:rPr>
              <w:t>6</w:t>
            </w:r>
            <w:r>
              <w:fldChar w:fldCharType="end"/>
            </w:r>
            <w:r>
              <w:t xml:space="preserve">. </w:t>
            </w:r>
            <w:r w:rsidR="000E61EC" w:rsidRPr="000E61EC">
              <w:rPr>
                <w:noProof/>
                <w:szCs w:val="24"/>
              </w:rPr>
              <w:t>Interest rates in Switzerland</w:t>
            </w:r>
          </w:p>
        </w:tc>
      </w:tr>
      <w:tr w:rsidR="00767B27" w14:paraId="4B34D29E" w14:textId="77777777" w:rsidTr="00D95EB7">
        <w:tc>
          <w:tcPr>
            <w:tcW w:w="9354" w:type="dxa"/>
            <w:tcBorders>
              <w:top w:val="single" w:sz="4" w:space="0" w:color="auto"/>
            </w:tcBorders>
          </w:tcPr>
          <w:p w14:paraId="27719383" w14:textId="3ECE35F0" w:rsidR="00767B27" w:rsidRDefault="00767B27" w:rsidP="00056160">
            <w:pPr>
              <w:spacing w:line="360" w:lineRule="auto"/>
              <w:rPr>
                <w:rFonts w:cs="Times New Roman"/>
                <w:lang w:val="en-US"/>
              </w:rPr>
            </w:pPr>
            <w:r>
              <w:rPr>
                <w:rFonts w:cs="Times New Roman"/>
                <w:noProof/>
                <w:lang w:val="en-US"/>
              </w:rPr>
              <w:drawing>
                <wp:anchor distT="0" distB="0" distL="114300" distR="114300" simplePos="0" relativeHeight="251656192" behindDoc="0" locked="0" layoutInCell="1" allowOverlap="1" wp14:anchorId="4C7D00F5" wp14:editId="726AC255">
                  <wp:simplePos x="0" y="0"/>
                  <wp:positionH relativeFrom="column">
                    <wp:posOffset>-68580</wp:posOffset>
                  </wp:positionH>
                  <wp:positionV relativeFrom="paragraph">
                    <wp:posOffset>0</wp:posOffset>
                  </wp:positionV>
                  <wp:extent cx="5873750" cy="33432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3750" cy="3343275"/>
                          </a:xfrm>
                          <a:prstGeom prst="rect">
                            <a:avLst/>
                          </a:prstGeom>
                          <a:noFill/>
                        </pic:spPr>
                      </pic:pic>
                    </a:graphicData>
                  </a:graphic>
                  <wp14:sizeRelH relativeFrom="page">
                    <wp14:pctWidth>0</wp14:pctWidth>
                  </wp14:sizeRelH>
                  <wp14:sizeRelV relativeFrom="page">
                    <wp14:pctHeight>0</wp14:pctHeight>
                  </wp14:sizeRelV>
                </wp:anchor>
              </w:drawing>
            </w:r>
          </w:p>
        </w:tc>
      </w:tr>
      <w:tr w:rsidR="00767B27" w:rsidRPr="00566F83" w14:paraId="1F8E4450" w14:textId="77777777" w:rsidTr="00D95EB7">
        <w:tc>
          <w:tcPr>
            <w:tcW w:w="9354" w:type="dxa"/>
          </w:tcPr>
          <w:p w14:paraId="4480E2EC" w14:textId="42056F6A" w:rsidR="00767B27" w:rsidRPr="000E61EC" w:rsidRDefault="000E61EC" w:rsidP="008226B3">
            <w:pPr>
              <w:spacing w:line="360" w:lineRule="auto"/>
              <w:ind w:firstLine="709"/>
              <w:jc w:val="center"/>
              <w:rPr>
                <w:rFonts w:cs="Times New Roman"/>
                <w:i/>
                <w:iCs/>
                <w:sz w:val="20"/>
                <w:szCs w:val="20"/>
                <w:lang w:val="en-US"/>
              </w:rPr>
            </w:pPr>
            <w:r w:rsidRPr="000E61EC">
              <w:rPr>
                <w:rFonts w:cs="Times New Roman"/>
                <w:i/>
                <w:iCs/>
                <w:sz w:val="20"/>
                <w:szCs w:val="20"/>
                <w:lang w:val="en-US"/>
              </w:rPr>
              <w:t>Sources: Federal Reserve Bank of St. Louis, Swiss National Bank,  Refinitiv Eikon</w:t>
            </w:r>
          </w:p>
        </w:tc>
      </w:tr>
    </w:tbl>
    <w:p w14:paraId="2D552EEF" w14:textId="01130A2E" w:rsidR="00984C70" w:rsidRDefault="000E61EC" w:rsidP="008226B3">
      <w:pPr>
        <w:spacing w:after="0" w:line="360" w:lineRule="auto"/>
        <w:ind w:firstLine="709"/>
        <w:rPr>
          <w:rFonts w:cs="Times New Roman"/>
          <w:lang w:val="en-US"/>
        </w:rPr>
      </w:pPr>
      <w:r>
        <w:rPr>
          <w:rFonts w:cs="Times New Roman"/>
          <w:lang w:val="en-US"/>
        </w:rPr>
        <w:lastRenderedPageBreak/>
        <w:t>As we could see, the normal situation is observed: SARON (which is the overnight interbank secured financing rate for Swiss banks in CHF) is higher than the interest rates on deposits, but lower than the loan rate. What is also interesting</w:t>
      </w:r>
      <w:r w:rsidR="00BD54D4">
        <w:rPr>
          <w:rFonts w:cs="Times New Roman"/>
          <w:lang w:val="en-US"/>
        </w:rPr>
        <w:t xml:space="preserve"> and could not be explained by pure theory</w:t>
      </w:r>
      <w:r>
        <w:rPr>
          <w:rFonts w:cs="Times New Roman"/>
          <w:lang w:val="en-US"/>
        </w:rPr>
        <w:t>, is the fact that overnight CHF LIBOR is lower than the SARON, while LIBOR is (by concept) unsecured lending rate</w:t>
      </w:r>
      <w:r w:rsidR="00DB3491">
        <w:rPr>
          <w:rFonts w:cs="Times New Roman"/>
          <w:lang w:val="en-US"/>
        </w:rPr>
        <w:t xml:space="preserve"> and thus could be higher than the SARON.</w:t>
      </w:r>
    </w:p>
    <w:p w14:paraId="527A2F19" w14:textId="18138DC8" w:rsidR="00967DD7" w:rsidRDefault="00967DD7" w:rsidP="008226B3">
      <w:pPr>
        <w:spacing w:after="0" w:line="360" w:lineRule="auto"/>
        <w:ind w:firstLine="709"/>
        <w:rPr>
          <w:rFonts w:cs="Times New Roman"/>
          <w:lang w:val="en-US"/>
        </w:rPr>
      </w:pPr>
      <w:r>
        <w:rPr>
          <w:rFonts w:cs="Times New Roman"/>
          <w:lang w:val="en-US"/>
        </w:rPr>
        <w:t xml:space="preserve">The basic conclusions that could be made from the analysis of monetary policy in the currency zones with negative interbank interest rates is that the range of possible instruments used by Central Banks are within the traditional set of setting interest rate, making commitments and conducting asset purchases. But, as compared with the countries with positive interest rates, the manipulation of interest rates (loan rate and rate on deposit) is both less frequent and less expected by market participants (as could be seen from the dynamics of OIS rates). Having that interest rate is one of the component of FX future pricing, this conclusion </w:t>
      </w:r>
      <w:r w:rsidR="003B0B81">
        <w:rPr>
          <w:rFonts w:cs="Times New Roman"/>
          <w:lang w:val="en-US"/>
        </w:rPr>
        <w:t>is relevant for the conduction of our research further.</w:t>
      </w:r>
    </w:p>
    <w:p w14:paraId="2A093596" w14:textId="77777777" w:rsidR="00C556AD" w:rsidRDefault="00C556AD" w:rsidP="008226B3">
      <w:pPr>
        <w:spacing w:after="0" w:line="360" w:lineRule="auto"/>
        <w:ind w:firstLine="709"/>
        <w:rPr>
          <w:rFonts w:cs="Times New Roman"/>
          <w:lang w:val="en-US"/>
        </w:rPr>
      </w:pPr>
    </w:p>
    <w:p w14:paraId="172A1823" w14:textId="390A257C" w:rsidR="00016636" w:rsidRDefault="003668BF" w:rsidP="00071CFE">
      <w:pPr>
        <w:pStyle w:val="Heading1"/>
        <w:rPr>
          <w:lang w:val="en-US"/>
        </w:rPr>
      </w:pPr>
      <w:r>
        <w:rPr>
          <w:rFonts w:cs="Times New Roman"/>
          <w:lang w:val="en-US"/>
        </w:rPr>
        <w:br w:type="page"/>
      </w:r>
      <w:bookmarkStart w:id="22" w:name="_Toc73483059"/>
      <w:r w:rsidR="00467D70">
        <w:rPr>
          <w:rFonts w:cs="Times New Roman"/>
          <w:lang w:val="en-US"/>
        </w:rPr>
        <w:lastRenderedPageBreak/>
        <w:t xml:space="preserve">2.3. </w:t>
      </w:r>
      <w:r w:rsidR="00056160">
        <w:rPr>
          <w:lang w:val="en-US"/>
        </w:rPr>
        <w:t>RESULTS OF HYPOTHESES TESTING</w:t>
      </w:r>
      <w:bookmarkEnd w:id="22"/>
    </w:p>
    <w:p w14:paraId="1E1E0104" w14:textId="70431649" w:rsidR="00D96F93" w:rsidRDefault="00E83A9E" w:rsidP="008226B3">
      <w:pPr>
        <w:spacing w:after="0" w:line="360" w:lineRule="auto"/>
        <w:ind w:firstLine="709"/>
        <w:rPr>
          <w:rFonts w:cs="Times New Roman"/>
          <w:lang w:val="en-US"/>
        </w:rPr>
      </w:pPr>
      <w:r>
        <w:rPr>
          <w:rFonts w:cs="Times New Roman"/>
          <w:lang w:val="en-US"/>
        </w:rPr>
        <w:t>We stated above, that we decided to break down hypotheses tested into two broad groups: hypotheses on interest rates and hypotheses in FX spot rates.</w:t>
      </w:r>
      <w:r w:rsidRPr="00E83A9E">
        <w:rPr>
          <w:rFonts w:cs="Times New Roman"/>
          <w:lang w:val="en-US"/>
        </w:rPr>
        <w:t xml:space="preserve"> </w:t>
      </w:r>
      <w:r w:rsidR="00D96F93" w:rsidRPr="00636A52">
        <w:rPr>
          <w:rFonts w:cs="Times New Roman"/>
          <w:lang w:val="en-US"/>
        </w:rPr>
        <w:t>To make presentation of hypotheses testing results comparable for the different contracts on different underlying FX rates, we decided to adopt approach of unification of main variables used in analysis, namely:</w:t>
      </w:r>
      <w:r w:rsidR="00223375">
        <w:rPr>
          <w:rFonts w:cs="Times New Roman"/>
          <w:lang w:val="en-US"/>
        </w:rPr>
        <w:t xml:space="preserve"> (a) </w:t>
      </w:r>
      <w:r w:rsidR="00D96F93" w:rsidRPr="00223375">
        <w:rPr>
          <w:rFonts w:cs="Times New Roman"/>
          <w:i/>
          <w:iCs/>
          <w:lang w:val="en-US"/>
        </w:rPr>
        <w:t>For FX spot rate returns</w:t>
      </w:r>
      <w:r w:rsidR="00D96F93" w:rsidRPr="00636A52">
        <w:rPr>
          <w:rFonts w:cs="Times New Roman"/>
          <w:lang w:val="en-US"/>
        </w:rPr>
        <w:t>: number of standard deviations was used instead of simple returns</w:t>
      </w:r>
      <w:r w:rsidR="00223375">
        <w:rPr>
          <w:rFonts w:cs="Times New Roman"/>
          <w:lang w:val="en-US"/>
        </w:rPr>
        <w:t xml:space="preserve">, (b) </w:t>
      </w:r>
      <w:r w:rsidR="00D96F93" w:rsidRPr="00223375">
        <w:rPr>
          <w:rFonts w:cs="Times New Roman"/>
          <w:i/>
          <w:iCs/>
          <w:lang w:val="en-US"/>
        </w:rPr>
        <w:t>For FX futures price deviations</w:t>
      </w:r>
      <w:r w:rsidR="00D96F93" w:rsidRPr="00636A52">
        <w:rPr>
          <w:rFonts w:cs="Times New Roman"/>
          <w:lang w:val="en-US"/>
        </w:rPr>
        <w:t>: values are expressed in basis points</w:t>
      </w:r>
      <w:r w:rsidRPr="00E83A9E">
        <w:rPr>
          <w:rFonts w:cs="Times New Roman"/>
          <w:lang w:val="en-US"/>
        </w:rPr>
        <w:t>.</w:t>
      </w:r>
    </w:p>
    <w:p w14:paraId="05FE5F13" w14:textId="3BBE981C" w:rsidR="003C3301" w:rsidRDefault="00467D70" w:rsidP="008226B3">
      <w:pPr>
        <w:pStyle w:val="Heading2"/>
        <w:spacing w:line="360" w:lineRule="auto"/>
        <w:ind w:firstLine="709"/>
        <w:rPr>
          <w:lang w:val="en-US"/>
        </w:rPr>
      </w:pPr>
      <w:bookmarkStart w:id="23" w:name="_Toc73483060"/>
      <w:r>
        <w:rPr>
          <w:lang w:val="en-US"/>
        </w:rPr>
        <w:t xml:space="preserve">2.3.1. </w:t>
      </w:r>
      <w:r w:rsidR="003C3301">
        <w:rPr>
          <w:lang w:val="en-US"/>
        </w:rPr>
        <w:t>Hypotheses on interest rates</w:t>
      </w:r>
      <w:bookmarkEnd w:id="23"/>
    </w:p>
    <w:p w14:paraId="3816FE0B" w14:textId="396721F3" w:rsidR="00E074E0" w:rsidRDefault="00E074E0" w:rsidP="00056160">
      <w:pPr>
        <w:pStyle w:val="3"/>
      </w:pPr>
      <w:r>
        <w:t>LIBOR sensitivity</w:t>
      </w:r>
    </w:p>
    <w:p w14:paraId="7343C756" w14:textId="19D3A962" w:rsidR="007815BC" w:rsidRDefault="005F6F96" w:rsidP="008226B3">
      <w:pPr>
        <w:spacing w:after="0" w:line="360" w:lineRule="auto"/>
        <w:ind w:firstLine="709"/>
        <w:rPr>
          <w:rFonts w:cs="Times New Roman"/>
          <w:lang w:val="en-US"/>
        </w:rPr>
      </w:pPr>
      <w:r>
        <w:rPr>
          <w:rFonts w:cs="Times New Roman"/>
          <w:lang w:val="en-US"/>
        </w:rPr>
        <w:t xml:space="preserve">Generally speaking, there could be several ways how market participants may apply published interbank lending rates for FX futures valuation: </w:t>
      </w:r>
    </w:p>
    <w:p w14:paraId="2D138D74" w14:textId="4D7F24E9" w:rsidR="00D04B3A" w:rsidRDefault="007815BC" w:rsidP="00E83A9E">
      <w:pPr>
        <w:pStyle w:val="-"/>
      </w:pPr>
      <w:r w:rsidRPr="00D04B3A">
        <w:t xml:space="preserve">interbank rate could be applied directly, as published. If this type of behavior is observed, then published rate is perceived as an indicator of real lending/ borrowing rate for institutional traders and thus could used in arbitrage transactions. </w:t>
      </w:r>
      <w:r w:rsidRPr="00E83A9E">
        <w:rPr>
          <w:i/>
          <w:iCs/>
        </w:rPr>
        <w:t>If this is the case, at the time of LIBOR rates announcement</w:t>
      </w:r>
      <w:r w:rsidR="00D04B3A" w:rsidRPr="00E83A9E">
        <w:rPr>
          <w:i/>
          <w:iCs/>
        </w:rPr>
        <w:t>, FX futures prices will be adjusted for the new interest rates published</w:t>
      </w:r>
      <w:r w:rsidR="00D04B3A" w:rsidRPr="00D04B3A">
        <w:t xml:space="preserve">. </w:t>
      </w:r>
      <w:r w:rsidR="00E83A9E">
        <w:t>Using the exact time of LIBOR publication (11:55 a.m., London Business hours) we could translate this value at Chicago time and calculate the difference at FX future prices at the time of LIBOR announcement</w:t>
      </w:r>
      <w:r w:rsidR="00D04B3A">
        <w:t>;</w:t>
      </w:r>
    </w:p>
    <w:p w14:paraId="2B3D09A2" w14:textId="2CAF578B" w:rsidR="00D04B3A" w:rsidRPr="00D04B3A" w:rsidRDefault="00D04B3A" w:rsidP="00E83A9E">
      <w:pPr>
        <w:pStyle w:val="-"/>
      </w:pPr>
      <w:r>
        <w:t xml:space="preserve">interbank rate could be used together with implied positive spread, which is different for every market participant and could be determined by it’s credit rating and other factors. If this is the case, then the </w:t>
      </w:r>
      <w:r w:rsidR="00A134EF">
        <w:t xml:space="preserve">effect of non-relevance of LIBOR in it’s pure form </w:t>
      </w:r>
      <w:r w:rsidR="00A134EF" w:rsidRPr="00E83A9E">
        <w:rPr>
          <w:i/>
          <w:iCs/>
        </w:rPr>
        <w:t>will mute the effect of immediate repricing</w:t>
      </w:r>
      <w:r w:rsidR="00A134EF" w:rsidRPr="00A134EF">
        <w:t xml:space="preserve"> of FX futures for the</w:t>
      </w:r>
      <w:r w:rsidR="00A134EF">
        <w:t xml:space="preserve"> new interest rates published.</w:t>
      </w:r>
    </w:p>
    <w:p w14:paraId="36EB6934" w14:textId="19444F06" w:rsidR="005F6F96" w:rsidRDefault="00D04B3A" w:rsidP="00E83A9E">
      <w:pPr>
        <w:pStyle w:val="-"/>
      </w:pPr>
      <w:r>
        <w:t xml:space="preserve">interbank rate could be used in the pricing of other instruments, which are used by market participants as a reference points for the estimation of real </w:t>
      </w:r>
      <w:r w:rsidRPr="00D04B3A">
        <w:t>lending/ borrowing rate</w:t>
      </w:r>
      <w:r>
        <w:t xml:space="preserve">. If this is the case, the effect of transition of LIBOR rates into the prices of mentioned </w:t>
      </w:r>
      <w:r w:rsidRPr="00D04B3A">
        <w:t>«</w:t>
      </w:r>
      <w:r>
        <w:t>other instruments</w:t>
      </w:r>
      <w:r w:rsidRPr="00D04B3A">
        <w:t xml:space="preserve">» </w:t>
      </w:r>
      <w:r>
        <w:t xml:space="preserve">and then to the FX futures may take time and thus </w:t>
      </w:r>
      <w:r w:rsidRPr="00E83A9E">
        <w:rPr>
          <w:i/>
          <w:iCs/>
        </w:rPr>
        <w:t>the effect of adjustment of FX futures prices for the new interest rates published will be muted</w:t>
      </w:r>
      <w:r>
        <w:t>.</w:t>
      </w:r>
    </w:p>
    <w:p w14:paraId="415B4DE6" w14:textId="62E40958" w:rsidR="00D04B3A" w:rsidRPr="007815BC" w:rsidRDefault="00A134EF" w:rsidP="00E83A9E">
      <w:pPr>
        <w:pStyle w:val="-"/>
      </w:pPr>
      <w:r>
        <w:t xml:space="preserve">Combination of previous two previous ways: LIBOR with spread may be used for pricing of other instruments, which reflect real borrowing/ lending rate for the market participants. If this is the case, then the effect of adjustment of FX futures prices </w:t>
      </w:r>
      <w:r w:rsidRPr="00E83A9E">
        <w:rPr>
          <w:i/>
          <w:iCs/>
        </w:rPr>
        <w:t>will</w:t>
      </w:r>
      <w:r w:rsidR="00E83A9E" w:rsidRPr="00E83A9E">
        <w:rPr>
          <w:i/>
          <w:iCs/>
        </w:rPr>
        <w:t xml:space="preserve"> also</w:t>
      </w:r>
      <w:r w:rsidRPr="00E83A9E">
        <w:rPr>
          <w:i/>
          <w:iCs/>
        </w:rPr>
        <w:t xml:space="preserve"> be muted</w:t>
      </w:r>
      <w:r>
        <w:t>.</w:t>
      </w:r>
    </w:p>
    <w:p w14:paraId="199CAE69" w14:textId="2E0BB7C7" w:rsidR="00E074E0" w:rsidRDefault="00D96F93" w:rsidP="008226B3">
      <w:pPr>
        <w:spacing w:after="0" w:line="360" w:lineRule="auto"/>
        <w:ind w:firstLine="709"/>
        <w:rPr>
          <w:rFonts w:cs="Times New Roman"/>
          <w:lang w:val="en-US"/>
        </w:rPr>
      </w:pPr>
      <w:r>
        <w:rPr>
          <w:rFonts w:cs="Times New Roman"/>
          <w:lang w:val="en-US"/>
        </w:rPr>
        <w:t>Using simple adjustment for the time zones between Chicago time (IMM is located at Chicago and prices are reported as of Chicago time), and London (which time zone is used for the LIBOR publication time), we could calculate two different series of prices:</w:t>
      </w:r>
    </w:p>
    <w:p w14:paraId="12962C28" w14:textId="77777777" w:rsidR="00E83A9E" w:rsidRDefault="00E83A9E" w:rsidP="008226B3">
      <w:pPr>
        <w:spacing w:after="0" w:line="360" w:lineRule="auto"/>
        <w:ind w:firstLine="709"/>
        <w:rPr>
          <w:rFonts w:cs="Times New Roman"/>
          <w:lang w:val="en-US"/>
        </w:rPr>
      </w:pPr>
    </w:p>
    <w:p w14:paraId="0C7E1523" w14:textId="21EF9831" w:rsidR="00E83A9E" w:rsidRPr="00E83A9E" w:rsidRDefault="00E83A9E" w:rsidP="00E83A9E">
      <w:pPr>
        <w:pStyle w:val="a0"/>
      </w:pPr>
      <w:r>
        <w:lastRenderedPageBreak/>
        <w:t xml:space="preserve">Table </w:t>
      </w:r>
      <w:r>
        <w:fldChar w:fldCharType="begin"/>
      </w:r>
      <w:r>
        <w:instrText xml:space="preserve"> SEQ Table \* ARABIC </w:instrText>
      </w:r>
      <w:r>
        <w:fldChar w:fldCharType="separate"/>
      </w:r>
      <w:r w:rsidR="004D16C9">
        <w:rPr>
          <w:noProof/>
        </w:rPr>
        <w:t>7</w:t>
      </w:r>
      <w:r>
        <w:fldChar w:fldCharType="end"/>
      </w:r>
      <w:r>
        <w:t xml:space="preserve">. Explanation of procedure applied to </w:t>
      </w:r>
      <w:r w:rsidRPr="00E83A9E">
        <w:t>«</w:t>
      </w:r>
      <w:r>
        <w:t>LIBOR sensitivity</w:t>
      </w:r>
      <w:r w:rsidRPr="00E83A9E">
        <w:t>»</w:t>
      </w:r>
      <w:r>
        <w:t xml:space="preserve"> hypothesis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052"/>
        <w:gridCol w:w="3164"/>
        <w:gridCol w:w="3138"/>
      </w:tblGrid>
      <w:tr w:rsidR="007C4CE6" w:rsidRPr="007C4CE6" w14:paraId="05F5A60D" w14:textId="77777777" w:rsidTr="00E83A9E">
        <w:tc>
          <w:tcPr>
            <w:tcW w:w="3587" w:type="dxa"/>
            <w:tcBorders>
              <w:bottom w:val="single" w:sz="4" w:space="0" w:color="auto"/>
            </w:tcBorders>
            <w:vAlign w:val="center"/>
          </w:tcPr>
          <w:p w14:paraId="0CD8B39C" w14:textId="6D742F34" w:rsidR="007C4CE6" w:rsidRPr="007C4CE6" w:rsidRDefault="007C4CE6" w:rsidP="00E83A9E">
            <w:pPr>
              <w:spacing w:line="360" w:lineRule="auto"/>
              <w:jc w:val="center"/>
              <w:rPr>
                <w:rFonts w:cs="Times New Roman"/>
                <w:b/>
                <w:bCs/>
                <w:sz w:val="20"/>
                <w:szCs w:val="20"/>
                <w:lang w:val="en-US"/>
              </w:rPr>
            </w:pPr>
            <w:r w:rsidRPr="007C4CE6">
              <w:rPr>
                <w:rFonts w:cs="Times New Roman"/>
                <w:b/>
                <w:bCs/>
                <w:sz w:val="20"/>
                <w:szCs w:val="20"/>
                <w:lang w:val="en-US"/>
              </w:rPr>
              <w:t>Observed price change</w:t>
            </w:r>
          </w:p>
        </w:tc>
        <w:tc>
          <w:tcPr>
            <w:tcW w:w="7175" w:type="dxa"/>
            <w:gridSpan w:val="2"/>
            <w:vAlign w:val="center"/>
          </w:tcPr>
          <w:p w14:paraId="7137D50F" w14:textId="0B2ECC33" w:rsidR="007C4CE6" w:rsidRPr="007C4CE6" w:rsidRDefault="007C4CE6" w:rsidP="00E83A9E">
            <w:pPr>
              <w:spacing w:line="360" w:lineRule="auto"/>
              <w:jc w:val="center"/>
              <w:rPr>
                <w:rFonts w:cs="Times New Roman"/>
                <w:b/>
                <w:bCs/>
                <w:sz w:val="20"/>
                <w:szCs w:val="20"/>
                <w:lang w:val="en-US"/>
              </w:rPr>
            </w:pPr>
            <w:r w:rsidRPr="007C4CE6">
              <w:rPr>
                <w:rFonts w:cs="Times New Roman"/>
                <w:b/>
                <w:bCs/>
                <w:sz w:val="20"/>
                <w:szCs w:val="20"/>
                <w:lang w:val="en-US"/>
              </w:rPr>
              <w:t>Theoretical price change</w:t>
            </w:r>
          </w:p>
        </w:tc>
      </w:tr>
      <w:tr w:rsidR="00A134EF" w:rsidRPr="00566F83" w14:paraId="42688AE2" w14:textId="77777777" w:rsidTr="00A134EF">
        <w:tc>
          <w:tcPr>
            <w:tcW w:w="3587" w:type="dxa"/>
            <w:vMerge w:val="restart"/>
            <w:vAlign w:val="center"/>
          </w:tcPr>
          <w:p w14:paraId="3BEFEF1B" w14:textId="1A9C097D" w:rsidR="00A134EF" w:rsidRPr="007C4CE6" w:rsidRDefault="00A134EF" w:rsidP="00E83A9E">
            <w:pPr>
              <w:spacing w:line="360" w:lineRule="auto"/>
              <w:rPr>
                <w:rFonts w:cs="Times New Roman"/>
                <w:sz w:val="20"/>
                <w:szCs w:val="20"/>
                <w:lang w:val="en-US"/>
              </w:rPr>
            </w:pPr>
            <w:r w:rsidRPr="007C4CE6">
              <w:rPr>
                <w:rFonts w:cs="Times New Roman"/>
                <w:sz w:val="20"/>
                <w:szCs w:val="20"/>
                <w:lang w:val="en-US"/>
              </w:rPr>
              <w:t>Derived as a delta of observed market close (30-minutes) prices of FX future</w:t>
            </w:r>
          </w:p>
        </w:tc>
        <w:tc>
          <w:tcPr>
            <w:tcW w:w="7175" w:type="dxa"/>
            <w:gridSpan w:val="2"/>
            <w:tcBorders>
              <w:bottom w:val="nil"/>
            </w:tcBorders>
            <w:vAlign w:val="center"/>
          </w:tcPr>
          <w:p w14:paraId="5219248B" w14:textId="77777777" w:rsidR="00A134EF" w:rsidRPr="007C4CE6" w:rsidRDefault="00A134EF" w:rsidP="00E83A9E">
            <w:pPr>
              <w:spacing w:line="360" w:lineRule="auto"/>
              <w:rPr>
                <w:rFonts w:cs="Times New Roman"/>
                <w:sz w:val="20"/>
                <w:szCs w:val="20"/>
                <w:lang w:val="en-US"/>
              </w:rPr>
            </w:pPr>
            <w:r w:rsidRPr="007C4CE6">
              <w:rPr>
                <w:rFonts w:cs="Times New Roman"/>
                <w:sz w:val="20"/>
                <w:szCs w:val="20"/>
                <w:lang w:val="en-US"/>
              </w:rPr>
              <w:t>Derived as a delta in theoretical prices of FX future, derived from:</w:t>
            </w:r>
          </w:p>
          <w:p w14:paraId="21255CB7" w14:textId="77777777" w:rsidR="00A134EF" w:rsidRPr="007C4CE6" w:rsidRDefault="00A134EF" w:rsidP="00E83A9E">
            <w:pPr>
              <w:pStyle w:val="ListParagraph"/>
              <w:numPr>
                <w:ilvl w:val="0"/>
                <w:numId w:val="24"/>
              </w:numPr>
              <w:spacing w:line="360" w:lineRule="auto"/>
              <w:ind w:left="425"/>
              <w:rPr>
                <w:rFonts w:cs="Times New Roman"/>
                <w:sz w:val="20"/>
                <w:szCs w:val="20"/>
                <w:lang w:val="en-US"/>
              </w:rPr>
            </w:pPr>
            <w:r w:rsidRPr="007C4CE6">
              <w:rPr>
                <w:rFonts w:cs="Times New Roman"/>
                <w:sz w:val="20"/>
                <w:szCs w:val="20"/>
                <w:lang w:val="en-US"/>
              </w:rPr>
              <w:t xml:space="preserve">Observed 30-minutes change in FX spot rate </w:t>
            </w:r>
          </w:p>
          <w:p w14:paraId="646D0425" w14:textId="77777777" w:rsidR="00A134EF" w:rsidRPr="007C4CE6" w:rsidRDefault="00A134EF" w:rsidP="00E83A9E">
            <w:pPr>
              <w:pStyle w:val="ListParagraph"/>
              <w:numPr>
                <w:ilvl w:val="0"/>
                <w:numId w:val="24"/>
              </w:numPr>
              <w:spacing w:line="360" w:lineRule="auto"/>
              <w:ind w:left="425"/>
              <w:rPr>
                <w:rFonts w:cs="Times New Roman"/>
                <w:sz w:val="20"/>
                <w:szCs w:val="20"/>
                <w:lang w:val="en-US"/>
              </w:rPr>
            </w:pPr>
            <w:r w:rsidRPr="007C4CE6">
              <w:rPr>
                <w:rFonts w:cs="Times New Roman"/>
                <w:sz w:val="20"/>
                <w:szCs w:val="20"/>
                <w:lang w:val="en-US"/>
              </w:rPr>
              <w:t>Observed difference in LIBOR rate as compared with the previous day</w:t>
            </w:r>
          </w:p>
          <w:p w14:paraId="72DDCF59" w14:textId="39EB7311" w:rsidR="00A134EF" w:rsidRPr="007C4CE6" w:rsidRDefault="00A134EF" w:rsidP="00E83A9E">
            <w:pPr>
              <w:spacing w:line="360" w:lineRule="auto"/>
              <w:ind w:left="55"/>
              <w:rPr>
                <w:rFonts w:cs="Times New Roman"/>
                <w:sz w:val="20"/>
                <w:szCs w:val="20"/>
                <w:lang w:val="en-US"/>
              </w:rPr>
            </w:pPr>
            <w:r w:rsidRPr="007C4CE6">
              <w:rPr>
                <w:rFonts w:cs="Times New Roman"/>
                <w:sz w:val="20"/>
                <w:szCs w:val="20"/>
                <w:lang w:val="en-US"/>
              </w:rPr>
              <w:t xml:space="preserve">Using the special assumption that if market participants rely on LIBOR in their FX futures valuations, they adjust the market price of instrument </w:t>
            </w:r>
            <w:r w:rsidRPr="00A134EF">
              <w:rPr>
                <w:rFonts w:cs="Times New Roman"/>
                <w:sz w:val="20"/>
                <w:szCs w:val="20"/>
                <w:u w:val="single"/>
                <w:lang w:val="en-US"/>
              </w:rPr>
              <w:t>exactly at the direction</w:t>
            </w:r>
            <w:r w:rsidRPr="007C4CE6">
              <w:rPr>
                <w:rFonts w:cs="Times New Roman"/>
                <w:sz w:val="20"/>
                <w:szCs w:val="20"/>
                <w:lang w:val="en-US"/>
              </w:rPr>
              <w:t xml:space="preserve"> which is implied by the new LIBOR rate published</w:t>
            </w:r>
            <w:r>
              <w:rPr>
                <w:rFonts w:cs="Times New Roman"/>
                <w:sz w:val="20"/>
                <w:szCs w:val="20"/>
                <w:lang w:val="en-US"/>
              </w:rPr>
              <w:t>, we could derive two sets of theoretical price changes:</w:t>
            </w:r>
          </w:p>
        </w:tc>
      </w:tr>
      <w:tr w:rsidR="00A134EF" w:rsidRPr="00566F83" w14:paraId="7A3C1DDA" w14:textId="77777777" w:rsidTr="002E1A31">
        <w:tc>
          <w:tcPr>
            <w:tcW w:w="3587" w:type="dxa"/>
            <w:vMerge/>
            <w:tcBorders>
              <w:bottom w:val="single" w:sz="4" w:space="0" w:color="auto"/>
            </w:tcBorders>
          </w:tcPr>
          <w:p w14:paraId="6D005538" w14:textId="77777777" w:rsidR="00A134EF" w:rsidRPr="007C4CE6" w:rsidRDefault="00A134EF" w:rsidP="008226B3">
            <w:pPr>
              <w:spacing w:line="360" w:lineRule="auto"/>
              <w:ind w:firstLine="709"/>
              <w:rPr>
                <w:rFonts w:cs="Times New Roman"/>
                <w:sz w:val="20"/>
                <w:szCs w:val="20"/>
                <w:lang w:val="en-US"/>
              </w:rPr>
            </w:pPr>
          </w:p>
        </w:tc>
        <w:tc>
          <w:tcPr>
            <w:tcW w:w="3587" w:type="dxa"/>
            <w:tcBorders>
              <w:top w:val="nil"/>
              <w:bottom w:val="single" w:sz="4" w:space="0" w:color="auto"/>
              <w:right w:val="nil"/>
            </w:tcBorders>
          </w:tcPr>
          <w:p w14:paraId="5C7E8EEF" w14:textId="77777777" w:rsidR="00A134EF" w:rsidRPr="00E83A9E" w:rsidRDefault="00A134EF" w:rsidP="00E83A9E">
            <w:pPr>
              <w:pStyle w:val="ListParagraph"/>
              <w:numPr>
                <w:ilvl w:val="0"/>
                <w:numId w:val="25"/>
              </w:numPr>
              <w:spacing w:line="360" w:lineRule="auto"/>
              <w:ind w:left="477"/>
              <w:rPr>
                <w:rFonts w:cs="Times New Roman"/>
                <w:sz w:val="20"/>
                <w:szCs w:val="20"/>
                <w:lang w:val="en-US"/>
              </w:rPr>
            </w:pPr>
            <w:r w:rsidRPr="00E83A9E">
              <w:rPr>
                <w:rFonts w:cs="Times New Roman"/>
                <w:sz w:val="20"/>
                <w:szCs w:val="20"/>
                <w:lang w:val="en-US"/>
              </w:rPr>
              <w:t xml:space="preserve">Change in theoretical price, implied by full adjustment for </w:t>
            </w:r>
            <w:r w:rsidRPr="00E83A9E">
              <w:rPr>
                <w:rFonts w:cs="Times New Roman"/>
                <w:sz w:val="20"/>
                <w:szCs w:val="20"/>
                <w:u w:val="single"/>
                <w:lang w:val="en-US"/>
              </w:rPr>
              <w:t>FX rate change and LIBOR change</w:t>
            </w:r>
          </w:p>
          <w:p w14:paraId="40D2440C" w14:textId="69FE5137" w:rsidR="00AF0FD7" w:rsidRPr="00AF0FD7" w:rsidRDefault="00AF0FD7" w:rsidP="008226B3">
            <w:pPr>
              <w:spacing w:line="360" w:lineRule="auto"/>
              <w:ind w:left="-10" w:firstLine="709"/>
              <w:rPr>
                <w:rFonts w:cs="Times New Roman"/>
                <w:sz w:val="6"/>
                <w:szCs w:val="6"/>
                <w:lang w:val="en-US"/>
              </w:rPr>
            </w:pPr>
          </w:p>
        </w:tc>
        <w:tc>
          <w:tcPr>
            <w:tcW w:w="3588" w:type="dxa"/>
            <w:tcBorders>
              <w:top w:val="nil"/>
              <w:left w:val="nil"/>
              <w:bottom w:val="single" w:sz="4" w:space="0" w:color="auto"/>
            </w:tcBorders>
          </w:tcPr>
          <w:p w14:paraId="5D896031" w14:textId="2B5B72F9" w:rsidR="00A134EF" w:rsidRPr="00E83A9E" w:rsidRDefault="00A134EF" w:rsidP="00E83A9E">
            <w:pPr>
              <w:pStyle w:val="ListParagraph"/>
              <w:numPr>
                <w:ilvl w:val="0"/>
                <w:numId w:val="25"/>
              </w:numPr>
              <w:spacing w:line="360" w:lineRule="auto"/>
              <w:ind w:left="348"/>
              <w:rPr>
                <w:rFonts w:cs="Times New Roman"/>
                <w:sz w:val="20"/>
                <w:szCs w:val="20"/>
                <w:lang w:val="en-US"/>
              </w:rPr>
            </w:pPr>
            <w:r w:rsidRPr="00E83A9E">
              <w:rPr>
                <w:rFonts w:cs="Times New Roman"/>
                <w:sz w:val="20"/>
                <w:szCs w:val="20"/>
                <w:lang w:val="en-US"/>
              </w:rPr>
              <w:t xml:space="preserve">Change in theoretical price, implied by the adjustment for </w:t>
            </w:r>
            <w:r w:rsidRPr="00E83A9E">
              <w:rPr>
                <w:rFonts w:cs="Times New Roman"/>
                <w:sz w:val="20"/>
                <w:szCs w:val="20"/>
                <w:u w:val="single"/>
                <w:lang w:val="en-US"/>
              </w:rPr>
              <w:t>only FX rate</w:t>
            </w:r>
            <w:r w:rsidRPr="00E83A9E">
              <w:rPr>
                <w:rFonts w:cs="Times New Roman"/>
                <w:sz w:val="20"/>
                <w:szCs w:val="20"/>
                <w:lang w:val="en-US"/>
              </w:rPr>
              <w:t xml:space="preserve"> change</w:t>
            </w:r>
          </w:p>
        </w:tc>
      </w:tr>
    </w:tbl>
    <w:p w14:paraId="01C57C11" w14:textId="287D396D" w:rsidR="00AF0FD7" w:rsidRDefault="007C4CE6" w:rsidP="008226B3">
      <w:pPr>
        <w:spacing w:after="0" w:line="360" w:lineRule="auto"/>
        <w:ind w:firstLine="709"/>
        <w:rPr>
          <w:rFonts w:cs="Times New Roman"/>
          <w:lang w:val="en-US"/>
        </w:rPr>
      </w:pPr>
      <w:r>
        <w:rPr>
          <w:rFonts w:cs="Times New Roman"/>
          <w:lang w:val="en-US"/>
        </w:rPr>
        <w:t xml:space="preserve">To formally test hypothesis, </w:t>
      </w:r>
      <w:r w:rsidR="00597E7F">
        <w:rPr>
          <w:rFonts w:cs="Times New Roman"/>
          <w:lang w:val="en-US"/>
        </w:rPr>
        <w:t xml:space="preserve">for each currency pair </w:t>
      </w:r>
      <w:r>
        <w:rPr>
          <w:rFonts w:cs="Times New Roman"/>
          <w:lang w:val="en-US"/>
        </w:rPr>
        <w:t>we calculated t</w:t>
      </w:r>
      <w:r w:rsidR="00597E7F">
        <w:rPr>
          <w:rFonts w:cs="Times New Roman"/>
          <w:lang w:val="en-US"/>
        </w:rPr>
        <w:t>wo variances</w:t>
      </w:r>
      <w:r w:rsidR="00E83A9E">
        <w:rPr>
          <w:rFonts w:cs="Times New Roman"/>
          <w:lang w:val="en-US"/>
        </w:rPr>
        <w:t>:</w:t>
      </w:r>
    </w:p>
    <w:p w14:paraId="68B24B2F" w14:textId="0DC85102" w:rsidR="00AF0FD7" w:rsidRDefault="007C4CE6" w:rsidP="008226B3">
      <w:pPr>
        <w:spacing w:after="0" w:line="360" w:lineRule="auto"/>
        <w:ind w:firstLine="709"/>
        <w:rPr>
          <w:rFonts w:cs="Times New Roman"/>
          <w:lang w:val="en-US"/>
        </w:rPr>
      </w:pPr>
      <w:r>
        <w:rPr>
          <w:rFonts w:cs="Times New Roman"/>
          <w:lang w:val="en-US"/>
        </w:rPr>
        <w:t xml:space="preserve">(a) </w:t>
      </w:r>
      <w:r w:rsidR="00597E7F">
        <w:rPr>
          <w:rFonts w:cs="Times New Roman"/>
          <w:lang w:val="en-US"/>
        </w:rPr>
        <w:t xml:space="preserve">difference between </w:t>
      </w:r>
      <w:r w:rsidR="00E83A9E">
        <w:rPr>
          <w:rFonts w:cs="Times New Roman"/>
          <w:lang w:val="en-US"/>
        </w:rPr>
        <w:t>o</w:t>
      </w:r>
      <w:r>
        <w:rPr>
          <w:rFonts w:cs="Times New Roman"/>
          <w:lang w:val="en-US"/>
        </w:rPr>
        <w:t xml:space="preserve">bserved price changes </w:t>
      </w:r>
      <w:r w:rsidR="00597E7F">
        <w:rPr>
          <w:rFonts w:cs="Times New Roman"/>
          <w:lang w:val="en-US"/>
        </w:rPr>
        <w:t>and</w:t>
      </w:r>
      <w:r>
        <w:rPr>
          <w:rFonts w:cs="Times New Roman"/>
          <w:lang w:val="en-US"/>
        </w:rPr>
        <w:t xml:space="preserve"> </w:t>
      </w:r>
      <w:r w:rsidR="00E83A9E">
        <w:rPr>
          <w:rFonts w:cs="Times New Roman"/>
          <w:lang w:val="en-US"/>
        </w:rPr>
        <w:t>t</w:t>
      </w:r>
      <w:r>
        <w:rPr>
          <w:rFonts w:cs="Times New Roman"/>
          <w:lang w:val="en-US"/>
        </w:rPr>
        <w:t xml:space="preserve">heoretical price change, implied by full price adjustment, </w:t>
      </w:r>
    </w:p>
    <w:p w14:paraId="326F1938" w14:textId="0787B3B5" w:rsidR="00AF0FD7" w:rsidRDefault="007C4CE6" w:rsidP="008226B3">
      <w:pPr>
        <w:spacing w:after="0" w:line="360" w:lineRule="auto"/>
        <w:ind w:firstLine="709"/>
        <w:rPr>
          <w:rFonts w:cs="Times New Roman"/>
          <w:lang w:val="en-US"/>
        </w:rPr>
      </w:pPr>
      <w:r>
        <w:rPr>
          <w:rFonts w:cs="Times New Roman"/>
          <w:lang w:val="en-US"/>
        </w:rPr>
        <w:t xml:space="preserve">(b) </w:t>
      </w:r>
      <w:r w:rsidR="00597E7F">
        <w:rPr>
          <w:rFonts w:cs="Times New Roman"/>
          <w:lang w:val="en-US"/>
        </w:rPr>
        <w:t xml:space="preserve">difference between </w:t>
      </w:r>
      <w:r>
        <w:rPr>
          <w:rFonts w:cs="Times New Roman"/>
          <w:lang w:val="en-US"/>
        </w:rPr>
        <w:t xml:space="preserve">observed price change </w:t>
      </w:r>
      <w:r w:rsidR="00597E7F">
        <w:rPr>
          <w:rFonts w:cs="Times New Roman"/>
          <w:lang w:val="en-US"/>
        </w:rPr>
        <w:t>and</w:t>
      </w:r>
      <w:r>
        <w:rPr>
          <w:rFonts w:cs="Times New Roman"/>
          <w:lang w:val="en-US"/>
        </w:rPr>
        <w:t xml:space="preserve"> theoretical price change, implied by only spot rate adjustment</w:t>
      </w:r>
      <w:r w:rsidR="00AF0FD7">
        <w:rPr>
          <w:rFonts w:cs="Times New Roman"/>
          <w:lang w:val="en-US"/>
        </w:rPr>
        <w:t xml:space="preserve"> </w:t>
      </w:r>
      <w:r w:rsidR="00C613F6">
        <w:rPr>
          <w:rFonts w:cs="Times New Roman"/>
          <w:lang w:val="en-US"/>
        </w:rPr>
        <w:t>f</w:t>
      </w:r>
    </w:p>
    <w:p w14:paraId="245E9392" w14:textId="1AFB36B9" w:rsidR="007C4CE6" w:rsidRDefault="007C4CE6" w:rsidP="008226B3">
      <w:pPr>
        <w:spacing w:after="0" w:line="360" w:lineRule="auto"/>
        <w:ind w:firstLine="709"/>
        <w:rPr>
          <w:rFonts w:cs="Times New Roman"/>
          <w:lang w:val="en-US"/>
        </w:rPr>
      </w:pPr>
      <w:r>
        <w:rPr>
          <w:rFonts w:cs="Times New Roman"/>
          <w:lang w:val="en-US"/>
        </w:rPr>
        <w:t>and then compared the results via deduction of (b) from (a). If the result is positive, it could be concluded that market participants tends to adjust their FX contracts price changes with respect to the changes in LIBOR rates, which affects both currencies in the FX future currency pair.</w:t>
      </w:r>
    </w:p>
    <w:p w14:paraId="6DA24925" w14:textId="77777777" w:rsidR="00E83A9E" w:rsidRDefault="007C4CE6" w:rsidP="008226B3">
      <w:pPr>
        <w:spacing w:after="0" w:line="360" w:lineRule="auto"/>
        <w:ind w:firstLine="709"/>
        <w:rPr>
          <w:rFonts w:cs="Times New Roman"/>
          <w:lang w:val="en-US"/>
        </w:rPr>
      </w:pPr>
      <w:r>
        <w:rPr>
          <w:rFonts w:cs="Times New Roman"/>
          <w:lang w:val="en-US"/>
        </w:rPr>
        <w:t>We also decided not to include FX futures with EUR as underlying rate, because</w:t>
      </w:r>
      <w:r w:rsidR="00E83A9E">
        <w:rPr>
          <w:rFonts w:cs="Times New Roman"/>
          <w:lang w:val="en-US"/>
        </w:rPr>
        <w:t xml:space="preserve"> of the presence of</w:t>
      </w:r>
      <w:r>
        <w:rPr>
          <w:rFonts w:cs="Times New Roman"/>
          <w:lang w:val="en-US"/>
        </w:rPr>
        <w:t xml:space="preserve"> two EUR rate</w:t>
      </w:r>
      <w:r w:rsidR="00E83A9E">
        <w:rPr>
          <w:rFonts w:cs="Times New Roman"/>
          <w:lang w:val="en-US"/>
        </w:rPr>
        <w:t>s</w:t>
      </w:r>
      <w:r>
        <w:rPr>
          <w:rFonts w:cs="Times New Roman"/>
          <w:lang w:val="en-US"/>
        </w:rPr>
        <w:t>: EURIBOR and EUR LIBOR</w:t>
      </w:r>
      <w:r w:rsidR="00E83A9E">
        <w:rPr>
          <w:rFonts w:cs="Times New Roman"/>
          <w:lang w:val="en-US"/>
        </w:rPr>
        <w:t>. They are</w:t>
      </w:r>
      <w:r>
        <w:rPr>
          <w:rFonts w:cs="Times New Roman"/>
          <w:lang w:val="en-US"/>
        </w:rPr>
        <w:t xml:space="preserve"> published with 1 hour lag, which could bring a lot of noise in our valuation.</w:t>
      </w:r>
      <w:r w:rsidR="00E83A9E">
        <w:rPr>
          <w:rFonts w:cs="Times New Roman"/>
          <w:lang w:val="en-US"/>
        </w:rPr>
        <w:t xml:space="preserve"> </w:t>
      </w:r>
    </w:p>
    <w:p w14:paraId="52E42BC1" w14:textId="03E1FD1D" w:rsidR="00FD578C" w:rsidRDefault="00A134EF" w:rsidP="008226B3">
      <w:pPr>
        <w:spacing w:after="0" w:line="360" w:lineRule="auto"/>
        <w:ind w:firstLine="709"/>
        <w:rPr>
          <w:rFonts w:cs="Times New Roman"/>
          <w:lang w:val="en-US"/>
        </w:rPr>
      </w:pPr>
      <w:r>
        <w:rPr>
          <w:rFonts w:cs="Times New Roman"/>
          <w:lang w:val="en-US"/>
        </w:rPr>
        <w:t>Results of calculations for the currency pairs are as follows:</w:t>
      </w:r>
    </w:p>
    <w:p w14:paraId="0FB7FB88" w14:textId="77777777" w:rsidR="00FD578C" w:rsidRDefault="00FD578C">
      <w:pPr>
        <w:jc w:val="left"/>
        <w:rPr>
          <w:rFonts w:cs="Times New Roman"/>
          <w:lang w:val="en-US"/>
        </w:rPr>
      </w:pPr>
      <w:r>
        <w:rPr>
          <w:rFonts w:cs="Times New Roman"/>
          <w:lang w:val="en-US"/>
        </w:rPr>
        <w:br w:type="page"/>
      </w:r>
    </w:p>
    <w:p w14:paraId="79067CE2" w14:textId="59028517" w:rsidR="002D4A07" w:rsidRPr="0029760E" w:rsidRDefault="0029760E" w:rsidP="0029760E">
      <w:pPr>
        <w:pStyle w:val="a0"/>
      </w:pPr>
      <w:r w:rsidRPr="0029760E">
        <w:lastRenderedPageBreak/>
        <w:t xml:space="preserve">Table </w:t>
      </w:r>
      <w:r>
        <w:fldChar w:fldCharType="begin"/>
      </w:r>
      <w:r w:rsidRPr="0029760E">
        <w:instrText xml:space="preserve"> SEQ Table \* ARABIC </w:instrText>
      </w:r>
      <w:r>
        <w:fldChar w:fldCharType="separate"/>
      </w:r>
      <w:r w:rsidR="004D16C9">
        <w:rPr>
          <w:noProof/>
        </w:rPr>
        <w:t>8</w:t>
      </w:r>
      <w:r>
        <w:fldChar w:fldCharType="end"/>
      </w:r>
      <w:r>
        <w:t>. Differences in correlation coefficients for the chosen currency pairs</w:t>
      </w:r>
    </w:p>
    <w:tbl>
      <w:tblPr>
        <w:tblStyle w:val="TableGrid"/>
        <w:tblW w:w="9356" w:type="dxa"/>
        <w:tblBorders>
          <w:left w:val="none" w:sz="0" w:space="0" w:color="auto"/>
          <w:bottom w:val="none" w:sz="0" w:space="0" w:color="auto"/>
          <w:right w:val="none" w:sz="0" w:space="0" w:color="auto"/>
        </w:tblBorders>
        <w:tblLook w:val="04A0" w:firstRow="1" w:lastRow="0" w:firstColumn="1" w:lastColumn="0" w:noHBand="0" w:noVBand="1"/>
      </w:tblPr>
      <w:tblGrid>
        <w:gridCol w:w="2835"/>
        <w:gridCol w:w="3402"/>
        <w:gridCol w:w="3119"/>
      </w:tblGrid>
      <w:tr w:rsidR="00244299" w:rsidRPr="00244299" w14:paraId="09D60130" w14:textId="2D7E82EF" w:rsidTr="009C4081">
        <w:tc>
          <w:tcPr>
            <w:tcW w:w="2835" w:type="dxa"/>
            <w:vAlign w:val="center"/>
          </w:tcPr>
          <w:p w14:paraId="568AEDC2" w14:textId="73BED62C" w:rsidR="00244299" w:rsidRPr="00B95C60" w:rsidRDefault="00244299" w:rsidP="00244299">
            <w:pPr>
              <w:spacing w:line="360" w:lineRule="auto"/>
              <w:jc w:val="center"/>
              <w:rPr>
                <w:rFonts w:cs="Times New Roman"/>
                <w:b/>
                <w:bCs/>
                <w:lang w:val="en-US"/>
              </w:rPr>
            </w:pPr>
            <w:r w:rsidRPr="00B95C60">
              <w:rPr>
                <w:rFonts w:cs="Times New Roman"/>
                <w:b/>
                <w:bCs/>
                <w:lang w:val="en-US"/>
              </w:rPr>
              <w:t>FX future currency pair</w:t>
            </w:r>
          </w:p>
        </w:tc>
        <w:tc>
          <w:tcPr>
            <w:tcW w:w="3402" w:type="dxa"/>
            <w:vAlign w:val="center"/>
          </w:tcPr>
          <w:p w14:paraId="2AD0082A" w14:textId="02AA9CC5" w:rsidR="00244299" w:rsidRPr="00244299" w:rsidRDefault="00244299" w:rsidP="00244299">
            <w:pPr>
              <w:spacing w:line="360" w:lineRule="auto"/>
              <w:jc w:val="center"/>
              <w:rPr>
                <w:rFonts w:cs="Times New Roman"/>
                <w:b/>
                <w:bCs/>
                <w:lang w:val="en-US"/>
              </w:rPr>
            </w:pPr>
            <w:r>
              <w:rPr>
                <w:rFonts w:cs="Times New Roman"/>
                <w:b/>
                <w:bCs/>
                <w:lang w:val="en-US"/>
              </w:rPr>
              <w:t>Sample variance:</w:t>
            </w:r>
            <w:r w:rsidRPr="00244299">
              <w:rPr>
                <w:rFonts w:cs="Times New Roman"/>
                <w:b/>
                <w:bCs/>
                <w:lang w:val="en-US"/>
              </w:rPr>
              <w:t xml:space="preserve"> </w:t>
            </w:r>
            <w:r w:rsidR="00562A5F">
              <w:rPr>
                <w:rFonts w:cs="Times New Roman"/>
                <w:b/>
                <w:bCs/>
                <w:lang w:val="en-US"/>
              </w:rPr>
              <w:t xml:space="preserve">deviation of observed </w:t>
            </w:r>
            <w:r>
              <w:rPr>
                <w:rFonts w:cs="Times New Roman"/>
                <w:b/>
                <w:bCs/>
                <w:lang w:val="en-US"/>
              </w:rPr>
              <w:t xml:space="preserve">price change </w:t>
            </w:r>
            <w:r w:rsidR="00562A5F">
              <w:rPr>
                <w:rFonts w:cs="Times New Roman"/>
                <w:b/>
                <w:bCs/>
                <w:lang w:val="en-US"/>
              </w:rPr>
              <w:t>from</w:t>
            </w:r>
            <w:r>
              <w:rPr>
                <w:rFonts w:cs="Times New Roman"/>
                <w:b/>
                <w:bCs/>
                <w:lang w:val="en-US"/>
              </w:rPr>
              <w:t xml:space="preserve"> price change, implied by FX spot and interest rate adjustment (a)</w:t>
            </w:r>
          </w:p>
        </w:tc>
        <w:tc>
          <w:tcPr>
            <w:tcW w:w="3119" w:type="dxa"/>
            <w:tcBorders>
              <w:bottom w:val="single" w:sz="4" w:space="0" w:color="auto"/>
            </w:tcBorders>
            <w:vAlign w:val="center"/>
          </w:tcPr>
          <w:p w14:paraId="6971E869" w14:textId="5ACAD191" w:rsidR="00244299" w:rsidRPr="00B95C60" w:rsidRDefault="00F5608F" w:rsidP="00244299">
            <w:pPr>
              <w:spacing w:line="360" w:lineRule="auto"/>
              <w:jc w:val="center"/>
              <w:rPr>
                <w:rFonts w:cs="Times New Roman"/>
                <w:b/>
                <w:bCs/>
                <w:lang w:val="en-US"/>
              </w:rPr>
            </w:pPr>
            <w:r>
              <w:rPr>
                <w:rFonts w:cs="Times New Roman"/>
                <w:b/>
                <w:bCs/>
                <w:lang w:val="en-US"/>
              </w:rPr>
              <w:t>Sample variance:</w:t>
            </w:r>
            <w:r w:rsidRPr="00244299">
              <w:rPr>
                <w:rFonts w:cs="Times New Roman"/>
                <w:b/>
                <w:bCs/>
                <w:lang w:val="en-US"/>
              </w:rPr>
              <w:t xml:space="preserve"> </w:t>
            </w:r>
            <w:r>
              <w:rPr>
                <w:rFonts w:cs="Times New Roman"/>
                <w:b/>
                <w:bCs/>
                <w:lang w:val="en-US"/>
              </w:rPr>
              <w:t>deviation of observed price</w:t>
            </w:r>
            <w:r>
              <w:rPr>
                <w:rFonts w:cs="Times New Roman"/>
                <w:b/>
                <w:bCs/>
                <w:lang w:val="en-US"/>
              </w:rPr>
              <w:t xml:space="preserve"> </w:t>
            </w:r>
            <w:r>
              <w:rPr>
                <w:rFonts w:cs="Times New Roman"/>
                <w:b/>
                <w:bCs/>
                <w:lang w:val="en-US"/>
              </w:rPr>
              <w:t>change from price change, implied by</w:t>
            </w:r>
            <w:r>
              <w:rPr>
                <w:rFonts w:cs="Times New Roman"/>
                <w:b/>
                <w:bCs/>
                <w:lang w:val="en-US"/>
              </w:rPr>
              <w:t xml:space="preserve"> only</w:t>
            </w:r>
            <w:r>
              <w:rPr>
                <w:rFonts w:cs="Times New Roman"/>
                <w:b/>
                <w:bCs/>
                <w:lang w:val="en-US"/>
              </w:rPr>
              <w:t xml:space="preserve"> FX spot</w:t>
            </w:r>
            <w:r>
              <w:rPr>
                <w:rFonts w:cs="Times New Roman"/>
                <w:b/>
                <w:bCs/>
                <w:lang w:val="en-US"/>
              </w:rPr>
              <w:t xml:space="preserve"> adjustment</w:t>
            </w:r>
            <w:r>
              <w:rPr>
                <w:rFonts w:cs="Times New Roman"/>
                <w:b/>
                <w:bCs/>
                <w:lang w:val="en-US"/>
              </w:rPr>
              <w:t xml:space="preserve"> (</w:t>
            </w:r>
            <w:r>
              <w:rPr>
                <w:rFonts w:cs="Times New Roman"/>
                <w:b/>
                <w:bCs/>
                <w:lang w:val="en-US"/>
              </w:rPr>
              <w:t>b</w:t>
            </w:r>
            <w:r>
              <w:rPr>
                <w:rFonts w:cs="Times New Roman"/>
                <w:b/>
                <w:bCs/>
                <w:lang w:val="en-US"/>
              </w:rPr>
              <w:t>)</w:t>
            </w:r>
          </w:p>
        </w:tc>
      </w:tr>
      <w:tr w:rsidR="00FB4736" w14:paraId="2CCC3500" w14:textId="51EDEFF7" w:rsidTr="009C4081">
        <w:tc>
          <w:tcPr>
            <w:tcW w:w="2835" w:type="dxa"/>
          </w:tcPr>
          <w:p w14:paraId="71F83E50" w14:textId="122D7ED2" w:rsidR="00FB4736" w:rsidRDefault="00FB4736" w:rsidP="00FB4736">
            <w:pPr>
              <w:spacing w:line="360" w:lineRule="auto"/>
              <w:rPr>
                <w:rFonts w:cs="Times New Roman"/>
                <w:lang w:val="en-US"/>
              </w:rPr>
            </w:pPr>
            <w:r>
              <w:rPr>
                <w:rFonts w:cs="Times New Roman"/>
                <w:lang w:val="en-US"/>
              </w:rPr>
              <w:t>USD/ CHF</w:t>
            </w:r>
          </w:p>
        </w:tc>
        <w:tc>
          <w:tcPr>
            <w:tcW w:w="3402" w:type="dxa"/>
            <w:tcBorders>
              <w:top w:val="single" w:sz="4" w:space="0" w:color="auto"/>
              <w:left w:val="nil"/>
              <w:bottom w:val="single" w:sz="4" w:space="0" w:color="auto"/>
              <w:right w:val="single" w:sz="4" w:space="0" w:color="auto"/>
            </w:tcBorders>
            <w:shd w:val="clear" w:color="auto" w:fill="auto"/>
            <w:vAlign w:val="center"/>
          </w:tcPr>
          <w:p w14:paraId="5B7B85E3" w14:textId="43A39C00" w:rsidR="00FB4736" w:rsidRPr="007141FF" w:rsidRDefault="00FB4736" w:rsidP="007141FF">
            <w:pPr>
              <w:spacing w:line="360" w:lineRule="auto"/>
              <w:jc w:val="right"/>
              <w:rPr>
                <w:rFonts w:cs="Times New Roman"/>
                <w:lang w:val="en-US"/>
              </w:rPr>
            </w:pPr>
            <w:r w:rsidRPr="007141FF">
              <w:rPr>
                <w:rFonts w:cs="Times New Roman"/>
                <w:color w:val="000000"/>
                <w:sz w:val="22"/>
              </w:rPr>
              <w:t>1,12992</w:t>
            </w:r>
          </w:p>
        </w:tc>
        <w:tc>
          <w:tcPr>
            <w:tcW w:w="3119" w:type="dxa"/>
            <w:tcBorders>
              <w:top w:val="single" w:sz="4" w:space="0" w:color="auto"/>
              <w:left w:val="single" w:sz="4" w:space="0" w:color="auto"/>
              <w:bottom w:val="single" w:sz="4" w:space="0" w:color="auto"/>
              <w:right w:val="nil"/>
            </w:tcBorders>
            <w:shd w:val="clear" w:color="auto" w:fill="auto"/>
            <w:vAlign w:val="center"/>
          </w:tcPr>
          <w:p w14:paraId="301BBF2F" w14:textId="76A48B75" w:rsidR="00FB4736" w:rsidRPr="007141FF" w:rsidRDefault="00FB4736" w:rsidP="007141FF">
            <w:pPr>
              <w:spacing w:line="360" w:lineRule="auto"/>
              <w:jc w:val="right"/>
              <w:rPr>
                <w:rFonts w:cs="Times New Roman"/>
                <w:lang w:val="en-US"/>
              </w:rPr>
            </w:pPr>
            <w:r w:rsidRPr="007141FF">
              <w:rPr>
                <w:rFonts w:cs="Times New Roman"/>
                <w:color w:val="000000"/>
                <w:sz w:val="22"/>
              </w:rPr>
              <w:t>0,767644</w:t>
            </w:r>
          </w:p>
        </w:tc>
      </w:tr>
      <w:tr w:rsidR="007141FF" w14:paraId="5B10E788" w14:textId="3382297E" w:rsidTr="009C4081">
        <w:tc>
          <w:tcPr>
            <w:tcW w:w="2835" w:type="dxa"/>
          </w:tcPr>
          <w:p w14:paraId="311A0B2E" w14:textId="0D47ED34" w:rsidR="007141FF" w:rsidRDefault="007141FF" w:rsidP="007141FF">
            <w:pPr>
              <w:spacing w:line="360" w:lineRule="auto"/>
              <w:rPr>
                <w:rFonts w:cs="Times New Roman"/>
                <w:lang w:val="en-US"/>
              </w:rPr>
            </w:pPr>
            <w:r>
              <w:rPr>
                <w:rFonts w:cs="Times New Roman"/>
                <w:lang w:val="en-US"/>
              </w:rPr>
              <w:t>USD/ JPY</w:t>
            </w:r>
          </w:p>
        </w:tc>
        <w:tc>
          <w:tcPr>
            <w:tcW w:w="3402" w:type="dxa"/>
            <w:tcBorders>
              <w:top w:val="single" w:sz="4" w:space="0" w:color="auto"/>
              <w:left w:val="nil"/>
              <w:bottom w:val="single" w:sz="4" w:space="0" w:color="auto"/>
              <w:right w:val="single" w:sz="4" w:space="0" w:color="auto"/>
            </w:tcBorders>
            <w:shd w:val="clear" w:color="auto" w:fill="auto"/>
            <w:vAlign w:val="center"/>
          </w:tcPr>
          <w:p w14:paraId="4F2BB6CE" w14:textId="7F70E782" w:rsidR="007141FF" w:rsidRPr="007141FF" w:rsidRDefault="007141FF" w:rsidP="007141FF">
            <w:pPr>
              <w:spacing w:line="360" w:lineRule="auto"/>
              <w:jc w:val="right"/>
              <w:rPr>
                <w:rFonts w:cs="Times New Roman"/>
                <w:lang w:val="en-US"/>
              </w:rPr>
            </w:pPr>
            <w:r w:rsidRPr="007141FF">
              <w:rPr>
                <w:rFonts w:cs="Times New Roman"/>
                <w:color w:val="000000"/>
                <w:sz w:val="22"/>
              </w:rPr>
              <w:t>1,8219</w:t>
            </w:r>
          </w:p>
        </w:tc>
        <w:tc>
          <w:tcPr>
            <w:tcW w:w="3119" w:type="dxa"/>
            <w:tcBorders>
              <w:top w:val="single" w:sz="4" w:space="0" w:color="auto"/>
              <w:left w:val="single" w:sz="4" w:space="0" w:color="auto"/>
              <w:bottom w:val="single" w:sz="4" w:space="0" w:color="auto"/>
              <w:right w:val="nil"/>
            </w:tcBorders>
            <w:shd w:val="clear" w:color="auto" w:fill="auto"/>
            <w:vAlign w:val="center"/>
          </w:tcPr>
          <w:p w14:paraId="237EA230" w14:textId="296E6A07" w:rsidR="007141FF" w:rsidRPr="007141FF" w:rsidRDefault="007141FF" w:rsidP="007141FF">
            <w:pPr>
              <w:spacing w:line="360" w:lineRule="auto"/>
              <w:jc w:val="right"/>
              <w:rPr>
                <w:rFonts w:cs="Times New Roman"/>
                <w:lang w:val="en-US"/>
              </w:rPr>
            </w:pPr>
            <w:r w:rsidRPr="007141FF">
              <w:rPr>
                <w:rFonts w:cs="Times New Roman"/>
                <w:color w:val="000000"/>
                <w:sz w:val="22"/>
              </w:rPr>
              <w:t>0,6944</w:t>
            </w:r>
          </w:p>
        </w:tc>
      </w:tr>
      <w:tr w:rsidR="007141FF" w14:paraId="37E2129A" w14:textId="4C20D5FE" w:rsidTr="009C4081">
        <w:tc>
          <w:tcPr>
            <w:tcW w:w="2835" w:type="dxa"/>
            <w:tcBorders>
              <w:right w:val="single" w:sz="4" w:space="0" w:color="auto"/>
            </w:tcBorders>
          </w:tcPr>
          <w:p w14:paraId="328F3F6C" w14:textId="06617585" w:rsidR="007141FF" w:rsidRDefault="007141FF" w:rsidP="007141FF">
            <w:pPr>
              <w:spacing w:line="360" w:lineRule="auto"/>
              <w:rPr>
                <w:rFonts w:cs="Times New Roman"/>
                <w:lang w:val="en-US"/>
              </w:rPr>
            </w:pPr>
            <w:r>
              <w:rPr>
                <w:rFonts w:cs="Times New Roman"/>
                <w:lang w:val="en-US"/>
              </w:rPr>
              <w:t>USD/ GBP</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C80E51B" w14:textId="23B894AF" w:rsidR="007141FF" w:rsidRPr="007141FF" w:rsidRDefault="007141FF" w:rsidP="007141FF">
            <w:pPr>
              <w:spacing w:line="360" w:lineRule="auto"/>
              <w:jc w:val="right"/>
              <w:rPr>
                <w:rFonts w:cs="Times New Roman"/>
                <w:lang w:val="en-US"/>
              </w:rPr>
            </w:pPr>
            <w:r w:rsidRPr="007141FF">
              <w:rPr>
                <w:rFonts w:cs="Times New Roman"/>
                <w:color w:val="000000"/>
                <w:sz w:val="22"/>
              </w:rPr>
              <w:t>0,068409</w:t>
            </w:r>
          </w:p>
        </w:tc>
        <w:tc>
          <w:tcPr>
            <w:tcW w:w="3119" w:type="dxa"/>
            <w:tcBorders>
              <w:top w:val="single" w:sz="4" w:space="0" w:color="auto"/>
              <w:left w:val="single" w:sz="4" w:space="0" w:color="auto"/>
              <w:bottom w:val="single" w:sz="4" w:space="0" w:color="auto"/>
              <w:right w:val="nil"/>
            </w:tcBorders>
            <w:shd w:val="clear" w:color="auto" w:fill="auto"/>
            <w:vAlign w:val="center"/>
          </w:tcPr>
          <w:p w14:paraId="22BE40D9" w14:textId="7B2CC37B" w:rsidR="007141FF" w:rsidRPr="007141FF" w:rsidRDefault="007141FF" w:rsidP="007141FF">
            <w:pPr>
              <w:spacing w:line="360" w:lineRule="auto"/>
              <w:jc w:val="right"/>
              <w:rPr>
                <w:rFonts w:cs="Times New Roman"/>
                <w:lang w:val="en-US"/>
              </w:rPr>
            </w:pPr>
            <w:r w:rsidRPr="007141FF">
              <w:rPr>
                <w:rFonts w:cs="Times New Roman"/>
                <w:color w:val="000000"/>
                <w:sz w:val="22"/>
              </w:rPr>
              <w:t>0,067146</w:t>
            </w:r>
          </w:p>
        </w:tc>
      </w:tr>
      <w:tr w:rsidR="009C4081" w14:paraId="500271F8" w14:textId="77CA9AEC" w:rsidTr="009C4081">
        <w:tc>
          <w:tcPr>
            <w:tcW w:w="2835" w:type="dxa"/>
            <w:tcBorders>
              <w:bottom w:val="single" w:sz="4" w:space="0" w:color="auto"/>
              <w:right w:val="single" w:sz="4" w:space="0" w:color="auto"/>
            </w:tcBorders>
          </w:tcPr>
          <w:p w14:paraId="76F076F5" w14:textId="6088DC50" w:rsidR="009C4081" w:rsidRPr="00244299" w:rsidRDefault="009C4081" w:rsidP="009C4081">
            <w:pPr>
              <w:spacing w:line="360" w:lineRule="auto"/>
              <w:rPr>
                <w:rFonts w:cs="Times New Roman"/>
              </w:rPr>
            </w:pPr>
            <w:r>
              <w:rPr>
                <w:rFonts w:cs="Times New Roman"/>
                <w:lang w:val="en-US"/>
              </w:rPr>
              <w:t>GBP/ JPY</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02108D1E" w14:textId="340CC1A8" w:rsidR="009C4081" w:rsidRPr="009C4081" w:rsidRDefault="009C4081" w:rsidP="009C4081">
            <w:pPr>
              <w:spacing w:line="360" w:lineRule="auto"/>
              <w:jc w:val="right"/>
              <w:rPr>
                <w:rFonts w:cs="Times New Roman"/>
                <w:color w:val="000000"/>
                <w:sz w:val="22"/>
              </w:rPr>
            </w:pPr>
            <w:r w:rsidRPr="009C4081">
              <w:rPr>
                <w:rFonts w:cs="Times New Roman"/>
                <w:color w:val="000000"/>
                <w:sz w:val="22"/>
              </w:rPr>
              <w:t>0,236856</w:t>
            </w:r>
          </w:p>
        </w:tc>
        <w:tc>
          <w:tcPr>
            <w:tcW w:w="3119" w:type="dxa"/>
            <w:tcBorders>
              <w:top w:val="single" w:sz="4" w:space="0" w:color="auto"/>
              <w:left w:val="single" w:sz="4" w:space="0" w:color="auto"/>
              <w:bottom w:val="single" w:sz="4" w:space="0" w:color="auto"/>
              <w:right w:val="nil"/>
            </w:tcBorders>
            <w:shd w:val="clear" w:color="auto" w:fill="auto"/>
            <w:vAlign w:val="bottom"/>
          </w:tcPr>
          <w:p w14:paraId="32A644A0" w14:textId="686E1E06" w:rsidR="009C4081" w:rsidRPr="009C4081" w:rsidRDefault="009C4081" w:rsidP="009C4081">
            <w:pPr>
              <w:spacing w:line="360" w:lineRule="auto"/>
              <w:jc w:val="right"/>
              <w:rPr>
                <w:rFonts w:cs="Times New Roman"/>
                <w:color w:val="000000"/>
                <w:sz w:val="22"/>
              </w:rPr>
            </w:pPr>
            <w:r w:rsidRPr="009C4081">
              <w:rPr>
                <w:rFonts w:cs="Times New Roman"/>
                <w:color w:val="000000"/>
                <w:sz w:val="22"/>
              </w:rPr>
              <w:t>0,236261</w:t>
            </w:r>
          </w:p>
        </w:tc>
      </w:tr>
      <w:tr w:rsidR="009C4081" w14:paraId="6776F7F6" w14:textId="77777777" w:rsidTr="009C4081">
        <w:tc>
          <w:tcPr>
            <w:tcW w:w="9356" w:type="dxa"/>
            <w:gridSpan w:val="3"/>
            <w:tcBorders>
              <w:bottom w:val="nil"/>
              <w:right w:val="nil"/>
            </w:tcBorders>
            <w:vAlign w:val="center"/>
          </w:tcPr>
          <w:p w14:paraId="2E78B2FA" w14:textId="4AF8A1A5" w:rsidR="009C4081" w:rsidRPr="00FD578C" w:rsidRDefault="009C4081" w:rsidP="009C4081">
            <w:pPr>
              <w:pStyle w:val="a1"/>
            </w:pPr>
            <w:r>
              <w:t>Source: Author’s calculations</w:t>
            </w:r>
          </w:p>
        </w:tc>
      </w:tr>
    </w:tbl>
    <w:p w14:paraId="5D886126" w14:textId="462DD561" w:rsidR="0029760E" w:rsidRDefault="00E047E5" w:rsidP="009C4081">
      <w:pPr>
        <w:spacing w:after="0" w:line="360" w:lineRule="auto"/>
        <w:ind w:firstLine="709"/>
        <w:rPr>
          <w:rFonts w:cs="Times New Roman"/>
          <w:lang w:val="en-US"/>
        </w:rPr>
      </w:pPr>
      <w:r>
        <w:rPr>
          <w:rFonts w:cs="Times New Roman"/>
          <w:lang w:val="en-US"/>
        </w:rPr>
        <w:t xml:space="preserve">On the basis of the analysis performed, we could conclude that, since </w:t>
      </w:r>
      <w:r w:rsidR="009C4081">
        <w:rPr>
          <w:rFonts w:cs="Times New Roman"/>
          <w:lang w:val="en-US"/>
        </w:rPr>
        <w:t xml:space="preserve">in all currency pairs presented variance of the difference between observed and two kinds of theoretical values was bigger in case adjustment was full (including interest rate) instead of non-full adjustment for FX spot rate only, we could conclude that market participants tend not use quoted LIBOR rates, because FX futures prices are not sensitive to the changes in these rates at the moment of their publication. Hence, we </w:t>
      </w:r>
      <w:r w:rsidR="009C4081" w:rsidRPr="009C4081">
        <w:rPr>
          <w:rFonts w:cs="Times New Roman"/>
          <w:lang w:val="en-US"/>
        </w:rPr>
        <w:t>should</w:t>
      </w:r>
      <w:r w:rsidR="009C4081" w:rsidRPr="009C4081">
        <w:rPr>
          <w:rFonts w:cs="Times New Roman"/>
          <w:b/>
          <w:bCs/>
          <w:lang w:val="en-US"/>
        </w:rPr>
        <w:t xml:space="preserve"> reject this hypothesis</w:t>
      </w:r>
      <w:r w:rsidR="009C4081">
        <w:rPr>
          <w:rFonts w:cs="Times New Roman"/>
          <w:lang w:val="en-US"/>
        </w:rPr>
        <w:t>.</w:t>
      </w:r>
    </w:p>
    <w:p w14:paraId="3A6AB827" w14:textId="77777777" w:rsidR="0029760E" w:rsidRPr="00833DB3" w:rsidRDefault="0029760E" w:rsidP="008226B3">
      <w:pPr>
        <w:spacing w:after="0" w:line="360" w:lineRule="auto"/>
        <w:ind w:firstLine="709"/>
        <w:rPr>
          <w:rFonts w:cs="Times New Roman"/>
          <w:lang w:val="en-US"/>
        </w:rPr>
      </w:pPr>
    </w:p>
    <w:p w14:paraId="71743E3D" w14:textId="12F5EE76" w:rsidR="00380864" w:rsidRPr="00377AE8" w:rsidRDefault="00CA515F" w:rsidP="00BE5FC9">
      <w:pPr>
        <w:pStyle w:val="3"/>
      </w:pPr>
      <w:r>
        <w:t>I</w:t>
      </w:r>
      <w:r w:rsidR="003150B1" w:rsidRPr="00377AE8">
        <w:t>mplied risk-free rate</w:t>
      </w:r>
    </w:p>
    <w:p w14:paraId="396083A6" w14:textId="4123F59B" w:rsidR="000B713C" w:rsidRDefault="003150B1" w:rsidP="008226B3">
      <w:pPr>
        <w:spacing w:after="0" w:line="360" w:lineRule="auto"/>
        <w:ind w:firstLine="709"/>
        <w:rPr>
          <w:rFonts w:cs="Times New Roman"/>
          <w:lang w:val="en-US"/>
        </w:rPr>
      </w:pPr>
      <w:r>
        <w:rPr>
          <w:rFonts w:cs="Times New Roman"/>
          <w:lang w:val="en-US"/>
        </w:rPr>
        <w:t>It is possible to extract implied risk-free rate, that provides zero deviation of the price of FX future from it’s theoretical value, using standard pricing formula and expressing one of the rates as the function of all other variables</w:t>
      </w:r>
      <w:r w:rsidR="00CC1E4C">
        <w:rPr>
          <w:rFonts w:cs="Times New Roman"/>
          <w:lang w:val="en-US"/>
        </w:rPr>
        <w:t xml:space="preserve">. </w:t>
      </w:r>
    </w:p>
    <w:p w14:paraId="25328141" w14:textId="77777777" w:rsidR="00035965" w:rsidRDefault="00963E1B" w:rsidP="008226B3">
      <w:pPr>
        <w:spacing w:after="0" w:line="360" w:lineRule="auto"/>
        <w:ind w:firstLine="709"/>
        <w:rPr>
          <w:rFonts w:eastAsiaTheme="minorEastAsia" w:cs="Times New Roman"/>
          <w:lang w:val="en-US"/>
        </w:rPr>
      </w:pPr>
      <w:r>
        <w:rPr>
          <w:rFonts w:cs="Times New Roman"/>
          <w:lang w:val="en-US"/>
        </w:rPr>
        <w:t>Given that:</w:t>
      </w:r>
      <w:r w:rsidR="00D04B3A">
        <w:rPr>
          <w:rFonts w:cs="Times New Roman"/>
          <w:lang w:val="en-US"/>
        </w:rPr>
        <w:t xml:space="preserve"> </w:t>
      </w:r>
    </w:p>
    <w:p w14:paraId="4921F044" w14:textId="77777777" w:rsidR="00360997" w:rsidRDefault="00963E1B" w:rsidP="008226B3">
      <w:pPr>
        <w:spacing w:after="0" w:line="360" w:lineRule="auto"/>
        <w:ind w:firstLine="709"/>
        <w:rPr>
          <w:rFonts w:eastAsiaTheme="minorEastAsia" w:cs="Times New Roman"/>
          <w:color w:val="000000" w:themeColor="text1"/>
          <w:lang w:val="en-US"/>
        </w:rPr>
      </w:pPr>
      <m:oMath>
        <m:r>
          <w:rPr>
            <w:rFonts w:ascii="Cambria Math" w:hAnsi="Cambria Math" w:cs="Times New Roman"/>
            <w:color w:val="000000" w:themeColor="text1"/>
            <w:lang w:val="en-US"/>
          </w:rPr>
          <m:t>FX future=FX*</m:t>
        </m:r>
        <m:func>
          <m:funcPr>
            <m:ctrlPr>
              <w:rPr>
                <w:rFonts w:ascii="Cambria Math" w:hAnsi="Cambria Math" w:cs="Times New Roman"/>
                <w:i/>
                <w:color w:val="000000" w:themeColor="text1"/>
                <w:lang w:val="en-US"/>
              </w:rPr>
            </m:ctrlPr>
          </m:funcPr>
          <m:fName>
            <m:r>
              <w:rPr>
                <w:rFonts w:ascii="Cambria Math" w:hAnsi="Cambria Math" w:cs="Times New Roman"/>
                <w:color w:val="000000" w:themeColor="text1"/>
                <w:lang w:val="en-US"/>
              </w:rPr>
              <m:t>exp</m:t>
            </m:r>
          </m:fName>
          <m:e>
            <m:r>
              <w:rPr>
                <w:rFonts w:ascii="Cambria Math" w:hAnsi="Cambria Math" w:cs="Times New Roman"/>
                <w:color w:val="000000" w:themeColor="text1"/>
                <w:lang w:val="en-US"/>
              </w:rPr>
              <m:t>((</m:t>
            </m:r>
          </m:e>
        </m:func>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r</m:t>
            </m:r>
          </m:e>
          <m:sub>
            <m:r>
              <w:rPr>
                <w:rFonts w:ascii="Cambria Math" w:hAnsi="Cambria Math" w:cs="Times New Roman"/>
                <w:color w:val="000000" w:themeColor="text1"/>
                <w:lang w:val="en-US"/>
              </w:rPr>
              <m:t>q</m:t>
            </m:r>
          </m:sub>
        </m:sSub>
        <m:r>
          <w:rPr>
            <w:rFonts w:ascii="Cambria Math" w:hAnsi="Cambria Math" w:cs="Times New Roman"/>
            <w:color w:val="000000" w:themeColor="text1"/>
            <w:lang w:val="en-US"/>
          </w:rPr>
          <m:t xml:space="preserve">- </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r</m:t>
            </m:r>
          </m:e>
          <m:sub>
            <m:r>
              <w:rPr>
                <w:rFonts w:ascii="Cambria Math" w:hAnsi="Cambria Math" w:cs="Times New Roman"/>
                <w:color w:val="000000" w:themeColor="text1"/>
                <w:lang w:val="en-US"/>
              </w:rPr>
              <m:t>b</m:t>
            </m:r>
          </m:sub>
        </m:sSub>
        <m:r>
          <w:rPr>
            <w:rFonts w:ascii="Cambria Math" w:hAnsi="Cambria Math" w:cs="Times New Roman"/>
            <w:color w:val="000000" w:themeColor="text1"/>
            <w:lang w:val="en-US"/>
          </w:rPr>
          <m:t>)*act/365))</m:t>
        </m:r>
      </m:oMath>
      <w:r w:rsidRPr="00963E1B">
        <w:rPr>
          <w:rFonts w:eastAsiaTheme="minorEastAsia" w:cs="Times New Roman"/>
          <w:color w:val="000000" w:themeColor="text1"/>
          <w:lang w:val="en-US"/>
        </w:rPr>
        <w:t xml:space="preserve">, </w:t>
      </w:r>
    </w:p>
    <w:p w14:paraId="4269F0E7" w14:textId="3D8241C5" w:rsidR="003150B1" w:rsidRDefault="00963E1B" w:rsidP="008226B3">
      <w:pPr>
        <w:spacing w:after="0" w:line="360" w:lineRule="auto"/>
        <w:ind w:firstLine="709"/>
        <w:rPr>
          <w:rFonts w:eastAsiaTheme="minorEastAsia" w:cs="Times New Roman"/>
          <w:color w:val="000000" w:themeColor="text1"/>
          <w:lang w:val="en-US"/>
        </w:rPr>
      </w:pPr>
      <w:r w:rsidRPr="00D04B3A">
        <w:rPr>
          <w:rFonts w:eastAsiaTheme="minorEastAsia" w:cs="Times New Roman"/>
          <w:color w:val="000000" w:themeColor="text1"/>
          <w:lang w:val="en-US"/>
        </w:rPr>
        <w:t>it could be determined that</w:t>
      </w:r>
    </w:p>
    <w:p w14:paraId="3DF00D6A" w14:textId="37934EAB" w:rsidR="005D1FB2" w:rsidRPr="00360997" w:rsidRDefault="00D01F34" w:rsidP="008226B3">
      <w:pPr>
        <w:spacing w:after="0" w:line="360" w:lineRule="auto"/>
        <w:ind w:firstLine="709"/>
        <w:rPr>
          <w:rFonts w:ascii="Cambria Math" w:eastAsiaTheme="minorEastAsia" w:hAnsi="Cambria Math"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r</m:t>
            </m:r>
          </m:e>
          <m:sub>
            <m:r>
              <w:rPr>
                <w:rFonts w:ascii="Cambria Math" w:hAnsi="Cambria Math" w:cs="Times New Roman"/>
                <w:color w:val="000000" w:themeColor="text1"/>
                <w:lang w:val="en-US"/>
              </w:rPr>
              <m:t>q</m:t>
            </m:r>
          </m:sub>
        </m:sSub>
        <m:r>
          <w:rPr>
            <w:rFonts w:ascii="Cambria Math" w:hAnsi="Cambria Math" w:cs="Times New Roman"/>
            <w:color w:val="000000" w:themeColor="text1"/>
            <w:lang w:val="en-US"/>
          </w:rPr>
          <m:t>-rb=</m:t>
        </m:r>
        <m:func>
          <m:funcPr>
            <m:ctrlPr>
              <w:rPr>
                <w:rFonts w:ascii="Cambria Math" w:hAnsi="Cambria Math" w:cs="Times New Roman"/>
                <w:i/>
                <w:color w:val="000000" w:themeColor="text1"/>
                <w:lang w:val="en-US"/>
              </w:rPr>
            </m:ctrlPr>
          </m:funcPr>
          <m:fName>
            <m:r>
              <m:rPr>
                <m:sty m:val="p"/>
              </m:rPr>
              <w:rPr>
                <w:rFonts w:ascii="Cambria Math" w:hAnsi="Cambria Math" w:cs="Times New Roman"/>
                <w:color w:val="000000" w:themeColor="text1"/>
                <w:lang w:val="en-US"/>
              </w:rPr>
              <m:t>ln</m:t>
            </m:r>
          </m:fName>
          <m:e>
            <m:d>
              <m:dPr>
                <m:ctrlPr>
                  <w:rPr>
                    <w:rFonts w:ascii="Cambria Math" w:hAnsi="Cambria Math" w:cs="Times New Roman"/>
                    <w:i/>
                    <w:color w:val="000000" w:themeColor="text1"/>
                    <w:lang w:val="en-US"/>
                  </w:rPr>
                </m:ctrlPr>
              </m:dPr>
              <m:e>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FX future exc</m:t>
                    </m:r>
                  </m:num>
                  <m:den>
                    <m:r>
                      <w:rPr>
                        <w:rFonts w:ascii="Cambria Math" w:hAnsi="Cambria Math" w:cs="Times New Roman"/>
                        <w:color w:val="000000" w:themeColor="text1"/>
                        <w:lang w:val="en-US"/>
                      </w:rPr>
                      <m:t>FX</m:t>
                    </m:r>
                  </m:den>
                </m:f>
              </m:e>
            </m:d>
          </m:e>
        </m:func>
        <m:r>
          <w:rPr>
            <w:rFonts w:ascii="Cambria Math" w:hAnsi="Cambria Math" w:cs="Times New Roman"/>
            <w:color w:val="000000" w:themeColor="text1"/>
            <w:lang w:val="en-US"/>
          </w:rPr>
          <m:t xml:space="preserve">* </m:t>
        </m:r>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365</m:t>
            </m:r>
          </m:num>
          <m:den>
            <m:r>
              <w:rPr>
                <w:rFonts w:ascii="Cambria Math" w:hAnsi="Cambria Math" w:cs="Times New Roman"/>
                <w:color w:val="000000" w:themeColor="text1"/>
                <w:lang w:val="en-US"/>
              </w:rPr>
              <m:t>act</m:t>
            </m:r>
          </m:den>
        </m:f>
        <m:r>
          <w:rPr>
            <w:rFonts w:ascii="Cambria Math" w:hAnsi="Cambria Math" w:cs="Times New Roman"/>
            <w:color w:val="000000" w:themeColor="text1"/>
            <w:lang w:val="en-US"/>
          </w:rPr>
          <m:t>,</m:t>
        </m:r>
      </m:oMath>
      <w:r w:rsidR="00035965" w:rsidRPr="00360997">
        <w:rPr>
          <w:rFonts w:ascii="Cambria Math" w:eastAsiaTheme="minorEastAsia" w:hAnsi="Cambria Math" w:cs="Times New Roman"/>
          <w:color w:val="000000" w:themeColor="text1"/>
          <w:lang w:val="en-US"/>
        </w:rPr>
        <w:t xml:space="preserve"> </w:t>
      </w:r>
      <w:r w:rsidR="00035965" w:rsidRPr="00F901CB">
        <w:rPr>
          <w:lang w:val="en-US"/>
        </w:rPr>
        <w:t>and hence:</w:t>
      </w:r>
    </w:p>
    <w:p w14:paraId="7E86647C" w14:textId="77777777" w:rsidR="003F7AA1" w:rsidRDefault="00D01F34" w:rsidP="008226B3">
      <w:pPr>
        <w:spacing w:after="0" w:line="360" w:lineRule="auto"/>
        <w:ind w:firstLine="709"/>
        <w:rPr>
          <w:rFonts w:ascii="Cambria Math" w:eastAsiaTheme="minorEastAsia" w:hAnsi="Cambria Math"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r</m:t>
            </m:r>
          </m:e>
          <m:sub>
            <m:r>
              <w:rPr>
                <w:rFonts w:ascii="Cambria Math" w:hAnsi="Cambria Math" w:cs="Times New Roman"/>
                <w:color w:val="000000" w:themeColor="text1"/>
                <w:lang w:val="en-US"/>
              </w:rPr>
              <m:t>q</m:t>
            </m:r>
          </m:sub>
        </m:sSub>
        <m:r>
          <w:rPr>
            <w:rFonts w:ascii="Cambria Math" w:hAnsi="Cambria Math" w:cs="Times New Roman"/>
            <w:color w:val="000000" w:themeColor="text1"/>
            <w:lang w:val="en-US"/>
          </w:rPr>
          <m:t>=</m:t>
        </m:r>
        <m:func>
          <m:funcPr>
            <m:ctrlPr>
              <w:rPr>
                <w:rFonts w:ascii="Cambria Math" w:hAnsi="Cambria Math" w:cs="Times New Roman"/>
                <w:i/>
                <w:color w:val="000000" w:themeColor="text1"/>
                <w:lang w:val="en-US"/>
              </w:rPr>
            </m:ctrlPr>
          </m:funcPr>
          <m:fName>
            <m:r>
              <m:rPr>
                <m:sty m:val="p"/>
              </m:rPr>
              <w:rPr>
                <w:rFonts w:ascii="Cambria Math" w:hAnsi="Cambria Math" w:cs="Times New Roman"/>
                <w:color w:val="000000" w:themeColor="text1"/>
                <w:lang w:val="en-US"/>
              </w:rPr>
              <m:t>ln</m:t>
            </m:r>
          </m:fName>
          <m:e>
            <m:d>
              <m:dPr>
                <m:ctrlPr>
                  <w:rPr>
                    <w:rFonts w:ascii="Cambria Math" w:hAnsi="Cambria Math" w:cs="Times New Roman"/>
                    <w:i/>
                    <w:color w:val="000000" w:themeColor="text1"/>
                    <w:lang w:val="en-US"/>
                  </w:rPr>
                </m:ctrlPr>
              </m:dPr>
              <m:e>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FX future exc</m:t>
                    </m:r>
                  </m:num>
                  <m:den>
                    <m:r>
                      <w:rPr>
                        <w:rFonts w:ascii="Cambria Math" w:hAnsi="Cambria Math" w:cs="Times New Roman"/>
                        <w:color w:val="000000" w:themeColor="text1"/>
                        <w:lang w:val="en-US"/>
                      </w:rPr>
                      <m:t>FX</m:t>
                    </m:r>
                  </m:den>
                </m:f>
              </m:e>
            </m:d>
          </m:e>
        </m:func>
        <m:r>
          <w:rPr>
            <w:rFonts w:ascii="Cambria Math" w:hAnsi="Cambria Math" w:cs="Times New Roman"/>
            <w:color w:val="000000" w:themeColor="text1"/>
            <w:lang w:val="en-US"/>
          </w:rPr>
          <m:t xml:space="preserve">* </m:t>
        </m:r>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365</m:t>
            </m:r>
          </m:num>
          <m:den>
            <m:r>
              <w:rPr>
                <w:rFonts w:ascii="Cambria Math" w:hAnsi="Cambria Math" w:cs="Times New Roman"/>
                <w:color w:val="000000" w:themeColor="text1"/>
                <w:lang w:val="en-US"/>
              </w:rPr>
              <m:t>act</m:t>
            </m:r>
          </m:den>
        </m:f>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r</m:t>
            </m:r>
          </m:e>
          <m:sub>
            <m:r>
              <w:rPr>
                <w:rFonts w:ascii="Cambria Math" w:hAnsi="Cambria Math" w:cs="Times New Roman"/>
                <w:color w:val="000000" w:themeColor="text1"/>
                <w:lang w:val="en-US"/>
              </w:rPr>
              <m:t>b</m:t>
            </m:r>
          </m:sub>
        </m:sSub>
      </m:oMath>
      <w:r w:rsidR="003150B1" w:rsidRPr="00360997">
        <w:rPr>
          <w:rFonts w:ascii="Cambria Math" w:eastAsiaTheme="minorEastAsia" w:hAnsi="Cambria Math" w:cs="Times New Roman"/>
          <w:color w:val="000000" w:themeColor="text1"/>
          <w:lang w:val="en-US"/>
        </w:rPr>
        <w:t xml:space="preserve">, </w:t>
      </w:r>
    </w:p>
    <w:p w14:paraId="42EFC715" w14:textId="3A342BF0" w:rsidR="00035965" w:rsidRPr="003F7AA1" w:rsidRDefault="00D01F34" w:rsidP="003F7AA1">
      <w:pPr>
        <w:spacing w:after="0" w:line="360" w:lineRule="auto"/>
        <w:ind w:left="709"/>
        <w:rPr>
          <w:rFonts w:ascii="Cambria Math" w:hAnsi="Cambria Math" w:cs="Times New Roman"/>
          <w:i/>
          <w:color w:val="000000" w:themeColor="text1"/>
          <w:lang w:val="en-US"/>
        </w:rPr>
      </w:pPr>
      <m:oMathPara>
        <m:oMathParaPr>
          <m:jc m:val="left"/>
        </m:oMathParaPr>
        <m:oMath>
          <m:sSub>
            <m:sSubPr>
              <m:ctrlPr>
                <w:rPr>
                  <w:rFonts w:ascii="Cambria Math" w:hAnsi="Cambria Math" w:cs="Times New Roman"/>
                  <w:i/>
                  <w:color w:val="000000" w:themeColor="text1"/>
                  <w:sz w:val="18"/>
                  <w:szCs w:val="16"/>
                  <w:lang w:val="en-US"/>
                </w:rPr>
              </m:ctrlPr>
            </m:sSubPr>
            <m:e>
              <m:r>
                <w:rPr>
                  <w:rFonts w:ascii="Cambria Math" w:hAnsi="Cambria Math" w:cs="Times New Roman"/>
                  <w:color w:val="000000" w:themeColor="text1"/>
                  <w:sz w:val="18"/>
                  <w:szCs w:val="16"/>
                  <w:lang w:val="en-US"/>
                </w:rPr>
                <m:t>r</m:t>
              </m:r>
            </m:e>
            <m:sub>
              <m:r>
                <w:rPr>
                  <w:rFonts w:ascii="Cambria Math" w:hAnsi="Cambria Math" w:cs="Times New Roman"/>
                  <w:color w:val="000000" w:themeColor="text1"/>
                  <w:sz w:val="18"/>
                  <w:szCs w:val="16"/>
                  <w:lang w:val="en-US"/>
                </w:rPr>
                <m:t>b</m:t>
              </m:r>
            </m:sub>
          </m:sSub>
          <m:r>
            <w:rPr>
              <w:rFonts w:ascii="Cambria Math" w:hAnsi="Cambria Math" w:cs="Times New Roman"/>
              <w:color w:val="000000" w:themeColor="text1"/>
              <w:sz w:val="18"/>
              <w:szCs w:val="16"/>
              <w:lang w:val="en-US"/>
            </w:rPr>
            <m:t xml:space="preserve">= </m:t>
          </m:r>
          <m:sSub>
            <m:sSubPr>
              <m:ctrlPr>
                <w:rPr>
                  <w:rFonts w:ascii="Cambria Math" w:hAnsi="Cambria Math" w:cs="Times New Roman"/>
                  <w:i/>
                  <w:color w:val="000000" w:themeColor="text1"/>
                  <w:sz w:val="18"/>
                  <w:szCs w:val="16"/>
                  <w:lang w:val="en-US"/>
                </w:rPr>
              </m:ctrlPr>
            </m:sSubPr>
            <m:e>
              <m:r>
                <w:rPr>
                  <w:rFonts w:ascii="Cambria Math" w:hAnsi="Cambria Math" w:cs="Times New Roman"/>
                  <w:color w:val="000000" w:themeColor="text1"/>
                  <w:sz w:val="18"/>
                  <w:szCs w:val="16"/>
                  <w:lang w:val="en-US"/>
                </w:rPr>
                <m:t>r</m:t>
              </m:r>
            </m:e>
            <m:sub>
              <m:r>
                <w:rPr>
                  <w:rFonts w:ascii="Cambria Math" w:hAnsi="Cambria Math" w:cs="Times New Roman"/>
                  <w:color w:val="000000" w:themeColor="text1"/>
                  <w:sz w:val="18"/>
                  <w:szCs w:val="16"/>
                  <w:lang w:val="en-US"/>
                </w:rPr>
                <m:t>q</m:t>
              </m:r>
            </m:sub>
          </m:sSub>
          <m:r>
            <w:rPr>
              <w:rFonts w:ascii="Cambria Math" w:hAnsi="Cambria Math" w:cs="Times New Roman"/>
              <w:color w:val="000000" w:themeColor="text1"/>
              <w:sz w:val="18"/>
              <w:szCs w:val="16"/>
              <w:lang w:val="en-US"/>
            </w:rPr>
            <m:t xml:space="preserve">- </m:t>
          </m:r>
          <m:func>
            <m:funcPr>
              <m:ctrlPr>
                <w:rPr>
                  <w:rFonts w:ascii="Cambria Math" w:hAnsi="Cambria Math" w:cs="Times New Roman"/>
                  <w:i/>
                  <w:color w:val="000000" w:themeColor="text1"/>
                  <w:sz w:val="18"/>
                  <w:szCs w:val="16"/>
                  <w:lang w:val="en-US"/>
                </w:rPr>
              </m:ctrlPr>
            </m:funcPr>
            <m:fName>
              <m:r>
                <w:rPr>
                  <w:rFonts w:ascii="Cambria Math" w:hAnsi="Cambria Math" w:cs="Times New Roman"/>
                  <w:color w:val="000000" w:themeColor="text1"/>
                  <w:sz w:val="18"/>
                  <w:szCs w:val="16"/>
                  <w:lang w:val="en-US"/>
                </w:rPr>
                <m:t>ln</m:t>
              </m:r>
            </m:fName>
            <m:e>
              <m:d>
                <m:dPr>
                  <m:ctrlPr>
                    <w:rPr>
                      <w:rFonts w:ascii="Cambria Math" w:hAnsi="Cambria Math" w:cs="Times New Roman"/>
                      <w:i/>
                      <w:color w:val="000000" w:themeColor="text1"/>
                      <w:sz w:val="18"/>
                      <w:szCs w:val="16"/>
                      <w:lang w:val="en-US"/>
                    </w:rPr>
                  </m:ctrlPr>
                </m:dPr>
                <m:e>
                  <m:f>
                    <m:fPr>
                      <m:ctrlPr>
                        <w:rPr>
                          <w:rFonts w:ascii="Cambria Math" w:hAnsi="Cambria Math" w:cs="Times New Roman"/>
                          <w:i/>
                          <w:color w:val="000000" w:themeColor="text1"/>
                          <w:sz w:val="18"/>
                          <w:szCs w:val="16"/>
                          <w:lang w:val="en-US"/>
                        </w:rPr>
                      </m:ctrlPr>
                    </m:fPr>
                    <m:num>
                      <m:r>
                        <w:rPr>
                          <w:rFonts w:ascii="Cambria Math" w:hAnsi="Cambria Math" w:cs="Times New Roman"/>
                          <w:color w:val="000000" w:themeColor="text1"/>
                          <w:sz w:val="18"/>
                          <w:szCs w:val="16"/>
                          <w:lang w:val="en-US"/>
                        </w:rPr>
                        <m:t>FX future exc</m:t>
                      </m:r>
                    </m:num>
                    <m:den>
                      <m:r>
                        <w:rPr>
                          <w:rFonts w:ascii="Cambria Math" w:hAnsi="Cambria Math" w:cs="Times New Roman"/>
                          <w:color w:val="000000" w:themeColor="text1"/>
                          <w:sz w:val="18"/>
                          <w:szCs w:val="16"/>
                          <w:lang w:val="en-US"/>
                        </w:rPr>
                        <m:t>FX</m:t>
                      </m:r>
                    </m:den>
                  </m:f>
                </m:e>
              </m:d>
            </m:e>
          </m:func>
          <m:r>
            <w:rPr>
              <w:rFonts w:ascii="Cambria Math" w:hAnsi="Cambria Math" w:cs="Times New Roman"/>
              <w:color w:val="000000" w:themeColor="text1"/>
              <w:sz w:val="18"/>
              <w:szCs w:val="16"/>
              <w:lang w:val="en-US"/>
            </w:rPr>
            <m:t xml:space="preserve">* </m:t>
          </m:r>
          <m:f>
            <m:fPr>
              <m:ctrlPr>
                <w:rPr>
                  <w:rFonts w:ascii="Cambria Math" w:hAnsi="Cambria Math" w:cs="Times New Roman"/>
                  <w:i/>
                  <w:color w:val="000000" w:themeColor="text1"/>
                  <w:sz w:val="18"/>
                  <w:szCs w:val="16"/>
                  <w:lang w:val="en-US"/>
                </w:rPr>
              </m:ctrlPr>
            </m:fPr>
            <m:num>
              <m:r>
                <w:rPr>
                  <w:rFonts w:ascii="Cambria Math" w:hAnsi="Cambria Math" w:cs="Times New Roman"/>
                  <w:color w:val="000000" w:themeColor="text1"/>
                  <w:sz w:val="18"/>
                  <w:szCs w:val="16"/>
                  <w:lang w:val="en-US"/>
                </w:rPr>
                <m:t>365</m:t>
              </m:r>
            </m:num>
            <m:den>
              <m:r>
                <w:rPr>
                  <w:rFonts w:ascii="Cambria Math" w:hAnsi="Cambria Math" w:cs="Times New Roman"/>
                  <w:color w:val="000000" w:themeColor="text1"/>
                  <w:sz w:val="18"/>
                  <w:szCs w:val="16"/>
                  <w:lang w:val="en-US"/>
                </w:rPr>
                <m:t>act</m:t>
              </m:r>
            </m:den>
          </m:f>
          <m:r>
            <w:rPr>
              <w:rFonts w:ascii="Cambria Math" w:hAnsi="Cambria Math"/>
            </w:rPr>
            <m:t xml:space="preserve">, </m:t>
          </m:r>
          <m:r>
            <m:rPr>
              <m:sty m:val="p"/>
            </m:rPr>
            <w:rPr>
              <w:rFonts w:ascii="Cambria Math" w:hAnsi="Cambria Math"/>
            </w:rPr>
            <m:t>where</m:t>
          </m:r>
        </m:oMath>
      </m:oMathPara>
    </w:p>
    <w:p w14:paraId="36F7D196" w14:textId="6C9A54B5" w:rsidR="003150B1" w:rsidRDefault="00D01F34" w:rsidP="008226B3">
      <w:pPr>
        <w:spacing w:after="0" w:line="360" w:lineRule="auto"/>
        <w:ind w:firstLine="709"/>
        <w:rPr>
          <w:rFonts w:eastAsiaTheme="minorEastAsia"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b</m:t>
            </m:r>
          </m:sub>
        </m:sSub>
      </m:oMath>
      <w:r w:rsidR="003150B1">
        <w:rPr>
          <w:rFonts w:eastAsiaTheme="minorEastAsia" w:cs="Times New Roman"/>
          <w:lang w:val="en-US"/>
        </w:rPr>
        <w:t xml:space="preserve"> – base currency risk-free rate</w:t>
      </w:r>
    </w:p>
    <w:p w14:paraId="77B09F75" w14:textId="4AF9354A" w:rsidR="003150B1" w:rsidRDefault="00D01F34" w:rsidP="008226B3">
      <w:pPr>
        <w:spacing w:after="0" w:line="360" w:lineRule="auto"/>
        <w:ind w:firstLine="709"/>
        <w:rPr>
          <w:rFonts w:eastAsiaTheme="minorEastAsia"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q</m:t>
            </m:r>
          </m:sub>
        </m:sSub>
      </m:oMath>
      <w:r w:rsidR="00CC1E4C">
        <w:rPr>
          <w:rFonts w:eastAsiaTheme="minorEastAsia" w:cs="Times New Roman"/>
          <w:lang w:val="en-US"/>
        </w:rPr>
        <w:t xml:space="preserve"> – quote currency risk-free rate: interpolated LIBOR is used</w:t>
      </w:r>
    </w:p>
    <w:p w14:paraId="1D23114D" w14:textId="3AB11214" w:rsidR="003150B1" w:rsidRDefault="003150B1" w:rsidP="008226B3">
      <w:pPr>
        <w:spacing w:after="0" w:line="360" w:lineRule="auto"/>
        <w:ind w:firstLine="709"/>
        <w:rPr>
          <w:rFonts w:eastAsiaTheme="minorEastAsia" w:cs="Times New Roman"/>
          <w:lang w:val="en-US"/>
        </w:rPr>
      </w:pPr>
      <m:oMath>
        <m:r>
          <w:rPr>
            <w:rFonts w:ascii="Cambria Math" w:hAnsi="Cambria Math" w:cs="Times New Roman"/>
            <w:lang w:val="en-US"/>
          </w:rPr>
          <m:t>FX future exc</m:t>
        </m:r>
      </m:oMath>
      <w:r>
        <w:rPr>
          <w:rFonts w:eastAsiaTheme="minorEastAsia" w:cs="Times New Roman"/>
          <w:lang w:val="en-US"/>
        </w:rPr>
        <w:t xml:space="preserve"> – closing price of FX future</w:t>
      </w:r>
      <w:r w:rsidR="00D20A8F">
        <w:rPr>
          <w:rFonts w:eastAsiaTheme="minorEastAsia" w:cs="Times New Roman"/>
          <w:lang w:val="en-US"/>
        </w:rPr>
        <w:t xml:space="preserve"> with 30-minutes update frequency</w:t>
      </w:r>
    </w:p>
    <w:p w14:paraId="1600540C" w14:textId="44E60BDE" w:rsidR="00377AE8" w:rsidRDefault="00377AE8" w:rsidP="008226B3">
      <w:pPr>
        <w:spacing w:after="0" w:line="360" w:lineRule="auto"/>
        <w:ind w:firstLine="709"/>
        <w:rPr>
          <w:rFonts w:eastAsiaTheme="minorEastAsia" w:cs="Times New Roman"/>
          <w:lang w:val="en-US"/>
        </w:rPr>
      </w:pPr>
      <w:r w:rsidRPr="00D20A8F">
        <w:rPr>
          <w:rFonts w:ascii="Cambria Math" w:hAnsi="Cambria Math" w:cs="Times New Roman"/>
          <w:i/>
          <w:lang w:val="en-US"/>
        </w:rPr>
        <w:t>FX</w:t>
      </w:r>
      <w:r>
        <w:rPr>
          <w:rFonts w:eastAsiaTheme="minorEastAsia" w:cs="Times New Roman"/>
          <w:lang w:val="en-US"/>
        </w:rPr>
        <w:t xml:space="preserve"> – closing FX rate updated every 30-minutes</w:t>
      </w:r>
    </w:p>
    <w:p w14:paraId="3961B4DA" w14:textId="46A75125" w:rsidR="003150B1" w:rsidRDefault="00963E1B" w:rsidP="008226B3">
      <w:pPr>
        <w:spacing w:after="0" w:line="360" w:lineRule="auto"/>
        <w:ind w:firstLine="709"/>
        <w:rPr>
          <w:rFonts w:eastAsiaTheme="minorEastAsia" w:cs="Times New Roman"/>
          <w:lang w:val="en-US"/>
        </w:rPr>
      </w:pPr>
      <w:r w:rsidRPr="00D20A8F">
        <w:rPr>
          <w:rFonts w:ascii="Cambria Math" w:hAnsi="Cambria Math" w:cs="Times New Roman"/>
          <w:i/>
          <w:lang w:val="en-US"/>
        </w:rPr>
        <w:t>a</w:t>
      </w:r>
      <w:r w:rsidR="003150B1" w:rsidRPr="00D20A8F">
        <w:rPr>
          <w:rFonts w:ascii="Cambria Math" w:hAnsi="Cambria Math" w:cs="Times New Roman"/>
          <w:i/>
          <w:lang w:val="en-US"/>
        </w:rPr>
        <w:t>ct</w:t>
      </w:r>
      <w:r w:rsidR="003150B1">
        <w:rPr>
          <w:rFonts w:eastAsiaTheme="minorEastAsia" w:cs="Times New Roman"/>
          <w:lang w:val="en-US"/>
        </w:rPr>
        <w:t xml:space="preserve"> – number of days until expiration</w:t>
      </w:r>
    </w:p>
    <w:p w14:paraId="5CFE4A6D" w14:textId="06DACE80" w:rsidR="00614E9F" w:rsidRDefault="00AF0FD7" w:rsidP="008226B3">
      <w:pPr>
        <w:spacing w:after="0" w:line="360" w:lineRule="auto"/>
        <w:ind w:firstLine="709"/>
        <w:rPr>
          <w:rFonts w:eastAsiaTheme="minorEastAsia" w:cs="Times New Roman"/>
          <w:lang w:val="en-US"/>
        </w:rPr>
      </w:pPr>
      <w:r>
        <w:rPr>
          <w:rFonts w:eastAsiaTheme="minorEastAsia" w:cs="Times New Roman"/>
          <w:lang w:val="en-US"/>
        </w:rPr>
        <w:lastRenderedPageBreak/>
        <w:t xml:space="preserve">This variable, </w:t>
      </w:r>
      <w:r w:rsidR="003F7AA1" w:rsidRPr="003F7AA1">
        <w:rPr>
          <w:rFonts w:eastAsiaTheme="minorEastAsia" w:cs="Times New Roman"/>
          <w:lang w:val="en-US"/>
        </w:rPr>
        <w:t>«</w:t>
      </w:r>
      <w:r>
        <w:rPr>
          <w:rFonts w:eastAsiaTheme="minorEastAsia" w:cs="Times New Roman"/>
          <w:lang w:val="en-US"/>
        </w:rPr>
        <w:t>implied risk-free rate</w:t>
      </w:r>
      <w:r w:rsidR="003F7AA1" w:rsidRPr="003F7AA1">
        <w:rPr>
          <w:rFonts w:eastAsiaTheme="minorEastAsia" w:cs="Times New Roman"/>
          <w:lang w:val="en-US"/>
        </w:rPr>
        <w:t>»</w:t>
      </w:r>
      <w:r>
        <w:rPr>
          <w:rFonts w:eastAsiaTheme="minorEastAsia" w:cs="Times New Roman"/>
          <w:lang w:val="en-US"/>
        </w:rPr>
        <w:t>, may be useful for the purposes of assessment of deviation of FX future from theoretical price not in terms of basis points, but in terms of one of the risk-free rates used in valuation. We could state that for FX futures</w:t>
      </w:r>
      <w:r w:rsidR="003F7AA1">
        <w:rPr>
          <w:rFonts w:eastAsiaTheme="minorEastAsia" w:cs="Times New Roman"/>
          <w:lang w:val="en-US"/>
        </w:rPr>
        <w:t>,</w:t>
      </w:r>
      <w:r>
        <w:rPr>
          <w:rFonts w:eastAsiaTheme="minorEastAsia" w:cs="Times New Roman"/>
          <w:lang w:val="en-US"/>
        </w:rPr>
        <w:t xml:space="preserve"> where theoretical price calculated </w:t>
      </w:r>
      <w:r w:rsidR="000F765E">
        <w:rPr>
          <w:rFonts w:eastAsiaTheme="minorEastAsia" w:cs="Times New Roman"/>
          <w:lang w:val="en-US"/>
        </w:rPr>
        <w:t>with quoted interbank rates</w:t>
      </w:r>
      <w:r>
        <w:rPr>
          <w:rFonts w:eastAsiaTheme="minorEastAsia" w:cs="Times New Roman"/>
          <w:lang w:val="en-US"/>
        </w:rPr>
        <w:t xml:space="preserve"> does not deviate from</w:t>
      </w:r>
      <w:r w:rsidR="000F765E">
        <w:rPr>
          <w:rFonts w:eastAsiaTheme="minorEastAsia" w:cs="Times New Roman"/>
          <w:lang w:val="en-US"/>
        </w:rPr>
        <w:t xml:space="preserve"> observed price, implied risk-free rate should be close to the quoted interbank rate</w:t>
      </w:r>
      <w:r w:rsidR="00614E9F">
        <w:rPr>
          <w:rFonts w:eastAsiaTheme="minorEastAsia" w:cs="Times New Roman"/>
          <w:lang w:val="en-US"/>
        </w:rPr>
        <w:t xml:space="preserve">. But we could also state the limitations of this variable, if used in isolation: </w:t>
      </w:r>
    </w:p>
    <w:p w14:paraId="7430B364" w14:textId="06FAF169" w:rsidR="00AF0FD7" w:rsidRPr="003F7AA1" w:rsidRDefault="00614E9F" w:rsidP="003F7AA1">
      <w:pPr>
        <w:pStyle w:val="-"/>
      </w:pPr>
      <w:r w:rsidRPr="003F7AA1">
        <w:t xml:space="preserve">deviation of FX future price from it’s theoretical value may not be driven solely by the usage of other risk-free rates. </w:t>
      </w:r>
    </w:p>
    <w:p w14:paraId="6E13B4C2" w14:textId="0556746F" w:rsidR="00614E9F" w:rsidRPr="003F7AA1" w:rsidRDefault="001A662F" w:rsidP="003F7AA1">
      <w:pPr>
        <w:pStyle w:val="-"/>
      </w:pPr>
      <w:r w:rsidRPr="003F7AA1">
        <w:t>if calculated for only one currency pair, implied risk-free rate is not representative, since, by the nature of the formula used, the lending rate for opposite currency in a pair influences the implied risk-free rate. As a consequence, we will calculate implied risk-free rate having only 2 or more currency pairs.</w:t>
      </w:r>
    </w:p>
    <w:p w14:paraId="38760AD7" w14:textId="299C3CFB" w:rsidR="0080263A" w:rsidRDefault="003F7AA1" w:rsidP="008226B3">
      <w:pPr>
        <w:spacing w:after="0" w:line="360" w:lineRule="auto"/>
        <w:ind w:firstLine="709"/>
        <w:rPr>
          <w:rFonts w:cs="Times New Roman"/>
          <w:lang w:val="en-US"/>
        </w:rPr>
      </w:pPr>
      <w:r>
        <w:rPr>
          <w:rFonts w:cs="Times New Roman"/>
          <w:lang w:val="en-US"/>
        </w:rPr>
        <w:t>Taking into account all of the limitations listed, we decided to do the following: (a) calculate implied risk-free rates only for the currencies quoted through at least 2 currency pairs, (b) not to use currency pair, if in all cases opposite currency demonstrates significant and stable deviations from theoretical value</w:t>
      </w:r>
      <w:r w:rsidR="00190EB4">
        <w:rPr>
          <w:rStyle w:val="FootnoteReference"/>
          <w:rFonts w:cs="Times New Roman"/>
          <w:lang w:val="en-US"/>
        </w:rPr>
        <w:footnoteReference w:id="62"/>
      </w:r>
      <w:r>
        <w:rPr>
          <w:rFonts w:cs="Times New Roman"/>
          <w:lang w:val="en-US"/>
        </w:rPr>
        <w:t xml:space="preserve"> (i.e. when it is obvious that rates used by market participants do differ from quoted rates (e.g., LIBOR)), (c) in case implied risk-free rate is lower than the quoted LIBOR rate, results will be</w:t>
      </w:r>
      <w:r w:rsidR="00190EB4">
        <w:rPr>
          <w:rFonts w:cs="Times New Roman"/>
          <w:lang w:val="en-US"/>
        </w:rPr>
        <w:t xml:space="preserve"> reported, but</w:t>
      </w:r>
      <w:r>
        <w:rPr>
          <w:rFonts w:cs="Times New Roman"/>
          <w:lang w:val="en-US"/>
        </w:rPr>
        <w:t xml:space="preserve"> ignored and not </w:t>
      </w:r>
      <w:r w:rsidR="00190EB4">
        <w:rPr>
          <w:rFonts w:cs="Times New Roman"/>
          <w:lang w:val="en-US"/>
        </w:rPr>
        <w:t>taken for further analysis, because we should not assume negative premium over LIBOR (or, in simple words, implied risk-free rate could not be less than LIBOR)</w:t>
      </w:r>
      <w:r w:rsidR="0080263A">
        <w:rPr>
          <w:rFonts w:cs="Times New Roman"/>
          <w:lang w:val="en-US"/>
        </w:rPr>
        <w:t xml:space="preserve">, (d) due to the design of the formula, </w:t>
      </w:r>
      <m:oMath>
        <m:f>
          <m:fPr>
            <m:ctrlPr>
              <w:rPr>
                <w:rFonts w:ascii="Cambria Math" w:hAnsi="Cambria Math" w:cs="Times New Roman"/>
                <w:lang w:val="en-US"/>
              </w:rPr>
            </m:ctrlPr>
          </m:fPr>
          <m:num>
            <m:r>
              <m:rPr>
                <m:sty m:val="p"/>
              </m:rPr>
              <w:rPr>
                <w:rFonts w:ascii="Cambria Math" w:hAnsi="Cambria Math" w:cs="Times New Roman"/>
                <w:lang w:val="en-US"/>
              </w:rPr>
              <m:t>365</m:t>
            </m:r>
          </m:num>
          <m:den>
            <m:r>
              <w:rPr>
                <w:rFonts w:ascii="Cambria Math" w:hAnsi="Cambria Math" w:cs="Times New Roman"/>
                <w:lang w:val="en-US"/>
              </w:rPr>
              <m:t>act</m:t>
            </m:r>
          </m:den>
        </m:f>
      </m:oMath>
      <w:r w:rsidR="0080263A" w:rsidRPr="0080263A">
        <w:rPr>
          <w:rFonts w:cs="Times New Roman"/>
          <w:lang w:val="en-US"/>
        </w:rPr>
        <w:t xml:space="preserve"> part of the</w:t>
      </w:r>
      <w:r w:rsidR="0080263A">
        <w:rPr>
          <w:rFonts w:cs="Times New Roman"/>
          <w:lang w:val="en-US"/>
        </w:rPr>
        <w:t xml:space="preserve"> formula becomes very big at the time of contract expiration and emphasizes even small price deviations, making overall implied risk-free rate </w:t>
      </w:r>
      <w:r w:rsidR="0080263A" w:rsidRPr="001C7F66">
        <w:rPr>
          <w:rFonts w:cs="Times New Roman"/>
          <w:i/>
          <w:iCs/>
          <w:lang w:val="en-US"/>
        </w:rPr>
        <w:t>nonrepresentative at the time close to the contract expiration</w:t>
      </w:r>
      <w:r w:rsidR="0080263A">
        <w:rPr>
          <w:rFonts w:cs="Times New Roman"/>
          <w:lang w:val="en-US"/>
        </w:rPr>
        <w:t>.</w:t>
      </w:r>
    </w:p>
    <w:p w14:paraId="63792FFA" w14:textId="433F87AE" w:rsidR="003668BF" w:rsidRDefault="00DE1AC8" w:rsidP="008226B3">
      <w:pPr>
        <w:spacing w:after="0" w:line="360" w:lineRule="auto"/>
        <w:ind w:firstLine="709"/>
        <w:rPr>
          <w:rFonts w:cs="Times New Roman"/>
          <w:lang w:val="en-US"/>
        </w:rPr>
      </w:pPr>
      <w:r>
        <w:rPr>
          <w:rFonts w:cs="Times New Roman"/>
          <w:lang w:val="en-US"/>
        </w:rPr>
        <w:t>The described procedure</w:t>
      </w:r>
      <w:r w:rsidR="001C7F66">
        <w:rPr>
          <w:rFonts w:cs="Times New Roman"/>
          <w:lang w:val="en-US"/>
        </w:rPr>
        <w:t>, described in more details in Appendix,</w:t>
      </w:r>
      <w:r>
        <w:rPr>
          <w:rFonts w:cs="Times New Roman"/>
          <w:lang w:val="en-US"/>
        </w:rPr>
        <w:t xml:space="preserve"> was applied to the JPY, CHF</w:t>
      </w:r>
      <w:r w:rsidR="00190EB4">
        <w:rPr>
          <w:rFonts w:cs="Times New Roman"/>
          <w:lang w:val="en-US"/>
        </w:rPr>
        <w:t>,</w:t>
      </w:r>
      <w:r>
        <w:rPr>
          <w:rFonts w:cs="Times New Roman"/>
          <w:lang w:val="en-US"/>
        </w:rPr>
        <w:t xml:space="preserve"> EUR</w:t>
      </w:r>
      <w:r w:rsidR="00190EB4">
        <w:rPr>
          <w:rFonts w:cs="Times New Roman"/>
          <w:lang w:val="en-US"/>
        </w:rPr>
        <w:t xml:space="preserve"> and USD</w:t>
      </w:r>
      <w:r>
        <w:rPr>
          <w:rFonts w:cs="Times New Roman"/>
          <w:lang w:val="en-US"/>
        </w:rPr>
        <w:t xml:space="preserve"> and yielded the following results</w:t>
      </w:r>
      <w:r w:rsidR="001A662F">
        <w:rPr>
          <w:rFonts w:cs="Times New Roman"/>
          <w:lang w:val="en-US"/>
        </w:rPr>
        <w:t>, summarized at the graphs</w:t>
      </w:r>
      <w:r w:rsidR="00267523">
        <w:rPr>
          <w:rFonts w:cs="Times New Roman"/>
          <w:lang w:val="en-US"/>
        </w:rPr>
        <w:t xml:space="preserve"> below.</w:t>
      </w:r>
    </w:p>
    <w:p w14:paraId="68C2007C" w14:textId="7BA67ECF" w:rsidR="00267523" w:rsidRPr="00267523" w:rsidRDefault="00267523" w:rsidP="008226B3">
      <w:pPr>
        <w:spacing w:after="0" w:line="360" w:lineRule="auto"/>
        <w:ind w:firstLine="709"/>
        <w:rPr>
          <w:rFonts w:eastAsiaTheme="minorEastAsia" w:cs="Times New Roman"/>
          <w:lang w:val="en-US"/>
        </w:rPr>
      </w:pPr>
      <w:r w:rsidRPr="00267523">
        <w:rPr>
          <w:rFonts w:eastAsiaTheme="minorEastAsia" w:cs="Times New Roman"/>
          <w:lang w:val="en-US"/>
        </w:rPr>
        <w:t xml:space="preserve">Implied rates for the currencies are derived from the following currency pairs: </w:t>
      </w:r>
    </w:p>
    <w:p w14:paraId="75997BFF" w14:textId="77777777" w:rsidR="00267523" w:rsidRPr="00267523" w:rsidRDefault="00267523" w:rsidP="008226B3">
      <w:pPr>
        <w:spacing w:after="0" w:line="360" w:lineRule="auto"/>
        <w:ind w:firstLine="709"/>
        <w:rPr>
          <w:rFonts w:eastAsiaTheme="minorEastAsia" w:cs="Times New Roman"/>
          <w:lang w:val="en-US"/>
        </w:rPr>
      </w:pPr>
      <w:r w:rsidRPr="00267523">
        <w:rPr>
          <w:rFonts w:eastAsiaTheme="minorEastAsia" w:cs="Times New Roman"/>
          <w:lang w:val="en-US"/>
        </w:rPr>
        <w:t>for JPY: GBP/JPY, EUR/JPY, AUD/JPY;</w:t>
      </w:r>
    </w:p>
    <w:p w14:paraId="1C36D582" w14:textId="77777777" w:rsidR="00267523" w:rsidRPr="00267523" w:rsidRDefault="00267523" w:rsidP="008226B3">
      <w:pPr>
        <w:spacing w:after="0" w:line="360" w:lineRule="auto"/>
        <w:ind w:firstLine="709"/>
        <w:rPr>
          <w:rFonts w:eastAsiaTheme="minorEastAsia" w:cs="Times New Roman"/>
          <w:lang w:val="en-US"/>
        </w:rPr>
      </w:pPr>
      <w:r w:rsidRPr="00267523">
        <w:rPr>
          <w:rFonts w:eastAsiaTheme="minorEastAsia" w:cs="Times New Roman"/>
          <w:lang w:val="en-US"/>
        </w:rPr>
        <w:t>for EUR: EUR/CHF, EUR/GBP;</w:t>
      </w:r>
    </w:p>
    <w:p w14:paraId="7EA9970B" w14:textId="591D60E5" w:rsidR="00267523" w:rsidRPr="00267523" w:rsidRDefault="00267523" w:rsidP="008226B3">
      <w:pPr>
        <w:spacing w:after="0" w:line="360" w:lineRule="auto"/>
        <w:ind w:firstLine="709"/>
        <w:rPr>
          <w:rFonts w:eastAsiaTheme="minorEastAsia" w:cs="Times New Roman"/>
          <w:lang w:val="en-US"/>
        </w:rPr>
      </w:pPr>
      <w:r w:rsidRPr="00267523">
        <w:rPr>
          <w:rFonts w:eastAsiaTheme="minorEastAsia" w:cs="Times New Roman"/>
          <w:lang w:val="en-US"/>
        </w:rPr>
        <w:t>for CHF: GBP/CHF, EUR/CHF</w:t>
      </w:r>
      <w:r w:rsidR="00190EB4">
        <w:rPr>
          <w:rFonts w:eastAsiaTheme="minorEastAsia" w:cs="Times New Roman"/>
          <w:lang w:val="en-US"/>
        </w:rPr>
        <w:t>;</w:t>
      </w:r>
    </w:p>
    <w:p w14:paraId="4B147163" w14:textId="56BD6B52" w:rsidR="00267523" w:rsidRDefault="00267523" w:rsidP="008226B3">
      <w:pPr>
        <w:spacing w:after="0" w:line="360" w:lineRule="auto"/>
        <w:ind w:firstLine="709"/>
        <w:rPr>
          <w:rFonts w:eastAsiaTheme="minorEastAsia" w:cs="Times New Roman"/>
          <w:lang w:val="en-US"/>
        </w:rPr>
      </w:pPr>
      <w:r w:rsidRPr="00267523">
        <w:rPr>
          <w:rFonts w:eastAsiaTheme="minorEastAsia" w:cs="Times New Roman"/>
          <w:lang w:val="en-US"/>
        </w:rPr>
        <w:t xml:space="preserve">for USD: </w:t>
      </w:r>
      <w:r w:rsidR="00924521">
        <w:rPr>
          <w:rFonts w:eastAsiaTheme="minorEastAsia" w:cs="Times New Roman"/>
          <w:lang w:val="en-US"/>
        </w:rPr>
        <w:t>CHF</w:t>
      </w:r>
      <w:r w:rsidRPr="00267523">
        <w:rPr>
          <w:rFonts w:eastAsiaTheme="minorEastAsia" w:cs="Times New Roman"/>
          <w:lang w:val="en-US"/>
        </w:rPr>
        <w:t>/</w:t>
      </w:r>
      <w:r w:rsidR="00924521">
        <w:rPr>
          <w:rFonts w:eastAsiaTheme="minorEastAsia" w:cs="Times New Roman"/>
          <w:lang w:val="en-US"/>
        </w:rPr>
        <w:t>USD</w:t>
      </w:r>
      <w:r w:rsidRPr="00267523">
        <w:rPr>
          <w:rFonts w:eastAsiaTheme="minorEastAsia" w:cs="Times New Roman"/>
          <w:lang w:val="en-US"/>
        </w:rPr>
        <w:t xml:space="preserve">, </w:t>
      </w:r>
      <w:r w:rsidR="0033733C">
        <w:rPr>
          <w:rFonts w:eastAsiaTheme="minorEastAsia" w:cs="Times New Roman"/>
          <w:lang w:val="en-US"/>
        </w:rPr>
        <w:t>AUD</w:t>
      </w:r>
      <w:r w:rsidRPr="00267523">
        <w:rPr>
          <w:rFonts w:eastAsiaTheme="minorEastAsia" w:cs="Times New Roman"/>
          <w:lang w:val="en-US"/>
        </w:rPr>
        <w:t>/</w:t>
      </w:r>
      <w:r w:rsidR="0033733C">
        <w:rPr>
          <w:rFonts w:eastAsiaTheme="minorEastAsia" w:cs="Times New Roman"/>
          <w:lang w:val="en-US"/>
        </w:rPr>
        <w:t>USD</w:t>
      </w:r>
      <w:r w:rsidRPr="00267523">
        <w:rPr>
          <w:rFonts w:eastAsiaTheme="minorEastAsia" w:cs="Times New Roman"/>
          <w:lang w:val="en-US"/>
        </w:rPr>
        <w:t xml:space="preserve">, EUR/USD, </w:t>
      </w:r>
      <w:r w:rsidR="005D3637">
        <w:rPr>
          <w:rFonts w:eastAsiaTheme="minorEastAsia" w:cs="Times New Roman"/>
          <w:lang w:val="en-US"/>
        </w:rPr>
        <w:t>RUB</w:t>
      </w:r>
      <w:r w:rsidRPr="00267523">
        <w:rPr>
          <w:rFonts w:eastAsiaTheme="minorEastAsia" w:cs="Times New Roman"/>
          <w:lang w:val="en-US"/>
        </w:rPr>
        <w:t>/</w:t>
      </w:r>
      <w:r w:rsidR="005D3637">
        <w:rPr>
          <w:rFonts w:eastAsiaTheme="minorEastAsia" w:cs="Times New Roman"/>
          <w:lang w:val="en-US"/>
        </w:rPr>
        <w:t>USD</w:t>
      </w:r>
      <w:r w:rsidRPr="00267523">
        <w:rPr>
          <w:rFonts w:eastAsiaTheme="minorEastAsia" w:cs="Times New Roman"/>
          <w:lang w:val="en-US"/>
        </w:rPr>
        <w:t xml:space="preserve">, </w:t>
      </w:r>
      <w:r w:rsidR="0033733C">
        <w:rPr>
          <w:rFonts w:eastAsiaTheme="minorEastAsia" w:cs="Times New Roman"/>
          <w:lang w:val="en-US"/>
        </w:rPr>
        <w:t>CAD</w:t>
      </w:r>
      <w:r w:rsidRPr="00267523">
        <w:rPr>
          <w:rFonts w:eastAsiaTheme="minorEastAsia" w:cs="Times New Roman"/>
          <w:lang w:val="en-US"/>
        </w:rPr>
        <w:t>/</w:t>
      </w:r>
      <w:r w:rsidR="0033733C">
        <w:rPr>
          <w:rFonts w:eastAsiaTheme="minorEastAsia" w:cs="Times New Roman"/>
          <w:lang w:val="en-US"/>
        </w:rPr>
        <w:t>USD</w:t>
      </w:r>
      <w:r w:rsidRPr="00267523">
        <w:rPr>
          <w:rFonts w:eastAsiaTheme="minorEastAsia" w:cs="Times New Roman"/>
          <w:lang w:val="en-US"/>
        </w:rPr>
        <w:t>.</w:t>
      </w:r>
    </w:p>
    <w:p w14:paraId="7B14D40B" w14:textId="4E21D566" w:rsidR="0080263A" w:rsidRDefault="0080263A" w:rsidP="0080263A">
      <w:pPr>
        <w:spacing w:line="360" w:lineRule="auto"/>
        <w:ind w:firstLine="709"/>
        <w:rPr>
          <w:rFonts w:eastAsiaTheme="minorEastAsia" w:cs="Times New Roman"/>
          <w:lang w:val="en-US"/>
        </w:rPr>
      </w:pPr>
      <w:r w:rsidRPr="001A662F">
        <w:rPr>
          <w:rFonts w:eastAsiaTheme="minorEastAsia" w:cs="Times New Roman"/>
          <w:lang w:val="en-US"/>
        </w:rPr>
        <w:t xml:space="preserve">Having </w:t>
      </w:r>
      <w:r>
        <w:rPr>
          <w:rFonts w:eastAsiaTheme="minorEastAsia" w:cs="Times New Roman"/>
          <w:lang w:val="en-US"/>
        </w:rPr>
        <w:t>analyzed the data, we could conclude that:</w:t>
      </w:r>
    </w:p>
    <w:p w14:paraId="486580D4" w14:textId="34314A90" w:rsidR="0080263A" w:rsidRDefault="00BE5A7F" w:rsidP="0080263A">
      <w:pPr>
        <w:pStyle w:val="-"/>
      </w:pPr>
      <w:r>
        <w:lastRenderedPageBreak/>
        <w:t xml:space="preserve">for JPY: </w:t>
      </w:r>
      <w:r w:rsidR="0080263A">
        <w:t xml:space="preserve">deviations of </w:t>
      </w:r>
      <w:r>
        <w:t xml:space="preserve"> observed prices of </w:t>
      </w:r>
      <w:r w:rsidR="0080263A">
        <w:t>JPY futures from</w:t>
      </w:r>
      <w:r>
        <w:t xml:space="preserve"> their</w:t>
      </w:r>
      <w:r w:rsidR="0080263A">
        <w:t xml:space="preserve"> theoretical value could not be explained solely by the difference between JPY LIBOR and implied risk-free rate. </w:t>
      </w:r>
    </w:p>
    <w:p w14:paraId="42F4A89E" w14:textId="4DB79847" w:rsidR="00BE5A7F" w:rsidRDefault="001C7F66" w:rsidP="0080263A">
      <w:pPr>
        <w:pStyle w:val="-"/>
      </w:pPr>
      <w:r>
        <w:t>for EUR and CHF: rates applied by market participants are very close to the CHF LIBOR and EURIBOR;</w:t>
      </w:r>
    </w:p>
    <w:p w14:paraId="1759BEED" w14:textId="0D0F70FA" w:rsidR="001C7F66" w:rsidRDefault="001C7F66" w:rsidP="0080263A">
      <w:pPr>
        <w:pStyle w:val="-"/>
      </w:pPr>
      <w:r>
        <w:t xml:space="preserve">for USD: spread over USD LIBOR exists, but shows significant volatility. Given that the value of implied risk-free rate, calculated indirectly from observed FX futures prices, is dependent on supply and demand of FX futures markets, we should not treat the results obtained for USD </w:t>
      </w:r>
      <w:r w:rsidRPr="001C7F66">
        <w:t>«</w:t>
      </w:r>
      <w:r>
        <w:t>as is</w:t>
      </w:r>
      <w:r w:rsidRPr="001C7F66">
        <w:t>»</w:t>
      </w:r>
      <w:r>
        <w:t>, but state that the presence of spread is detected by US.</w:t>
      </w:r>
    </w:p>
    <w:p w14:paraId="3946B607" w14:textId="645FAE20" w:rsidR="004D6C51" w:rsidRDefault="004D6C51" w:rsidP="008226B3">
      <w:pPr>
        <w:spacing w:after="0" w:line="360" w:lineRule="auto"/>
        <w:ind w:firstLine="709"/>
        <w:rPr>
          <w:rFonts w:cs="Times New Roman"/>
          <w:lang w:val="en-US"/>
        </w:rPr>
      </w:pPr>
    </w:p>
    <w:p w14:paraId="45A7FD2F" w14:textId="77777777" w:rsidR="004D6C51" w:rsidRDefault="004D6C51">
      <w:pPr>
        <w:jc w:val="left"/>
        <w:rPr>
          <w:rFonts w:cs="Times New Roman"/>
          <w:lang w:val="en-US"/>
        </w:rPr>
      </w:pPr>
      <w:r>
        <w:rPr>
          <w:rFonts w:cs="Times New Roman"/>
          <w:lang w:val="en-US"/>
        </w:rPr>
        <w:br w:type="page"/>
      </w:r>
    </w:p>
    <w:p w14:paraId="330DCF2A" w14:textId="77777777" w:rsidR="004D6C51" w:rsidRDefault="004D6C51" w:rsidP="008226B3">
      <w:pPr>
        <w:spacing w:line="360" w:lineRule="auto"/>
        <w:rPr>
          <w:rFonts w:cs="Times New Roman"/>
          <w:lang w:val="en-US"/>
        </w:rPr>
        <w:sectPr w:rsidR="004D6C51" w:rsidSect="008226B3">
          <w:pgSz w:w="11906" w:h="16838"/>
          <w:pgMar w:top="1134" w:right="851" w:bottom="1134" w:left="1701" w:header="709" w:footer="709" w:gutter="0"/>
          <w:cols w:space="708"/>
          <w:docGrid w:linePitch="360"/>
        </w:sectPr>
      </w:pPr>
    </w:p>
    <w:tbl>
      <w:tblPr>
        <w:tblStyle w:val="TableGrid"/>
        <w:tblW w:w="1573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730"/>
      </w:tblGrid>
      <w:tr w:rsidR="004D6C51" w:rsidRPr="00566F83" w14:paraId="7259A9FA" w14:textId="77777777" w:rsidTr="00121F15">
        <w:trPr>
          <w:trHeight w:val="151"/>
        </w:trPr>
        <w:tc>
          <w:tcPr>
            <w:tcW w:w="15730" w:type="dxa"/>
          </w:tcPr>
          <w:p w14:paraId="65AB293B" w14:textId="57B1E901" w:rsidR="004D6C51" w:rsidRPr="004D6C51" w:rsidRDefault="004D6C51" w:rsidP="004D6C51">
            <w:pPr>
              <w:pStyle w:val="a0"/>
              <w:rPr>
                <w:rFonts w:cstheme="minorBidi"/>
              </w:rPr>
            </w:pPr>
            <w:r w:rsidRPr="004D6C51">
              <w:lastRenderedPageBreak/>
              <w:t xml:space="preserve">Figure </w:t>
            </w:r>
            <w:r>
              <w:fldChar w:fldCharType="begin"/>
            </w:r>
            <w:r w:rsidRPr="004D6C51">
              <w:instrText xml:space="preserve"> SEQ Figure \* ARABIC </w:instrText>
            </w:r>
            <w:r>
              <w:fldChar w:fldCharType="separate"/>
            </w:r>
            <w:r w:rsidR="004D16C9">
              <w:rPr>
                <w:noProof/>
              </w:rPr>
              <w:t>7</w:t>
            </w:r>
            <w:r>
              <w:fldChar w:fldCharType="end"/>
            </w:r>
            <w:r>
              <w:t>. Implied risk-free rates in Japan, Eurozone, Switzerland and United States</w:t>
            </w:r>
          </w:p>
        </w:tc>
      </w:tr>
      <w:tr w:rsidR="004D6C51" w:rsidRPr="00566F83" w14:paraId="08AE0128" w14:textId="77777777" w:rsidTr="00121F15">
        <w:tc>
          <w:tcPr>
            <w:tcW w:w="15730" w:type="dxa"/>
          </w:tcPr>
          <w:p w14:paraId="74DACB16" w14:textId="67940433" w:rsidR="004D6C51" w:rsidRPr="00121F15" w:rsidRDefault="00121F15" w:rsidP="000A1444">
            <w:pPr>
              <w:jc w:val="center"/>
              <w:rPr>
                <w:rFonts w:cs="Times New Roman"/>
                <w:b/>
                <w:bCs/>
                <w:lang w:val="en-US"/>
              </w:rPr>
            </w:pPr>
            <w:r w:rsidRPr="00121F15">
              <w:rPr>
                <w:rFonts w:cs="Times New Roman"/>
                <w:b/>
                <w:bCs/>
                <w:lang w:val="en-US"/>
              </w:rPr>
              <w:t>Implied JPY risk-free rate vs JPY LIBOR</w:t>
            </w:r>
          </w:p>
        </w:tc>
      </w:tr>
      <w:tr w:rsidR="004D6C51" w14:paraId="4034B3A7" w14:textId="77777777" w:rsidTr="00121F15">
        <w:tc>
          <w:tcPr>
            <w:tcW w:w="15730" w:type="dxa"/>
          </w:tcPr>
          <w:p w14:paraId="166F203E" w14:textId="445511A6" w:rsidR="004D6C51" w:rsidRDefault="00121F15" w:rsidP="00121F15">
            <w:pPr>
              <w:jc w:val="center"/>
              <w:rPr>
                <w:rFonts w:cs="Times New Roman"/>
                <w:lang w:val="en-US"/>
              </w:rPr>
            </w:pPr>
            <w:r w:rsidRPr="0080263A">
              <w:rPr>
                <w:rFonts w:cs="Times New Roman"/>
                <w:noProof/>
                <w:sz w:val="20"/>
                <w:szCs w:val="18"/>
                <w:lang w:val="en-US"/>
              </w:rPr>
              <w:drawing>
                <wp:inline distT="0" distB="0" distL="0" distR="0" wp14:anchorId="0E92E8A5" wp14:editId="04AE3C8E">
                  <wp:extent cx="4524375" cy="265868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4720" cy="2688268"/>
                          </a:xfrm>
                          <a:prstGeom prst="rect">
                            <a:avLst/>
                          </a:prstGeom>
                          <a:noFill/>
                        </pic:spPr>
                      </pic:pic>
                    </a:graphicData>
                  </a:graphic>
                </wp:inline>
              </w:drawing>
            </w:r>
          </w:p>
        </w:tc>
      </w:tr>
      <w:tr w:rsidR="004D6C51" w:rsidRPr="00566F83" w14:paraId="77482546" w14:textId="77777777" w:rsidTr="00121F15">
        <w:tc>
          <w:tcPr>
            <w:tcW w:w="15730" w:type="dxa"/>
          </w:tcPr>
          <w:p w14:paraId="40DCF24C" w14:textId="25A46B08" w:rsidR="004D6C51" w:rsidRPr="00121F15" w:rsidRDefault="00121F15" w:rsidP="000A1444">
            <w:pPr>
              <w:jc w:val="center"/>
              <w:rPr>
                <w:rFonts w:cs="Times New Roman"/>
                <w:b/>
                <w:bCs/>
                <w:lang w:val="en-US"/>
              </w:rPr>
            </w:pPr>
            <w:r w:rsidRPr="00121F15">
              <w:rPr>
                <w:rFonts w:cs="Times New Roman"/>
                <w:b/>
                <w:bCs/>
                <w:lang w:val="en-US"/>
              </w:rPr>
              <w:t>Implied EUR risk-free rate vs EURIBOR</w:t>
            </w:r>
          </w:p>
        </w:tc>
      </w:tr>
      <w:tr w:rsidR="004D6C51" w14:paraId="726E6E69" w14:textId="77777777" w:rsidTr="00121F15">
        <w:tc>
          <w:tcPr>
            <w:tcW w:w="15730" w:type="dxa"/>
          </w:tcPr>
          <w:p w14:paraId="25CADC34" w14:textId="5206EE2C" w:rsidR="004D6C51" w:rsidRDefault="00121F15" w:rsidP="00121F15">
            <w:pPr>
              <w:jc w:val="center"/>
              <w:rPr>
                <w:rFonts w:cs="Times New Roman"/>
                <w:lang w:val="en-US"/>
              </w:rPr>
            </w:pPr>
            <w:r w:rsidRPr="0080263A">
              <w:rPr>
                <w:rFonts w:cs="Times New Roman"/>
                <w:noProof/>
                <w:sz w:val="20"/>
                <w:szCs w:val="18"/>
                <w:lang w:val="en-US"/>
              </w:rPr>
              <w:drawing>
                <wp:inline distT="0" distB="0" distL="0" distR="0" wp14:anchorId="6EEBE952" wp14:editId="2B55C8DD">
                  <wp:extent cx="4431126" cy="24955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0426" cy="2500788"/>
                          </a:xfrm>
                          <a:prstGeom prst="rect">
                            <a:avLst/>
                          </a:prstGeom>
                          <a:noFill/>
                        </pic:spPr>
                      </pic:pic>
                    </a:graphicData>
                  </a:graphic>
                </wp:inline>
              </w:drawing>
            </w:r>
          </w:p>
        </w:tc>
      </w:tr>
      <w:tr w:rsidR="004D6C51" w:rsidRPr="00566F83" w14:paraId="2809CCC7" w14:textId="77777777" w:rsidTr="00121F15">
        <w:tc>
          <w:tcPr>
            <w:tcW w:w="15730" w:type="dxa"/>
          </w:tcPr>
          <w:p w14:paraId="118EA2D7" w14:textId="73CCBAC2" w:rsidR="004D6C51" w:rsidRPr="00121F15" w:rsidRDefault="00121F15" w:rsidP="000A1444">
            <w:pPr>
              <w:jc w:val="center"/>
              <w:rPr>
                <w:rFonts w:cs="Times New Roman"/>
                <w:b/>
                <w:bCs/>
                <w:lang w:val="en-US"/>
              </w:rPr>
            </w:pPr>
            <w:r w:rsidRPr="00121F15">
              <w:rPr>
                <w:rFonts w:cs="Times New Roman"/>
                <w:b/>
                <w:bCs/>
                <w:lang w:val="en-US"/>
              </w:rPr>
              <w:lastRenderedPageBreak/>
              <w:t>Implied CHF risk-free rate vs CHF LIBOR</w:t>
            </w:r>
          </w:p>
        </w:tc>
      </w:tr>
      <w:tr w:rsidR="004D6C51" w14:paraId="29F2655E" w14:textId="77777777" w:rsidTr="00121F15">
        <w:tc>
          <w:tcPr>
            <w:tcW w:w="15730" w:type="dxa"/>
          </w:tcPr>
          <w:p w14:paraId="1B01AA63" w14:textId="2B9F1628" w:rsidR="004D6C51" w:rsidRDefault="00121F15" w:rsidP="00121F15">
            <w:pPr>
              <w:jc w:val="center"/>
              <w:rPr>
                <w:rFonts w:cs="Times New Roman"/>
                <w:lang w:val="en-US"/>
              </w:rPr>
            </w:pPr>
            <w:r w:rsidRPr="0080263A">
              <w:rPr>
                <w:rFonts w:cs="Times New Roman"/>
                <w:noProof/>
                <w:sz w:val="20"/>
                <w:szCs w:val="18"/>
                <w:lang w:val="en-US"/>
              </w:rPr>
              <w:drawing>
                <wp:inline distT="0" distB="0" distL="0" distR="0" wp14:anchorId="1121BF98" wp14:editId="15077F62">
                  <wp:extent cx="4324350" cy="25381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7003" cy="2551444"/>
                          </a:xfrm>
                          <a:prstGeom prst="rect">
                            <a:avLst/>
                          </a:prstGeom>
                          <a:noFill/>
                        </pic:spPr>
                      </pic:pic>
                    </a:graphicData>
                  </a:graphic>
                </wp:inline>
              </w:drawing>
            </w:r>
          </w:p>
        </w:tc>
      </w:tr>
      <w:tr w:rsidR="004D6C51" w:rsidRPr="00566F83" w14:paraId="303E53C4" w14:textId="77777777" w:rsidTr="00121F15">
        <w:tc>
          <w:tcPr>
            <w:tcW w:w="15730" w:type="dxa"/>
          </w:tcPr>
          <w:p w14:paraId="532792FA" w14:textId="67DE7FBA" w:rsidR="004D6C51" w:rsidRPr="00121F15" w:rsidRDefault="00121F15" w:rsidP="000A1444">
            <w:pPr>
              <w:jc w:val="center"/>
              <w:rPr>
                <w:rFonts w:cs="Times New Roman"/>
                <w:b/>
                <w:bCs/>
                <w:lang w:val="en-US"/>
              </w:rPr>
            </w:pPr>
            <w:r w:rsidRPr="00121F15">
              <w:rPr>
                <w:rFonts w:cs="Times New Roman"/>
                <w:b/>
                <w:bCs/>
                <w:lang w:val="en-US"/>
              </w:rPr>
              <w:t>Implied USD risk-free rate vs USD LIBOR</w:t>
            </w:r>
          </w:p>
        </w:tc>
      </w:tr>
      <w:tr w:rsidR="004D6C51" w14:paraId="7417363E" w14:textId="77777777" w:rsidTr="00121F15">
        <w:tc>
          <w:tcPr>
            <w:tcW w:w="15730" w:type="dxa"/>
          </w:tcPr>
          <w:p w14:paraId="0F8172A1" w14:textId="55A902DA" w:rsidR="004D6C51" w:rsidRDefault="00121F15" w:rsidP="00121F15">
            <w:pPr>
              <w:jc w:val="center"/>
              <w:rPr>
                <w:rFonts w:cs="Times New Roman"/>
                <w:lang w:val="en-US"/>
              </w:rPr>
            </w:pPr>
            <w:r w:rsidRPr="0080263A">
              <w:rPr>
                <w:rFonts w:cs="Times New Roman"/>
                <w:noProof/>
                <w:sz w:val="20"/>
                <w:szCs w:val="18"/>
                <w:lang w:val="en-US"/>
              </w:rPr>
              <w:drawing>
                <wp:inline distT="0" distB="0" distL="0" distR="0" wp14:anchorId="2085026E" wp14:editId="5BAE95D0">
                  <wp:extent cx="4200525" cy="25235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5343" cy="2544500"/>
                          </a:xfrm>
                          <a:prstGeom prst="rect">
                            <a:avLst/>
                          </a:prstGeom>
                          <a:noFill/>
                        </pic:spPr>
                      </pic:pic>
                    </a:graphicData>
                  </a:graphic>
                </wp:inline>
              </w:drawing>
            </w:r>
          </w:p>
        </w:tc>
      </w:tr>
      <w:tr w:rsidR="004D6C51" w14:paraId="15EE046A" w14:textId="77777777" w:rsidTr="00121F15">
        <w:tc>
          <w:tcPr>
            <w:tcW w:w="15730" w:type="dxa"/>
          </w:tcPr>
          <w:p w14:paraId="54C7F425" w14:textId="3551846D" w:rsidR="004D6C51" w:rsidRDefault="00121F15" w:rsidP="004D6C51">
            <w:pPr>
              <w:jc w:val="right"/>
              <w:rPr>
                <w:rFonts w:cs="Times New Roman"/>
                <w:lang w:val="en-US"/>
              </w:rPr>
            </w:pPr>
            <w:r>
              <w:rPr>
                <w:rFonts w:cs="Times New Roman"/>
                <w:i/>
                <w:iCs/>
                <w:noProof/>
                <w:lang w:val="en-US"/>
              </w:rPr>
              <w:drawing>
                <wp:anchor distT="0" distB="0" distL="114300" distR="114300" simplePos="0" relativeHeight="251659264" behindDoc="0" locked="0" layoutInCell="1" allowOverlap="1" wp14:anchorId="48E96699" wp14:editId="53B623C7">
                  <wp:simplePos x="0" y="0"/>
                  <wp:positionH relativeFrom="column">
                    <wp:posOffset>2951480</wp:posOffset>
                  </wp:positionH>
                  <wp:positionV relativeFrom="paragraph">
                    <wp:posOffset>1270</wp:posOffset>
                  </wp:positionV>
                  <wp:extent cx="3838575" cy="25463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8575" cy="254635"/>
                          </a:xfrm>
                          <a:prstGeom prst="rect">
                            <a:avLst/>
                          </a:prstGeom>
                          <a:noFill/>
                        </pic:spPr>
                      </pic:pic>
                    </a:graphicData>
                  </a:graphic>
                  <wp14:sizeRelH relativeFrom="page">
                    <wp14:pctWidth>0</wp14:pctWidth>
                  </wp14:sizeRelH>
                  <wp14:sizeRelV relativeFrom="page">
                    <wp14:pctHeight>0</wp14:pctHeight>
                  </wp14:sizeRelV>
                </wp:anchor>
              </w:drawing>
            </w:r>
          </w:p>
        </w:tc>
      </w:tr>
      <w:tr w:rsidR="004D6C51" w14:paraId="6B0B4CD3" w14:textId="77777777" w:rsidTr="00121F15">
        <w:tc>
          <w:tcPr>
            <w:tcW w:w="15730" w:type="dxa"/>
          </w:tcPr>
          <w:p w14:paraId="1F6B1B84" w14:textId="156AFE3D" w:rsidR="004D6C51" w:rsidRDefault="004D6C51" w:rsidP="004D6C51">
            <w:pPr>
              <w:pStyle w:val="a1"/>
            </w:pPr>
            <w:r>
              <w:t>Source: Author’s calculations</w:t>
            </w:r>
          </w:p>
        </w:tc>
      </w:tr>
    </w:tbl>
    <w:p w14:paraId="2FFB6F33" w14:textId="12ADEC5E" w:rsidR="004D6C51" w:rsidRDefault="004D6C51" w:rsidP="00D479BA">
      <w:pPr>
        <w:spacing w:after="0" w:line="360" w:lineRule="auto"/>
        <w:rPr>
          <w:rFonts w:cs="Times New Roman"/>
          <w:lang w:val="en-US"/>
        </w:rPr>
        <w:sectPr w:rsidR="004D6C51" w:rsidSect="00121F15">
          <w:pgSz w:w="16838" w:h="11906" w:orient="landscape"/>
          <w:pgMar w:top="1134" w:right="1134" w:bottom="1276" w:left="1134" w:header="709" w:footer="709" w:gutter="0"/>
          <w:cols w:space="708"/>
          <w:docGrid w:linePitch="360"/>
        </w:sectPr>
      </w:pPr>
    </w:p>
    <w:p w14:paraId="448A04CD" w14:textId="5EB4371B" w:rsidR="003C3301" w:rsidRPr="003C3301" w:rsidRDefault="003C3301" w:rsidP="00BE5FC9">
      <w:pPr>
        <w:pStyle w:val="3"/>
      </w:pPr>
      <w:r>
        <w:lastRenderedPageBreak/>
        <w:t xml:space="preserve">Influence of </w:t>
      </w:r>
      <w:r w:rsidR="009D074F">
        <w:t>OIS</w:t>
      </w:r>
      <w:r w:rsidRPr="003C3301">
        <w:t xml:space="preserve"> delta </w:t>
      </w:r>
      <w:r>
        <w:t>on FX future price deviation</w:t>
      </w:r>
    </w:p>
    <w:p w14:paraId="2C80663A" w14:textId="3BE040D7" w:rsidR="00F8359F" w:rsidRDefault="009D074F" w:rsidP="008226B3">
      <w:pPr>
        <w:spacing w:after="0" w:line="360" w:lineRule="auto"/>
        <w:ind w:firstLine="709"/>
        <w:rPr>
          <w:rFonts w:cs="Times New Roman"/>
          <w:lang w:val="en-US"/>
        </w:rPr>
      </w:pPr>
      <w:r>
        <w:rPr>
          <w:rFonts w:cs="Times New Roman"/>
          <w:lang w:val="en-US"/>
        </w:rPr>
        <w:t xml:space="preserve">The idea of the testing of this hypothesis was to measure the effect of the </w:t>
      </w:r>
      <w:r w:rsidRPr="00BB777B">
        <w:rPr>
          <w:rFonts w:cs="Times New Roman"/>
          <w:i/>
          <w:iCs/>
          <w:lang w:val="en-US"/>
        </w:rPr>
        <w:t>change in the expectation of interest rates level on FX futures price deviation</w:t>
      </w:r>
      <w:r w:rsidR="00BB777B">
        <w:rPr>
          <w:rFonts w:cs="Times New Roman"/>
          <w:lang w:val="en-US"/>
        </w:rPr>
        <w:t xml:space="preserve"> </w:t>
      </w:r>
      <w:r w:rsidR="00BB777B" w:rsidRPr="00BB777B">
        <w:rPr>
          <w:rFonts w:cs="Times New Roman"/>
          <w:i/>
          <w:iCs/>
          <w:lang w:val="en-US"/>
        </w:rPr>
        <w:t>from theoretical values</w:t>
      </w:r>
      <w:r>
        <w:rPr>
          <w:rFonts w:cs="Times New Roman"/>
          <w:lang w:val="en-US"/>
        </w:rPr>
        <w:t xml:space="preserve">. Basically, for testing this hypothesis, we have to decide on applicable proxy for interest rates expectations change. </w:t>
      </w:r>
      <w:r w:rsidR="00F8359F">
        <w:rPr>
          <w:rFonts w:cs="Times New Roman"/>
          <w:lang w:val="en-US"/>
        </w:rPr>
        <w:t>Given that almost all radical changes in interest rates are determined by Central Bank policy decisions and that the key tools – changes in the level of interest paid on deposits and loan rate, mainly affect overnight lending rates, we decide to choose OIS rates as a proxies for the rapid changes in expectations of interest rates over the life of the FX future.</w:t>
      </w:r>
    </w:p>
    <w:p w14:paraId="77CE54A5" w14:textId="134D24C3" w:rsidR="00F8359F" w:rsidRPr="00F8359F" w:rsidRDefault="00F8359F" w:rsidP="008226B3">
      <w:pPr>
        <w:spacing w:after="0" w:line="360" w:lineRule="auto"/>
        <w:ind w:firstLine="709"/>
        <w:rPr>
          <w:rFonts w:cs="Times New Roman"/>
          <w:lang w:val="en-US"/>
        </w:rPr>
      </w:pPr>
      <w:r>
        <w:rPr>
          <w:rFonts w:cs="Times New Roman"/>
          <w:lang w:val="en-US"/>
        </w:rPr>
        <w:t xml:space="preserve">To make our chosen proxy more suited for analysis in FX futures prices, we deducted OIS rates for each of the currencies in a pair and get </w:t>
      </w:r>
      <w:r w:rsidRPr="00F8359F">
        <w:rPr>
          <w:rFonts w:cs="Times New Roman"/>
          <w:lang w:val="en-US"/>
        </w:rPr>
        <w:t>«</w:t>
      </w:r>
      <w:r>
        <w:rPr>
          <w:rFonts w:cs="Times New Roman"/>
          <w:lang w:val="en-US"/>
        </w:rPr>
        <w:t>OIS differential</w:t>
      </w:r>
      <w:r w:rsidRPr="00F8359F">
        <w:rPr>
          <w:rFonts w:cs="Times New Roman"/>
          <w:lang w:val="en-US"/>
        </w:rPr>
        <w:t>»</w:t>
      </w:r>
      <w:r>
        <w:rPr>
          <w:rFonts w:cs="Times New Roman"/>
          <w:lang w:val="en-US"/>
        </w:rPr>
        <w:t>. Then, the delta was calculated:</w:t>
      </w:r>
    </w:p>
    <w:p w14:paraId="2A8AAD8F" w14:textId="38817C35" w:rsidR="009D074F" w:rsidRDefault="001722BF" w:rsidP="008226B3">
      <w:pPr>
        <w:spacing w:after="0" w:line="360" w:lineRule="auto"/>
        <w:ind w:firstLine="709"/>
        <w:jc w:val="center"/>
        <w:rPr>
          <w:rFonts w:cs="Times New Roman"/>
          <w:lang w:val="en-US"/>
        </w:rPr>
      </w:pPr>
      <m:oMath>
        <m:r>
          <w:rPr>
            <w:rFonts w:ascii="Cambria Math" w:hAnsi="Cambria Math" w:cs="Times New Roman"/>
            <w:lang w:val="en-US"/>
          </w:rPr>
          <m:t>OIS differential delta=</m:t>
        </m:r>
        <m:sSub>
          <m:sSubPr>
            <m:ctrlPr>
              <w:rPr>
                <w:rFonts w:ascii="Cambria Math" w:hAnsi="Cambria Math" w:cs="Times New Roman"/>
                <w:i/>
                <w:lang w:val="en-US"/>
              </w:rPr>
            </m:ctrlPr>
          </m:sSubPr>
          <m:e>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OIS</m:t>
                    </m:r>
                  </m:e>
                  <m:sub>
                    <m:r>
                      <w:rPr>
                        <w:rFonts w:ascii="Cambria Math" w:hAnsi="Cambria Math" w:cs="Times New Roman"/>
                        <w:lang w:val="en-US"/>
                      </w:rPr>
                      <m:t>q</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OIS</m:t>
                    </m:r>
                  </m:e>
                  <m:sub>
                    <m:r>
                      <w:rPr>
                        <w:rFonts w:ascii="Cambria Math" w:hAnsi="Cambria Math" w:cs="Times New Roman"/>
                        <w:lang w:val="en-US"/>
                      </w:rPr>
                      <m:t>b</m:t>
                    </m:r>
                  </m:sub>
                </m:sSub>
              </m:e>
            </m:d>
          </m:e>
          <m:sub>
            <m:r>
              <w:rPr>
                <w:rFonts w:ascii="Cambria Math" w:hAnsi="Cambria Math" w:cs="Times New Roman"/>
                <w:lang w:val="en-US"/>
              </w:rPr>
              <m:t>t</m:t>
            </m:r>
          </m:sub>
        </m:sSub>
        <m:r>
          <w:rPr>
            <w:rFonts w:ascii="Cambria Math" w:hAnsi="Cambria Math" w:cs="Times New Roman"/>
            <w:lang w:val="en-US"/>
          </w:rPr>
          <m:t xml:space="preserve">- </m:t>
        </m:r>
        <m:sSub>
          <m:sSubPr>
            <m:ctrlPr>
              <w:rPr>
                <w:rFonts w:ascii="Cambria Math" w:hAnsi="Cambria Math" w:cs="Times New Roman"/>
                <w:i/>
                <w:lang w:val="en-US"/>
              </w:rPr>
            </m:ctrlPr>
          </m:sSubPr>
          <m:e>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OIS</m:t>
                    </m:r>
                  </m:e>
                  <m:sub>
                    <m:r>
                      <w:rPr>
                        <w:rFonts w:ascii="Cambria Math" w:hAnsi="Cambria Math" w:cs="Times New Roman"/>
                        <w:lang w:val="en-US"/>
                      </w:rPr>
                      <m:t>q</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OIS</m:t>
                    </m:r>
                  </m:e>
                  <m:sub>
                    <m:r>
                      <w:rPr>
                        <w:rFonts w:ascii="Cambria Math" w:hAnsi="Cambria Math" w:cs="Times New Roman"/>
                        <w:lang w:val="en-US"/>
                      </w:rPr>
                      <m:t>b</m:t>
                    </m:r>
                  </m:sub>
                </m:sSub>
              </m:e>
            </m:d>
          </m:e>
          <m:sub>
            <m:r>
              <w:rPr>
                <w:rFonts w:ascii="Cambria Math" w:hAnsi="Cambria Math" w:cs="Times New Roman"/>
                <w:lang w:val="en-US"/>
              </w:rPr>
              <m:t>t-1</m:t>
            </m:r>
          </m:sub>
        </m:sSub>
      </m:oMath>
      <w:r w:rsidRPr="001722BF">
        <w:rPr>
          <w:rFonts w:eastAsiaTheme="minorEastAsia" w:cs="Times New Roman"/>
          <w:i/>
          <w:iCs/>
          <w:lang w:val="en-US"/>
        </w:rPr>
        <w:t xml:space="preserve">, </w:t>
      </w:r>
      <w:r w:rsidRPr="00322ABD">
        <w:rPr>
          <w:rFonts w:eastAsiaTheme="minorEastAsia" w:cs="Times New Roman"/>
          <w:lang w:val="en-US"/>
        </w:rPr>
        <w:t>where</w:t>
      </w:r>
    </w:p>
    <w:p w14:paraId="35766446" w14:textId="3D036CC2" w:rsidR="009D074F" w:rsidRDefault="00D01F34" w:rsidP="008226B3">
      <w:pPr>
        <w:spacing w:after="0" w:line="360" w:lineRule="auto"/>
        <w:ind w:firstLine="709"/>
        <w:rPr>
          <w:rFonts w:eastAsiaTheme="minorEastAsia" w:cs="Times New Roman"/>
          <w:iCs/>
          <w:lang w:val="en-US"/>
        </w:rPr>
      </w:pPr>
      <m:oMath>
        <m:sSub>
          <m:sSubPr>
            <m:ctrlPr>
              <w:rPr>
                <w:rFonts w:ascii="Cambria Math" w:hAnsi="Cambria Math" w:cs="Times New Roman"/>
                <w:i/>
                <w:lang w:val="en-US"/>
              </w:rPr>
            </m:ctrlPr>
          </m:sSubPr>
          <m:e>
            <m:r>
              <w:rPr>
                <w:rFonts w:ascii="Cambria Math" w:hAnsi="Cambria Math" w:cs="Times New Roman"/>
                <w:lang w:val="en-US"/>
              </w:rPr>
              <m:t>OIS</m:t>
            </m:r>
          </m:e>
          <m:sub>
            <m:r>
              <w:rPr>
                <w:rFonts w:ascii="Cambria Math" w:hAnsi="Cambria Math" w:cs="Times New Roman"/>
                <w:lang w:val="en-US"/>
              </w:rPr>
              <m:t>q</m:t>
            </m:r>
          </m:sub>
        </m:sSub>
      </m:oMath>
      <w:r w:rsidR="001722BF">
        <w:rPr>
          <w:rFonts w:eastAsiaTheme="minorEastAsia" w:cs="Times New Roman"/>
          <w:i/>
          <w:lang w:val="en-US"/>
        </w:rPr>
        <w:t xml:space="preserve"> – </w:t>
      </w:r>
      <w:r w:rsidR="001722BF">
        <w:rPr>
          <w:rFonts w:eastAsiaTheme="minorEastAsia" w:cs="Times New Roman"/>
          <w:iCs/>
          <w:lang w:val="en-US"/>
        </w:rPr>
        <w:t>OIS rate in quote currency</w:t>
      </w:r>
      <w:r w:rsidR="0049358A">
        <w:rPr>
          <w:rFonts w:eastAsiaTheme="minorEastAsia" w:cs="Times New Roman"/>
          <w:iCs/>
          <w:lang w:val="en-US"/>
        </w:rPr>
        <w:t>, interpolated given the number of days until contract expiration</w:t>
      </w:r>
    </w:p>
    <w:p w14:paraId="5B85B886" w14:textId="2F1BA8CC" w:rsidR="001722BF" w:rsidRDefault="00D01F34" w:rsidP="008226B3">
      <w:pPr>
        <w:spacing w:after="0" w:line="360" w:lineRule="auto"/>
        <w:ind w:firstLine="709"/>
        <w:rPr>
          <w:rFonts w:eastAsiaTheme="minorEastAsia"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OIS</m:t>
            </m:r>
          </m:e>
          <m:sub>
            <m:r>
              <w:rPr>
                <w:rFonts w:ascii="Cambria Math" w:hAnsi="Cambria Math" w:cs="Times New Roman"/>
                <w:lang w:val="en-US"/>
              </w:rPr>
              <m:t>b</m:t>
            </m:r>
          </m:sub>
        </m:sSub>
      </m:oMath>
      <w:r w:rsidR="001722BF">
        <w:rPr>
          <w:rFonts w:eastAsiaTheme="minorEastAsia" w:cs="Times New Roman"/>
          <w:lang w:val="en-US"/>
        </w:rPr>
        <w:t xml:space="preserve"> – OIS rate in base currency</w:t>
      </w:r>
      <w:r w:rsidR="0049358A">
        <w:rPr>
          <w:rFonts w:eastAsiaTheme="minorEastAsia" w:cs="Times New Roman"/>
          <w:lang w:val="en-US"/>
        </w:rPr>
        <w:t xml:space="preserve">, </w:t>
      </w:r>
      <w:r w:rsidR="0049358A">
        <w:rPr>
          <w:rFonts w:eastAsiaTheme="minorEastAsia" w:cs="Times New Roman"/>
          <w:iCs/>
          <w:lang w:val="en-US"/>
        </w:rPr>
        <w:t>interpolated given the number of days until contract expiration</w:t>
      </w:r>
    </w:p>
    <w:p w14:paraId="67C2B9F1" w14:textId="7263D50B" w:rsidR="001722BF" w:rsidRDefault="001722BF" w:rsidP="008226B3">
      <w:pPr>
        <w:spacing w:after="0" w:line="360" w:lineRule="auto"/>
        <w:ind w:firstLine="709"/>
        <w:rPr>
          <w:rFonts w:eastAsiaTheme="minorEastAsia" w:cs="Times New Roman"/>
          <w:lang w:val="en-US"/>
        </w:rPr>
      </w:pPr>
      <w:r>
        <w:rPr>
          <w:rFonts w:eastAsiaTheme="minorEastAsia" w:cs="Times New Roman"/>
          <w:lang w:val="en-US"/>
        </w:rPr>
        <w:t>t – day, at which OIS rate is calculated</w:t>
      </w:r>
    </w:p>
    <w:p w14:paraId="7AF0FEBA" w14:textId="1DBA0B8D" w:rsidR="001722BF" w:rsidRDefault="001722BF" w:rsidP="008226B3">
      <w:pPr>
        <w:spacing w:after="0" w:line="360" w:lineRule="auto"/>
        <w:ind w:firstLine="709"/>
        <w:rPr>
          <w:rFonts w:eastAsiaTheme="minorEastAsia" w:cs="Times New Roman"/>
          <w:lang w:val="en-US"/>
        </w:rPr>
      </w:pPr>
      <w:r>
        <w:rPr>
          <w:rFonts w:eastAsiaTheme="minorEastAsia" w:cs="Times New Roman"/>
          <w:lang w:val="en-US"/>
        </w:rPr>
        <w:t>t-1 – previous day</w:t>
      </w:r>
    </w:p>
    <w:p w14:paraId="148ABA87" w14:textId="44A45CD4" w:rsidR="0083322C" w:rsidRDefault="00225A5C" w:rsidP="008226B3">
      <w:pPr>
        <w:spacing w:after="0" w:line="360" w:lineRule="auto"/>
        <w:ind w:firstLine="709"/>
        <w:rPr>
          <w:rFonts w:eastAsiaTheme="minorEastAsia" w:cs="Times New Roman"/>
          <w:lang w:val="en-US"/>
        </w:rPr>
      </w:pPr>
      <w:r>
        <w:rPr>
          <w:rFonts w:eastAsiaTheme="minorEastAsia" w:cs="Times New Roman"/>
          <w:lang w:val="en-US"/>
        </w:rPr>
        <w:t>Another decision was to decide on the applicable FX future price deviation measurement: deviation, computed at 30-minutes closing prices is not directly applicable, since the OIS rates are computed throughout the whole trade day and then reported as aggregated values (hence, no frequency higher than 1 day is applicable for us), and thus we cannot allocate exact value of OIS differential delta to exact value of</w:t>
      </w:r>
      <w:r w:rsidR="00B50BA2">
        <w:rPr>
          <w:rFonts w:eastAsiaTheme="minorEastAsia" w:cs="Times New Roman"/>
          <w:lang w:val="en-US"/>
        </w:rPr>
        <w:t xml:space="preserve"> </w:t>
      </w:r>
      <w:r>
        <w:rPr>
          <w:rFonts w:eastAsiaTheme="minorEastAsia" w:cs="Times New Roman"/>
          <w:lang w:val="en-US"/>
        </w:rPr>
        <w:t>deviation</w:t>
      </w:r>
      <w:r w:rsidR="00B50BA2">
        <w:rPr>
          <w:rFonts w:eastAsiaTheme="minorEastAsia" w:cs="Times New Roman"/>
          <w:lang w:val="en-US"/>
        </w:rPr>
        <w:t xml:space="preserve"> in 30-minutes closing prices</w:t>
      </w:r>
      <w:r>
        <w:rPr>
          <w:rFonts w:eastAsiaTheme="minorEastAsia" w:cs="Times New Roman"/>
          <w:lang w:val="en-US"/>
        </w:rPr>
        <w:t xml:space="preserve"> to run regression. Hence, we decided to apply another approach: we used regression of daily average deviations vs OIS differential deltas. </w:t>
      </w:r>
      <w:r w:rsidR="00B50BA2">
        <w:rPr>
          <w:rFonts w:eastAsiaTheme="minorEastAsia" w:cs="Times New Roman"/>
          <w:lang w:val="en-US"/>
        </w:rPr>
        <w:t xml:space="preserve"> </w:t>
      </w:r>
      <w:r w:rsidR="0083322C">
        <w:rPr>
          <w:rFonts w:eastAsiaTheme="minorEastAsia" w:cs="Times New Roman"/>
          <w:lang w:val="en-US"/>
        </w:rPr>
        <w:t>The resultant regression equation looks as follows:</w:t>
      </w:r>
    </w:p>
    <w:p w14:paraId="51BA9DFB" w14:textId="0163F7C1" w:rsidR="0083322C" w:rsidRPr="0083322C" w:rsidRDefault="0083322C" w:rsidP="008226B3">
      <w:pPr>
        <w:spacing w:after="0" w:line="360" w:lineRule="auto"/>
        <w:ind w:firstLine="709"/>
        <w:rPr>
          <w:rFonts w:ascii="Cambria Math" w:hAnsi="Cambria Math" w:cs="Times New Roman"/>
          <w:i/>
          <w:lang w:val="en-US"/>
        </w:rPr>
      </w:pPr>
      <w:r w:rsidRPr="0083322C">
        <w:rPr>
          <w:rFonts w:ascii="Cambria Math" w:hAnsi="Cambria Math" w:cs="Times New Roman"/>
          <w:i/>
          <w:lang w:val="en-US"/>
        </w:rPr>
        <w:t>Fut daily dev</w:t>
      </w:r>
      <w:r w:rsidRPr="0083322C">
        <w:rPr>
          <w:rFonts w:ascii="Cambria Math" w:hAnsi="Cambria Math" w:cs="Times New Roman"/>
          <w:i/>
          <w:vertAlign w:val="subscript"/>
          <w:lang w:val="en-US"/>
        </w:rPr>
        <w:t>t</w:t>
      </w:r>
      <w:r w:rsidRPr="0083322C">
        <w:rPr>
          <w:rFonts w:ascii="Cambria Math" w:hAnsi="Cambria Math" w:cs="Times New Roman"/>
          <w:i/>
          <w:lang w:val="en-US"/>
        </w:rPr>
        <w:t xml:space="preserve"> = Intercept + β (</w:t>
      </w:r>
      <m:oMath>
        <m:r>
          <w:rPr>
            <w:rFonts w:ascii="Cambria Math" w:hAnsi="Cambria Math" w:cs="Times New Roman"/>
            <w:lang w:val="en-US"/>
          </w:rPr>
          <m:t>OIS differential delta</m:t>
        </m:r>
      </m:oMath>
      <w:r w:rsidRPr="0083322C">
        <w:rPr>
          <w:rFonts w:ascii="Cambria Math" w:eastAsiaTheme="minorEastAsia" w:hAnsi="Cambria Math" w:cs="Times New Roman"/>
          <w:i/>
          <w:vertAlign w:val="subscript"/>
          <w:lang w:val="en-US"/>
        </w:rPr>
        <w:t>t</w:t>
      </w:r>
      <w:r w:rsidRPr="0083322C">
        <w:rPr>
          <w:rFonts w:ascii="Cambria Math" w:hAnsi="Cambria Math" w:cs="Times New Roman"/>
          <w:i/>
          <w:lang w:val="en-US"/>
        </w:rPr>
        <w:t xml:space="preserve"> * act/365) + ε, </w:t>
      </w:r>
      <w:r w:rsidRPr="001D1B97">
        <w:rPr>
          <w:rFonts w:ascii="Cambria Math" w:hAnsi="Cambria Math" w:cs="Times New Roman"/>
          <w:iCs/>
          <w:lang w:val="en-US"/>
        </w:rPr>
        <w:t>where</w:t>
      </w:r>
    </w:p>
    <w:p w14:paraId="21BD6DA7" w14:textId="17FB509F" w:rsidR="0083322C" w:rsidRDefault="0083322C" w:rsidP="008226B3">
      <w:pPr>
        <w:spacing w:after="0" w:line="360" w:lineRule="auto"/>
        <w:ind w:firstLine="709"/>
        <w:rPr>
          <w:rFonts w:ascii="Cambria Math" w:hAnsi="Cambria Math" w:cs="Times New Roman"/>
          <w:iCs/>
          <w:lang w:val="en-US"/>
        </w:rPr>
      </w:pPr>
      <w:r w:rsidRPr="0083322C">
        <w:rPr>
          <w:rFonts w:ascii="Cambria Math" w:hAnsi="Cambria Math" w:cs="Times New Roman"/>
          <w:i/>
          <w:lang w:val="en-US"/>
        </w:rPr>
        <w:t>Fut daily dev</w:t>
      </w:r>
      <w:r w:rsidR="00ED0FC1">
        <w:rPr>
          <w:rFonts w:ascii="Cambria Math" w:hAnsi="Cambria Math" w:cs="Times New Roman"/>
          <w:i/>
          <w:vertAlign w:val="subscript"/>
          <w:lang w:val="en-US"/>
        </w:rPr>
        <w:t>t</w:t>
      </w:r>
      <w:r w:rsidRPr="0083322C">
        <w:rPr>
          <w:rFonts w:ascii="Cambria Math" w:hAnsi="Cambria Math" w:cs="Times New Roman"/>
          <w:i/>
          <w:lang w:val="en-US"/>
        </w:rPr>
        <w:t xml:space="preserve"> – </w:t>
      </w:r>
      <w:r w:rsidRPr="0083322C">
        <w:rPr>
          <w:rFonts w:eastAsiaTheme="minorEastAsia" w:cs="Times New Roman"/>
          <w:lang w:val="en-US"/>
        </w:rPr>
        <w:t>Daily deviation of FX future price from theoretical value</w:t>
      </w:r>
      <w:r w:rsidR="00ED0FC1">
        <w:rPr>
          <w:rFonts w:eastAsiaTheme="minorEastAsia" w:cs="Times New Roman"/>
          <w:lang w:val="en-US"/>
        </w:rPr>
        <w:t xml:space="preserve"> at day t</w:t>
      </w:r>
    </w:p>
    <w:p w14:paraId="6679E96D" w14:textId="057A4042" w:rsidR="00D2115D" w:rsidRDefault="0083322C" w:rsidP="008226B3">
      <w:pPr>
        <w:spacing w:after="0" w:line="360" w:lineRule="auto"/>
        <w:ind w:firstLine="709"/>
        <w:rPr>
          <w:rFonts w:eastAsiaTheme="minorEastAsia" w:cs="Times New Roman"/>
          <w:lang w:val="en-US"/>
        </w:rPr>
      </w:pPr>
      <w:r w:rsidRPr="0083322C">
        <w:rPr>
          <w:rFonts w:ascii="Cambria Math" w:hAnsi="Cambria Math" w:cs="Times New Roman"/>
          <w:i/>
          <w:lang w:val="en-US"/>
        </w:rPr>
        <w:t>ε</w:t>
      </w:r>
      <w:r>
        <w:rPr>
          <w:rFonts w:eastAsiaTheme="minorEastAsia" w:cs="Times New Roman"/>
          <w:lang w:val="en-US"/>
        </w:rPr>
        <w:t xml:space="preserve"> </w:t>
      </w:r>
      <w:r w:rsidR="00D2115D">
        <w:rPr>
          <w:rFonts w:eastAsiaTheme="minorEastAsia" w:cs="Times New Roman"/>
          <w:lang w:val="en-US"/>
        </w:rPr>
        <w:t>–</w:t>
      </w:r>
      <w:r>
        <w:rPr>
          <w:rFonts w:eastAsiaTheme="minorEastAsia" w:cs="Times New Roman"/>
          <w:lang w:val="en-US"/>
        </w:rPr>
        <w:t xml:space="preserve"> residual</w:t>
      </w:r>
    </w:p>
    <w:p w14:paraId="3DFFC94B" w14:textId="3DEF7AB3" w:rsidR="009B0E59" w:rsidRDefault="009B0E59" w:rsidP="008226B3">
      <w:pPr>
        <w:spacing w:after="0" w:line="360" w:lineRule="auto"/>
        <w:ind w:firstLine="709"/>
        <w:rPr>
          <w:rFonts w:eastAsiaTheme="minorEastAsia" w:cs="Times New Roman"/>
          <w:lang w:val="en-US"/>
        </w:rPr>
      </w:pPr>
      <w:r>
        <w:rPr>
          <w:rFonts w:eastAsiaTheme="minorEastAsia" w:cs="Times New Roman"/>
          <w:lang w:val="en-US"/>
        </w:rPr>
        <w:t>The c</w:t>
      </w:r>
      <w:r w:rsidR="00C613F6">
        <w:rPr>
          <w:rFonts w:eastAsiaTheme="minorEastAsia" w:cs="Times New Roman"/>
          <w:lang w:val="en-US"/>
        </w:rPr>
        <w:t>oe</w:t>
      </w:r>
      <w:r>
        <w:rPr>
          <w:rFonts w:eastAsiaTheme="minorEastAsia" w:cs="Times New Roman"/>
          <w:lang w:val="en-US"/>
        </w:rPr>
        <w:t>fficients of obtained regressions are reported in a table below:</w:t>
      </w:r>
    </w:p>
    <w:p w14:paraId="450B159B" w14:textId="77777777" w:rsidR="00D2115D" w:rsidRDefault="00D2115D">
      <w:pPr>
        <w:jc w:val="left"/>
        <w:rPr>
          <w:rFonts w:eastAsiaTheme="minorEastAsia" w:cs="Times New Roman"/>
          <w:lang w:val="en-US"/>
        </w:rPr>
      </w:pPr>
      <w:r>
        <w:rPr>
          <w:rFonts w:eastAsiaTheme="minorEastAsia" w:cs="Times New Roman"/>
          <w:lang w:val="en-US"/>
        </w:rPr>
        <w:br w:type="page"/>
      </w:r>
    </w:p>
    <w:tbl>
      <w:tblPr>
        <w:tblW w:w="7837" w:type="dxa"/>
        <w:tblLook w:val="04A0" w:firstRow="1" w:lastRow="0" w:firstColumn="1" w:lastColumn="0" w:noHBand="0" w:noVBand="1"/>
      </w:tblPr>
      <w:tblGrid>
        <w:gridCol w:w="1194"/>
        <w:gridCol w:w="197"/>
        <w:gridCol w:w="1019"/>
        <w:gridCol w:w="1639"/>
        <w:gridCol w:w="1380"/>
        <w:gridCol w:w="1391"/>
        <w:gridCol w:w="989"/>
        <w:gridCol w:w="28"/>
      </w:tblGrid>
      <w:tr w:rsidR="008E7238" w:rsidRPr="00566F83" w14:paraId="4D88DC9E" w14:textId="77777777" w:rsidTr="008E7238">
        <w:trPr>
          <w:trHeight w:val="347"/>
        </w:trPr>
        <w:tc>
          <w:tcPr>
            <w:tcW w:w="1391" w:type="dxa"/>
            <w:gridSpan w:val="2"/>
            <w:tcBorders>
              <w:bottom w:val="single" w:sz="4" w:space="0" w:color="auto"/>
            </w:tcBorders>
          </w:tcPr>
          <w:p w14:paraId="792B8568" w14:textId="77777777" w:rsidR="008E7238" w:rsidRDefault="008E7238" w:rsidP="00B50BA2">
            <w:pPr>
              <w:pStyle w:val="a0"/>
            </w:pPr>
          </w:p>
        </w:tc>
        <w:tc>
          <w:tcPr>
            <w:tcW w:w="6446" w:type="dxa"/>
            <w:gridSpan w:val="6"/>
            <w:tcBorders>
              <w:bottom w:val="single" w:sz="4" w:space="0" w:color="auto"/>
            </w:tcBorders>
            <w:shd w:val="clear" w:color="auto" w:fill="auto"/>
            <w:noWrap/>
            <w:vAlign w:val="bottom"/>
            <w:hideMark/>
          </w:tcPr>
          <w:p w14:paraId="6FA5FA86" w14:textId="1F5EC7E7" w:rsidR="008E7238" w:rsidRPr="00DC2FC9" w:rsidRDefault="008E7238" w:rsidP="00B50BA2">
            <w:pPr>
              <w:pStyle w:val="a0"/>
              <w:rPr>
                <w:rFonts w:eastAsia="Times New Roman"/>
                <w:color w:val="000000"/>
                <w:lang w:eastAsia="ru-RU"/>
              </w:rPr>
            </w:pPr>
            <w:r>
              <w:t xml:space="preserve">Table </w:t>
            </w:r>
            <w:r>
              <w:fldChar w:fldCharType="begin"/>
            </w:r>
            <w:r>
              <w:instrText xml:space="preserve"> SEQ Table \* ARABIC </w:instrText>
            </w:r>
            <w:r>
              <w:fldChar w:fldCharType="separate"/>
            </w:r>
            <w:r w:rsidR="004D16C9">
              <w:rPr>
                <w:noProof/>
              </w:rPr>
              <w:t>9</w:t>
            </w:r>
            <w:r>
              <w:fldChar w:fldCharType="end"/>
            </w:r>
            <w:r>
              <w:t xml:space="preserve">. </w:t>
            </w:r>
            <w:r w:rsidRPr="00DC2FC9">
              <w:rPr>
                <w:rFonts w:eastAsia="Times New Roman"/>
                <w:color w:val="000000"/>
                <w:lang w:eastAsia="ru-RU"/>
              </w:rPr>
              <w:t>OIS delta vs FX fut</w:t>
            </w:r>
            <w:r>
              <w:rPr>
                <w:rFonts w:eastAsia="Times New Roman"/>
                <w:color w:val="000000"/>
                <w:lang w:eastAsia="ru-RU"/>
              </w:rPr>
              <w:t>ure</w:t>
            </w:r>
            <w:r w:rsidRPr="00DC2FC9">
              <w:rPr>
                <w:rFonts w:eastAsia="Times New Roman"/>
                <w:color w:val="000000"/>
                <w:lang w:eastAsia="ru-RU"/>
              </w:rPr>
              <w:t xml:space="preserve"> daily dev</w:t>
            </w:r>
            <w:r>
              <w:rPr>
                <w:rFonts w:eastAsia="Times New Roman"/>
                <w:color w:val="000000"/>
                <w:lang w:eastAsia="ru-RU"/>
              </w:rPr>
              <w:t>iation</w:t>
            </w:r>
          </w:p>
        </w:tc>
      </w:tr>
      <w:tr w:rsidR="008E7238" w:rsidRPr="00DC2FC9" w14:paraId="262B4EDC" w14:textId="15A9D90D" w:rsidTr="008E7238">
        <w:trPr>
          <w:gridAfter w:val="2"/>
          <w:wAfter w:w="1017" w:type="dxa"/>
          <w:trHeight w:val="436"/>
        </w:trPr>
        <w:tc>
          <w:tcPr>
            <w:tcW w:w="1194" w:type="dxa"/>
            <w:tcBorders>
              <w:top w:val="nil"/>
              <w:bottom w:val="single" w:sz="4" w:space="0" w:color="auto"/>
              <w:right w:val="single" w:sz="4" w:space="0" w:color="auto"/>
            </w:tcBorders>
            <w:shd w:val="clear" w:color="auto" w:fill="auto"/>
            <w:noWrap/>
            <w:vAlign w:val="center"/>
            <w:hideMark/>
          </w:tcPr>
          <w:p w14:paraId="16846FA5" w14:textId="3C9110C3" w:rsidR="008E7238" w:rsidRPr="00DC2FC9" w:rsidRDefault="008E7238" w:rsidP="008E7238">
            <w:pPr>
              <w:spacing w:after="0" w:line="360" w:lineRule="auto"/>
              <w:ind w:firstLine="709"/>
              <w:jc w:val="center"/>
              <w:rPr>
                <w:rFonts w:eastAsia="Times New Roman" w:cs="Times New Roman"/>
                <w:b/>
                <w:bCs/>
                <w:color w:val="000000"/>
                <w:sz w:val="20"/>
                <w:szCs w:val="20"/>
                <w:lang w:val="en-US" w:eastAsia="ru-RU"/>
              </w:rPr>
            </w:pPr>
          </w:p>
        </w:tc>
        <w:tc>
          <w:tcPr>
            <w:tcW w:w="1216" w:type="dxa"/>
            <w:gridSpan w:val="2"/>
            <w:tcBorders>
              <w:top w:val="nil"/>
              <w:left w:val="nil"/>
              <w:bottom w:val="single" w:sz="4" w:space="0" w:color="auto"/>
              <w:right w:val="single" w:sz="4" w:space="0" w:color="auto"/>
            </w:tcBorders>
            <w:shd w:val="clear" w:color="auto" w:fill="auto"/>
            <w:noWrap/>
            <w:vAlign w:val="center"/>
            <w:hideMark/>
          </w:tcPr>
          <w:p w14:paraId="71BBC309" w14:textId="77777777" w:rsidR="008E7238" w:rsidRPr="00DC2FC9" w:rsidRDefault="008E7238" w:rsidP="008E7238">
            <w:pPr>
              <w:spacing w:after="0" w:line="360" w:lineRule="auto"/>
              <w:jc w:val="center"/>
              <w:rPr>
                <w:rFonts w:eastAsia="Times New Roman" w:cs="Times New Roman"/>
                <w:b/>
                <w:bCs/>
                <w:color w:val="000000"/>
                <w:sz w:val="20"/>
                <w:szCs w:val="20"/>
                <w:lang w:eastAsia="ru-RU"/>
              </w:rPr>
            </w:pPr>
            <w:r w:rsidRPr="00DC2FC9">
              <w:rPr>
                <w:rFonts w:eastAsia="Times New Roman" w:cs="Times New Roman"/>
                <w:b/>
                <w:bCs/>
                <w:color w:val="000000"/>
                <w:sz w:val="20"/>
                <w:szCs w:val="20"/>
                <w:lang w:eastAsia="ru-RU"/>
              </w:rPr>
              <w:t>Intercept</w:t>
            </w:r>
          </w:p>
        </w:tc>
        <w:tc>
          <w:tcPr>
            <w:tcW w:w="1639" w:type="dxa"/>
            <w:tcBorders>
              <w:top w:val="nil"/>
              <w:left w:val="nil"/>
              <w:bottom w:val="single" w:sz="4" w:space="0" w:color="auto"/>
              <w:right w:val="single" w:sz="4" w:space="0" w:color="auto"/>
            </w:tcBorders>
            <w:shd w:val="clear" w:color="auto" w:fill="auto"/>
            <w:noWrap/>
            <w:vAlign w:val="center"/>
            <w:hideMark/>
          </w:tcPr>
          <w:p w14:paraId="4B363604" w14:textId="6CC01ED5" w:rsidR="008E7238" w:rsidRPr="00DC2FC9" w:rsidRDefault="008E7238" w:rsidP="008E7238">
            <w:pPr>
              <w:spacing w:after="0" w:line="360" w:lineRule="auto"/>
              <w:jc w:val="center"/>
              <w:rPr>
                <w:rFonts w:eastAsia="Times New Roman" w:cs="Times New Roman"/>
                <w:b/>
                <w:bCs/>
                <w:color w:val="000000"/>
                <w:sz w:val="20"/>
                <w:szCs w:val="20"/>
                <w:lang w:val="en-US" w:eastAsia="ru-RU"/>
              </w:rPr>
            </w:pPr>
            <w:r w:rsidRPr="00DC2FC9">
              <w:rPr>
                <w:rFonts w:eastAsia="Times New Roman" w:cs="Times New Roman"/>
                <w:b/>
                <w:bCs/>
                <w:color w:val="000000"/>
                <w:sz w:val="20"/>
                <w:szCs w:val="20"/>
                <w:lang w:val="en-US" w:eastAsia="ru-RU"/>
              </w:rPr>
              <w:t>OIS</w:t>
            </w:r>
            <w:r>
              <w:rPr>
                <w:rFonts w:eastAsia="Times New Roman" w:cs="Times New Roman"/>
                <w:b/>
                <w:bCs/>
                <w:color w:val="000000"/>
                <w:sz w:val="20"/>
                <w:szCs w:val="20"/>
                <w:lang w:val="en-US" w:eastAsia="ru-RU"/>
              </w:rPr>
              <w:t xml:space="preserve"> </w:t>
            </w:r>
            <w:r w:rsidRPr="00DC2FC9">
              <w:rPr>
                <w:rFonts w:eastAsia="Times New Roman" w:cs="Times New Roman"/>
                <w:b/>
                <w:bCs/>
                <w:color w:val="000000"/>
                <w:sz w:val="20"/>
                <w:szCs w:val="20"/>
                <w:lang w:val="en-US" w:eastAsia="ru-RU"/>
              </w:rPr>
              <w:t>diff</w:t>
            </w:r>
            <w:r>
              <w:rPr>
                <w:rFonts w:eastAsia="Times New Roman" w:cs="Times New Roman"/>
                <w:b/>
                <w:bCs/>
                <w:color w:val="000000"/>
                <w:sz w:val="20"/>
                <w:szCs w:val="20"/>
                <w:lang w:val="en-US" w:eastAsia="ru-RU"/>
              </w:rPr>
              <w:t xml:space="preserve"> d</w:t>
            </w:r>
            <w:r w:rsidRPr="00DC2FC9">
              <w:rPr>
                <w:rFonts w:eastAsia="Times New Roman" w:cs="Times New Roman"/>
                <w:b/>
                <w:bCs/>
                <w:color w:val="000000"/>
                <w:sz w:val="20"/>
                <w:szCs w:val="20"/>
                <w:lang w:val="en-US" w:eastAsia="ru-RU"/>
              </w:rPr>
              <w:t>elta</w:t>
            </w:r>
            <w:r>
              <w:rPr>
                <w:rFonts w:eastAsia="Times New Roman" w:cs="Times New Roman"/>
                <w:b/>
                <w:bCs/>
                <w:color w:val="000000"/>
                <w:sz w:val="20"/>
                <w:szCs w:val="20"/>
                <w:lang w:val="en-US" w:eastAsia="ru-RU"/>
              </w:rPr>
              <w:t xml:space="preserve"> </w:t>
            </w:r>
            <w:r w:rsidRPr="00DC2FC9">
              <w:rPr>
                <w:rFonts w:eastAsia="Times New Roman" w:cs="Times New Roman"/>
                <w:b/>
                <w:bCs/>
                <w:color w:val="000000"/>
                <w:sz w:val="20"/>
                <w:szCs w:val="20"/>
                <w:lang w:val="en-US" w:eastAsia="ru-RU"/>
              </w:rPr>
              <w:t>*</w:t>
            </w:r>
            <w:r>
              <w:rPr>
                <w:rFonts w:eastAsia="Times New Roman" w:cs="Times New Roman"/>
                <w:b/>
                <w:bCs/>
                <w:color w:val="000000"/>
                <w:sz w:val="20"/>
                <w:szCs w:val="20"/>
                <w:lang w:val="en-US" w:eastAsia="ru-RU"/>
              </w:rPr>
              <w:t xml:space="preserve"> </w:t>
            </w:r>
            <w:r w:rsidRPr="00DC2FC9">
              <w:rPr>
                <w:rFonts w:eastAsia="Times New Roman" w:cs="Times New Roman"/>
                <w:b/>
                <w:bCs/>
                <w:color w:val="000000"/>
                <w:sz w:val="20"/>
                <w:szCs w:val="20"/>
                <w:lang w:val="en-US" w:eastAsia="ru-RU"/>
              </w:rPr>
              <w:t>act/365</w:t>
            </w:r>
            <w:r>
              <w:rPr>
                <w:rFonts w:eastAsia="Times New Roman" w:cs="Times New Roman"/>
                <w:b/>
                <w:bCs/>
                <w:color w:val="000000"/>
                <w:sz w:val="20"/>
                <w:szCs w:val="20"/>
                <w:lang w:val="en-US" w:eastAsia="ru-RU"/>
              </w:rPr>
              <w:t>, beta</w:t>
            </w:r>
          </w:p>
        </w:tc>
        <w:tc>
          <w:tcPr>
            <w:tcW w:w="1380" w:type="dxa"/>
            <w:tcBorders>
              <w:top w:val="nil"/>
              <w:left w:val="nil"/>
              <w:bottom w:val="single" w:sz="4" w:space="0" w:color="auto"/>
              <w:right w:val="single" w:sz="4" w:space="0" w:color="auto"/>
            </w:tcBorders>
            <w:shd w:val="clear" w:color="auto" w:fill="auto"/>
            <w:noWrap/>
            <w:vAlign w:val="center"/>
          </w:tcPr>
          <w:p w14:paraId="79C31A21" w14:textId="5BC5BD43" w:rsidR="008E7238" w:rsidRPr="00DC2FC9" w:rsidRDefault="008E7238" w:rsidP="008E7238">
            <w:pPr>
              <w:spacing w:after="0" w:line="360" w:lineRule="auto"/>
              <w:jc w:val="center"/>
              <w:rPr>
                <w:rFonts w:eastAsia="Times New Roman" w:cs="Times New Roman"/>
                <w:b/>
                <w:bCs/>
                <w:color w:val="000000"/>
                <w:sz w:val="20"/>
                <w:szCs w:val="20"/>
                <w:lang w:eastAsia="ru-RU"/>
              </w:rPr>
            </w:pPr>
            <w:r w:rsidRPr="00DC2FC9">
              <w:rPr>
                <w:rFonts w:eastAsia="Times New Roman" w:cs="Times New Roman"/>
                <w:b/>
                <w:bCs/>
                <w:color w:val="000000"/>
                <w:sz w:val="20"/>
                <w:szCs w:val="20"/>
                <w:lang w:eastAsia="ru-RU"/>
              </w:rPr>
              <w:t>Significance</w:t>
            </w:r>
            <w:r>
              <w:rPr>
                <w:rStyle w:val="FootnoteReference"/>
                <w:rFonts w:eastAsia="Times New Roman" w:cs="Times New Roman"/>
                <w:b/>
                <w:bCs/>
                <w:color w:val="000000"/>
                <w:sz w:val="20"/>
                <w:szCs w:val="20"/>
                <w:lang w:eastAsia="ru-RU"/>
              </w:rPr>
              <w:footnoteReference w:id="63"/>
            </w:r>
          </w:p>
        </w:tc>
        <w:tc>
          <w:tcPr>
            <w:tcW w:w="1391" w:type="dxa"/>
            <w:tcBorders>
              <w:top w:val="nil"/>
              <w:left w:val="nil"/>
              <w:bottom w:val="single" w:sz="4" w:space="0" w:color="auto"/>
            </w:tcBorders>
            <w:shd w:val="clear" w:color="auto" w:fill="auto"/>
            <w:noWrap/>
            <w:vAlign w:val="center"/>
          </w:tcPr>
          <w:p w14:paraId="4CCE6CA8" w14:textId="4E944B84" w:rsidR="008E7238" w:rsidRPr="00DC2FC9" w:rsidRDefault="008E7238" w:rsidP="008E7238">
            <w:pPr>
              <w:spacing w:after="0" w:line="360" w:lineRule="auto"/>
              <w:jc w:val="center"/>
              <w:rPr>
                <w:rFonts w:eastAsia="Times New Roman" w:cs="Times New Roman"/>
                <w:b/>
                <w:bCs/>
                <w:color w:val="000000"/>
                <w:sz w:val="20"/>
                <w:szCs w:val="20"/>
                <w:lang w:eastAsia="ru-RU"/>
              </w:rPr>
            </w:pPr>
            <w:r w:rsidRPr="00DC2FC9">
              <w:rPr>
                <w:rFonts w:eastAsia="Times New Roman" w:cs="Times New Roman"/>
                <w:b/>
                <w:bCs/>
                <w:color w:val="000000"/>
                <w:sz w:val="20"/>
                <w:szCs w:val="20"/>
                <w:lang w:eastAsia="ru-RU"/>
              </w:rPr>
              <w:t>R-squared</w:t>
            </w:r>
          </w:p>
        </w:tc>
      </w:tr>
      <w:tr w:rsidR="008E7238" w:rsidRPr="00DC2FC9" w14:paraId="6B34EFBA" w14:textId="6AA0E4F0" w:rsidTr="008E7238">
        <w:trPr>
          <w:gridAfter w:val="2"/>
          <w:wAfter w:w="1017" w:type="dxa"/>
          <w:trHeight w:val="285"/>
        </w:trPr>
        <w:tc>
          <w:tcPr>
            <w:tcW w:w="1194" w:type="dxa"/>
            <w:tcBorders>
              <w:top w:val="nil"/>
              <w:bottom w:val="single" w:sz="4" w:space="0" w:color="auto"/>
              <w:right w:val="single" w:sz="4" w:space="0" w:color="auto"/>
            </w:tcBorders>
            <w:shd w:val="clear" w:color="auto" w:fill="auto"/>
            <w:noWrap/>
            <w:vAlign w:val="bottom"/>
            <w:hideMark/>
          </w:tcPr>
          <w:p w14:paraId="667D21FD" w14:textId="7BE069B9" w:rsidR="008E7238" w:rsidRPr="00DC2FC9" w:rsidRDefault="008E7238" w:rsidP="008E7238">
            <w:pPr>
              <w:spacing w:after="0" w:line="360" w:lineRule="auto"/>
              <w:rPr>
                <w:rFonts w:eastAsia="Times New Roman" w:cs="Times New Roman"/>
                <w:color w:val="000000"/>
                <w:sz w:val="20"/>
                <w:szCs w:val="20"/>
                <w:lang w:eastAsia="ru-RU"/>
              </w:rPr>
            </w:pPr>
            <w:r>
              <w:rPr>
                <w:rFonts w:eastAsia="Times New Roman" w:cs="Times New Roman"/>
                <w:color w:val="000000"/>
                <w:sz w:val="20"/>
                <w:szCs w:val="20"/>
                <w:lang w:val="en-US" w:eastAsia="ru-RU"/>
              </w:rPr>
              <w:t>US</w:t>
            </w:r>
            <w:r w:rsidRPr="00DC2FC9">
              <w:rPr>
                <w:rFonts w:eastAsia="Times New Roman" w:cs="Times New Roman"/>
                <w:color w:val="000000"/>
                <w:sz w:val="20"/>
                <w:szCs w:val="20"/>
                <w:lang w:eastAsia="ru-RU"/>
              </w:rPr>
              <w:t>D/CHF</w:t>
            </w:r>
          </w:p>
        </w:tc>
        <w:tc>
          <w:tcPr>
            <w:tcW w:w="1216" w:type="dxa"/>
            <w:gridSpan w:val="2"/>
            <w:tcBorders>
              <w:top w:val="nil"/>
              <w:left w:val="nil"/>
              <w:bottom w:val="single" w:sz="4" w:space="0" w:color="auto"/>
              <w:right w:val="single" w:sz="4" w:space="0" w:color="auto"/>
            </w:tcBorders>
            <w:shd w:val="clear" w:color="auto" w:fill="auto"/>
            <w:noWrap/>
            <w:vAlign w:val="bottom"/>
            <w:hideMark/>
          </w:tcPr>
          <w:p w14:paraId="698DDF78"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2,1</w:t>
            </w:r>
          </w:p>
        </w:tc>
        <w:tc>
          <w:tcPr>
            <w:tcW w:w="1639" w:type="dxa"/>
            <w:tcBorders>
              <w:top w:val="nil"/>
              <w:left w:val="nil"/>
              <w:bottom w:val="single" w:sz="4" w:space="0" w:color="auto"/>
              <w:right w:val="single" w:sz="4" w:space="0" w:color="auto"/>
            </w:tcBorders>
            <w:shd w:val="clear" w:color="auto" w:fill="auto"/>
            <w:noWrap/>
            <w:vAlign w:val="bottom"/>
            <w:hideMark/>
          </w:tcPr>
          <w:p w14:paraId="02C2E267"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26475</w:t>
            </w:r>
          </w:p>
        </w:tc>
        <w:tc>
          <w:tcPr>
            <w:tcW w:w="1380" w:type="dxa"/>
            <w:tcBorders>
              <w:top w:val="nil"/>
              <w:left w:val="nil"/>
              <w:bottom w:val="single" w:sz="4" w:space="0" w:color="auto"/>
              <w:right w:val="single" w:sz="4" w:space="0" w:color="auto"/>
            </w:tcBorders>
            <w:shd w:val="clear" w:color="auto" w:fill="auto"/>
            <w:noWrap/>
            <w:vAlign w:val="bottom"/>
          </w:tcPr>
          <w:p w14:paraId="09743ACD" w14:textId="68C72FB2"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0,232</w:t>
            </w:r>
          </w:p>
        </w:tc>
        <w:tc>
          <w:tcPr>
            <w:tcW w:w="1391" w:type="dxa"/>
            <w:tcBorders>
              <w:top w:val="nil"/>
              <w:left w:val="nil"/>
              <w:bottom w:val="single" w:sz="4" w:space="0" w:color="auto"/>
            </w:tcBorders>
            <w:shd w:val="clear" w:color="auto" w:fill="auto"/>
            <w:noWrap/>
            <w:vAlign w:val="bottom"/>
          </w:tcPr>
          <w:p w14:paraId="4B00727D" w14:textId="2A21F89F"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1,3%</w:t>
            </w:r>
          </w:p>
        </w:tc>
      </w:tr>
      <w:tr w:rsidR="008E7238" w:rsidRPr="00DC2FC9" w14:paraId="05F47BC9" w14:textId="5BE91C00" w:rsidTr="008E7238">
        <w:trPr>
          <w:gridAfter w:val="2"/>
          <w:wAfter w:w="1017" w:type="dxa"/>
          <w:trHeight w:val="285"/>
        </w:trPr>
        <w:tc>
          <w:tcPr>
            <w:tcW w:w="1194" w:type="dxa"/>
            <w:tcBorders>
              <w:top w:val="nil"/>
              <w:bottom w:val="single" w:sz="4" w:space="0" w:color="auto"/>
              <w:right w:val="single" w:sz="4" w:space="0" w:color="auto"/>
            </w:tcBorders>
            <w:shd w:val="clear" w:color="auto" w:fill="auto"/>
            <w:noWrap/>
            <w:vAlign w:val="bottom"/>
            <w:hideMark/>
          </w:tcPr>
          <w:p w14:paraId="68DDAAAE" w14:textId="4025ADBB"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GBP/CHF</w:t>
            </w:r>
            <w:r w:rsidRPr="00683B28">
              <w:rPr>
                <w:rStyle w:val="FootnoteReference"/>
                <w:sz w:val="20"/>
                <w:szCs w:val="20"/>
              </w:rPr>
              <w:footnoteReference w:id="64"/>
            </w:r>
          </w:p>
        </w:tc>
        <w:tc>
          <w:tcPr>
            <w:tcW w:w="1216" w:type="dxa"/>
            <w:gridSpan w:val="2"/>
            <w:tcBorders>
              <w:top w:val="nil"/>
              <w:left w:val="nil"/>
              <w:bottom w:val="single" w:sz="4" w:space="0" w:color="auto"/>
              <w:right w:val="single" w:sz="4" w:space="0" w:color="auto"/>
            </w:tcBorders>
            <w:shd w:val="clear" w:color="auto" w:fill="auto"/>
            <w:noWrap/>
            <w:vAlign w:val="bottom"/>
            <w:hideMark/>
          </w:tcPr>
          <w:p w14:paraId="1AE9B5A5" w14:textId="61777DE5" w:rsidR="008E7238" w:rsidRPr="00E87C21" w:rsidRDefault="008E7238" w:rsidP="008E7238">
            <w:pPr>
              <w:spacing w:after="0" w:line="360" w:lineRule="auto"/>
              <w:rPr>
                <w:rFonts w:eastAsia="Times New Roman" w:cs="Times New Roman"/>
                <w:color w:val="000000"/>
                <w:sz w:val="20"/>
                <w:szCs w:val="20"/>
                <w:lang w:eastAsia="ru-RU"/>
              </w:rPr>
            </w:pPr>
            <w:r>
              <w:rPr>
                <w:rFonts w:eastAsia="Times New Roman" w:cs="Times New Roman"/>
                <w:color w:val="000000"/>
                <w:sz w:val="20"/>
                <w:szCs w:val="20"/>
                <w:lang w:val="en-US" w:eastAsia="ru-RU"/>
              </w:rPr>
              <w:t xml:space="preserve">n/a </w:t>
            </w:r>
          </w:p>
        </w:tc>
        <w:tc>
          <w:tcPr>
            <w:tcW w:w="1639" w:type="dxa"/>
            <w:tcBorders>
              <w:top w:val="nil"/>
              <w:left w:val="nil"/>
              <w:bottom w:val="single" w:sz="4" w:space="0" w:color="auto"/>
              <w:right w:val="single" w:sz="4" w:space="0" w:color="auto"/>
            </w:tcBorders>
            <w:shd w:val="clear" w:color="auto" w:fill="auto"/>
            <w:noWrap/>
            <w:vAlign w:val="bottom"/>
            <w:hideMark/>
          </w:tcPr>
          <w:p w14:paraId="12EA4C04" w14:textId="0ABB0098" w:rsidR="008E7238" w:rsidRPr="00902249" w:rsidRDefault="008E7238" w:rsidP="008E7238">
            <w:pPr>
              <w:spacing w:after="0" w:line="360" w:lineRule="auto"/>
              <w:rPr>
                <w:rFonts w:eastAsia="Times New Roman" w:cs="Times New Roman"/>
                <w:color w:val="000000"/>
                <w:sz w:val="20"/>
                <w:szCs w:val="20"/>
                <w:lang w:val="en-US" w:eastAsia="ru-RU"/>
              </w:rPr>
            </w:pPr>
            <w:r>
              <w:rPr>
                <w:rFonts w:eastAsia="Times New Roman" w:cs="Times New Roman"/>
                <w:color w:val="000000"/>
                <w:sz w:val="20"/>
                <w:szCs w:val="20"/>
                <w:lang w:val="en-US" w:eastAsia="ru-RU"/>
              </w:rPr>
              <w:t>n/a</w:t>
            </w:r>
          </w:p>
        </w:tc>
        <w:tc>
          <w:tcPr>
            <w:tcW w:w="1380" w:type="dxa"/>
            <w:tcBorders>
              <w:top w:val="nil"/>
              <w:left w:val="nil"/>
              <w:bottom w:val="single" w:sz="4" w:space="0" w:color="auto"/>
              <w:right w:val="single" w:sz="4" w:space="0" w:color="auto"/>
            </w:tcBorders>
            <w:shd w:val="clear" w:color="auto" w:fill="auto"/>
            <w:noWrap/>
            <w:vAlign w:val="bottom"/>
          </w:tcPr>
          <w:p w14:paraId="4172FD76" w14:textId="3C7DB334" w:rsidR="008E7238" w:rsidRPr="00683B28" w:rsidRDefault="008E7238" w:rsidP="008E7238">
            <w:pPr>
              <w:spacing w:after="0" w:line="360" w:lineRule="auto"/>
              <w:rPr>
                <w:rFonts w:eastAsia="Times New Roman" w:cs="Times New Roman"/>
                <w:color w:val="000000"/>
                <w:sz w:val="20"/>
                <w:szCs w:val="20"/>
                <w:lang w:val="en-US" w:eastAsia="ru-RU"/>
              </w:rPr>
            </w:pPr>
            <w:r>
              <w:rPr>
                <w:rFonts w:eastAsia="Times New Roman" w:cs="Times New Roman"/>
                <w:color w:val="000000"/>
                <w:sz w:val="20"/>
                <w:szCs w:val="20"/>
                <w:lang w:val="en-US" w:eastAsia="ru-RU"/>
              </w:rPr>
              <w:t>n/a</w:t>
            </w:r>
          </w:p>
        </w:tc>
        <w:tc>
          <w:tcPr>
            <w:tcW w:w="1391" w:type="dxa"/>
            <w:tcBorders>
              <w:top w:val="nil"/>
              <w:left w:val="nil"/>
              <w:bottom w:val="single" w:sz="4" w:space="0" w:color="auto"/>
            </w:tcBorders>
            <w:shd w:val="clear" w:color="auto" w:fill="auto"/>
            <w:noWrap/>
            <w:vAlign w:val="bottom"/>
          </w:tcPr>
          <w:p w14:paraId="737260B2" w14:textId="744BB44A" w:rsidR="008E7238" w:rsidRPr="00683B28" w:rsidRDefault="008E7238" w:rsidP="008E7238">
            <w:pPr>
              <w:spacing w:after="0" w:line="360" w:lineRule="auto"/>
              <w:rPr>
                <w:rFonts w:eastAsia="Times New Roman" w:cs="Times New Roman"/>
                <w:color w:val="000000"/>
                <w:sz w:val="20"/>
                <w:szCs w:val="20"/>
                <w:lang w:val="en-US" w:eastAsia="ru-RU"/>
              </w:rPr>
            </w:pPr>
            <w:r>
              <w:rPr>
                <w:rFonts w:eastAsia="Times New Roman" w:cs="Times New Roman"/>
                <w:color w:val="000000"/>
                <w:sz w:val="20"/>
                <w:szCs w:val="20"/>
                <w:lang w:val="en-US" w:eastAsia="ru-RU"/>
              </w:rPr>
              <w:t>n/a</w:t>
            </w:r>
          </w:p>
        </w:tc>
      </w:tr>
      <w:tr w:rsidR="008E7238" w:rsidRPr="00DC2FC9" w14:paraId="346A609F" w14:textId="0155FD09" w:rsidTr="008E7238">
        <w:trPr>
          <w:gridAfter w:val="2"/>
          <w:wAfter w:w="1017" w:type="dxa"/>
          <w:trHeight w:val="285"/>
        </w:trPr>
        <w:tc>
          <w:tcPr>
            <w:tcW w:w="1194" w:type="dxa"/>
            <w:tcBorders>
              <w:top w:val="nil"/>
              <w:bottom w:val="single" w:sz="4" w:space="0" w:color="auto"/>
              <w:right w:val="single" w:sz="4" w:space="0" w:color="auto"/>
            </w:tcBorders>
            <w:shd w:val="clear" w:color="auto" w:fill="auto"/>
            <w:noWrap/>
            <w:vAlign w:val="bottom"/>
            <w:hideMark/>
          </w:tcPr>
          <w:p w14:paraId="0F3D8FE3"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EUR/CHF</w:t>
            </w:r>
          </w:p>
        </w:tc>
        <w:tc>
          <w:tcPr>
            <w:tcW w:w="1216" w:type="dxa"/>
            <w:gridSpan w:val="2"/>
            <w:tcBorders>
              <w:top w:val="nil"/>
              <w:left w:val="nil"/>
              <w:bottom w:val="single" w:sz="4" w:space="0" w:color="auto"/>
              <w:right w:val="single" w:sz="4" w:space="0" w:color="auto"/>
            </w:tcBorders>
            <w:shd w:val="clear" w:color="auto" w:fill="auto"/>
            <w:noWrap/>
            <w:vAlign w:val="bottom"/>
            <w:hideMark/>
          </w:tcPr>
          <w:p w14:paraId="47C59DFA"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0,07</w:t>
            </w:r>
          </w:p>
        </w:tc>
        <w:tc>
          <w:tcPr>
            <w:tcW w:w="1639" w:type="dxa"/>
            <w:tcBorders>
              <w:top w:val="nil"/>
              <w:left w:val="nil"/>
              <w:bottom w:val="single" w:sz="4" w:space="0" w:color="auto"/>
              <w:right w:val="single" w:sz="4" w:space="0" w:color="auto"/>
            </w:tcBorders>
            <w:shd w:val="clear" w:color="auto" w:fill="auto"/>
            <w:noWrap/>
            <w:vAlign w:val="bottom"/>
            <w:hideMark/>
          </w:tcPr>
          <w:p w14:paraId="034A679A"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-41972</w:t>
            </w:r>
          </w:p>
        </w:tc>
        <w:tc>
          <w:tcPr>
            <w:tcW w:w="1380" w:type="dxa"/>
            <w:tcBorders>
              <w:top w:val="nil"/>
              <w:left w:val="nil"/>
              <w:bottom w:val="single" w:sz="4" w:space="0" w:color="auto"/>
              <w:right w:val="single" w:sz="4" w:space="0" w:color="auto"/>
            </w:tcBorders>
            <w:shd w:val="clear" w:color="auto" w:fill="auto"/>
            <w:noWrap/>
            <w:vAlign w:val="bottom"/>
          </w:tcPr>
          <w:p w14:paraId="58752203" w14:textId="3D50AF2D"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0,119</w:t>
            </w:r>
          </w:p>
        </w:tc>
        <w:tc>
          <w:tcPr>
            <w:tcW w:w="1391" w:type="dxa"/>
            <w:tcBorders>
              <w:top w:val="nil"/>
              <w:left w:val="nil"/>
              <w:bottom w:val="single" w:sz="4" w:space="0" w:color="auto"/>
            </w:tcBorders>
            <w:shd w:val="clear" w:color="auto" w:fill="auto"/>
            <w:noWrap/>
            <w:vAlign w:val="bottom"/>
          </w:tcPr>
          <w:p w14:paraId="20A6A73C" w14:textId="1750747F"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2,6%</w:t>
            </w:r>
          </w:p>
        </w:tc>
      </w:tr>
      <w:tr w:rsidR="008E7238" w:rsidRPr="00DC2FC9" w14:paraId="538CC451" w14:textId="51F65F70" w:rsidTr="008E7238">
        <w:trPr>
          <w:gridAfter w:val="2"/>
          <w:wAfter w:w="1017" w:type="dxa"/>
          <w:trHeight w:val="285"/>
        </w:trPr>
        <w:tc>
          <w:tcPr>
            <w:tcW w:w="1194" w:type="dxa"/>
            <w:tcBorders>
              <w:top w:val="nil"/>
              <w:bottom w:val="single" w:sz="4" w:space="0" w:color="auto"/>
              <w:right w:val="single" w:sz="4" w:space="0" w:color="auto"/>
            </w:tcBorders>
            <w:shd w:val="clear" w:color="auto" w:fill="auto"/>
            <w:noWrap/>
            <w:vAlign w:val="bottom"/>
            <w:hideMark/>
          </w:tcPr>
          <w:p w14:paraId="70097399"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EUR/GBP</w:t>
            </w:r>
          </w:p>
        </w:tc>
        <w:tc>
          <w:tcPr>
            <w:tcW w:w="1216" w:type="dxa"/>
            <w:gridSpan w:val="2"/>
            <w:tcBorders>
              <w:top w:val="nil"/>
              <w:left w:val="nil"/>
              <w:bottom w:val="single" w:sz="4" w:space="0" w:color="auto"/>
              <w:right w:val="single" w:sz="4" w:space="0" w:color="auto"/>
            </w:tcBorders>
            <w:shd w:val="clear" w:color="auto" w:fill="auto"/>
            <w:noWrap/>
            <w:vAlign w:val="bottom"/>
            <w:hideMark/>
          </w:tcPr>
          <w:p w14:paraId="35A4AB7F"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-0,3</w:t>
            </w:r>
          </w:p>
        </w:tc>
        <w:tc>
          <w:tcPr>
            <w:tcW w:w="1639" w:type="dxa"/>
            <w:tcBorders>
              <w:top w:val="nil"/>
              <w:left w:val="nil"/>
              <w:bottom w:val="single" w:sz="4" w:space="0" w:color="auto"/>
              <w:right w:val="single" w:sz="4" w:space="0" w:color="auto"/>
            </w:tcBorders>
            <w:shd w:val="clear" w:color="auto" w:fill="auto"/>
            <w:noWrap/>
            <w:vAlign w:val="bottom"/>
            <w:hideMark/>
          </w:tcPr>
          <w:p w14:paraId="0953E4CE"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15380</w:t>
            </w:r>
          </w:p>
        </w:tc>
        <w:tc>
          <w:tcPr>
            <w:tcW w:w="1380" w:type="dxa"/>
            <w:tcBorders>
              <w:top w:val="nil"/>
              <w:left w:val="nil"/>
              <w:bottom w:val="single" w:sz="4" w:space="0" w:color="auto"/>
              <w:right w:val="single" w:sz="4" w:space="0" w:color="auto"/>
            </w:tcBorders>
            <w:shd w:val="clear" w:color="auto" w:fill="auto"/>
            <w:noWrap/>
            <w:vAlign w:val="bottom"/>
          </w:tcPr>
          <w:p w14:paraId="727D791E" w14:textId="5B5D30A8"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0,608</w:t>
            </w:r>
          </w:p>
        </w:tc>
        <w:tc>
          <w:tcPr>
            <w:tcW w:w="1391" w:type="dxa"/>
            <w:tcBorders>
              <w:top w:val="nil"/>
              <w:left w:val="nil"/>
              <w:bottom w:val="single" w:sz="4" w:space="0" w:color="auto"/>
            </w:tcBorders>
            <w:shd w:val="clear" w:color="auto" w:fill="auto"/>
            <w:noWrap/>
            <w:vAlign w:val="bottom"/>
          </w:tcPr>
          <w:p w14:paraId="529C5C46" w14:textId="0491D820"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0,3%</w:t>
            </w:r>
          </w:p>
        </w:tc>
      </w:tr>
      <w:tr w:rsidR="008E7238" w:rsidRPr="00DC2FC9" w14:paraId="39C27FEE" w14:textId="797929BD" w:rsidTr="008E7238">
        <w:trPr>
          <w:gridAfter w:val="2"/>
          <w:wAfter w:w="1017" w:type="dxa"/>
          <w:trHeight w:val="285"/>
        </w:trPr>
        <w:tc>
          <w:tcPr>
            <w:tcW w:w="1194" w:type="dxa"/>
            <w:tcBorders>
              <w:top w:val="nil"/>
              <w:bottom w:val="single" w:sz="4" w:space="0" w:color="auto"/>
              <w:right w:val="single" w:sz="4" w:space="0" w:color="auto"/>
            </w:tcBorders>
            <w:shd w:val="clear" w:color="auto" w:fill="auto"/>
            <w:noWrap/>
            <w:vAlign w:val="bottom"/>
            <w:hideMark/>
          </w:tcPr>
          <w:p w14:paraId="5A543DED"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EUR/USD</w:t>
            </w:r>
          </w:p>
        </w:tc>
        <w:tc>
          <w:tcPr>
            <w:tcW w:w="1216" w:type="dxa"/>
            <w:gridSpan w:val="2"/>
            <w:tcBorders>
              <w:top w:val="nil"/>
              <w:left w:val="nil"/>
              <w:bottom w:val="single" w:sz="4" w:space="0" w:color="auto"/>
              <w:right w:val="single" w:sz="4" w:space="0" w:color="auto"/>
            </w:tcBorders>
            <w:shd w:val="clear" w:color="auto" w:fill="auto"/>
            <w:noWrap/>
            <w:vAlign w:val="bottom"/>
            <w:hideMark/>
          </w:tcPr>
          <w:p w14:paraId="6CD89984"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1,9</w:t>
            </w:r>
          </w:p>
        </w:tc>
        <w:tc>
          <w:tcPr>
            <w:tcW w:w="1639" w:type="dxa"/>
            <w:tcBorders>
              <w:top w:val="nil"/>
              <w:left w:val="nil"/>
              <w:bottom w:val="single" w:sz="4" w:space="0" w:color="auto"/>
              <w:right w:val="single" w:sz="4" w:space="0" w:color="auto"/>
            </w:tcBorders>
            <w:shd w:val="clear" w:color="auto" w:fill="auto"/>
            <w:noWrap/>
            <w:vAlign w:val="bottom"/>
            <w:hideMark/>
          </w:tcPr>
          <w:p w14:paraId="4C8656C9"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-7786</w:t>
            </w:r>
          </w:p>
        </w:tc>
        <w:tc>
          <w:tcPr>
            <w:tcW w:w="1380" w:type="dxa"/>
            <w:tcBorders>
              <w:top w:val="nil"/>
              <w:left w:val="nil"/>
              <w:bottom w:val="single" w:sz="4" w:space="0" w:color="auto"/>
              <w:right w:val="single" w:sz="4" w:space="0" w:color="auto"/>
            </w:tcBorders>
            <w:shd w:val="clear" w:color="auto" w:fill="auto"/>
            <w:noWrap/>
            <w:vAlign w:val="bottom"/>
          </w:tcPr>
          <w:p w14:paraId="58BC4458" w14:textId="212078AC"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0,269</w:t>
            </w:r>
          </w:p>
        </w:tc>
        <w:tc>
          <w:tcPr>
            <w:tcW w:w="1391" w:type="dxa"/>
            <w:tcBorders>
              <w:top w:val="nil"/>
              <w:left w:val="nil"/>
              <w:bottom w:val="single" w:sz="4" w:space="0" w:color="auto"/>
            </w:tcBorders>
            <w:shd w:val="clear" w:color="auto" w:fill="auto"/>
            <w:noWrap/>
            <w:vAlign w:val="bottom"/>
          </w:tcPr>
          <w:p w14:paraId="4996D051" w14:textId="6A1CE8A3"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1,5%</w:t>
            </w:r>
          </w:p>
        </w:tc>
      </w:tr>
      <w:tr w:rsidR="008E7238" w:rsidRPr="00DC2FC9" w14:paraId="65CCC898" w14:textId="05A62C54" w:rsidTr="008E7238">
        <w:trPr>
          <w:gridAfter w:val="2"/>
          <w:wAfter w:w="1017" w:type="dxa"/>
          <w:trHeight w:val="285"/>
        </w:trPr>
        <w:tc>
          <w:tcPr>
            <w:tcW w:w="1194" w:type="dxa"/>
            <w:tcBorders>
              <w:top w:val="nil"/>
              <w:bottom w:val="single" w:sz="4" w:space="0" w:color="auto"/>
              <w:right w:val="single" w:sz="4" w:space="0" w:color="auto"/>
            </w:tcBorders>
            <w:shd w:val="clear" w:color="auto" w:fill="auto"/>
            <w:noWrap/>
            <w:vAlign w:val="bottom"/>
            <w:hideMark/>
          </w:tcPr>
          <w:p w14:paraId="75B29264"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EUR/JPY</w:t>
            </w:r>
          </w:p>
        </w:tc>
        <w:tc>
          <w:tcPr>
            <w:tcW w:w="1216" w:type="dxa"/>
            <w:gridSpan w:val="2"/>
            <w:tcBorders>
              <w:top w:val="nil"/>
              <w:left w:val="nil"/>
              <w:bottom w:val="single" w:sz="4" w:space="0" w:color="auto"/>
              <w:right w:val="single" w:sz="4" w:space="0" w:color="auto"/>
            </w:tcBorders>
            <w:shd w:val="clear" w:color="auto" w:fill="auto"/>
            <w:noWrap/>
            <w:vAlign w:val="bottom"/>
            <w:hideMark/>
          </w:tcPr>
          <w:p w14:paraId="5EA70ABA"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-1,6</w:t>
            </w:r>
          </w:p>
        </w:tc>
        <w:tc>
          <w:tcPr>
            <w:tcW w:w="1639" w:type="dxa"/>
            <w:tcBorders>
              <w:top w:val="nil"/>
              <w:left w:val="nil"/>
              <w:bottom w:val="single" w:sz="4" w:space="0" w:color="auto"/>
              <w:right w:val="single" w:sz="4" w:space="0" w:color="auto"/>
            </w:tcBorders>
            <w:shd w:val="clear" w:color="auto" w:fill="auto"/>
            <w:noWrap/>
            <w:vAlign w:val="bottom"/>
            <w:hideMark/>
          </w:tcPr>
          <w:p w14:paraId="495359E9"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-9936</w:t>
            </w:r>
          </w:p>
        </w:tc>
        <w:tc>
          <w:tcPr>
            <w:tcW w:w="1380" w:type="dxa"/>
            <w:tcBorders>
              <w:top w:val="nil"/>
              <w:left w:val="nil"/>
              <w:bottom w:val="single" w:sz="4" w:space="0" w:color="auto"/>
              <w:right w:val="single" w:sz="4" w:space="0" w:color="auto"/>
            </w:tcBorders>
            <w:shd w:val="clear" w:color="auto" w:fill="auto"/>
            <w:noWrap/>
            <w:vAlign w:val="bottom"/>
          </w:tcPr>
          <w:p w14:paraId="1DAD1F68" w14:textId="75C21794"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0,760</w:t>
            </w:r>
          </w:p>
        </w:tc>
        <w:tc>
          <w:tcPr>
            <w:tcW w:w="1391" w:type="dxa"/>
            <w:tcBorders>
              <w:top w:val="nil"/>
              <w:left w:val="nil"/>
              <w:bottom w:val="single" w:sz="4" w:space="0" w:color="auto"/>
            </w:tcBorders>
            <w:shd w:val="clear" w:color="auto" w:fill="auto"/>
            <w:noWrap/>
            <w:vAlign w:val="bottom"/>
          </w:tcPr>
          <w:p w14:paraId="159A9181" w14:textId="7215AB13"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0,1%</w:t>
            </w:r>
          </w:p>
        </w:tc>
      </w:tr>
      <w:tr w:rsidR="008E7238" w:rsidRPr="00DC2FC9" w14:paraId="10C7F5D9" w14:textId="279442C8" w:rsidTr="008E7238">
        <w:trPr>
          <w:gridAfter w:val="2"/>
          <w:wAfter w:w="1017" w:type="dxa"/>
          <w:trHeight w:val="285"/>
        </w:trPr>
        <w:tc>
          <w:tcPr>
            <w:tcW w:w="1194" w:type="dxa"/>
            <w:tcBorders>
              <w:top w:val="nil"/>
              <w:bottom w:val="single" w:sz="4" w:space="0" w:color="auto"/>
              <w:right w:val="single" w:sz="4" w:space="0" w:color="auto"/>
            </w:tcBorders>
            <w:shd w:val="clear" w:color="auto" w:fill="auto"/>
            <w:noWrap/>
            <w:vAlign w:val="bottom"/>
            <w:hideMark/>
          </w:tcPr>
          <w:p w14:paraId="7C385B0A"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JPY/USD</w:t>
            </w:r>
          </w:p>
        </w:tc>
        <w:tc>
          <w:tcPr>
            <w:tcW w:w="1216" w:type="dxa"/>
            <w:gridSpan w:val="2"/>
            <w:tcBorders>
              <w:top w:val="nil"/>
              <w:left w:val="nil"/>
              <w:bottom w:val="single" w:sz="4" w:space="0" w:color="auto"/>
              <w:right w:val="single" w:sz="4" w:space="0" w:color="auto"/>
            </w:tcBorders>
            <w:shd w:val="clear" w:color="auto" w:fill="auto"/>
            <w:noWrap/>
            <w:vAlign w:val="bottom"/>
            <w:hideMark/>
          </w:tcPr>
          <w:p w14:paraId="19097716"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3,3</w:t>
            </w:r>
          </w:p>
        </w:tc>
        <w:tc>
          <w:tcPr>
            <w:tcW w:w="1639" w:type="dxa"/>
            <w:tcBorders>
              <w:top w:val="nil"/>
              <w:left w:val="nil"/>
              <w:bottom w:val="single" w:sz="4" w:space="0" w:color="auto"/>
              <w:right w:val="single" w:sz="4" w:space="0" w:color="auto"/>
            </w:tcBorders>
            <w:shd w:val="clear" w:color="auto" w:fill="auto"/>
            <w:noWrap/>
            <w:vAlign w:val="bottom"/>
            <w:hideMark/>
          </w:tcPr>
          <w:p w14:paraId="1B2A4290"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3334</w:t>
            </w:r>
          </w:p>
        </w:tc>
        <w:tc>
          <w:tcPr>
            <w:tcW w:w="1380" w:type="dxa"/>
            <w:tcBorders>
              <w:top w:val="nil"/>
              <w:left w:val="nil"/>
              <w:bottom w:val="single" w:sz="4" w:space="0" w:color="auto"/>
              <w:right w:val="single" w:sz="4" w:space="0" w:color="auto"/>
            </w:tcBorders>
            <w:shd w:val="clear" w:color="auto" w:fill="auto"/>
            <w:noWrap/>
            <w:vAlign w:val="bottom"/>
          </w:tcPr>
          <w:p w14:paraId="3F48514C" w14:textId="320F725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0,381</w:t>
            </w:r>
          </w:p>
        </w:tc>
        <w:tc>
          <w:tcPr>
            <w:tcW w:w="1391" w:type="dxa"/>
            <w:tcBorders>
              <w:top w:val="nil"/>
              <w:left w:val="nil"/>
              <w:bottom w:val="single" w:sz="4" w:space="0" w:color="auto"/>
            </w:tcBorders>
            <w:shd w:val="clear" w:color="auto" w:fill="auto"/>
            <w:noWrap/>
            <w:vAlign w:val="bottom"/>
          </w:tcPr>
          <w:p w14:paraId="5463B949" w14:textId="4450ED64"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1,0%</w:t>
            </w:r>
          </w:p>
        </w:tc>
      </w:tr>
      <w:tr w:rsidR="008E7238" w:rsidRPr="00DC2FC9" w14:paraId="3A56649D" w14:textId="187532E9" w:rsidTr="008E7238">
        <w:trPr>
          <w:gridAfter w:val="2"/>
          <w:wAfter w:w="1017" w:type="dxa"/>
          <w:trHeight w:val="285"/>
        </w:trPr>
        <w:tc>
          <w:tcPr>
            <w:tcW w:w="1194" w:type="dxa"/>
            <w:tcBorders>
              <w:top w:val="nil"/>
              <w:bottom w:val="single" w:sz="4" w:space="0" w:color="auto"/>
              <w:right w:val="single" w:sz="4" w:space="0" w:color="auto"/>
            </w:tcBorders>
            <w:shd w:val="clear" w:color="auto" w:fill="auto"/>
            <w:noWrap/>
            <w:vAlign w:val="bottom"/>
            <w:hideMark/>
          </w:tcPr>
          <w:p w14:paraId="622F2E84"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GBP/JPY</w:t>
            </w:r>
          </w:p>
        </w:tc>
        <w:tc>
          <w:tcPr>
            <w:tcW w:w="1216" w:type="dxa"/>
            <w:gridSpan w:val="2"/>
            <w:tcBorders>
              <w:top w:val="nil"/>
              <w:left w:val="nil"/>
              <w:bottom w:val="single" w:sz="4" w:space="0" w:color="auto"/>
              <w:right w:val="single" w:sz="4" w:space="0" w:color="auto"/>
            </w:tcBorders>
            <w:shd w:val="clear" w:color="auto" w:fill="auto"/>
            <w:noWrap/>
            <w:vAlign w:val="bottom"/>
            <w:hideMark/>
          </w:tcPr>
          <w:p w14:paraId="47186FFE"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-1,2</w:t>
            </w:r>
          </w:p>
        </w:tc>
        <w:tc>
          <w:tcPr>
            <w:tcW w:w="1639" w:type="dxa"/>
            <w:tcBorders>
              <w:top w:val="nil"/>
              <w:left w:val="nil"/>
              <w:bottom w:val="single" w:sz="4" w:space="0" w:color="auto"/>
              <w:right w:val="single" w:sz="4" w:space="0" w:color="auto"/>
            </w:tcBorders>
            <w:shd w:val="clear" w:color="auto" w:fill="auto"/>
            <w:noWrap/>
            <w:vAlign w:val="bottom"/>
            <w:hideMark/>
          </w:tcPr>
          <w:p w14:paraId="0F8D4EA6"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-77439</w:t>
            </w:r>
          </w:p>
        </w:tc>
        <w:tc>
          <w:tcPr>
            <w:tcW w:w="1380" w:type="dxa"/>
            <w:tcBorders>
              <w:top w:val="nil"/>
              <w:left w:val="nil"/>
              <w:bottom w:val="single" w:sz="4" w:space="0" w:color="auto"/>
              <w:right w:val="single" w:sz="4" w:space="0" w:color="auto"/>
            </w:tcBorders>
            <w:shd w:val="clear" w:color="auto" w:fill="auto"/>
            <w:noWrap/>
            <w:vAlign w:val="bottom"/>
          </w:tcPr>
          <w:p w14:paraId="3B0EF4F2" w14:textId="15A24AE6"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0,018</w:t>
            </w:r>
          </w:p>
        </w:tc>
        <w:tc>
          <w:tcPr>
            <w:tcW w:w="1391" w:type="dxa"/>
            <w:tcBorders>
              <w:top w:val="nil"/>
              <w:left w:val="nil"/>
              <w:bottom w:val="single" w:sz="4" w:space="0" w:color="auto"/>
            </w:tcBorders>
            <w:shd w:val="clear" w:color="auto" w:fill="auto"/>
            <w:noWrap/>
            <w:vAlign w:val="bottom"/>
          </w:tcPr>
          <w:p w14:paraId="47D7BC0F" w14:textId="6FAFE7F9"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4,7%</w:t>
            </w:r>
          </w:p>
        </w:tc>
      </w:tr>
      <w:tr w:rsidR="008E7238" w:rsidRPr="00DC2FC9" w14:paraId="54464B15" w14:textId="15ABD455" w:rsidTr="008E7238">
        <w:trPr>
          <w:gridAfter w:val="2"/>
          <w:wAfter w:w="1017" w:type="dxa"/>
          <w:trHeight w:val="285"/>
        </w:trPr>
        <w:tc>
          <w:tcPr>
            <w:tcW w:w="1194" w:type="dxa"/>
            <w:tcBorders>
              <w:top w:val="nil"/>
              <w:bottom w:val="single" w:sz="4" w:space="0" w:color="auto"/>
              <w:right w:val="single" w:sz="4" w:space="0" w:color="auto"/>
            </w:tcBorders>
            <w:shd w:val="clear" w:color="auto" w:fill="auto"/>
            <w:noWrap/>
            <w:vAlign w:val="bottom"/>
            <w:hideMark/>
          </w:tcPr>
          <w:p w14:paraId="1F5EBAB9"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AUD/JPY</w:t>
            </w:r>
          </w:p>
        </w:tc>
        <w:tc>
          <w:tcPr>
            <w:tcW w:w="1216" w:type="dxa"/>
            <w:gridSpan w:val="2"/>
            <w:tcBorders>
              <w:top w:val="nil"/>
              <w:left w:val="nil"/>
              <w:bottom w:val="single" w:sz="4" w:space="0" w:color="auto"/>
              <w:right w:val="single" w:sz="4" w:space="0" w:color="auto"/>
            </w:tcBorders>
            <w:shd w:val="clear" w:color="auto" w:fill="auto"/>
            <w:noWrap/>
            <w:vAlign w:val="bottom"/>
            <w:hideMark/>
          </w:tcPr>
          <w:p w14:paraId="102DFCF6"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-1,08</w:t>
            </w:r>
          </w:p>
        </w:tc>
        <w:tc>
          <w:tcPr>
            <w:tcW w:w="1639" w:type="dxa"/>
            <w:tcBorders>
              <w:top w:val="nil"/>
              <w:left w:val="nil"/>
              <w:bottom w:val="single" w:sz="4" w:space="0" w:color="auto"/>
              <w:right w:val="single" w:sz="4" w:space="0" w:color="auto"/>
            </w:tcBorders>
            <w:shd w:val="clear" w:color="auto" w:fill="auto"/>
            <w:noWrap/>
            <w:vAlign w:val="bottom"/>
            <w:hideMark/>
          </w:tcPr>
          <w:p w14:paraId="4F4E3438"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20842</w:t>
            </w:r>
          </w:p>
        </w:tc>
        <w:tc>
          <w:tcPr>
            <w:tcW w:w="1380" w:type="dxa"/>
            <w:tcBorders>
              <w:top w:val="nil"/>
              <w:left w:val="nil"/>
              <w:bottom w:val="single" w:sz="4" w:space="0" w:color="auto"/>
              <w:right w:val="single" w:sz="4" w:space="0" w:color="auto"/>
            </w:tcBorders>
            <w:shd w:val="clear" w:color="auto" w:fill="auto"/>
            <w:noWrap/>
            <w:vAlign w:val="bottom"/>
          </w:tcPr>
          <w:p w14:paraId="063633CB" w14:textId="0E20247D"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0,906</w:t>
            </w:r>
          </w:p>
        </w:tc>
        <w:tc>
          <w:tcPr>
            <w:tcW w:w="1391" w:type="dxa"/>
            <w:tcBorders>
              <w:top w:val="nil"/>
              <w:left w:val="nil"/>
              <w:bottom w:val="single" w:sz="4" w:space="0" w:color="auto"/>
            </w:tcBorders>
            <w:shd w:val="clear" w:color="auto" w:fill="auto"/>
            <w:noWrap/>
            <w:vAlign w:val="bottom"/>
          </w:tcPr>
          <w:p w14:paraId="686DB85A" w14:textId="4A6322B5"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0,0%</w:t>
            </w:r>
          </w:p>
        </w:tc>
      </w:tr>
      <w:tr w:rsidR="008E7238" w:rsidRPr="00DC2FC9" w14:paraId="738BDE8B" w14:textId="7DBB688C" w:rsidTr="008E7238">
        <w:trPr>
          <w:gridAfter w:val="2"/>
          <w:wAfter w:w="1017" w:type="dxa"/>
          <w:trHeight w:val="79"/>
        </w:trPr>
        <w:tc>
          <w:tcPr>
            <w:tcW w:w="6820" w:type="dxa"/>
            <w:gridSpan w:val="6"/>
            <w:tcBorders>
              <w:top w:val="nil"/>
              <w:bottom w:val="single" w:sz="4" w:space="0" w:color="auto"/>
            </w:tcBorders>
            <w:vAlign w:val="center"/>
          </w:tcPr>
          <w:p w14:paraId="19A6D0C7" w14:textId="25608005" w:rsidR="008E7238" w:rsidRPr="008E7238" w:rsidRDefault="008E7238" w:rsidP="008E7238">
            <w:pPr>
              <w:tabs>
                <w:tab w:val="left" w:pos="1342"/>
              </w:tabs>
              <w:jc w:val="left"/>
              <w:rPr>
                <w:sz w:val="8"/>
                <w:szCs w:val="6"/>
              </w:rPr>
            </w:pPr>
          </w:p>
        </w:tc>
      </w:tr>
      <w:tr w:rsidR="008E7238" w:rsidRPr="00DC2FC9" w14:paraId="43966C51" w14:textId="1F7B2BC7" w:rsidTr="008E7238">
        <w:trPr>
          <w:gridAfter w:val="2"/>
          <w:wAfter w:w="1017" w:type="dxa"/>
          <w:trHeight w:val="285"/>
        </w:trPr>
        <w:tc>
          <w:tcPr>
            <w:tcW w:w="1194" w:type="dxa"/>
            <w:tcBorders>
              <w:top w:val="nil"/>
              <w:bottom w:val="single" w:sz="4" w:space="0" w:color="auto"/>
              <w:right w:val="single" w:sz="4" w:space="0" w:color="auto"/>
            </w:tcBorders>
            <w:shd w:val="clear" w:color="auto" w:fill="auto"/>
            <w:noWrap/>
            <w:vAlign w:val="bottom"/>
            <w:hideMark/>
          </w:tcPr>
          <w:p w14:paraId="57E58137" w14:textId="05581161" w:rsidR="008E7238" w:rsidRPr="005D3637" w:rsidRDefault="008E7238" w:rsidP="008E7238">
            <w:pPr>
              <w:spacing w:after="0" w:line="360" w:lineRule="auto"/>
              <w:rPr>
                <w:rFonts w:eastAsia="Times New Roman" w:cs="Times New Roman"/>
                <w:color w:val="000000"/>
                <w:sz w:val="20"/>
                <w:szCs w:val="20"/>
                <w:lang w:val="en-US" w:eastAsia="ru-RU"/>
              </w:rPr>
            </w:pPr>
            <w:r>
              <w:rPr>
                <w:rFonts w:eastAsia="Times New Roman" w:cs="Times New Roman"/>
                <w:color w:val="000000"/>
                <w:sz w:val="20"/>
                <w:szCs w:val="20"/>
                <w:lang w:val="en-US" w:eastAsia="ru-RU"/>
              </w:rPr>
              <w:t>RUB</w:t>
            </w:r>
            <w:r w:rsidRPr="00DC2FC9">
              <w:rPr>
                <w:rFonts w:eastAsia="Times New Roman" w:cs="Times New Roman"/>
                <w:color w:val="000000"/>
                <w:sz w:val="20"/>
                <w:szCs w:val="20"/>
                <w:lang w:eastAsia="ru-RU"/>
              </w:rPr>
              <w:t>/</w:t>
            </w:r>
            <w:r>
              <w:rPr>
                <w:rFonts w:eastAsia="Times New Roman" w:cs="Times New Roman"/>
                <w:color w:val="000000"/>
                <w:sz w:val="20"/>
                <w:szCs w:val="20"/>
                <w:lang w:val="en-US" w:eastAsia="ru-RU"/>
              </w:rPr>
              <w:t>USD</w:t>
            </w:r>
          </w:p>
        </w:tc>
        <w:tc>
          <w:tcPr>
            <w:tcW w:w="1216" w:type="dxa"/>
            <w:gridSpan w:val="2"/>
            <w:tcBorders>
              <w:top w:val="nil"/>
              <w:left w:val="nil"/>
              <w:bottom w:val="single" w:sz="4" w:space="0" w:color="auto"/>
              <w:right w:val="single" w:sz="4" w:space="0" w:color="auto"/>
            </w:tcBorders>
            <w:shd w:val="clear" w:color="auto" w:fill="auto"/>
            <w:noWrap/>
            <w:vAlign w:val="bottom"/>
            <w:hideMark/>
          </w:tcPr>
          <w:p w14:paraId="1A9B0B9A"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4,6</w:t>
            </w:r>
          </w:p>
        </w:tc>
        <w:tc>
          <w:tcPr>
            <w:tcW w:w="1639" w:type="dxa"/>
            <w:tcBorders>
              <w:top w:val="nil"/>
              <w:left w:val="nil"/>
              <w:bottom w:val="single" w:sz="4" w:space="0" w:color="auto"/>
              <w:right w:val="single" w:sz="4" w:space="0" w:color="auto"/>
            </w:tcBorders>
            <w:shd w:val="clear" w:color="auto" w:fill="auto"/>
            <w:noWrap/>
            <w:vAlign w:val="bottom"/>
            <w:hideMark/>
          </w:tcPr>
          <w:p w14:paraId="4918C6A5"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14151</w:t>
            </w:r>
          </w:p>
        </w:tc>
        <w:tc>
          <w:tcPr>
            <w:tcW w:w="1380" w:type="dxa"/>
            <w:tcBorders>
              <w:top w:val="nil"/>
              <w:left w:val="nil"/>
              <w:bottom w:val="single" w:sz="4" w:space="0" w:color="auto"/>
              <w:right w:val="single" w:sz="4" w:space="0" w:color="auto"/>
            </w:tcBorders>
            <w:shd w:val="clear" w:color="auto" w:fill="auto"/>
            <w:noWrap/>
            <w:vAlign w:val="bottom"/>
          </w:tcPr>
          <w:p w14:paraId="56898E84" w14:textId="0224751A"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0,458</w:t>
            </w:r>
          </w:p>
        </w:tc>
        <w:tc>
          <w:tcPr>
            <w:tcW w:w="1391" w:type="dxa"/>
            <w:tcBorders>
              <w:top w:val="nil"/>
              <w:left w:val="nil"/>
              <w:bottom w:val="single" w:sz="4" w:space="0" w:color="auto"/>
            </w:tcBorders>
            <w:shd w:val="clear" w:color="auto" w:fill="auto"/>
            <w:noWrap/>
            <w:vAlign w:val="bottom"/>
          </w:tcPr>
          <w:p w14:paraId="762D5157" w14:textId="58375F48"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2,0%</w:t>
            </w:r>
          </w:p>
        </w:tc>
      </w:tr>
      <w:tr w:rsidR="008E7238" w:rsidRPr="00DC2FC9" w14:paraId="33435FE4" w14:textId="04A62D0E" w:rsidTr="008E7238">
        <w:trPr>
          <w:gridAfter w:val="2"/>
          <w:wAfter w:w="1017" w:type="dxa"/>
          <w:trHeight w:val="285"/>
        </w:trPr>
        <w:tc>
          <w:tcPr>
            <w:tcW w:w="1194" w:type="dxa"/>
            <w:tcBorders>
              <w:top w:val="nil"/>
              <w:bottom w:val="single" w:sz="4" w:space="0" w:color="auto"/>
              <w:right w:val="single" w:sz="4" w:space="0" w:color="auto"/>
            </w:tcBorders>
            <w:shd w:val="clear" w:color="auto" w:fill="auto"/>
            <w:noWrap/>
            <w:vAlign w:val="bottom"/>
            <w:hideMark/>
          </w:tcPr>
          <w:p w14:paraId="7CC6470C" w14:textId="1DD45CA2" w:rsidR="008E7238" w:rsidRPr="0033733C" w:rsidRDefault="008E7238" w:rsidP="008E7238">
            <w:pPr>
              <w:spacing w:after="0" w:line="360" w:lineRule="auto"/>
              <w:rPr>
                <w:rFonts w:eastAsia="Times New Roman" w:cs="Times New Roman"/>
                <w:color w:val="000000"/>
                <w:sz w:val="20"/>
                <w:szCs w:val="20"/>
                <w:lang w:val="en-US" w:eastAsia="ru-RU"/>
              </w:rPr>
            </w:pPr>
            <w:r>
              <w:rPr>
                <w:rFonts w:eastAsia="Times New Roman" w:cs="Times New Roman"/>
                <w:color w:val="000000"/>
                <w:sz w:val="20"/>
                <w:szCs w:val="20"/>
                <w:lang w:val="en-US" w:eastAsia="ru-RU"/>
              </w:rPr>
              <w:t>AUD</w:t>
            </w:r>
            <w:r w:rsidRPr="00DC2FC9">
              <w:rPr>
                <w:rFonts w:eastAsia="Times New Roman" w:cs="Times New Roman"/>
                <w:color w:val="000000"/>
                <w:sz w:val="20"/>
                <w:szCs w:val="20"/>
                <w:lang w:eastAsia="ru-RU"/>
              </w:rPr>
              <w:t>/</w:t>
            </w:r>
            <w:r>
              <w:rPr>
                <w:rFonts w:eastAsia="Times New Roman" w:cs="Times New Roman"/>
                <w:color w:val="000000"/>
                <w:sz w:val="20"/>
                <w:szCs w:val="20"/>
                <w:lang w:val="en-US" w:eastAsia="ru-RU"/>
              </w:rPr>
              <w:t>USD</w:t>
            </w:r>
          </w:p>
        </w:tc>
        <w:tc>
          <w:tcPr>
            <w:tcW w:w="1216" w:type="dxa"/>
            <w:gridSpan w:val="2"/>
            <w:tcBorders>
              <w:top w:val="nil"/>
              <w:left w:val="nil"/>
              <w:bottom w:val="single" w:sz="4" w:space="0" w:color="auto"/>
              <w:right w:val="single" w:sz="4" w:space="0" w:color="auto"/>
            </w:tcBorders>
            <w:shd w:val="clear" w:color="auto" w:fill="auto"/>
            <w:noWrap/>
            <w:vAlign w:val="bottom"/>
            <w:hideMark/>
          </w:tcPr>
          <w:p w14:paraId="5DA09F94"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0,9</w:t>
            </w:r>
          </w:p>
        </w:tc>
        <w:tc>
          <w:tcPr>
            <w:tcW w:w="1639" w:type="dxa"/>
            <w:tcBorders>
              <w:top w:val="nil"/>
              <w:left w:val="nil"/>
              <w:bottom w:val="single" w:sz="4" w:space="0" w:color="auto"/>
              <w:right w:val="single" w:sz="4" w:space="0" w:color="auto"/>
            </w:tcBorders>
            <w:shd w:val="clear" w:color="auto" w:fill="auto"/>
            <w:noWrap/>
            <w:vAlign w:val="bottom"/>
            <w:hideMark/>
          </w:tcPr>
          <w:p w14:paraId="7616D34B"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-6270</w:t>
            </w:r>
          </w:p>
        </w:tc>
        <w:tc>
          <w:tcPr>
            <w:tcW w:w="1380" w:type="dxa"/>
            <w:tcBorders>
              <w:top w:val="nil"/>
              <w:left w:val="nil"/>
              <w:bottom w:val="single" w:sz="4" w:space="0" w:color="auto"/>
              <w:right w:val="single" w:sz="4" w:space="0" w:color="auto"/>
            </w:tcBorders>
            <w:shd w:val="clear" w:color="auto" w:fill="auto"/>
            <w:noWrap/>
            <w:vAlign w:val="bottom"/>
          </w:tcPr>
          <w:p w14:paraId="64B4DEFA" w14:textId="4BAD27EF"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0,571</w:t>
            </w:r>
          </w:p>
        </w:tc>
        <w:tc>
          <w:tcPr>
            <w:tcW w:w="1391" w:type="dxa"/>
            <w:tcBorders>
              <w:top w:val="nil"/>
              <w:left w:val="nil"/>
              <w:bottom w:val="single" w:sz="4" w:space="0" w:color="auto"/>
            </w:tcBorders>
            <w:shd w:val="clear" w:color="auto" w:fill="auto"/>
            <w:noWrap/>
            <w:vAlign w:val="bottom"/>
          </w:tcPr>
          <w:p w14:paraId="09DB0B0B" w14:textId="5F4F2BB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0,5%</w:t>
            </w:r>
          </w:p>
        </w:tc>
      </w:tr>
      <w:tr w:rsidR="008E7238" w:rsidRPr="00DC2FC9" w14:paraId="612C4B5A" w14:textId="0791789D" w:rsidTr="008E7238">
        <w:trPr>
          <w:gridAfter w:val="2"/>
          <w:wAfter w:w="1017" w:type="dxa"/>
          <w:trHeight w:val="285"/>
        </w:trPr>
        <w:tc>
          <w:tcPr>
            <w:tcW w:w="1194" w:type="dxa"/>
            <w:tcBorders>
              <w:top w:val="single" w:sz="4" w:space="0" w:color="auto"/>
              <w:bottom w:val="single" w:sz="4" w:space="0" w:color="auto"/>
              <w:right w:val="single" w:sz="4" w:space="0" w:color="auto"/>
            </w:tcBorders>
            <w:shd w:val="clear" w:color="auto" w:fill="auto"/>
            <w:noWrap/>
            <w:vAlign w:val="bottom"/>
            <w:hideMark/>
          </w:tcPr>
          <w:p w14:paraId="3AC27ED4" w14:textId="430D9F4A" w:rsidR="008E7238" w:rsidRPr="0033733C" w:rsidRDefault="008E7238" w:rsidP="008E7238">
            <w:pPr>
              <w:spacing w:after="0" w:line="360" w:lineRule="auto"/>
              <w:rPr>
                <w:rFonts w:eastAsia="Times New Roman" w:cs="Times New Roman"/>
                <w:color w:val="000000"/>
                <w:sz w:val="20"/>
                <w:szCs w:val="20"/>
                <w:lang w:val="en-US" w:eastAsia="ru-RU"/>
              </w:rPr>
            </w:pPr>
            <w:r>
              <w:rPr>
                <w:rFonts w:eastAsia="Times New Roman" w:cs="Times New Roman"/>
                <w:color w:val="000000"/>
                <w:sz w:val="20"/>
                <w:szCs w:val="20"/>
                <w:lang w:val="en-US" w:eastAsia="ru-RU"/>
              </w:rPr>
              <w:t>CAD</w:t>
            </w:r>
            <w:r w:rsidRPr="00DC2FC9">
              <w:rPr>
                <w:rFonts w:eastAsia="Times New Roman" w:cs="Times New Roman"/>
                <w:color w:val="000000"/>
                <w:sz w:val="20"/>
                <w:szCs w:val="20"/>
                <w:lang w:eastAsia="ru-RU"/>
              </w:rPr>
              <w:t>/</w:t>
            </w:r>
            <w:r>
              <w:rPr>
                <w:rFonts w:eastAsia="Times New Roman" w:cs="Times New Roman"/>
                <w:color w:val="000000"/>
                <w:sz w:val="20"/>
                <w:szCs w:val="20"/>
                <w:lang w:val="en-US" w:eastAsia="ru-RU"/>
              </w:rPr>
              <w:t>USD</w:t>
            </w:r>
          </w:p>
        </w:tc>
        <w:tc>
          <w:tcPr>
            <w:tcW w:w="12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884C0D"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2,8</w:t>
            </w:r>
          </w:p>
        </w:tc>
        <w:tc>
          <w:tcPr>
            <w:tcW w:w="1639" w:type="dxa"/>
            <w:tcBorders>
              <w:top w:val="single" w:sz="4" w:space="0" w:color="auto"/>
              <w:left w:val="nil"/>
              <w:bottom w:val="single" w:sz="4" w:space="0" w:color="auto"/>
              <w:right w:val="single" w:sz="4" w:space="0" w:color="auto"/>
            </w:tcBorders>
            <w:shd w:val="clear" w:color="auto" w:fill="auto"/>
            <w:noWrap/>
            <w:vAlign w:val="bottom"/>
            <w:hideMark/>
          </w:tcPr>
          <w:p w14:paraId="51DA8209" w14:textId="77777777"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-6777</w:t>
            </w:r>
          </w:p>
        </w:tc>
        <w:tc>
          <w:tcPr>
            <w:tcW w:w="1380" w:type="dxa"/>
            <w:tcBorders>
              <w:top w:val="single" w:sz="4" w:space="0" w:color="auto"/>
              <w:left w:val="nil"/>
              <w:bottom w:val="single" w:sz="4" w:space="0" w:color="auto"/>
              <w:right w:val="single" w:sz="4" w:space="0" w:color="auto"/>
            </w:tcBorders>
            <w:shd w:val="clear" w:color="auto" w:fill="auto"/>
            <w:noWrap/>
            <w:vAlign w:val="bottom"/>
          </w:tcPr>
          <w:p w14:paraId="46BB8203" w14:textId="4CE1CC39"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0,865</w:t>
            </w:r>
          </w:p>
        </w:tc>
        <w:tc>
          <w:tcPr>
            <w:tcW w:w="1391" w:type="dxa"/>
            <w:tcBorders>
              <w:top w:val="single" w:sz="4" w:space="0" w:color="auto"/>
              <w:left w:val="nil"/>
            </w:tcBorders>
            <w:shd w:val="clear" w:color="auto" w:fill="auto"/>
            <w:noWrap/>
            <w:vAlign w:val="bottom"/>
          </w:tcPr>
          <w:p w14:paraId="227798C4" w14:textId="7B4CEE28" w:rsidR="008E7238" w:rsidRPr="00DC2FC9" w:rsidRDefault="008E7238" w:rsidP="008E7238">
            <w:pPr>
              <w:spacing w:after="0" w:line="360" w:lineRule="auto"/>
              <w:rPr>
                <w:rFonts w:eastAsia="Times New Roman" w:cs="Times New Roman"/>
                <w:color w:val="000000"/>
                <w:sz w:val="20"/>
                <w:szCs w:val="20"/>
                <w:lang w:eastAsia="ru-RU"/>
              </w:rPr>
            </w:pPr>
            <w:r w:rsidRPr="00DC2FC9">
              <w:rPr>
                <w:rFonts w:eastAsia="Times New Roman" w:cs="Times New Roman"/>
                <w:color w:val="000000"/>
                <w:sz w:val="20"/>
                <w:szCs w:val="20"/>
                <w:lang w:eastAsia="ru-RU"/>
              </w:rPr>
              <w:t>0,1%</w:t>
            </w:r>
          </w:p>
        </w:tc>
      </w:tr>
      <w:tr w:rsidR="008E7238" w:rsidRPr="00DC2FC9" w14:paraId="74356C1B" w14:textId="3641C270" w:rsidTr="008E7238">
        <w:trPr>
          <w:gridAfter w:val="1"/>
          <w:wAfter w:w="28" w:type="dxa"/>
          <w:trHeight w:val="285"/>
        </w:trPr>
        <w:tc>
          <w:tcPr>
            <w:tcW w:w="6820" w:type="dxa"/>
            <w:gridSpan w:val="6"/>
            <w:tcBorders>
              <w:top w:val="single" w:sz="4" w:space="0" w:color="auto"/>
            </w:tcBorders>
            <w:shd w:val="clear" w:color="auto" w:fill="auto"/>
            <w:noWrap/>
            <w:vAlign w:val="bottom"/>
          </w:tcPr>
          <w:p w14:paraId="0F6D6E84" w14:textId="70744EA7" w:rsidR="008E7238" w:rsidRPr="009B0E59" w:rsidRDefault="008E7238" w:rsidP="008E7238">
            <w:pPr>
              <w:pStyle w:val="a1"/>
              <w:rPr>
                <w:lang w:eastAsia="ru-RU"/>
              </w:rPr>
            </w:pPr>
            <w:r>
              <w:rPr>
                <w:lang w:eastAsia="ru-RU"/>
              </w:rPr>
              <w:t>Source: Author’s calculations</w:t>
            </w:r>
          </w:p>
        </w:tc>
        <w:tc>
          <w:tcPr>
            <w:tcW w:w="989" w:type="dxa"/>
            <w:tcBorders>
              <w:top w:val="single" w:sz="4" w:space="0" w:color="auto"/>
            </w:tcBorders>
          </w:tcPr>
          <w:p w14:paraId="13CD0141" w14:textId="77777777" w:rsidR="008E7238" w:rsidRDefault="008E7238" w:rsidP="008E7238">
            <w:pPr>
              <w:pStyle w:val="a1"/>
              <w:rPr>
                <w:lang w:eastAsia="ru-RU"/>
              </w:rPr>
            </w:pPr>
          </w:p>
        </w:tc>
      </w:tr>
    </w:tbl>
    <w:p w14:paraId="4971CDC4" w14:textId="7F552D9D" w:rsidR="00B50BA2" w:rsidRDefault="00B50BA2" w:rsidP="00B50BA2">
      <w:pPr>
        <w:spacing w:after="0" w:line="360" w:lineRule="auto"/>
        <w:ind w:firstLine="709"/>
        <w:rPr>
          <w:rFonts w:eastAsiaTheme="minorEastAsia" w:cs="Times New Roman"/>
          <w:lang w:val="en-US"/>
        </w:rPr>
      </w:pPr>
      <w:r>
        <w:rPr>
          <w:rFonts w:eastAsiaTheme="minorEastAsia" w:cs="Times New Roman"/>
          <w:lang w:val="en-US"/>
        </w:rPr>
        <w:t xml:space="preserve">Speaking on the limitations of this approach, we could state that </w:t>
      </w:r>
      <w:r w:rsidRPr="009F7916">
        <w:rPr>
          <w:rFonts w:eastAsiaTheme="minorEastAsia" w:cs="Times New Roman"/>
          <w:i/>
          <w:iCs/>
          <w:lang w:val="en-US"/>
        </w:rPr>
        <w:t>it is possible</w:t>
      </w:r>
      <w:r>
        <w:rPr>
          <w:rFonts w:eastAsiaTheme="minorEastAsia" w:cs="Times New Roman"/>
          <w:lang w:val="en-US"/>
        </w:rPr>
        <w:t xml:space="preserve"> that even in the presence of influence of interest rates expectations change, this effect could be absorpted into FX futures prices quickly enough without significant influence on daily deviation values, thus making the effect undetected by statistical analysis. </w:t>
      </w:r>
    </w:p>
    <w:p w14:paraId="588B0DAC" w14:textId="2F5B4B29" w:rsidR="00FE54E0" w:rsidRPr="008F5C7A" w:rsidRDefault="008F5C7A" w:rsidP="008226B3">
      <w:pPr>
        <w:spacing w:after="0" w:line="360" w:lineRule="auto"/>
        <w:ind w:firstLine="709"/>
        <w:rPr>
          <w:rFonts w:eastAsiaTheme="minorEastAsia" w:cs="Times New Roman"/>
          <w:lang w:val="en-US"/>
        </w:rPr>
      </w:pPr>
      <w:r>
        <w:rPr>
          <w:rFonts w:eastAsiaTheme="minorEastAsia" w:cs="Times New Roman"/>
          <w:lang w:val="en-US"/>
        </w:rPr>
        <w:t xml:space="preserve">Based on the data presented, we could </w:t>
      </w:r>
      <w:r w:rsidRPr="00B50BA2">
        <w:rPr>
          <w:rFonts w:eastAsiaTheme="minorEastAsia" w:cs="Times New Roman"/>
          <w:b/>
          <w:bCs/>
          <w:lang w:val="en-US"/>
        </w:rPr>
        <w:t>reject the hypothesis</w:t>
      </w:r>
      <w:r>
        <w:rPr>
          <w:rFonts w:eastAsiaTheme="minorEastAsia" w:cs="Times New Roman"/>
          <w:lang w:val="en-US"/>
        </w:rPr>
        <w:t xml:space="preserve"> and state that the change in interest rates expectations </w:t>
      </w:r>
      <w:r w:rsidR="009F011A">
        <w:rPr>
          <w:rFonts w:eastAsiaTheme="minorEastAsia" w:cs="Times New Roman"/>
          <w:lang w:val="en-US"/>
        </w:rPr>
        <w:t>is either does not change the deviation of price of FX future price from it’s theoretical value, or this effect, if present, is not long-lasting and does not affect daily deviation average.</w:t>
      </w:r>
    </w:p>
    <w:p w14:paraId="33504D67" w14:textId="38759CE1" w:rsidR="003668BF" w:rsidRDefault="003668BF" w:rsidP="008226B3">
      <w:pPr>
        <w:spacing w:line="360" w:lineRule="auto"/>
        <w:ind w:firstLine="709"/>
        <w:rPr>
          <w:rFonts w:cs="Times New Roman"/>
          <w:b/>
          <w:bCs/>
          <w:iCs/>
          <w:lang w:val="en-US"/>
        </w:rPr>
      </w:pPr>
      <w:r>
        <w:rPr>
          <w:rFonts w:cs="Times New Roman"/>
          <w:b/>
          <w:bCs/>
          <w:iCs/>
          <w:lang w:val="en-US"/>
        </w:rPr>
        <w:br w:type="page"/>
      </w:r>
    </w:p>
    <w:p w14:paraId="35AE0B3C" w14:textId="77777777" w:rsidR="00636A52" w:rsidRDefault="00636A52" w:rsidP="00BE5FC9">
      <w:pPr>
        <w:pStyle w:val="3"/>
      </w:pPr>
      <w:r>
        <w:lastRenderedPageBreak/>
        <w:t xml:space="preserve">Correlation of interest rate differential and FX </w:t>
      </w:r>
      <w:r w:rsidRPr="003C3301">
        <w:t>spot</w:t>
      </w:r>
      <w:r>
        <w:t xml:space="preserve"> rate</w:t>
      </w:r>
    </w:p>
    <w:p w14:paraId="4681B770" w14:textId="17938C73" w:rsidR="00296AB6" w:rsidRDefault="009F011A" w:rsidP="008226B3">
      <w:pPr>
        <w:spacing w:after="0" w:line="360" w:lineRule="auto"/>
        <w:ind w:firstLine="709"/>
        <w:rPr>
          <w:rFonts w:cs="Times New Roman"/>
          <w:iCs/>
          <w:lang w:val="en-US"/>
        </w:rPr>
      </w:pPr>
      <w:r>
        <w:rPr>
          <w:rFonts w:cs="Times New Roman"/>
          <w:iCs/>
          <w:lang w:val="en-US"/>
        </w:rPr>
        <w:t>This hypothesis is influenced by</w:t>
      </w:r>
      <w:r w:rsidR="00A56FAC">
        <w:rPr>
          <w:rFonts w:cs="Times New Roman"/>
          <w:iCs/>
          <w:lang w:val="en-US"/>
        </w:rPr>
        <w:t xml:space="preserve"> the idea by</w:t>
      </w:r>
      <w:r>
        <w:rPr>
          <w:rFonts w:cs="Times New Roman"/>
          <w:iCs/>
          <w:lang w:val="en-US"/>
        </w:rPr>
        <w:t xml:space="preserve"> Hull, J</w:t>
      </w:r>
      <w:r w:rsidR="00296AB6">
        <w:rPr>
          <w:rFonts w:cs="Times New Roman"/>
          <w:iCs/>
          <w:lang w:val="en-US"/>
        </w:rPr>
        <w:t xml:space="preserve">: </w:t>
      </w:r>
      <w:r w:rsidR="00296AB6" w:rsidRPr="00296AB6">
        <w:rPr>
          <w:rFonts w:cs="Times New Roman"/>
          <w:iCs/>
          <w:lang w:val="en-US"/>
        </w:rPr>
        <w:t>«When interest rates vary unpredictably (as they do in the real world), forward and</w:t>
      </w:r>
      <w:r w:rsidR="00A56FAC">
        <w:rPr>
          <w:rFonts w:cs="Times New Roman"/>
          <w:iCs/>
          <w:lang w:val="en-US"/>
        </w:rPr>
        <w:t xml:space="preserve"> </w:t>
      </w:r>
      <w:r w:rsidR="00296AB6" w:rsidRPr="00296AB6">
        <w:rPr>
          <w:rFonts w:cs="Times New Roman"/>
          <w:iCs/>
          <w:lang w:val="en-US"/>
        </w:rPr>
        <w:t>futures prices are in theory no longer the same. We can get a sense of the nature of the</w:t>
      </w:r>
      <w:r w:rsidR="00296AB6">
        <w:rPr>
          <w:rFonts w:cs="Times New Roman"/>
          <w:iCs/>
          <w:lang w:val="en-US"/>
        </w:rPr>
        <w:t xml:space="preserve"> </w:t>
      </w:r>
      <w:r w:rsidR="00296AB6" w:rsidRPr="00296AB6">
        <w:rPr>
          <w:rFonts w:cs="Times New Roman"/>
          <w:iCs/>
          <w:lang w:val="en-US"/>
        </w:rPr>
        <w:t>relationship by considering the situation where the price of the underlying asset, S, is</w:t>
      </w:r>
      <w:r w:rsidR="00296AB6">
        <w:rPr>
          <w:rFonts w:cs="Times New Roman"/>
          <w:iCs/>
          <w:lang w:val="en-US"/>
        </w:rPr>
        <w:t xml:space="preserve"> </w:t>
      </w:r>
      <w:r w:rsidR="00296AB6" w:rsidRPr="00296AB6">
        <w:rPr>
          <w:rFonts w:cs="Times New Roman"/>
          <w:iCs/>
          <w:lang w:val="en-US"/>
        </w:rPr>
        <w:t>strongly positively correlated with interest rates. When S increases, an investor who</w:t>
      </w:r>
      <w:r w:rsidR="00296AB6">
        <w:rPr>
          <w:rFonts w:cs="Times New Roman"/>
          <w:iCs/>
          <w:lang w:val="en-US"/>
        </w:rPr>
        <w:t xml:space="preserve"> </w:t>
      </w:r>
      <w:r w:rsidR="00296AB6" w:rsidRPr="00296AB6">
        <w:rPr>
          <w:rFonts w:cs="Times New Roman"/>
          <w:iCs/>
          <w:lang w:val="en-US"/>
        </w:rPr>
        <w:t>holds a long futures position makes an immediate gain because of the daily settlement</w:t>
      </w:r>
      <w:r w:rsidR="00296AB6">
        <w:rPr>
          <w:rFonts w:cs="Times New Roman"/>
          <w:iCs/>
          <w:lang w:val="en-US"/>
        </w:rPr>
        <w:t xml:space="preserve"> </w:t>
      </w:r>
      <w:r w:rsidR="00296AB6" w:rsidRPr="00296AB6">
        <w:rPr>
          <w:rFonts w:cs="Times New Roman"/>
          <w:iCs/>
          <w:lang w:val="en-US"/>
        </w:rPr>
        <w:t>procedure. The positive correlation indicates that it is likely that interest rates have also</w:t>
      </w:r>
      <w:r w:rsidR="00296AB6">
        <w:rPr>
          <w:rFonts w:cs="Times New Roman"/>
          <w:iCs/>
          <w:lang w:val="en-US"/>
        </w:rPr>
        <w:t xml:space="preserve"> </w:t>
      </w:r>
      <w:r w:rsidR="00296AB6" w:rsidRPr="00296AB6">
        <w:rPr>
          <w:rFonts w:cs="Times New Roman"/>
          <w:iCs/>
          <w:lang w:val="en-US"/>
        </w:rPr>
        <w:t>increased, thereby increasing the rate at which the gain can be invested. Similarly, when</w:t>
      </w:r>
      <w:r w:rsidR="00296AB6">
        <w:rPr>
          <w:rFonts w:cs="Times New Roman"/>
          <w:iCs/>
          <w:lang w:val="en-US"/>
        </w:rPr>
        <w:t xml:space="preserve"> </w:t>
      </w:r>
      <w:r w:rsidR="00296AB6" w:rsidRPr="00296AB6">
        <w:rPr>
          <w:rFonts w:cs="Times New Roman"/>
          <w:iCs/>
          <w:lang w:val="en-US"/>
        </w:rPr>
        <w:t>S decreases, the investor will incur an immediate loss and it is likely that interest rates</w:t>
      </w:r>
      <w:r w:rsidR="00296AB6">
        <w:rPr>
          <w:rFonts w:cs="Times New Roman"/>
          <w:iCs/>
          <w:lang w:val="en-US"/>
        </w:rPr>
        <w:t xml:space="preserve"> </w:t>
      </w:r>
      <w:r w:rsidR="00296AB6" w:rsidRPr="00296AB6">
        <w:rPr>
          <w:rFonts w:cs="Times New Roman"/>
          <w:iCs/>
          <w:lang w:val="en-US"/>
        </w:rPr>
        <w:t>have just decreased, thereby reducing the rate at which the loss has to be financed. The</w:t>
      </w:r>
      <w:r w:rsidR="00296AB6">
        <w:rPr>
          <w:rFonts w:cs="Times New Roman"/>
          <w:iCs/>
          <w:lang w:val="en-US"/>
        </w:rPr>
        <w:t xml:space="preserve"> </w:t>
      </w:r>
      <w:r w:rsidR="00296AB6" w:rsidRPr="00296AB6">
        <w:rPr>
          <w:rFonts w:cs="Times New Roman"/>
          <w:iCs/>
          <w:lang w:val="en-US"/>
        </w:rPr>
        <w:t>positive correlation therefore works in the investor’s favor. An investor holding a</w:t>
      </w:r>
      <w:r w:rsidR="00296AB6">
        <w:rPr>
          <w:rFonts w:cs="Times New Roman"/>
          <w:iCs/>
          <w:lang w:val="en-US"/>
        </w:rPr>
        <w:t xml:space="preserve"> </w:t>
      </w:r>
      <w:r w:rsidR="00296AB6" w:rsidRPr="00296AB6">
        <w:rPr>
          <w:rFonts w:cs="Times New Roman"/>
          <w:iCs/>
          <w:lang w:val="en-US"/>
        </w:rPr>
        <w:t>forward contract rather than a futures contract is not affected in this way by interest</w:t>
      </w:r>
      <w:r w:rsidR="00296AB6">
        <w:rPr>
          <w:rFonts w:cs="Times New Roman"/>
          <w:iCs/>
          <w:lang w:val="en-US"/>
        </w:rPr>
        <w:t xml:space="preserve"> </w:t>
      </w:r>
      <w:r w:rsidR="00296AB6" w:rsidRPr="00296AB6">
        <w:rPr>
          <w:rFonts w:cs="Times New Roman"/>
          <w:iCs/>
          <w:lang w:val="en-US"/>
        </w:rPr>
        <w:t>rate movements. It follows that a long futures contract will be slightly more attractive</w:t>
      </w:r>
      <w:r w:rsidR="00296AB6">
        <w:rPr>
          <w:rFonts w:cs="Times New Roman"/>
          <w:iCs/>
          <w:lang w:val="en-US"/>
        </w:rPr>
        <w:t xml:space="preserve"> </w:t>
      </w:r>
      <w:r w:rsidR="00296AB6" w:rsidRPr="00296AB6">
        <w:rPr>
          <w:rFonts w:cs="Times New Roman"/>
          <w:iCs/>
          <w:lang w:val="en-US"/>
        </w:rPr>
        <w:t>than a similar long forward contract. Hence, when S is strongly positively correlated</w:t>
      </w:r>
      <w:r w:rsidR="00296AB6">
        <w:rPr>
          <w:rFonts w:cs="Times New Roman"/>
          <w:iCs/>
          <w:lang w:val="en-US"/>
        </w:rPr>
        <w:t xml:space="preserve"> </w:t>
      </w:r>
      <w:r w:rsidR="00296AB6" w:rsidRPr="00296AB6">
        <w:rPr>
          <w:rFonts w:cs="Times New Roman"/>
          <w:iCs/>
          <w:lang w:val="en-US"/>
        </w:rPr>
        <w:t>with interest rates, futures prices will tend to be slightly higher than forward prices.</w:t>
      </w:r>
      <w:r w:rsidR="00296AB6">
        <w:rPr>
          <w:rFonts w:cs="Times New Roman"/>
          <w:iCs/>
          <w:lang w:val="en-US"/>
        </w:rPr>
        <w:t xml:space="preserve"> </w:t>
      </w:r>
      <w:r w:rsidR="00296AB6" w:rsidRPr="00296AB6">
        <w:rPr>
          <w:rFonts w:cs="Times New Roman"/>
          <w:iCs/>
          <w:lang w:val="en-US"/>
        </w:rPr>
        <w:t>When S is strongly negatively correlated with interest rates, a similar argument shows</w:t>
      </w:r>
      <w:r w:rsidR="00296AB6">
        <w:rPr>
          <w:rFonts w:cs="Times New Roman"/>
          <w:iCs/>
          <w:lang w:val="en-US"/>
        </w:rPr>
        <w:t xml:space="preserve"> </w:t>
      </w:r>
      <w:r w:rsidR="00296AB6" w:rsidRPr="00296AB6">
        <w:rPr>
          <w:rFonts w:cs="Times New Roman"/>
          <w:iCs/>
          <w:lang w:val="en-US"/>
        </w:rPr>
        <w:t>that forward prices will tend to be slightly higher than futures prices»</w:t>
      </w:r>
      <w:r w:rsidR="00CB1277">
        <w:rPr>
          <w:rStyle w:val="FootnoteReference"/>
          <w:rFonts w:cs="Times New Roman"/>
          <w:iCs/>
          <w:lang w:val="en-US"/>
        </w:rPr>
        <w:footnoteReference w:id="65"/>
      </w:r>
      <w:r w:rsidR="00296AB6" w:rsidRPr="00296AB6">
        <w:rPr>
          <w:rFonts w:cs="Times New Roman"/>
          <w:iCs/>
          <w:lang w:val="en-US"/>
        </w:rPr>
        <w:t>.</w:t>
      </w:r>
    </w:p>
    <w:p w14:paraId="4B8E4F52" w14:textId="1CD802E2" w:rsidR="00A56FAC" w:rsidRDefault="00A56FAC" w:rsidP="008226B3">
      <w:pPr>
        <w:spacing w:after="0" w:line="360" w:lineRule="auto"/>
        <w:ind w:firstLine="709"/>
        <w:rPr>
          <w:rFonts w:cs="Times New Roman"/>
          <w:iCs/>
          <w:lang w:val="en-US"/>
        </w:rPr>
      </w:pPr>
      <w:r>
        <w:rPr>
          <w:rFonts w:cs="Times New Roman"/>
          <w:iCs/>
          <w:lang w:val="en-US"/>
        </w:rPr>
        <w:t xml:space="preserve">In practice, to test this idea we have to define what </w:t>
      </w:r>
      <w:r w:rsidR="00B50BA2">
        <w:rPr>
          <w:rFonts w:cs="Times New Roman"/>
          <w:iCs/>
          <w:lang w:val="en-US"/>
        </w:rPr>
        <w:t>are</w:t>
      </w:r>
      <w:r>
        <w:rPr>
          <w:rFonts w:cs="Times New Roman"/>
          <w:iCs/>
          <w:lang w:val="en-US"/>
        </w:rPr>
        <w:t xml:space="preserve"> </w:t>
      </w:r>
      <w:r w:rsidRPr="00A56FAC">
        <w:rPr>
          <w:rFonts w:cs="Times New Roman"/>
          <w:iCs/>
          <w:lang w:val="en-US"/>
        </w:rPr>
        <w:t>«</w:t>
      </w:r>
      <w:r>
        <w:rPr>
          <w:rFonts w:cs="Times New Roman"/>
          <w:iCs/>
          <w:lang w:val="en-US"/>
        </w:rPr>
        <w:t>interest rates</w:t>
      </w:r>
      <w:r w:rsidRPr="00A56FAC">
        <w:rPr>
          <w:rFonts w:cs="Times New Roman"/>
          <w:iCs/>
          <w:lang w:val="en-US"/>
        </w:rPr>
        <w:t>»</w:t>
      </w:r>
      <w:r>
        <w:rPr>
          <w:rFonts w:cs="Times New Roman"/>
          <w:iCs/>
          <w:lang w:val="en-US"/>
        </w:rPr>
        <w:t xml:space="preserve"> to which Hull refer. This question is not as easy because (1) not interest rates are used in pricing, but their differential, and (2) interpolation is applied for the valuation.</w:t>
      </w:r>
    </w:p>
    <w:p w14:paraId="4F8EB05A" w14:textId="4467E10F" w:rsidR="00296AB6" w:rsidRPr="00296AB6" w:rsidRDefault="00A56FAC" w:rsidP="008226B3">
      <w:pPr>
        <w:spacing w:after="0" w:line="360" w:lineRule="auto"/>
        <w:ind w:firstLine="709"/>
        <w:rPr>
          <w:rFonts w:cs="Times New Roman"/>
          <w:b/>
          <w:bCs/>
          <w:iCs/>
          <w:lang w:val="en-US"/>
        </w:rPr>
      </w:pPr>
      <w:r>
        <w:rPr>
          <w:rFonts w:cs="Times New Roman"/>
          <w:iCs/>
          <w:lang w:val="en-US"/>
        </w:rPr>
        <w:t xml:space="preserve">The ways of testing this hypothesis will differ as </w:t>
      </w:r>
      <w:r w:rsidRPr="00A56FAC">
        <w:rPr>
          <w:rFonts w:cs="Times New Roman"/>
          <w:iCs/>
          <w:lang w:val="en-US"/>
        </w:rPr>
        <w:t>«</w:t>
      </w:r>
      <w:r>
        <w:rPr>
          <w:rFonts w:cs="Times New Roman"/>
          <w:iCs/>
          <w:lang w:val="en-US"/>
        </w:rPr>
        <w:t>Interest rates</w:t>
      </w:r>
      <w:r w:rsidRPr="00A56FAC">
        <w:rPr>
          <w:rFonts w:cs="Times New Roman"/>
          <w:iCs/>
          <w:lang w:val="en-US"/>
        </w:rPr>
        <w:t xml:space="preserve">» </w:t>
      </w:r>
      <w:r>
        <w:rPr>
          <w:rFonts w:cs="Times New Roman"/>
          <w:iCs/>
          <w:lang w:val="en-US"/>
        </w:rPr>
        <w:t>used differ. We have defined three possible ways of definition of this variable in th</w:t>
      </w:r>
      <w:r w:rsidR="00B50BA2">
        <w:rPr>
          <w:rFonts w:cs="Times New Roman"/>
          <w:iCs/>
          <w:lang w:val="en-US"/>
        </w:rPr>
        <w:t>e</w:t>
      </w:r>
      <w:r>
        <w:rPr>
          <w:rFonts w:cs="Times New Roman"/>
          <w:iCs/>
          <w:lang w:val="en-US"/>
        </w:rPr>
        <w:t xml:space="preserve"> context</w:t>
      </w:r>
      <w:r w:rsidR="00B50BA2">
        <w:rPr>
          <w:rFonts w:cs="Times New Roman"/>
          <w:iCs/>
          <w:lang w:val="en-US"/>
        </w:rPr>
        <w:t xml:space="preserve"> of testing this hypothesis</w:t>
      </w:r>
      <w:r>
        <w:rPr>
          <w:rFonts w:cs="Times New Roman"/>
          <w:iCs/>
          <w:lang w:val="en-US"/>
        </w:rPr>
        <w:t xml:space="preserve">: </w:t>
      </w:r>
      <w:r w:rsidR="00296AB6">
        <w:rPr>
          <w:rFonts w:cs="Times New Roman"/>
          <w:iCs/>
          <w:lang w:val="en-US"/>
        </w:rPr>
        <w:t>(</w:t>
      </w:r>
      <w:r w:rsidR="00B50BA2">
        <w:rPr>
          <w:rFonts w:cs="Times New Roman"/>
          <w:iCs/>
          <w:lang w:val="en-US"/>
        </w:rPr>
        <w:t>a</w:t>
      </w:r>
      <w:r w:rsidR="00296AB6">
        <w:rPr>
          <w:rFonts w:cs="Times New Roman"/>
          <w:iCs/>
          <w:lang w:val="en-US"/>
        </w:rPr>
        <w:t>) differential of interpolared LIBOR</w:t>
      </w:r>
      <w:r w:rsidR="00FF0279">
        <w:rPr>
          <w:rFonts w:cs="Times New Roman"/>
          <w:iCs/>
          <w:lang w:val="en-US"/>
        </w:rPr>
        <w:t>/EURIBOR</w:t>
      </w:r>
      <w:r w:rsidR="00296AB6">
        <w:rPr>
          <w:rFonts w:cs="Times New Roman"/>
          <w:iCs/>
          <w:lang w:val="en-US"/>
        </w:rPr>
        <w:t xml:space="preserve"> rates, (</w:t>
      </w:r>
      <w:r w:rsidR="00B50BA2">
        <w:rPr>
          <w:rFonts w:cs="Times New Roman"/>
          <w:iCs/>
          <w:lang w:val="en-US"/>
        </w:rPr>
        <w:t>b</w:t>
      </w:r>
      <w:r w:rsidR="00296AB6">
        <w:rPr>
          <w:rFonts w:cs="Times New Roman"/>
          <w:iCs/>
          <w:lang w:val="en-US"/>
        </w:rPr>
        <w:t>) interpolated LIBOR</w:t>
      </w:r>
      <w:r w:rsidR="00FF0279">
        <w:rPr>
          <w:rFonts w:cs="Times New Roman"/>
          <w:iCs/>
          <w:lang w:val="en-US"/>
        </w:rPr>
        <w:t>/EURIBOR</w:t>
      </w:r>
      <w:r>
        <w:rPr>
          <w:rFonts w:cs="Times New Roman"/>
          <w:iCs/>
          <w:lang w:val="en-US"/>
        </w:rPr>
        <w:t xml:space="preserve"> rate for the quote or the base currency</w:t>
      </w:r>
      <w:r w:rsidR="00B50BA2">
        <w:rPr>
          <w:rFonts w:cs="Times New Roman"/>
          <w:iCs/>
          <w:lang w:val="en-US"/>
        </w:rPr>
        <w:t xml:space="preserve"> calculated separately</w:t>
      </w:r>
      <w:r w:rsidR="00296AB6">
        <w:rPr>
          <w:rFonts w:cs="Times New Roman"/>
          <w:iCs/>
          <w:lang w:val="en-US"/>
        </w:rPr>
        <w:t>, (</w:t>
      </w:r>
      <w:r w:rsidR="00B50BA2">
        <w:rPr>
          <w:rFonts w:cs="Times New Roman"/>
          <w:iCs/>
          <w:lang w:val="en-US"/>
        </w:rPr>
        <w:t>c</w:t>
      </w:r>
      <w:r w:rsidR="00296AB6">
        <w:rPr>
          <w:rFonts w:cs="Times New Roman"/>
          <w:iCs/>
          <w:lang w:val="en-US"/>
        </w:rPr>
        <w:t>) 3-months LIBOR</w:t>
      </w:r>
      <w:r w:rsidR="00FF0279">
        <w:rPr>
          <w:rFonts w:cs="Times New Roman"/>
          <w:iCs/>
          <w:lang w:val="en-US"/>
        </w:rPr>
        <w:t>/EURIBOR</w:t>
      </w:r>
      <w:r w:rsidR="00296AB6">
        <w:rPr>
          <w:rFonts w:cs="Times New Roman"/>
          <w:iCs/>
          <w:lang w:val="en-US"/>
        </w:rPr>
        <w:t xml:space="preserve"> rate</w:t>
      </w:r>
      <w:r>
        <w:rPr>
          <w:rFonts w:cs="Times New Roman"/>
          <w:iCs/>
          <w:lang w:val="en-US"/>
        </w:rPr>
        <w:t>s for the quote and</w:t>
      </w:r>
      <w:r w:rsidR="00B50BA2">
        <w:rPr>
          <w:rFonts w:cs="Times New Roman"/>
          <w:iCs/>
          <w:lang w:val="en-US"/>
        </w:rPr>
        <w:t xml:space="preserve"> for</w:t>
      </w:r>
      <w:r>
        <w:rPr>
          <w:rFonts w:cs="Times New Roman"/>
          <w:iCs/>
          <w:lang w:val="en-US"/>
        </w:rPr>
        <w:t xml:space="preserve"> the base currency</w:t>
      </w:r>
      <w:r w:rsidR="00296AB6">
        <w:rPr>
          <w:rStyle w:val="FootnoteReference"/>
          <w:rFonts w:cs="Times New Roman"/>
          <w:iCs/>
          <w:lang w:val="en-US"/>
        </w:rPr>
        <w:footnoteReference w:id="66"/>
      </w:r>
      <w:r w:rsidR="00FF0279">
        <w:rPr>
          <w:rFonts w:cs="Times New Roman"/>
          <w:iCs/>
          <w:lang w:val="en-US"/>
        </w:rPr>
        <w:t>, (d) differential of 3-months LIBOR/EURIBOR rates</w:t>
      </w:r>
      <w:r w:rsidR="00296AB6">
        <w:rPr>
          <w:rFonts w:cs="Times New Roman"/>
          <w:iCs/>
          <w:lang w:val="en-US"/>
        </w:rPr>
        <w:t xml:space="preserve"> </w:t>
      </w:r>
      <w:r w:rsidR="00FF0279">
        <w:rPr>
          <w:rFonts w:cs="Times New Roman"/>
          <w:iCs/>
          <w:lang w:val="en-US"/>
        </w:rPr>
        <w:t>;</w:t>
      </w:r>
    </w:p>
    <w:p w14:paraId="0D95ABFF" w14:textId="24AF4362" w:rsidR="00CB1277" w:rsidRDefault="00296AB6" w:rsidP="008226B3">
      <w:pPr>
        <w:spacing w:after="0" w:line="360" w:lineRule="auto"/>
        <w:ind w:firstLine="709"/>
        <w:rPr>
          <w:rFonts w:cs="Times New Roman"/>
          <w:iCs/>
          <w:lang w:val="en-US"/>
        </w:rPr>
      </w:pPr>
      <w:r>
        <w:rPr>
          <w:rFonts w:cs="Times New Roman"/>
          <w:iCs/>
          <w:lang w:val="en-US"/>
        </w:rPr>
        <w:t>First</w:t>
      </w:r>
      <w:r w:rsidR="00A56FAC">
        <w:rPr>
          <w:rFonts w:cs="Times New Roman"/>
          <w:iCs/>
          <w:lang w:val="en-US"/>
        </w:rPr>
        <w:t xml:space="preserve"> way</w:t>
      </w:r>
      <w:r>
        <w:rPr>
          <w:rFonts w:cs="Times New Roman"/>
          <w:iCs/>
          <w:lang w:val="en-US"/>
        </w:rPr>
        <w:t xml:space="preserve"> is the most strict in terms of validity,</w:t>
      </w:r>
      <w:r w:rsidR="00CB1277">
        <w:rPr>
          <w:rFonts w:cs="Times New Roman"/>
          <w:iCs/>
          <w:lang w:val="en-US"/>
        </w:rPr>
        <w:t xml:space="preserve"> because</w:t>
      </w:r>
      <w:r w:rsidR="00A56FAC">
        <w:rPr>
          <w:rFonts w:cs="Times New Roman"/>
          <w:iCs/>
          <w:lang w:val="en-US"/>
        </w:rPr>
        <w:t xml:space="preserve"> it</w:t>
      </w:r>
      <w:r w:rsidR="00CB1277">
        <w:rPr>
          <w:rFonts w:cs="Times New Roman"/>
          <w:iCs/>
          <w:lang w:val="en-US"/>
        </w:rPr>
        <w:t xml:space="preserve"> incorporates both directions of aribitrage: the one that implies borrowing in the base currency market and the one that im</w:t>
      </w:r>
      <w:r w:rsidR="00B50BA2">
        <w:rPr>
          <w:rFonts w:cs="Times New Roman"/>
          <w:iCs/>
          <w:lang w:val="en-US"/>
        </w:rPr>
        <w:t>p</w:t>
      </w:r>
      <w:r w:rsidR="00CB1277">
        <w:rPr>
          <w:rFonts w:cs="Times New Roman"/>
          <w:iCs/>
          <w:lang w:val="en-US"/>
        </w:rPr>
        <w:t>lies lenging in the quote currency market. It also incorporates the interpolation effect. But we believe that this approach is unlikely to be used in pricing, as well as the second</w:t>
      </w:r>
      <w:r w:rsidR="00B50BA2">
        <w:rPr>
          <w:rFonts w:cs="Times New Roman"/>
          <w:iCs/>
          <w:lang w:val="en-US"/>
        </w:rPr>
        <w:t>, because of its complexity.</w:t>
      </w:r>
      <w:r w:rsidR="00CB1277">
        <w:rPr>
          <w:rFonts w:cs="Times New Roman"/>
          <w:iCs/>
          <w:lang w:val="en-US"/>
        </w:rPr>
        <w:t xml:space="preserve"> </w:t>
      </w:r>
      <w:r w:rsidR="00D30103">
        <w:rPr>
          <w:rFonts w:cs="Times New Roman"/>
          <w:iCs/>
          <w:lang w:val="en-US"/>
        </w:rPr>
        <w:t>At the same time, option (d) provides us with check of stated hypothesis without imposition additional steps not expected to be performed by market participants.</w:t>
      </w:r>
      <w:r w:rsidR="00A56FAC">
        <w:rPr>
          <w:rFonts w:cs="Times New Roman"/>
          <w:iCs/>
          <w:lang w:val="en-US"/>
        </w:rPr>
        <w:t xml:space="preserve"> The only adjustment we have to make is the adjustment for the currencies where no 3-months interbank rates are quoted (or, if </w:t>
      </w:r>
      <w:r w:rsidR="00A56FAC">
        <w:rPr>
          <w:rFonts w:cs="Times New Roman"/>
          <w:iCs/>
          <w:lang w:val="en-US"/>
        </w:rPr>
        <w:lastRenderedPageBreak/>
        <w:t>quoted, are</w:t>
      </w:r>
      <w:r w:rsidR="00446E3D">
        <w:rPr>
          <w:rFonts w:cs="Times New Roman"/>
          <w:iCs/>
          <w:lang w:val="en-US"/>
        </w:rPr>
        <w:t xml:space="preserve"> less likely to be</w:t>
      </w:r>
      <w:r w:rsidR="00A56FAC">
        <w:rPr>
          <w:rFonts w:cs="Times New Roman"/>
          <w:iCs/>
          <w:lang w:val="en-US"/>
        </w:rPr>
        <w:t xml:space="preserve"> used in valuation</w:t>
      </w:r>
      <w:r w:rsidR="00446E3D">
        <w:rPr>
          <w:rStyle w:val="FootnoteReference"/>
          <w:rFonts w:cs="Times New Roman"/>
          <w:iCs/>
          <w:lang w:val="en-US"/>
        </w:rPr>
        <w:footnoteReference w:id="67"/>
      </w:r>
      <w:r w:rsidR="00A56FAC">
        <w:rPr>
          <w:rFonts w:cs="Times New Roman"/>
          <w:iCs/>
          <w:lang w:val="en-US"/>
        </w:rPr>
        <w:t>): Canada, Australia, Russia. In these cases we used overnight lending rates</w:t>
      </w:r>
      <w:r w:rsidR="00FF0279">
        <w:rPr>
          <w:rFonts w:cs="Times New Roman"/>
          <w:iCs/>
          <w:lang w:val="en-US"/>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4"/>
      </w:tblGrid>
      <w:tr w:rsidR="00FF0279" w:rsidRPr="00566F83" w14:paraId="7580550E" w14:textId="77777777" w:rsidTr="00FF0279">
        <w:tc>
          <w:tcPr>
            <w:tcW w:w="9354" w:type="dxa"/>
          </w:tcPr>
          <w:p w14:paraId="103C5472" w14:textId="7EBC4B99" w:rsidR="00FF0279" w:rsidRDefault="00FF0279" w:rsidP="00446E3D">
            <w:pPr>
              <w:pStyle w:val="a0"/>
            </w:pPr>
            <w:r w:rsidRPr="00446E3D">
              <w:t xml:space="preserve">Table </w:t>
            </w:r>
            <w:r>
              <w:fldChar w:fldCharType="begin"/>
            </w:r>
            <w:r w:rsidRPr="00446E3D">
              <w:instrText xml:space="preserve"> SEQ Table \* ARABIC </w:instrText>
            </w:r>
            <w:r>
              <w:fldChar w:fldCharType="separate"/>
            </w:r>
            <w:r w:rsidR="004D16C9">
              <w:rPr>
                <w:noProof/>
              </w:rPr>
              <w:t>10</w:t>
            </w:r>
            <w:r>
              <w:fldChar w:fldCharType="end"/>
            </w:r>
            <w:r>
              <w:t>. Scatterplot: Correlation between Interest rates differential and FX spot rate vs deviation of FX future price from theoretical value</w:t>
            </w:r>
          </w:p>
        </w:tc>
      </w:tr>
      <w:tr w:rsidR="00FF0279" w:rsidRPr="00FF0279" w14:paraId="166C560D" w14:textId="77777777" w:rsidTr="004322BB">
        <w:tc>
          <w:tcPr>
            <w:tcW w:w="9354" w:type="dxa"/>
            <w:tcBorders>
              <w:bottom w:val="nil"/>
            </w:tcBorders>
          </w:tcPr>
          <w:p w14:paraId="574BEA67" w14:textId="5C317706" w:rsidR="00FF0279" w:rsidRDefault="00FF0279" w:rsidP="00446E3D">
            <w:pPr>
              <w:pStyle w:val="a0"/>
            </w:pPr>
            <w:r>
              <w:rPr>
                <w:iCs/>
                <w:noProof/>
              </w:rPr>
              <w:drawing>
                <wp:inline distT="0" distB="0" distL="0" distR="0" wp14:anchorId="70B00D73" wp14:editId="2D00E0AD">
                  <wp:extent cx="5925820" cy="3517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5820" cy="3517900"/>
                          </a:xfrm>
                          <a:prstGeom prst="rect">
                            <a:avLst/>
                          </a:prstGeom>
                          <a:noFill/>
                        </pic:spPr>
                      </pic:pic>
                    </a:graphicData>
                  </a:graphic>
                </wp:inline>
              </w:drawing>
            </w:r>
          </w:p>
        </w:tc>
      </w:tr>
      <w:tr w:rsidR="004322BB" w:rsidRPr="00566F83" w14:paraId="476E5BC0" w14:textId="77777777" w:rsidTr="004322BB">
        <w:tc>
          <w:tcPr>
            <w:tcW w:w="9354" w:type="dxa"/>
            <w:tcBorders>
              <w:top w:val="nil"/>
              <w:bottom w:val="single" w:sz="4" w:space="0" w:color="auto"/>
            </w:tcBorders>
          </w:tcPr>
          <w:p w14:paraId="4E705B60" w14:textId="6A581F78" w:rsidR="004322BB" w:rsidRPr="004322BB" w:rsidRDefault="004322BB" w:rsidP="004322BB">
            <w:pPr>
              <w:pStyle w:val="a0"/>
              <w:jc w:val="center"/>
              <w:rPr>
                <w:b w:val="0"/>
                <w:bCs w:val="0"/>
                <w:iCs/>
                <w:noProof/>
              </w:rPr>
            </w:pPr>
            <w:r w:rsidRPr="004322BB">
              <w:rPr>
                <w:b w:val="0"/>
                <w:bCs w:val="0"/>
                <w:noProof/>
                <w:sz w:val="18"/>
                <w:szCs w:val="16"/>
              </w:rPr>
              <mc:AlternateContent>
                <mc:Choice Requires="wps">
                  <w:drawing>
                    <wp:anchor distT="0" distB="0" distL="114300" distR="114300" simplePos="0" relativeHeight="251668480" behindDoc="0" locked="0" layoutInCell="1" allowOverlap="1" wp14:anchorId="260D4A21" wp14:editId="1CB2F3F5">
                      <wp:simplePos x="0" y="0"/>
                      <wp:positionH relativeFrom="column">
                        <wp:posOffset>2882900</wp:posOffset>
                      </wp:positionH>
                      <wp:positionV relativeFrom="paragraph">
                        <wp:posOffset>26035</wp:posOffset>
                      </wp:positionV>
                      <wp:extent cx="85725" cy="85725"/>
                      <wp:effectExtent l="0" t="0" r="9525" b="9525"/>
                      <wp:wrapNone/>
                      <wp:docPr id="16" name="Oval 16"/>
                      <wp:cNvGraphicFramePr/>
                      <a:graphic xmlns:a="http://schemas.openxmlformats.org/drawingml/2006/main">
                        <a:graphicData uri="http://schemas.microsoft.com/office/word/2010/wordprocessingShape">
                          <wps:wsp>
                            <wps:cNvSpPr/>
                            <wps:spPr>
                              <a:xfrm>
                                <a:off x="0" y="0"/>
                                <a:ext cx="85725" cy="857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6E974D" id="Oval 16" o:spid="_x0000_s1026" style="position:absolute;margin-left:227pt;margin-top:2.05pt;width:6.75pt;height: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Y8dgIAAE4FAAAOAAAAZHJzL2Uyb0RvYy54bWysVEtvGyEQvlfqf0Dcm7WtOE0tryMrkatK&#10;URLVqXImLGSRgKGAvXZ/fQdYr6066qHqHth5fvNghvnNzmiyFT4osDUdX4woEZZDo+xbTX88rz5d&#10;UxIisw3TYEVN9yLQm8XHD/POzcQEWtCN8ARBbJh1rqZtjG5WVYG3wrBwAU5YVErwhkVk/VvVeNYh&#10;utHVZDS6qjrwjfPARQgovStKusj4UgoeH6UMIhJdU8wt5tPn8zWd1WLOZm+euVbxPg32D1kYpiwG&#10;HaDuWGRk49UZlFHcQwAZLziYCqRUXOQasJrx6I9q1i1zIteCzQluaFP4f7D8YfvkiWrw7q4osczg&#10;HT1umSbIYm86F2ZosnZPvucCkqnQnfQm/bEEssv93A/9FLtIOAqvp58nU0o4agqJGNXR1fkQvwow&#10;JBE1FVorF1K9bMa29yEW64NVEmubTgsrpXXRJkmVsix5ZSrutSjW34XE2jCTSUbNUyVutSdYYU0Z&#10;58LGcVG1rBFFPB3hl4rHVAePzGmLgAlZYvwBuwdIE3uOXWB6++Qq8lAOzqO/JVacB48cGWwcnI2y&#10;4N8D0FhVH7nYH5pUWpO69ArNHm/eQ1mJ4PhK4TXcsxCfmMcdwG3BvY6PeEgNXU2hpyhpwf96T57s&#10;cTRRS0mHO1XT8HPDvKBEf7M4tF/Gl5dpCTNzicOBjD/VvJ5q7MbcAl7TGF8QxzOZ7KM+kNKDecH1&#10;X6aoqGKWY+ya8ugPzG0su44PCBfLZTbDxXMs3tu14wk8dTXN2PPuhXnXz2LEEX6Aw/6dzWOxTZ4W&#10;lpsIUuVhPfa17zcubR6c/oFJr8Ipn62Oz+DiNwAAAP//AwBQSwMEFAAGAAgAAAAhAAgGU9zeAAAA&#10;CAEAAA8AAABkcnMvZG93bnJldi54bWxMj81OwzAQhO9IvIO1SFwQdYqStApxqggJiQPip6Ce3XhJ&#10;LOJ1sN02vD3LCW47mtHsN/VmdqM4YojWk4LlIgOB1HljqVfw/nZ/vQYRkyajR0+o4BsjbJrzs1pX&#10;xp/oFY/b1AsuoVhpBUNKUyVl7AZ0Oi78hMTehw9OJ5ahlyboE5e7Ud5kWSmdtsQfBj3h3YDd5/bg&#10;FFwF2c7hqZBf5Hr7/PjgbPuyU+ryYm5vQSSc018YfvEZHRpm2vsDmShGBXmR85bExxIE+3m5KkDs&#10;ObgqQTa1/D+g+QEAAP//AwBQSwECLQAUAAYACAAAACEAtoM4kv4AAADhAQAAEwAAAAAAAAAAAAAA&#10;AAAAAAAAW0NvbnRlbnRfVHlwZXNdLnhtbFBLAQItABQABgAIAAAAIQA4/SH/1gAAAJQBAAALAAAA&#10;AAAAAAAAAAAAAC8BAABfcmVscy8ucmVsc1BLAQItABQABgAIAAAAIQDbbuY8dgIAAE4FAAAOAAAA&#10;AAAAAAAAAAAAAC4CAABkcnMvZTJvRG9jLnhtbFBLAQItABQABgAIAAAAIQAIBlPc3gAAAAgBAAAP&#10;AAAAAAAAAAAAAAAAANAEAABkcnMvZG93bnJldi54bWxQSwUGAAAAAAQABADzAAAA2wUAAAAA&#10;" fillcolor="#4472c4 [3204]" stroked="f" strokeweight="1pt">
                      <v:stroke joinstyle="miter"/>
                    </v:oval>
                  </w:pict>
                </mc:Fallback>
              </mc:AlternateContent>
            </w:r>
            <w:r w:rsidRPr="004322BB">
              <w:rPr>
                <w:b w:val="0"/>
                <w:bCs w:val="0"/>
                <w:noProof/>
                <w:sz w:val="18"/>
                <w:szCs w:val="16"/>
              </w:rPr>
              <mc:AlternateContent>
                <mc:Choice Requires="wps">
                  <w:drawing>
                    <wp:anchor distT="0" distB="0" distL="114300" distR="114300" simplePos="0" relativeHeight="251667456" behindDoc="0" locked="0" layoutInCell="1" allowOverlap="1" wp14:anchorId="30632222" wp14:editId="03B6F3C8">
                      <wp:simplePos x="0" y="0"/>
                      <wp:positionH relativeFrom="column">
                        <wp:posOffset>1343025</wp:posOffset>
                      </wp:positionH>
                      <wp:positionV relativeFrom="paragraph">
                        <wp:posOffset>26035</wp:posOffset>
                      </wp:positionV>
                      <wp:extent cx="85725" cy="85725"/>
                      <wp:effectExtent l="0" t="0" r="9525" b="9525"/>
                      <wp:wrapNone/>
                      <wp:docPr id="15" name="Oval 15"/>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627756" id="Oval 15" o:spid="_x0000_s1026" style="position:absolute;margin-left:105.75pt;margin-top:2.05pt;width:6.75pt;height:6.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p4iAIAAIUFAAAOAAAAZHJzL2Uyb0RvYy54bWysVE1vGyEQvVfqf0Dcm7Utp02trCPLUapK&#10;URLFqXImLGSRgKGAvXZ/fQfY3bhJ1ENVHzDDzLz52DdzfrE3muyEDwpsTacnE0qE5dAo+1zTHw9X&#10;n84oCZHZhmmwoqYHEejF8uOH884txAxa0I3wBEFsWHSupm2MblFVgbfCsHACTlhUSvCGRRT9c9V4&#10;1iG60dVsMvlcdeAb54GLEPD1sijpMuNLKXi8lTKISHRNMbeYT5/Pp3RWy3O2ePbMtYr3abB/yMIw&#10;ZTHoCHXJIiNbr95AGcU9BJDxhIOpQErFRa4Bq5lOXlWzaZkTuRZsTnBjm8L/g+U3uztPVIPf7pQS&#10;ywx+o9sd0wRF7E3nwgJNNu7O91LAayp0L71J/1gC2ed+HsZ+in0kHB/PTr/MEJWjplwRo3pxdT7E&#10;bwIMSZeaCq2VC6letmC76xCL9WCVngNo1VwprbOQOCLW2hPMt6aMc2HjLGWNMf6w1DbZW0ieRZ1e&#10;qlRcKSff4kGLZKftvZDYEixglpPJZHwdaFpULWtEiX86wd8QfUgt55IBE7LE+CN2DzBYHhcx7WF6&#10;++QqMpdH58nfEisljh45Mtg4Ohtlwb8HoOMYudgPTSqtSV16guaAhPFQJik4fqXw612zEO+Yx9HB&#10;IcN1EG/xkBq6mkJ/o6QF/+u992SPjEYtJR2OYk3Dzy3zghL93SLXv07n8zS7WZgjp1Dwx5qnY43d&#10;mjUgH6a4eBzP12Qf9XCVHswjbo1ViooqZjnGrimPfhDWsawI3DtcrFbZDOfVsXhtN44n8NTVRM2H&#10;/SPzrqdwRObfwDC2b2hcbJOnhdU2glSZ4y997fuNs56J0++ltEyO5Wz1sj2XvwEAAP//AwBQSwME&#10;FAAGAAgAAAAhAJXKBfvfAAAACAEAAA8AAABkcnMvZG93bnJldi54bWxMj8FOwzAQRO9I/IO1SFxQ&#10;6ziiBUKcCiHgwKmECvXoxNs4amxHsZukfD3LCY6reZp9k29m27ERh9B6J0EsE2Doaq9b10jYfb4u&#10;7oGFqJxWnXco4YwBNsXlRa4y7Sf3gWMZG0YlLmRKgomxzzgPtUGrwtL36Cg7+MGqSOfQcD2oicpt&#10;x9MkWXOrWkcfjOrx2WB9LE9WwrE677fCP5Rm/1ZXLzffh6/3aZTy+mp+egQWcY5/MPzqkzoU5FT5&#10;k9OBdRJSIVaESrgVwChP0xVtqwi8WwMvcv5/QPEDAAD//wMAUEsBAi0AFAAGAAgAAAAhALaDOJL+&#10;AAAA4QEAABMAAAAAAAAAAAAAAAAAAAAAAFtDb250ZW50X1R5cGVzXS54bWxQSwECLQAUAAYACAAA&#10;ACEAOP0h/9YAAACUAQAACwAAAAAAAAAAAAAAAAAvAQAAX3JlbHMvLnJlbHNQSwECLQAUAAYACAAA&#10;ACEA+IyKeIgCAACFBQAADgAAAAAAAAAAAAAAAAAuAgAAZHJzL2Uyb0RvYy54bWxQSwECLQAUAAYA&#10;CAAAACEAlcoF+98AAAAIAQAADwAAAAAAAAAAAAAAAADiBAAAZHJzL2Rvd25yZXYueG1sUEsFBgAA&#10;AAAEAAQA8wAAAO4FAAAAAA==&#10;" fillcolor="#ed7d31 [3205]" stroked="f" strokeweight="1pt">
                      <v:stroke joinstyle="miter"/>
                    </v:oval>
                  </w:pict>
                </mc:Fallback>
              </mc:AlternateContent>
            </w:r>
            <w:r w:rsidRPr="004322BB">
              <w:rPr>
                <w:b w:val="0"/>
                <w:bCs w:val="0"/>
                <w:sz w:val="18"/>
                <w:szCs w:val="16"/>
              </w:rPr>
              <w:t>«Negative set» FX futures           «Reference set» FX futures</w:t>
            </w:r>
          </w:p>
        </w:tc>
      </w:tr>
      <w:tr w:rsidR="00FF0279" w:rsidRPr="00FF0279" w14:paraId="5C44EDF3" w14:textId="77777777" w:rsidTr="004322BB">
        <w:tc>
          <w:tcPr>
            <w:tcW w:w="9354" w:type="dxa"/>
            <w:tcBorders>
              <w:top w:val="single" w:sz="4" w:space="0" w:color="auto"/>
            </w:tcBorders>
          </w:tcPr>
          <w:p w14:paraId="552DE206" w14:textId="1D5EDDE6" w:rsidR="00FF0279" w:rsidRDefault="00FF0279" w:rsidP="00FF0279">
            <w:pPr>
              <w:pStyle w:val="a1"/>
            </w:pPr>
            <w:r>
              <w:t>Source: Author’s calculations</w:t>
            </w:r>
          </w:p>
        </w:tc>
      </w:tr>
    </w:tbl>
    <w:p w14:paraId="366244EF" w14:textId="592FF857" w:rsidR="00D30103" w:rsidRDefault="00D30103" w:rsidP="008226B3">
      <w:pPr>
        <w:spacing w:line="360" w:lineRule="auto"/>
        <w:ind w:firstLine="709"/>
        <w:rPr>
          <w:rFonts w:cs="Times New Roman"/>
          <w:iCs/>
          <w:lang w:val="en-US"/>
        </w:rPr>
      </w:pPr>
      <w:r>
        <w:rPr>
          <w:rFonts w:cs="Times New Roman"/>
          <w:iCs/>
          <w:lang w:val="en-US"/>
        </w:rPr>
        <w:t>Regarding this hypothesis, we could say that no relation between positive correlation between spot rate and interest rate differential influence FX futures prices in reality</w:t>
      </w:r>
      <w:r w:rsidR="00302310">
        <w:rPr>
          <w:rFonts w:cs="Times New Roman"/>
          <w:iCs/>
          <w:lang w:val="en-US"/>
        </w:rPr>
        <w:t xml:space="preserve">. </w:t>
      </w:r>
      <w:r w:rsidR="00DD2A0F">
        <w:rPr>
          <w:rFonts w:cs="Times New Roman"/>
          <w:iCs/>
          <w:lang w:val="en-US"/>
        </w:rPr>
        <w:t xml:space="preserve">Hence, we should </w:t>
      </w:r>
      <w:r w:rsidR="00DD2A0F" w:rsidRPr="00DD2A0F">
        <w:rPr>
          <w:rFonts w:cs="Times New Roman"/>
          <w:b/>
          <w:bCs/>
          <w:iCs/>
          <w:lang w:val="en-US"/>
        </w:rPr>
        <w:t>reject this hypothesis</w:t>
      </w:r>
      <w:r w:rsidR="00DD2A0F">
        <w:rPr>
          <w:rFonts w:cs="Times New Roman"/>
          <w:iCs/>
          <w:lang w:val="en-US"/>
        </w:rPr>
        <w:t>.</w:t>
      </w:r>
    </w:p>
    <w:p w14:paraId="6DA6D811" w14:textId="6BEE74F3" w:rsidR="003167CB" w:rsidRPr="006D2296" w:rsidRDefault="00672E3C" w:rsidP="00672E3C">
      <w:pPr>
        <w:spacing w:line="360" w:lineRule="auto"/>
        <w:ind w:firstLine="709"/>
        <w:rPr>
          <w:lang w:val="en-US"/>
        </w:rPr>
      </w:pPr>
      <w:r>
        <w:rPr>
          <w:rFonts w:cs="Times New Roman"/>
          <w:iCs/>
          <w:lang w:val="en-US"/>
        </w:rPr>
        <w:t xml:space="preserve">To sum up main results of testing </w:t>
      </w:r>
      <w:r w:rsidR="00636A52" w:rsidRPr="006D2296">
        <w:rPr>
          <w:lang w:val="en-US"/>
        </w:rPr>
        <w:t>interest rates related hypotheses</w:t>
      </w:r>
      <w:r>
        <w:rPr>
          <w:lang w:val="en-US"/>
        </w:rPr>
        <w:t>, we could state that:</w:t>
      </w:r>
    </w:p>
    <w:p w14:paraId="227AAC01" w14:textId="2797A689" w:rsidR="007F41E5" w:rsidRPr="006713D0" w:rsidRDefault="006713D0" w:rsidP="00BE5FC9">
      <w:pPr>
        <w:pStyle w:val="-"/>
      </w:pPr>
      <w:r>
        <w:t>A</w:t>
      </w:r>
      <w:r w:rsidR="007F41E5" w:rsidRPr="006713D0">
        <w:t xml:space="preserve">s could be seen from the data on implied interest rates, implied rates for CHF and EUR are very close and practically undistinguishable from CHF LIBOR and EURIBOR. Thus, these benchmarks are </w:t>
      </w:r>
      <w:r w:rsidR="007F41E5" w:rsidRPr="007F63EA">
        <w:rPr>
          <w:i/>
          <w:iCs/>
        </w:rPr>
        <w:t>at least</w:t>
      </w:r>
      <w:r w:rsidR="007F41E5" w:rsidRPr="006713D0">
        <w:t xml:space="preserve"> relevant for the pricing of CHF and EUR related FX futures</w:t>
      </w:r>
      <w:r w:rsidRPr="006713D0">
        <w:t>;</w:t>
      </w:r>
    </w:p>
    <w:p w14:paraId="75E84A56" w14:textId="59A1652E" w:rsidR="007F41E5" w:rsidRDefault="007F41E5" w:rsidP="00BE5FC9">
      <w:pPr>
        <w:pStyle w:val="-"/>
      </w:pPr>
      <w:r w:rsidRPr="006713D0">
        <w:t>Nevertheless, the LIBOR is not used directly in the pricing of contracts</w:t>
      </w:r>
      <w:r w:rsidR="006713D0" w:rsidRPr="006713D0">
        <w:t>, because change in announced LIBOR rate (as compared with the rate of previous day) does not lead to immediate repricing of FX future given the new rate;</w:t>
      </w:r>
    </w:p>
    <w:p w14:paraId="1FB38E6C" w14:textId="698580EA" w:rsidR="006713D0" w:rsidRDefault="006713D0" w:rsidP="00BE5FC9">
      <w:pPr>
        <w:pStyle w:val="-"/>
      </w:pPr>
      <w:r>
        <w:lastRenderedPageBreak/>
        <w:t>The reason for relative underpricing of JPY future does not lie in any of the studied hypotheses</w:t>
      </w:r>
      <w:r>
        <w:rPr>
          <w:rStyle w:val="FootnoteReference"/>
          <w:iCs/>
        </w:rPr>
        <w:footnoteReference w:id="68"/>
      </w:r>
      <w:r>
        <w:t>;</w:t>
      </w:r>
    </w:p>
    <w:p w14:paraId="41AF757D" w14:textId="144F76FE" w:rsidR="006713D0" w:rsidRDefault="006713D0" w:rsidP="00BE5FC9">
      <w:pPr>
        <w:pStyle w:val="-"/>
      </w:pPr>
      <w:r>
        <w:t>Presence, or lack of, correlation between FX spot rate and interbank rates does not influence the relative deviation of FX future price from it’s theoretical value;</w:t>
      </w:r>
    </w:p>
    <w:p w14:paraId="340DC47D" w14:textId="5B10C7B8" w:rsidR="004D6BE5" w:rsidRDefault="004D6BE5" w:rsidP="00BE5FC9">
      <w:pPr>
        <w:pStyle w:val="-"/>
      </w:pPr>
      <w:r>
        <w:t>If changes in the expectation of overnight interest rates changes over the life of the contract influence the FX future prices, this influence is rather short-lived and the price is adjusted quick enough not to influence the daily averaged deviations;</w:t>
      </w:r>
    </w:p>
    <w:p w14:paraId="0FFB12CA" w14:textId="4089BB58" w:rsidR="00162DD3" w:rsidRDefault="00162DD3" w:rsidP="008226B3">
      <w:pPr>
        <w:spacing w:line="360" w:lineRule="auto"/>
        <w:ind w:firstLine="709"/>
        <w:rPr>
          <w:rFonts w:cs="Times New Roman"/>
          <w:iCs/>
          <w:lang w:val="en-US"/>
        </w:rPr>
      </w:pPr>
      <w:r>
        <w:rPr>
          <w:rFonts w:cs="Times New Roman"/>
          <w:iCs/>
          <w:lang w:val="en-US"/>
        </w:rPr>
        <w:br w:type="page"/>
      </w:r>
    </w:p>
    <w:p w14:paraId="163F622C" w14:textId="702B7CA7" w:rsidR="00CF5DEF" w:rsidRDefault="003C3301" w:rsidP="00467D70">
      <w:pPr>
        <w:pStyle w:val="Heading2"/>
        <w:numPr>
          <w:ilvl w:val="2"/>
          <w:numId w:val="25"/>
        </w:numPr>
        <w:spacing w:line="360" w:lineRule="auto"/>
        <w:rPr>
          <w:lang w:val="en-US"/>
        </w:rPr>
      </w:pPr>
      <w:bookmarkStart w:id="24" w:name="_Toc73483061"/>
      <w:r>
        <w:rPr>
          <w:lang w:val="en-US"/>
        </w:rPr>
        <w:lastRenderedPageBreak/>
        <w:t>Hypotheses on FX spot rates</w:t>
      </w:r>
      <w:bookmarkEnd w:id="24"/>
    </w:p>
    <w:p w14:paraId="0A41FB11" w14:textId="2055C0A5" w:rsidR="00932104" w:rsidRPr="00136728" w:rsidRDefault="00932104" w:rsidP="008226B3">
      <w:pPr>
        <w:spacing w:line="360" w:lineRule="auto"/>
        <w:ind w:firstLine="709"/>
        <w:rPr>
          <w:rFonts w:cs="Times New Roman"/>
          <w:b/>
          <w:lang w:val="en-US"/>
        </w:rPr>
      </w:pPr>
      <w:r w:rsidRPr="00136728">
        <w:rPr>
          <w:rFonts w:cs="Times New Roman"/>
          <w:lang w:val="en-US"/>
        </w:rPr>
        <w:t>Before moving into statement of hypotheses on FX spot rates, we have to understand which parameters of FX spot rate could be analyzed by us and the context of FX future and FX spot markets.</w:t>
      </w:r>
    </w:p>
    <w:p w14:paraId="7C60E418" w14:textId="0D869ED7" w:rsidR="00932104" w:rsidRPr="00136728" w:rsidRDefault="00932104" w:rsidP="008226B3">
      <w:pPr>
        <w:spacing w:line="360" w:lineRule="auto"/>
        <w:ind w:firstLine="709"/>
        <w:rPr>
          <w:rFonts w:cs="Times New Roman"/>
          <w:lang w:val="en-US"/>
        </w:rPr>
      </w:pPr>
      <w:r w:rsidRPr="00136728">
        <w:rPr>
          <w:rFonts w:cs="Times New Roman"/>
          <w:lang w:val="en-US"/>
        </w:rPr>
        <w:t>First of all, concerning FX spot market trading volumes: unfortunately, no data on FX spot trade volume is provided by Refinitiv Eikon, when data is aggregated into 30-minutes updated values, but</w:t>
      </w:r>
      <w:r w:rsidR="004B3290" w:rsidRPr="00136728">
        <w:rPr>
          <w:rFonts w:cs="Times New Roman"/>
          <w:lang w:val="en-US"/>
        </w:rPr>
        <w:t xml:space="preserve"> only</w:t>
      </w:r>
      <w:r w:rsidRPr="00136728">
        <w:rPr>
          <w:rFonts w:cs="Times New Roman"/>
          <w:lang w:val="en-US"/>
        </w:rPr>
        <w:t xml:space="preserve"> </w:t>
      </w:r>
      <w:r w:rsidR="004B3290" w:rsidRPr="00136728">
        <w:rPr>
          <w:rFonts w:cs="Times New Roman"/>
          <w:lang w:val="en-US"/>
        </w:rPr>
        <w:t>«</w:t>
      </w:r>
      <w:r w:rsidRPr="00136728">
        <w:rPr>
          <w:rFonts w:cs="Times New Roman"/>
          <w:lang w:val="en-US"/>
        </w:rPr>
        <w:t>ask</w:t>
      </w:r>
      <w:r w:rsidR="004B3290" w:rsidRPr="00136728">
        <w:rPr>
          <w:rFonts w:cs="Times New Roman"/>
          <w:lang w:val="en-US"/>
        </w:rPr>
        <w:t>»</w:t>
      </w:r>
      <w:r w:rsidRPr="00136728">
        <w:rPr>
          <w:rFonts w:cs="Times New Roman"/>
          <w:lang w:val="en-US"/>
        </w:rPr>
        <w:t xml:space="preserve">, </w:t>
      </w:r>
      <w:r w:rsidR="004B3290" w:rsidRPr="00136728">
        <w:rPr>
          <w:rFonts w:cs="Times New Roman"/>
          <w:lang w:val="en-US"/>
        </w:rPr>
        <w:t>«</w:t>
      </w:r>
      <w:r w:rsidRPr="00136728">
        <w:rPr>
          <w:rFonts w:cs="Times New Roman"/>
          <w:lang w:val="en-US"/>
        </w:rPr>
        <w:t>bid</w:t>
      </w:r>
      <w:r w:rsidR="004B3290" w:rsidRPr="00136728">
        <w:rPr>
          <w:rFonts w:cs="Times New Roman"/>
          <w:lang w:val="en-US"/>
        </w:rPr>
        <w:t>»</w:t>
      </w:r>
      <w:r w:rsidRPr="00136728">
        <w:rPr>
          <w:rFonts w:cs="Times New Roman"/>
          <w:lang w:val="en-US"/>
        </w:rPr>
        <w:t xml:space="preserve">, </w:t>
      </w:r>
      <w:r w:rsidR="004B3290" w:rsidRPr="00136728">
        <w:rPr>
          <w:rFonts w:cs="Times New Roman"/>
          <w:lang w:val="en-US"/>
        </w:rPr>
        <w:t>«</w:t>
      </w:r>
      <w:r w:rsidRPr="00136728">
        <w:rPr>
          <w:rFonts w:cs="Times New Roman"/>
          <w:lang w:val="en-US"/>
        </w:rPr>
        <w:t>high</w:t>
      </w:r>
      <w:r w:rsidR="004B3290" w:rsidRPr="00136728">
        <w:rPr>
          <w:rFonts w:cs="Times New Roman"/>
          <w:lang w:val="en-US"/>
        </w:rPr>
        <w:t>»</w:t>
      </w:r>
      <w:r w:rsidRPr="00136728">
        <w:rPr>
          <w:rFonts w:cs="Times New Roman"/>
          <w:lang w:val="en-US"/>
        </w:rPr>
        <w:t xml:space="preserve"> and </w:t>
      </w:r>
      <w:r w:rsidR="004B3290" w:rsidRPr="00136728">
        <w:rPr>
          <w:rFonts w:cs="Times New Roman"/>
          <w:lang w:val="en-US"/>
        </w:rPr>
        <w:t>«</w:t>
      </w:r>
      <w:r w:rsidRPr="00136728">
        <w:rPr>
          <w:rFonts w:cs="Times New Roman"/>
          <w:lang w:val="en-US"/>
        </w:rPr>
        <w:t>low</w:t>
      </w:r>
      <w:r w:rsidR="004B3290" w:rsidRPr="00136728">
        <w:rPr>
          <w:rFonts w:cs="Times New Roman"/>
          <w:lang w:val="en-US"/>
        </w:rPr>
        <w:t>»</w:t>
      </w:r>
      <w:r w:rsidRPr="00136728">
        <w:rPr>
          <w:rFonts w:cs="Times New Roman"/>
          <w:lang w:val="en-US"/>
        </w:rPr>
        <w:t xml:space="preserve"> values are available. Thus,</w:t>
      </w:r>
      <w:r w:rsidR="004B3290" w:rsidRPr="00136728">
        <w:rPr>
          <w:rFonts w:cs="Times New Roman"/>
          <w:lang w:val="en-US"/>
        </w:rPr>
        <w:t xml:space="preserve"> the</w:t>
      </w:r>
      <w:r w:rsidRPr="00136728">
        <w:rPr>
          <w:rFonts w:cs="Times New Roman"/>
          <w:lang w:val="en-US"/>
        </w:rPr>
        <w:t xml:space="preserve"> only real analytical metric available for us is FX spot price return. For convenience of analysis, we decided to define FX spot price as a mean of FX spot ask and bid prices: this provides possibility to calculate FX spot return relatuvely easy and also to use this value for the FX futures valuation.</w:t>
      </w:r>
    </w:p>
    <w:p w14:paraId="58AB7865" w14:textId="37114E97" w:rsidR="00932104" w:rsidRPr="00136728" w:rsidRDefault="00932104" w:rsidP="008226B3">
      <w:pPr>
        <w:spacing w:line="360" w:lineRule="auto"/>
        <w:ind w:firstLine="709"/>
        <w:rPr>
          <w:rFonts w:cs="Times New Roman"/>
          <w:lang w:val="en-US"/>
        </w:rPr>
      </w:pPr>
      <w:r w:rsidRPr="00136728">
        <w:rPr>
          <w:rFonts w:cs="Times New Roman"/>
          <w:lang w:val="en-US"/>
        </w:rPr>
        <w:t xml:space="preserve">Concerning the measurement of return: for the different analytical metrics of FX futures to be comparable with each other, we decided to use </w:t>
      </w:r>
      <w:r w:rsidR="00960EFB" w:rsidRPr="00136728">
        <w:rPr>
          <w:rFonts w:cs="Times New Roman"/>
          <w:lang w:val="en-US"/>
        </w:rPr>
        <w:t>such single metric of FX spot return as the number of standard deviations of return:</w:t>
      </w:r>
    </w:p>
    <w:p w14:paraId="55929FB3" w14:textId="0C94FBD2" w:rsidR="00F1559D" w:rsidRDefault="005458F7" w:rsidP="008226B3">
      <w:pPr>
        <w:spacing w:line="360" w:lineRule="auto"/>
        <w:ind w:firstLine="709"/>
        <w:rPr>
          <w:rFonts w:cs="Times New Roman"/>
          <w:lang w:val="en-US"/>
        </w:rPr>
      </w:pPr>
      <w:r w:rsidRPr="00136728">
        <w:rPr>
          <w:rFonts w:cs="Times New Roman"/>
          <w:lang w:val="en-US"/>
        </w:rPr>
        <w:t xml:space="preserve">We defined two possible hypothesis, for which we both used FX spot return as a explanatory variable: </w:t>
      </w:r>
      <w:r w:rsidR="00100AC3" w:rsidRPr="00DD1A54">
        <w:rPr>
          <w:rFonts w:cs="Times New Roman"/>
          <w:i/>
          <w:iCs/>
          <w:lang w:val="en-US"/>
        </w:rPr>
        <w:t>under</w:t>
      </w:r>
      <w:r w:rsidR="00E66525" w:rsidRPr="00DD1A54">
        <w:rPr>
          <w:rFonts w:cs="Times New Roman"/>
          <w:i/>
          <w:iCs/>
          <w:lang w:val="en-US"/>
        </w:rPr>
        <w:t xml:space="preserve"> the</w:t>
      </w:r>
      <w:r w:rsidR="00100AC3" w:rsidRPr="00DD1A54">
        <w:rPr>
          <w:rFonts w:cs="Times New Roman"/>
          <w:i/>
          <w:iCs/>
          <w:lang w:val="en-US"/>
        </w:rPr>
        <w:t xml:space="preserve"> first hypothesis</w:t>
      </w:r>
      <w:r w:rsidR="00100AC3" w:rsidRPr="00136728">
        <w:rPr>
          <w:rFonts w:cs="Times New Roman"/>
          <w:lang w:val="en-US"/>
        </w:rPr>
        <w:t>, the absolute</w:t>
      </w:r>
      <w:r w:rsidR="00F1559D">
        <w:rPr>
          <w:rStyle w:val="FootnoteReference"/>
          <w:rFonts w:cs="Times New Roman"/>
          <w:lang w:val="en-US"/>
        </w:rPr>
        <w:footnoteReference w:id="69"/>
      </w:r>
      <w:r w:rsidR="00100AC3" w:rsidRPr="00136728">
        <w:rPr>
          <w:rFonts w:cs="Times New Roman"/>
          <w:lang w:val="en-US"/>
        </w:rPr>
        <w:t xml:space="preserve"> value of standard deviations of FX spot return</w:t>
      </w:r>
      <w:r w:rsidR="00100AC3" w:rsidRPr="00136728">
        <w:rPr>
          <w:rStyle w:val="FootnoteReference"/>
          <w:rFonts w:cs="Times New Roman"/>
          <w:lang w:val="en-US"/>
        </w:rPr>
        <w:footnoteReference w:id="70"/>
      </w:r>
      <w:r w:rsidR="00100AC3" w:rsidRPr="00136728">
        <w:rPr>
          <w:rFonts w:cs="Times New Roman"/>
          <w:lang w:val="en-US"/>
        </w:rPr>
        <w:t xml:space="preserve"> was regressed against FX future price trade volume</w:t>
      </w:r>
      <w:r w:rsidR="00E66525">
        <w:rPr>
          <w:rFonts w:cs="Times New Roman"/>
          <w:lang w:val="en-US"/>
        </w:rPr>
        <w:t xml:space="preserve">, </w:t>
      </w:r>
      <w:r w:rsidR="00F1559D">
        <w:rPr>
          <w:rFonts w:cs="Times New Roman"/>
          <w:lang w:val="en-US"/>
        </w:rPr>
        <w:t>so that</w:t>
      </w:r>
    </w:p>
    <w:p w14:paraId="7058DE83" w14:textId="306A7923" w:rsidR="00F1559D" w:rsidRDefault="00F1559D" w:rsidP="008226B3">
      <w:pPr>
        <w:spacing w:line="360" w:lineRule="auto"/>
        <w:ind w:firstLine="709"/>
        <w:rPr>
          <w:rFonts w:cs="Times New Roman"/>
          <w:lang w:val="en-US"/>
        </w:rPr>
      </w:pPr>
      <w:r w:rsidRPr="00F1559D">
        <w:rPr>
          <w:rFonts w:ascii="Cambria Math" w:hAnsi="Cambria Math" w:cs="Times New Roman"/>
          <w:i/>
          <w:lang w:val="en-US"/>
        </w:rPr>
        <w:t>FX future price trade volume</w:t>
      </w:r>
      <w:r w:rsidRPr="00F1559D">
        <w:rPr>
          <w:rFonts w:ascii="Cambria Math" w:hAnsi="Cambria Math" w:cs="Times New Roman"/>
          <w:i/>
          <w:lang w:val="en-US"/>
        </w:rPr>
        <w:t xml:space="preserve"> = Intercept + β(abs_FX_spot_delta) + ε</w:t>
      </w:r>
    </w:p>
    <w:p w14:paraId="2056B3E9" w14:textId="67CB8ADB" w:rsidR="00F1559D" w:rsidRDefault="005458F7" w:rsidP="008226B3">
      <w:pPr>
        <w:spacing w:line="360" w:lineRule="auto"/>
        <w:ind w:firstLine="709"/>
        <w:rPr>
          <w:rFonts w:cs="Times New Roman"/>
          <w:lang w:val="en-US"/>
        </w:rPr>
      </w:pPr>
      <w:r w:rsidRPr="00DD1A54">
        <w:rPr>
          <w:rFonts w:cs="Times New Roman"/>
          <w:i/>
          <w:iCs/>
          <w:lang w:val="en-US"/>
        </w:rPr>
        <w:t xml:space="preserve">under </w:t>
      </w:r>
      <w:r w:rsidR="00100AC3" w:rsidRPr="00DD1A54">
        <w:rPr>
          <w:rFonts w:cs="Times New Roman"/>
          <w:i/>
          <w:iCs/>
          <w:lang w:val="en-US"/>
        </w:rPr>
        <w:t>the second</w:t>
      </w:r>
      <w:r w:rsidRPr="00DD1A54">
        <w:rPr>
          <w:rFonts w:cs="Times New Roman"/>
          <w:i/>
          <w:iCs/>
          <w:lang w:val="en-US"/>
        </w:rPr>
        <w:t xml:space="preserve"> hypothesis</w:t>
      </w:r>
      <w:r w:rsidRPr="00136728">
        <w:rPr>
          <w:rFonts w:cs="Times New Roman"/>
          <w:lang w:val="en-US"/>
        </w:rPr>
        <w:t>, the number of standard deviations of FX spot return was regressed against deviation of FX future price from theoretical value</w:t>
      </w:r>
      <w:r w:rsidR="00F1559D">
        <w:rPr>
          <w:rFonts w:cs="Times New Roman"/>
          <w:lang w:val="en-US"/>
        </w:rPr>
        <w:t>, so that</w:t>
      </w:r>
    </w:p>
    <w:p w14:paraId="069AE168" w14:textId="5275CF0D" w:rsidR="00F1559D" w:rsidRPr="00F1559D" w:rsidRDefault="00F1559D" w:rsidP="008226B3">
      <w:pPr>
        <w:spacing w:line="360" w:lineRule="auto"/>
        <w:ind w:firstLine="709"/>
        <w:rPr>
          <w:rFonts w:ascii="Cambria Math" w:hAnsi="Cambria Math" w:cs="Times New Roman"/>
          <w:i/>
          <w:lang w:val="en-US"/>
        </w:rPr>
      </w:pPr>
      <w:r w:rsidRPr="00F1559D">
        <w:rPr>
          <w:rFonts w:ascii="Cambria Math" w:hAnsi="Cambria Math" w:cs="Times New Roman"/>
          <w:i/>
          <w:lang w:val="en-US"/>
        </w:rPr>
        <w:t>FX future price deviation (in b.ps)= Intercept + β(FX_spot_delta)</w:t>
      </w:r>
      <w:r>
        <w:rPr>
          <w:rFonts w:ascii="Cambria Math" w:hAnsi="Cambria Math" w:cs="Times New Roman"/>
          <w:i/>
          <w:lang w:val="en-US"/>
        </w:rPr>
        <w:t xml:space="preserve"> </w:t>
      </w:r>
      <w:r w:rsidRPr="00F1559D">
        <w:rPr>
          <w:rFonts w:ascii="Cambria Math" w:hAnsi="Cambria Math" w:cs="Times New Roman"/>
          <w:i/>
          <w:lang w:val="en-US"/>
        </w:rPr>
        <w:t>+ ε</w:t>
      </w:r>
    </w:p>
    <w:p w14:paraId="5AA35F03" w14:textId="2866BCA6" w:rsidR="00313DDC" w:rsidRDefault="005458F7" w:rsidP="008226B3">
      <w:pPr>
        <w:spacing w:line="360" w:lineRule="auto"/>
        <w:ind w:firstLine="709"/>
        <w:rPr>
          <w:rFonts w:cs="Times New Roman"/>
          <w:lang w:val="en-US"/>
        </w:rPr>
      </w:pPr>
      <w:r w:rsidRPr="00136728">
        <w:rPr>
          <w:rFonts w:cs="Times New Roman"/>
          <w:lang w:val="en-US"/>
        </w:rPr>
        <w:t>The results of the regression</w:t>
      </w:r>
      <w:r w:rsidR="00397C35" w:rsidRPr="00136728">
        <w:rPr>
          <w:rFonts w:cs="Times New Roman"/>
          <w:lang w:val="en-US"/>
        </w:rPr>
        <w:t xml:space="preserve"> analysis</w:t>
      </w:r>
      <w:r w:rsidRPr="00136728">
        <w:rPr>
          <w:rFonts w:cs="Times New Roman"/>
          <w:lang w:val="en-US"/>
        </w:rPr>
        <w:t xml:space="preserve"> are </w:t>
      </w:r>
      <w:r w:rsidR="00F1559D">
        <w:rPr>
          <w:rFonts w:cs="Times New Roman"/>
          <w:lang w:val="en-US"/>
        </w:rPr>
        <w:t>reported in a table below</w:t>
      </w:r>
      <w:r w:rsidRPr="00136728">
        <w:rPr>
          <w:rFonts w:cs="Times New Roman"/>
          <w:lang w:val="en-US"/>
        </w:rPr>
        <w:t>:</w:t>
      </w:r>
    </w:p>
    <w:p w14:paraId="537C0E1E" w14:textId="77777777" w:rsidR="00541373" w:rsidRDefault="00541373" w:rsidP="002B0CCE">
      <w:pPr>
        <w:pStyle w:val="a0"/>
      </w:pPr>
    </w:p>
    <w:p w14:paraId="1C004F45" w14:textId="77777777" w:rsidR="00541373" w:rsidRDefault="00541373" w:rsidP="002B0CCE">
      <w:pPr>
        <w:pStyle w:val="a0"/>
      </w:pPr>
    </w:p>
    <w:p w14:paraId="06CC60D1" w14:textId="77777777" w:rsidR="00541373" w:rsidRDefault="00541373" w:rsidP="002B0CCE">
      <w:pPr>
        <w:pStyle w:val="a0"/>
      </w:pPr>
    </w:p>
    <w:p w14:paraId="5C8E4DD2" w14:textId="77777777" w:rsidR="00541373" w:rsidRDefault="00541373" w:rsidP="002B0CCE">
      <w:pPr>
        <w:pStyle w:val="a0"/>
      </w:pPr>
    </w:p>
    <w:p w14:paraId="3E77854E" w14:textId="77777777" w:rsidR="00541373" w:rsidRDefault="00541373" w:rsidP="002B0CCE">
      <w:pPr>
        <w:pStyle w:val="a0"/>
      </w:pPr>
    </w:p>
    <w:p w14:paraId="193A9946" w14:textId="77777777" w:rsidR="00541373" w:rsidRDefault="00541373" w:rsidP="002B0CCE">
      <w:pPr>
        <w:pStyle w:val="a0"/>
      </w:pPr>
    </w:p>
    <w:p w14:paraId="21451252" w14:textId="77777777" w:rsidR="00541373" w:rsidRDefault="00541373" w:rsidP="002B0CCE">
      <w:pPr>
        <w:pStyle w:val="a0"/>
      </w:pPr>
    </w:p>
    <w:p w14:paraId="35CABB87" w14:textId="77777777" w:rsidR="00541373" w:rsidRDefault="00541373" w:rsidP="002B0CCE">
      <w:pPr>
        <w:pStyle w:val="a0"/>
      </w:pPr>
    </w:p>
    <w:p w14:paraId="3E8068FA" w14:textId="0D698071" w:rsidR="002B0CCE" w:rsidRPr="002B0CCE" w:rsidRDefault="002B0CCE" w:rsidP="002B0CCE">
      <w:pPr>
        <w:pStyle w:val="a0"/>
      </w:pPr>
      <w:r w:rsidRPr="002B0CCE">
        <w:t xml:space="preserve">Table </w:t>
      </w:r>
      <w:r>
        <w:fldChar w:fldCharType="begin"/>
      </w:r>
      <w:r w:rsidRPr="002B0CCE">
        <w:instrText xml:space="preserve"> SEQ Table \* ARABIC </w:instrText>
      </w:r>
      <w:r>
        <w:fldChar w:fldCharType="separate"/>
      </w:r>
      <w:r w:rsidR="004D16C9">
        <w:rPr>
          <w:noProof/>
        </w:rPr>
        <w:t>11</w:t>
      </w:r>
      <w:r>
        <w:fldChar w:fldCharType="end"/>
      </w:r>
      <w:r>
        <w:t>. Results of testing hypothesis on influence of FX spot rate on FX future trade volume and FX future price deviation from theoretical value</w:t>
      </w:r>
    </w:p>
    <w:tbl>
      <w:tblPr>
        <w:tblW w:w="9722" w:type="dxa"/>
        <w:tblInd w:w="-10" w:type="dxa"/>
        <w:tblLook w:val="04A0" w:firstRow="1" w:lastRow="0" w:firstColumn="1" w:lastColumn="0" w:noHBand="0" w:noVBand="1"/>
      </w:tblPr>
      <w:tblGrid>
        <w:gridCol w:w="928"/>
        <w:gridCol w:w="847"/>
        <w:gridCol w:w="847"/>
        <w:gridCol w:w="922"/>
        <w:gridCol w:w="1016"/>
        <w:gridCol w:w="768"/>
        <w:gridCol w:w="847"/>
        <w:gridCol w:w="847"/>
        <w:gridCol w:w="916"/>
        <w:gridCol w:w="1016"/>
        <w:gridCol w:w="768"/>
      </w:tblGrid>
      <w:tr w:rsidR="009B0F29" w:rsidRPr="00566F83" w14:paraId="7A9F04A8" w14:textId="77777777" w:rsidTr="00541373">
        <w:trPr>
          <w:trHeight w:val="285"/>
          <w:tblHeader/>
        </w:trPr>
        <w:tc>
          <w:tcPr>
            <w:tcW w:w="928" w:type="dxa"/>
            <w:tcBorders>
              <w:top w:val="single" w:sz="4" w:space="0" w:color="auto"/>
              <w:left w:val="nil"/>
              <w:bottom w:val="single" w:sz="8" w:space="0" w:color="auto"/>
              <w:right w:val="single" w:sz="8" w:space="0" w:color="auto"/>
            </w:tcBorders>
            <w:shd w:val="clear" w:color="auto" w:fill="auto"/>
            <w:noWrap/>
            <w:vAlign w:val="center"/>
          </w:tcPr>
          <w:p w14:paraId="7AA17FD0" w14:textId="77777777" w:rsidR="009B0F29" w:rsidRPr="009B0F29" w:rsidRDefault="009B0F29" w:rsidP="009B0F29">
            <w:pPr>
              <w:spacing w:after="0" w:line="240" w:lineRule="auto"/>
              <w:rPr>
                <w:rFonts w:eastAsia="Times New Roman" w:cs="Times New Roman"/>
                <w:b/>
                <w:bCs/>
                <w:color w:val="000000"/>
                <w:sz w:val="16"/>
                <w:szCs w:val="16"/>
                <w:lang w:val="en-US" w:eastAsia="ru-RU"/>
              </w:rPr>
            </w:pPr>
          </w:p>
        </w:tc>
        <w:tc>
          <w:tcPr>
            <w:tcW w:w="4400" w:type="dxa"/>
            <w:gridSpan w:val="5"/>
            <w:tcBorders>
              <w:top w:val="single" w:sz="4" w:space="0" w:color="auto"/>
              <w:left w:val="nil"/>
              <w:bottom w:val="single" w:sz="8" w:space="0" w:color="auto"/>
              <w:right w:val="single" w:sz="4" w:space="0" w:color="auto"/>
            </w:tcBorders>
            <w:shd w:val="clear" w:color="auto" w:fill="auto"/>
            <w:noWrap/>
            <w:vAlign w:val="center"/>
          </w:tcPr>
          <w:p w14:paraId="6E67E3BA" w14:textId="77777777" w:rsidR="009B0F29" w:rsidRDefault="009B0F29" w:rsidP="009B0F29">
            <w:pPr>
              <w:spacing w:after="0" w:line="240" w:lineRule="auto"/>
              <w:jc w:val="left"/>
              <w:rPr>
                <w:rFonts w:eastAsia="Times New Roman" w:cs="Times New Roman"/>
                <w:b/>
                <w:bCs/>
                <w:color w:val="000000"/>
                <w:sz w:val="16"/>
                <w:szCs w:val="16"/>
                <w:lang w:val="en-US" w:eastAsia="ru-RU"/>
              </w:rPr>
            </w:pPr>
            <w:r w:rsidRPr="009B0F29">
              <w:rPr>
                <w:rFonts w:eastAsia="Times New Roman" w:cs="Times New Roman"/>
                <w:b/>
                <w:bCs/>
                <w:color w:val="000000"/>
                <w:sz w:val="16"/>
                <w:szCs w:val="16"/>
                <w:lang w:val="en-US" w:eastAsia="ru-RU"/>
              </w:rPr>
              <w:t xml:space="preserve">FX spot delta (in absolute values of stand. deviations) </w:t>
            </w:r>
          </w:p>
          <w:p w14:paraId="294C3DD6" w14:textId="61BEC3BC" w:rsidR="009B0F29" w:rsidRPr="009B0F29" w:rsidRDefault="009B0F29" w:rsidP="009B0F29">
            <w:pPr>
              <w:spacing w:after="0" w:line="240" w:lineRule="auto"/>
              <w:jc w:val="left"/>
              <w:rPr>
                <w:rFonts w:eastAsia="Times New Roman" w:cs="Times New Roman"/>
                <w:b/>
                <w:bCs/>
                <w:color w:val="000000"/>
                <w:sz w:val="16"/>
                <w:szCs w:val="16"/>
                <w:lang w:val="en-US" w:eastAsia="ru-RU"/>
              </w:rPr>
            </w:pPr>
            <w:r w:rsidRPr="009B0F29">
              <w:rPr>
                <w:rFonts w:eastAsia="Times New Roman" w:cs="Times New Roman"/>
                <w:b/>
                <w:bCs/>
                <w:color w:val="000000"/>
                <w:sz w:val="16"/>
                <w:szCs w:val="16"/>
                <w:lang w:val="en-US" w:eastAsia="ru-RU"/>
              </w:rPr>
              <w:t>vs FX future trade volume (in number of contracts) </w:t>
            </w:r>
          </w:p>
        </w:tc>
        <w:tc>
          <w:tcPr>
            <w:tcW w:w="4394" w:type="dxa"/>
            <w:gridSpan w:val="5"/>
            <w:tcBorders>
              <w:top w:val="single" w:sz="4" w:space="0" w:color="auto"/>
              <w:left w:val="single" w:sz="4" w:space="0" w:color="auto"/>
              <w:bottom w:val="single" w:sz="4" w:space="0" w:color="auto"/>
            </w:tcBorders>
            <w:shd w:val="clear" w:color="auto" w:fill="auto"/>
            <w:noWrap/>
            <w:vAlign w:val="center"/>
          </w:tcPr>
          <w:p w14:paraId="1FBAF110" w14:textId="77777777" w:rsidR="009B0F29" w:rsidRDefault="009B0F29" w:rsidP="009B0F29">
            <w:pPr>
              <w:spacing w:after="0" w:line="240" w:lineRule="auto"/>
              <w:jc w:val="left"/>
              <w:rPr>
                <w:rFonts w:eastAsia="Times New Roman" w:cs="Times New Roman"/>
                <w:b/>
                <w:bCs/>
                <w:color w:val="000000"/>
                <w:sz w:val="16"/>
                <w:szCs w:val="16"/>
                <w:lang w:val="en-US" w:eastAsia="ru-RU"/>
              </w:rPr>
            </w:pPr>
            <w:r w:rsidRPr="009B0F29">
              <w:rPr>
                <w:rFonts w:eastAsia="Times New Roman" w:cs="Times New Roman"/>
                <w:b/>
                <w:bCs/>
                <w:color w:val="000000"/>
                <w:sz w:val="16"/>
                <w:szCs w:val="16"/>
                <w:lang w:val="en-US" w:eastAsia="ru-RU"/>
              </w:rPr>
              <w:t xml:space="preserve">FX spot delta (in stand. deviations) </w:t>
            </w:r>
          </w:p>
          <w:p w14:paraId="6B2B63C2" w14:textId="491E0537" w:rsidR="009B0F29" w:rsidRPr="009B0F29" w:rsidRDefault="009B0F29" w:rsidP="009B0F29">
            <w:pPr>
              <w:spacing w:after="0" w:line="240" w:lineRule="auto"/>
              <w:jc w:val="left"/>
              <w:rPr>
                <w:rFonts w:eastAsia="Times New Roman" w:cs="Times New Roman"/>
                <w:b/>
                <w:bCs/>
                <w:color w:val="000000"/>
                <w:sz w:val="16"/>
                <w:szCs w:val="16"/>
                <w:lang w:val="en-US" w:eastAsia="ru-RU"/>
              </w:rPr>
            </w:pPr>
            <w:r w:rsidRPr="009B0F29">
              <w:rPr>
                <w:rFonts w:eastAsia="Times New Roman" w:cs="Times New Roman"/>
                <w:b/>
                <w:bCs/>
                <w:color w:val="000000"/>
                <w:sz w:val="16"/>
                <w:szCs w:val="16"/>
                <w:lang w:val="en-US" w:eastAsia="ru-RU"/>
              </w:rPr>
              <w:t>vs FX future price deviation (in b.ps)</w:t>
            </w:r>
          </w:p>
        </w:tc>
      </w:tr>
      <w:tr w:rsidR="009B0F29" w:rsidRPr="009B0F29" w14:paraId="4A0DCBD0" w14:textId="77777777" w:rsidTr="00541373">
        <w:trPr>
          <w:trHeight w:val="285"/>
          <w:tblHeader/>
        </w:trPr>
        <w:tc>
          <w:tcPr>
            <w:tcW w:w="928" w:type="dxa"/>
            <w:tcBorders>
              <w:top w:val="nil"/>
              <w:left w:val="nil"/>
              <w:bottom w:val="single" w:sz="8" w:space="0" w:color="auto"/>
              <w:right w:val="single" w:sz="8" w:space="0" w:color="auto"/>
            </w:tcBorders>
            <w:shd w:val="clear" w:color="auto" w:fill="auto"/>
            <w:noWrap/>
            <w:vAlign w:val="center"/>
            <w:hideMark/>
          </w:tcPr>
          <w:p w14:paraId="198F9B6B" w14:textId="77777777" w:rsidR="009B0F29" w:rsidRPr="009B0F29" w:rsidRDefault="009B0F29" w:rsidP="009B0F29">
            <w:pPr>
              <w:spacing w:after="0" w:line="240" w:lineRule="auto"/>
              <w:rPr>
                <w:rFonts w:eastAsia="Times New Roman" w:cs="Times New Roman"/>
                <w:b/>
                <w:bCs/>
                <w:color w:val="000000"/>
                <w:sz w:val="16"/>
                <w:szCs w:val="16"/>
                <w:lang w:val="en-US" w:eastAsia="ru-RU"/>
              </w:rPr>
            </w:pPr>
            <w:r w:rsidRPr="009B0F29">
              <w:rPr>
                <w:rFonts w:eastAsia="Times New Roman" w:cs="Times New Roman"/>
                <w:b/>
                <w:bCs/>
                <w:color w:val="000000"/>
                <w:sz w:val="16"/>
                <w:szCs w:val="16"/>
                <w:lang w:val="en-US" w:eastAsia="ru-RU"/>
              </w:rPr>
              <w:t> </w:t>
            </w:r>
          </w:p>
        </w:tc>
        <w:tc>
          <w:tcPr>
            <w:tcW w:w="847" w:type="dxa"/>
            <w:tcBorders>
              <w:top w:val="nil"/>
              <w:left w:val="nil"/>
              <w:bottom w:val="single" w:sz="8" w:space="0" w:color="auto"/>
              <w:right w:val="single" w:sz="8" w:space="0" w:color="auto"/>
            </w:tcBorders>
            <w:shd w:val="clear" w:color="auto" w:fill="auto"/>
            <w:noWrap/>
            <w:vAlign w:val="center"/>
            <w:hideMark/>
          </w:tcPr>
          <w:p w14:paraId="354A1A42" w14:textId="77777777" w:rsidR="009B0F29" w:rsidRPr="009B0F29" w:rsidRDefault="009B0F29" w:rsidP="009B0F29">
            <w:pPr>
              <w:spacing w:after="0" w:line="240" w:lineRule="auto"/>
              <w:jc w:val="left"/>
              <w:rPr>
                <w:rFonts w:eastAsia="Times New Roman" w:cs="Times New Roman"/>
                <w:b/>
                <w:bCs/>
                <w:color w:val="000000"/>
                <w:sz w:val="16"/>
                <w:szCs w:val="16"/>
                <w:lang w:eastAsia="ru-RU"/>
              </w:rPr>
            </w:pPr>
            <w:r w:rsidRPr="009B0F29">
              <w:rPr>
                <w:rFonts w:eastAsia="Times New Roman" w:cs="Times New Roman"/>
                <w:b/>
                <w:bCs/>
                <w:color w:val="000000"/>
                <w:sz w:val="16"/>
                <w:szCs w:val="16"/>
                <w:lang w:eastAsia="ru-RU"/>
              </w:rPr>
              <w:t>Intercept</w:t>
            </w:r>
          </w:p>
        </w:tc>
        <w:tc>
          <w:tcPr>
            <w:tcW w:w="847" w:type="dxa"/>
            <w:tcBorders>
              <w:top w:val="nil"/>
              <w:left w:val="nil"/>
              <w:bottom w:val="single" w:sz="8" w:space="0" w:color="auto"/>
              <w:right w:val="single" w:sz="8" w:space="0" w:color="auto"/>
            </w:tcBorders>
            <w:shd w:val="clear" w:color="auto" w:fill="auto"/>
            <w:noWrap/>
            <w:vAlign w:val="center"/>
            <w:hideMark/>
          </w:tcPr>
          <w:p w14:paraId="76DE2D44" w14:textId="77777777" w:rsidR="009B0F29" w:rsidRPr="009B0F29" w:rsidRDefault="009B0F29" w:rsidP="009B0F29">
            <w:pPr>
              <w:spacing w:after="0" w:line="240" w:lineRule="auto"/>
              <w:jc w:val="left"/>
              <w:rPr>
                <w:rFonts w:eastAsia="Times New Roman" w:cs="Times New Roman"/>
                <w:b/>
                <w:bCs/>
                <w:color w:val="000000"/>
                <w:sz w:val="16"/>
                <w:szCs w:val="16"/>
                <w:lang w:eastAsia="ru-RU"/>
              </w:rPr>
            </w:pPr>
            <w:r w:rsidRPr="009B0F29">
              <w:rPr>
                <w:rFonts w:eastAsia="Times New Roman" w:cs="Times New Roman"/>
                <w:b/>
                <w:bCs/>
                <w:color w:val="000000"/>
                <w:sz w:val="16"/>
                <w:szCs w:val="16"/>
                <w:lang w:eastAsia="ru-RU"/>
              </w:rPr>
              <w:t>Intercept p-value</w:t>
            </w:r>
          </w:p>
        </w:tc>
        <w:tc>
          <w:tcPr>
            <w:tcW w:w="922" w:type="dxa"/>
            <w:tcBorders>
              <w:top w:val="nil"/>
              <w:left w:val="nil"/>
              <w:bottom w:val="single" w:sz="8" w:space="0" w:color="auto"/>
              <w:right w:val="single" w:sz="8" w:space="0" w:color="auto"/>
            </w:tcBorders>
            <w:shd w:val="clear" w:color="auto" w:fill="auto"/>
            <w:noWrap/>
            <w:vAlign w:val="center"/>
            <w:hideMark/>
          </w:tcPr>
          <w:p w14:paraId="447B7AFF" w14:textId="77777777" w:rsidR="009B0F29" w:rsidRPr="009B0F29" w:rsidRDefault="009B0F29" w:rsidP="009B0F29">
            <w:pPr>
              <w:spacing w:after="0" w:line="240" w:lineRule="auto"/>
              <w:jc w:val="left"/>
              <w:rPr>
                <w:rFonts w:eastAsia="Times New Roman" w:cs="Times New Roman"/>
                <w:b/>
                <w:bCs/>
                <w:color w:val="000000"/>
                <w:sz w:val="16"/>
                <w:szCs w:val="16"/>
                <w:lang w:eastAsia="ru-RU"/>
              </w:rPr>
            </w:pPr>
            <w:r w:rsidRPr="009B0F29">
              <w:rPr>
                <w:rFonts w:eastAsia="Times New Roman" w:cs="Times New Roman"/>
                <w:b/>
                <w:bCs/>
                <w:color w:val="000000"/>
                <w:sz w:val="16"/>
                <w:szCs w:val="16"/>
                <w:lang w:eastAsia="ru-RU"/>
              </w:rPr>
              <w:t>Beta-coef, abs FX spot delta</w:t>
            </w:r>
          </w:p>
        </w:tc>
        <w:tc>
          <w:tcPr>
            <w:tcW w:w="1016" w:type="dxa"/>
            <w:tcBorders>
              <w:top w:val="nil"/>
              <w:left w:val="nil"/>
              <w:bottom w:val="single" w:sz="8" w:space="0" w:color="auto"/>
              <w:right w:val="single" w:sz="8" w:space="0" w:color="auto"/>
            </w:tcBorders>
            <w:shd w:val="clear" w:color="auto" w:fill="auto"/>
            <w:noWrap/>
            <w:vAlign w:val="center"/>
            <w:hideMark/>
          </w:tcPr>
          <w:p w14:paraId="10DF7312" w14:textId="77777777" w:rsidR="00B76FBD" w:rsidRDefault="009B0F29" w:rsidP="009B0F29">
            <w:pPr>
              <w:spacing w:after="0" w:line="240" w:lineRule="auto"/>
              <w:jc w:val="left"/>
              <w:rPr>
                <w:rFonts w:eastAsia="Times New Roman" w:cs="Times New Roman"/>
                <w:b/>
                <w:bCs/>
                <w:color w:val="000000"/>
                <w:sz w:val="16"/>
                <w:szCs w:val="16"/>
                <w:lang w:val="en-US" w:eastAsia="ru-RU"/>
              </w:rPr>
            </w:pPr>
            <w:r w:rsidRPr="009B0F29">
              <w:rPr>
                <w:rFonts w:eastAsia="Times New Roman" w:cs="Times New Roman"/>
                <w:b/>
                <w:bCs/>
                <w:color w:val="000000"/>
                <w:sz w:val="16"/>
                <w:szCs w:val="16"/>
                <w:lang w:val="en-US" w:eastAsia="ru-RU"/>
              </w:rPr>
              <w:t xml:space="preserve">Beta </w:t>
            </w:r>
          </w:p>
          <w:p w14:paraId="502A54B0" w14:textId="781676FB" w:rsidR="009B0F29" w:rsidRPr="009B0F29" w:rsidRDefault="00B76FBD" w:rsidP="009B0F29">
            <w:pPr>
              <w:spacing w:after="0" w:line="240" w:lineRule="auto"/>
              <w:jc w:val="left"/>
              <w:rPr>
                <w:rFonts w:eastAsia="Times New Roman" w:cs="Times New Roman"/>
                <w:b/>
                <w:bCs/>
                <w:color w:val="000000"/>
                <w:sz w:val="16"/>
                <w:szCs w:val="16"/>
                <w:lang w:eastAsia="ru-RU"/>
              </w:rPr>
            </w:pPr>
            <w:r>
              <w:rPr>
                <w:rFonts w:eastAsia="Times New Roman" w:cs="Times New Roman"/>
                <w:b/>
                <w:bCs/>
                <w:color w:val="000000"/>
                <w:sz w:val="16"/>
                <w:szCs w:val="16"/>
                <w:lang w:val="en-US" w:eastAsia="ru-RU"/>
              </w:rPr>
              <w:t>p-value</w:t>
            </w:r>
          </w:p>
        </w:tc>
        <w:tc>
          <w:tcPr>
            <w:tcW w:w="768" w:type="dxa"/>
            <w:tcBorders>
              <w:top w:val="nil"/>
              <w:left w:val="nil"/>
              <w:bottom w:val="single" w:sz="8" w:space="0" w:color="auto"/>
              <w:right w:val="single" w:sz="4" w:space="0" w:color="auto"/>
            </w:tcBorders>
            <w:shd w:val="clear" w:color="auto" w:fill="auto"/>
            <w:noWrap/>
            <w:vAlign w:val="center"/>
            <w:hideMark/>
          </w:tcPr>
          <w:p w14:paraId="02FFCBCB" w14:textId="77777777" w:rsidR="009B0F29" w:rsidRPr="009B0F29" w:rsidRDefault="009B0F29" w:rsidP="009B0F29">
            <w:pPr>
              <w:spacing w:after="0" w:line="240" w:lineRule="auto"/>
              <w:jc w:val="left"/>
              <w:rPr>
                <w:rFonts w:eastAsia="Times New Roman" w:cs="Times New Roman"/>
                <w:b/>
                <w:bCs/>
                <w:color w:val="000000"/>
                <w:sz w:val="16"/>
                <w:szCs w:val="16"/>
                <w:lang w:eastAsia="ru-RU"/>
              </w:rPr>
            </w:pPr>
            <w:r w:rsidRPr="009B0F29">
              <w:rPr>
                <w:rFonts w:eastAsia="Times New Roman" w:cs="Times New Roman"/>
                <w:b/>
                <w:bCs/>
                <w:color w:val="000000"/>
                <w:sz w:val="16"/>
                <w:szCs w:val="16"/>
                <w:lang w:eastAsia="ru-RU"/>
              </w:rPr>
              <w:t>R-squared</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9D4C8" w14:textId="77777777" w:rsidR="009B0F29" w:rsidRPr="009B0F29" w:rsidRDefault="009B0F29" w:rsidP="009B0F29">
            <w:pPr>
              <w:spacing w:after="0" w:line="240" w:lineRule="auto"/>
              <w:jc w:val="left"/>
              <w:rPr>
                <w:rFonts w:eastAsia="Times New Roman" w:cs="Times New Roman"/>
                <w:b/>
                <w:bCs/>
                <w:color w:val="000000"/>
                <w:sz w:val="16"/>
                <w:szCs w:val="16"/>
                <w:lang w:eastAsia="ru-RU"/>
              </w:rPr>
            </w:pPr>
            <w:r w:rsidRPr="009B0F29">
              <w:rPr>
                <w:rFonts w:eastAsia="Times New Roman" w:cs="Times New Roman"/>
                <w:b/>
                <w:bCs/>
                <w:color w:val="000000"/>
                <w:sz w:val="16"/>
                <w:szCs w:val="16"/>
                <w:lang w:eastAsia="ru-RU"/>
              </w:rPr>
              <w:t>Intercept</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4D2AE" w14:textId="77777777" w:rsidR="009B0F29" w:rsidRPr="009B0F29" w:rsidRDefault="009B0F29" w:rsidP="009B0F29">
            <w:pPr>
              <w:spacing w:after="0" w:line="240" w:lineRule="auto"/>
              <w:jc w:val="left"/>
              <w:rPr>
                <w:rFonts w:eastAsia="Times New Roman" w:cs="Times New Roman"/>
                <w:b/>
                <w:bCs/>
                <w:color w:val="000000"/>
                <w:sz w:val="16"/>
                <w:szCs w:val="16"/>
                <w:lang w:eastAsia="ru-RU"/>
              </w:rPr>
            </w:pPr>
            <w:r w:rsidRPr="009B0F29">
              <w:rPr>
                <w:rFonts w:eastAsia="Times New Roman" w:cs="Times New Roman"/>
                <w:b/>
                <w:bCs/>
                <w:color w:val="000000"/>
                <w:sz w:val="16"/>
                <w:szCs w:val="16"/>
                <w:lang w:eastAsia="ru-RU"/>
              </w:rPr>
              <w:t>Intercept p-value</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31568" w14:textId="77777777" w:rsidR="009B0F29" w:rsidRPr="009B0F29" w:rsidRDefault="009B0F29" w:rsidP="009B0F29">
            <w:pPr>
              <w:spacing w:after="0" w:line="240" w:lineRule="auto"/>
              <w:jc w:val="left"/>
              <w:rPr>
                <w:rFonts w:eastAsia="Times New Roman" w:cs="Times New Roman"/>
                <w:b/>
                <w:bCs/>
                <w:color w:val="000000"/>
                <w:sz w:val="16"/>
                <w:szCs w:val="16"/>
                <w:lang w:eastAsia="ru-RU"/>
              </w:rPr>
            </w:pPr>
            <w:r w:rsidRPr="009B0F29">
              <w:rPr>
                <w:rFonts w:eastAsia="Times New Roman" w:cs="Times New Roman"/>
                <w:b/>
                <w:bCs/>
                <w:color w:val="000000"/>
                <w:sz w:val="16"/>
                <w:szCs w:val="16"/>
                <w:lang w:eastAsia="ru-RU"/>
              </w:rPr>
              <w:t>Beta-coef, FX spot delta</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F7D90" w14:textId="77777777" w:rsidR="009B0F29" w:rsidRDefault="009B0F29" w:rsidP="009B0F29">
            <w:pPr>
              <w:spacing w:after="0" w:line="240" w:lineRule="auto"/>
              <w:jc w:val="left"/>
              <w:rPr>
                <w:rFonts w:eastAsia="Times New Roman" w:cs="Times New Roman"/>
                <w:b/>
                <w:bCs/>
                <w:color w:val="000000"/>
                <w:sz w:val="16"/>
                <w:szCs w:val="16"/>
                <w:lang w:val="en-US" w:eastAsia="ru-RU"/>
              </w:rPr>
            </w:pPr>
            <w:r w:rsidRPr="009B0F29">
              <w:rPr>
                <w:rFonts w:eastAsia="Times New Roman" w:cs="Times New Roman"/>
                <w:b/>
                <w:bCs/>
                <w:color w:val="000000"/>
                <w:sz w:val="16"/>
                <w:szCs w:val="16"/>
                <w:lang w:val="en-US" w:eastAsia="ru-RU"/>
              </w:rPr>
              <w:t xml:space="preserve">Beta </w:t>
            </w:r>
          </w:p>
          <w:p w14:paraId="17C91977" w14:textId="0700AF64" w:rsidR="00B76FBD" w:rsidRPr="009B0F29" w:rsidRDefault="00B76FBD" w:rsidP="009B0F29">
            <w:pPr>
              <w:spacing w:after="0" w:line="240" w:lineRule="auto"/>
              <w:jc w:val="left"/>
              <w:rPr>
                <w:rFonts w:eastAsia="Times New Roman" w:cs="Times New Roman"/>
                <w:b/>
                <w:bCs/>
                <w:color w:val="000000"/>
                <w:sz w:val="16"/>
                <w:szCs w:val="16"/>
                <w:lang w:eastAsia="ru-RU"/>
              </w:rPr>
            </w:pPr>
            <w:r>
              <w:rPr>
                <w:rFonts w:eastAsia="Times New Roman" w:cs="Times New Roman"/>
                <w:b/>
                <w:bCs/>
                <w:color w:val="000000"/>
                <w:sz w:val="16"/>
                <w:szCs w:val="16"/>
                <w:lang w:val="en-US" w:eastAsia="ru-RU"/>
              </w:rPr>
              <w:t>p-value</w:t>
            </w:r>
          </w:p>
        </w:tc>
        <w:tc>
          <w:tcPr>
            <w:tcW w:w="768" w:type="dxa"/>
            <w:tcBorders>
              <w:top w:val="single" w:sz="4" w:space="0" w:color="auto"/>
              <w:left w:val="single" w:sz="4" w:space="0" w:color="auto"/>
              <w:bottom w:val="single" w:sz="4" w:space="0" w:color="auto"/>
            </w:tcBorders>
            <w:shd w:val="clear" w:color="auto" w:fill="auto"/>
            <w:noWrap/>
            <w:vAlign w:val="center"/>
            <w:hideMark/>
          </w:tcPr>
          <w:p w14:paraId="18E2A62D" w14:textId="77777777" w:rsidR="009B0F29" w:rsidRPr="009B0F29" w:rsidRDefault="009B0F29" w:rsidP="009B0F29">
            <w:pPr>
              <w:spacing w:after="0" w:line="240" w:lineRule="auto"/>
              <w:jc w:val="left"/>
              <w:rPr>
                <w:rFonts w:eastAsia="Times New Roman" w:cs="Times New Roman"/>
                <w:b/>
                <w:bCs/>
                <w:color w:val="000000"/>
                <w:sz w:val="16"/>
                <w:szCs w:val="16"/>
                <w:lang w:eastAsia="ru-RU"/>
              </w:rPr>
            </w:pPr>
            <w:r w:rsidRPr="009B0F29">
              <w:rPr>
                <w:rFonts w:eastAsia="Times New Roman" w:cs="Times New Roman"/>
                <w:b/>
                <w:bCs/>
                <w:color w:val="000000"/>
                <w:sz w:val="16"/>
                <w:szCs w:val="16"/>
                <w:lang w:eastAsia="ru-RU"/>
              </w:rPr>
              <w:t>R-squared</w:t>
            </w:r>
          </w:p>
        </w:tc>
      </w:tr>
      <w:tr w:rsidR="002B0CCE" w:rsidRPr="009B0F29" w14:paraId="2497361E" w14:textId="77777777" w:rsidTr="00541373">
        <w:trPr>
          <w:trHeight w:val="285"/>
          <w:tblHeader/>
        </w:trPr>
        <w:tc>
          <w:tcPr>
            <w:tcW w:w="928" w:type="dxa"/>
            <w:tcBorders>
              <w:top w:val="nil"/>
              <w:left w:val="nil"/>
              <w:bottom w:val="single" w:sz="8" w:space="0" w:color="auto"/>
              <w:right w:val="single" w:sz="8" w:space="0" w:color="auto"/>
            </w:tcBorders>
            <w:shd w:val="clear" w:color="auto" w:fill="auto"/>
            <w:noWrap/>
            <w:vAlign w:val="center"/>
            <w:hideMark/>
          </w:tcPr>
          <w:p w14:paraId="0E50BEA3" w14:textId="66A2A9F1" w:rsidR="009B0F29" w:rsidRPr="009B0F29" w:rsidRDefault="00924521" w:rsidP="009B0F29">
            <w:pPr>
              <w:spacing w:after="0" w:line="240" w:lineRule="auto"/>
              <w:rPr>
                <w:rFonts w:eastAsia="Times New Roman" w:cs="Times New Roman"/>
                <w:color w:val="000000"/>
                <w:sz w:val="16"/>
                <w:szCs w:val="16"/>
                <w:lang w:val="en-US" w:eastAsia="ru-RU"/>
              </w:rPr>
            </w:pPr>
            <w:r>
              <w:rPr>
                <w:rFonts w:eastAsia="Times New Roman" w:cs="Times New Roman"/>
                <w:color w:val="000000"/>
                <w:sz w:val="16"/>
                <w:szCs w:val="16"/>
                <w:lang w:val="en-US" w:eastAsia="ru-RU"/>
              </w:rPr>
              <w:t>CHF</w:t>
            </w:r>
            <w:r w:rsidR="009B0F29" w:rsidRPr="009B0F29">
              <w:rPr>
                <w:rFonts w:eastAsia="Times New Roman" w:cs="Times New Roman"/>
                <w:color w:val="000000"/>
                <w:sz w:val="16"/>
                <w:szCs w:val="16"/>
                <w:lang w:eastAsia="ru-RU"/>
              </w:rPr>
              <w:t>/</w:t>
            </w:r>
            <w:r>
              <w:rPr>
                <w:rFonts w:eastAsia="Times New Roman" w:cs="Times New Roman"/>
                <w:color w:val="000000"/>
                <w:sz w:val="16"/>
                <w:szCs w:val="16"/>
                <w:lang w:val="en-US" w:eastAsia="ru-RU"/>
              </w:rPr>
              <w:t>USD</w:t>
            </w:r>
          </w:p>
        </w:tc>
        <w:tc>
          <w:tcPr>
            <w:tcW w:w="847" w:type="dxa"/>
            <w:tcBorders>
              <w:top w:val="nil"/>
              <w:left w:val="nil"/>
              <w:bottom w:val="single" w:sz="8" w:space="0" w:color="auto"/>
              <w:right w:val="single" w:sz="8" w:space="0" w:color="auto"/>
            </w:tcBorders>
            <w:shd w:val="clear" w:color="auto" w:fill="auto"/>
            <w:noWrap/>
            <w:vAlign w:val="center"/>
            <w:hideMark/>
          </w:tcPr>
          <w:p w14:paraId="4AAE1F0C"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296,7</w:t>
            </w:r>
          </w:p>
        </w:tc>
        <w:tc>
          <w:tcPr>
            <w:tcW w:w="847" w:type="dxa"/>
            <w:tcBorders>
              <w:top w:val="single" w:sz="4" w:space="0" w:color="auto"/>
              <w:left w:val="nil"/>
              <w:bottom w:val="single" w:sz="8" w:space="0" w:color="auto"/>
              <w:right w:val="single" w:sz="8" w:space="0" w:color="auto"/>
            </w:tcBorders>
            <w:shd w:val="clear" w:color="auto" w:fill="auto"/>
            <w:noWrap/>
            <w:vAlign w:val="center"/>
            <w:hideMark/>
          </w:tcPr>
          <w:p w14:paraId="14E9F32B"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22" w:type="dxa"/>
            <w:tcBorders>
              <w:top w:val="single" w:sz="4" w:space="0" w:color="auto"/>
              <w:left w:val="nil"/>
              <w:bottom w:val="single" w:sz="8" w:space="0" w:color="auto"/>
              <w:right w:val="single" w:sz="8" w:space="0" w:color="auto"/>
            </w:tcBorders>
            <w:shd w:val="clear" w:color="auto" w:fill="auto"/>
            <w:noWrap/>
            <w:vAlign w:val="center"/>
            <w:hideMark/>
          </w:tcPr>
          <w:p w14:paraId="6E2269FF"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236,5</w:t>
            </w:r>
          </w:p>
        </w:tc>
        <w:tc>
          <w:tcPr>
            <w:tcW w:w="1016" w:type="dxa"/>
            <w:tcBorders>
              <w:top w:val="single" w:sz="4" w:space="0" w:color="auto"/>
              <w:left w:val="nil"/>
              <w:bottom w:val="single" w:sz="8" w:space="0" w:color="auto"/>
              <w:right w:val="single" w:sz="8" w:space="0" w:color="auto"/>
            </w:tcBorders>
            <w:shd w:val="clear" w:color="auto" w:fill="auto"/>
            <w:noWrap/>
            <w:vAlign w:val="center"/>
            <w:hideMark/>
          </w:tcPr>
          <w:p w14:paraId="39495060"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single" w:sz="4" w:space="0" w:color="auto"/>
              <w:left w:val="nil"/>
              <w:bottom w:val="single" w:sz="8" w:space="0" w:color="auto"/>
              <w:right w:val="single" w:sz="8" w:space="0" w:color="auto"/>
            </w:tcBorders>
            <w:shd w:val="clear" w:color="auto" w:fill="auto"/>
            <w:noWrap/>
            <w:vAlign w:val="center"/>
            <w:hideMark/>
          </w:tcPr>
          <w:p w14:paraId="4C9D4CB7"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6,0%</w:t>
            </w:r>
          </w:p>
        </w:tc>
        <w:tc>
          <w:tcPr>
            <w:tcW w:w="847" w:type="dxa"/>
            <w:tcBorders>
              <w:top w:val="single" w:sz="4" w:space="0" w:color="auto"/>
              <w:left w:val="nil"/>
              <w:bottom w:val="single" w:sz="8" w:space="0" w:color="auto"/>
              <w:right w:val="single" w:sz="8" w:space="0" w:color="auto"/>
            </w:tcBorders>
            <w:shd w:val="clear" w:color="auto" w:fill="auto"/>
            <w:noWrap/>
            <w:vAlign w:val="center"/>
            <w:hideMark/>
          </w:tcPr>
          <w:p w14:paraId="4994DA27"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0,9</w:t>
            </w:r>
          </w:p>
        </w:tc>
        <w:tc>
          <w:tcPr>
            <w:tcW w:w="847" w:type="dxa"/>
            <w:tcBorders>
              <w:top w:val="single" w:sz="4" w:space="0" w:color="auto"/>
              <w:left w:val="nil"/>
              <w:bottom w:val="single" w:sz="8" w:space="0" w:color="auto"/>
              <w:right w:val="single" w:sz="8" w:space="0" w:color="auto"/>
            </w:tcBorders>
            <w:shd w:val="clear" w:color="auto" w:fill="auto"/>
            <w:noWrap/>
            <w:vAlign w:val="center"/>
            <w:hideMark/>
          </w:tcPr>
          <w:p w14:paraId="6E81E38E"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16" w:type="dxa"/>
            <w:tcBorders>
              <w:top w:val="single" w:sz="4" w:space="0" w:color="auto"/>
              <w:left w:val="nil"/>
              <w:bottom w:val="single" w:sz="8" w:space="0" w:color="auto"/>
              <w:right w:val="single" w:sz="8" w:space="0" w:color="auto"/>
            </w:tcBorders>
            <w:shd w:val="clear" w:color="auto" w:fill="auto"/>
            <w:noWrap/>
            <w:vAlign w:val="center"/>
            <w:hideMark/>
          </w:tcPr>
          <w:p w14:paraId="0803B32E"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-0,36</w:t>
            </w:r>
          </w:p>
        </w:tc>
        <w:tc>
          <w:tcPr>
            <w:tcW w:w="1016" w:type="dxa"/>
            <w:tcBorders>
              <w:top w:val="single" w:sz="4" w:space="0" w:color="auto"/>
              <w:left w:val="nil"/>
              <w:bottom w:val="single" w:sz="8" w:space="0" w:color="auto"/>
              <w:right w:val="single" w:sz="8" w:space="0" w:color="auto"/>
            </w:tcBorders>
            <w:shd w:val="clear" w:color="auto" w:fill="auto"/>
            <w:noWrap/>
            <w:vAlign w:val="center"/>
            <w:hideMark/>
          </w:tcPr>
          <w:p w14:paraId="10FD911A"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single" w:sz="4" w:space="0" w:color="auto"/>
              <w:left w:val="nil"/>
              <w:bottom w:val="single" w:sz="8" w:space="0" w:color="auto"/>
            </w:tcBorders>
            <w:shd w:val="clear" w:color="auto" w:fill="auto"/>
            <w:noWrap/>
            <w:vAlign w:val="center"/>
            <w:hideMark/>
          </w:tcPr>
          <w:p w14:paraId="6AB45E6C" w14:textId="415D5384"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3,2%</w:t>
            </w:r>
          </w:p>
        </w:tc>
      </w:tr>
      <w:tr w:rsidR="0033733C" w:rsidRPr="009B0F29" w14:paraId="5FE86624" w14:textId="77777777" w:rsidTr="00541373">
        <w:trPr>
          <w:trHeight w:val="285"/>
          <w:tblHeader/>
        </w:trPr>
        <w:tc>
          <w:tcPr>
            <w:tcW w:w="928" w:type="dxa"/>
            <w:tcBorders>
              <w:top w:val="nil"/>
              <w:left w:val="nil"/>
              <w:bottom w:val="single" w:sz="8" w:space="0" w:color="auto"/>
              <w:right w:val="single" w:sz="8" w:space="0" w:color="auto"/>
            </w:tcBorders>
            <w:shd w:val="clear" w:color="auto" w:fill="auto"/>
            <w:noWrap/>
            <w:vAlign w:val="center"/>
            <w:hideMark/>
          </w:tcPr>
          <w:p w14:paraId="5803F16B" w14:textId="77777777" w:rsidR="009B0F29" w:rsidRPr="009B0F29" w:rsidRDefault="009B0F29" w:rsidP="009B0F29">
            <w:pPr>
              <w:spacing w:after="0" w:line="240" w:lineRule="auto"/>
              <w:rPr>
                <w:rFonts w:eastAsia="Times New Roman" w:cs="Times New Roman"/>
                <w:color w:val="000000"/>
                <w:sz w:val="16"/>
                <w:szCs w:val="16"/>
                <w:lang w:eastAsia="ru-RU"/>
              </w:rPr>
            </w:pPr>
            <w:r w:rsidRPr="009B0F29">
              <w:rPr>
                <w:rFonts w:eastAsia="Times New Roman" w:cs="Times New Roman"/>
                <w:color w:val="000000"/>
                <w:sz w:val="16"/>
                <w:szCs w:val="16"/>
                <w:lang w:eastAsia="ru-RU"/>
              </w:rPr>
              <w:t>GBP/CHF</w:t>
            </w:r>
          </w:p>
        </w:tc>
        <w:tc>
          <w:tcPr>
            <w:tcW w:w="847" w:type="dxa"/>
            <w:tcBorders>
              <w:top w:val="nil"/>
              <w:left w:val="nil"/>
              <w:bottom w:val="single" w:sz="8" w:space="0" w:color="auto"/>
              <w:right w:val="single" w:sz="8" w:space="0" w:color="auto"/>
            </w:tcBorders>
            <w:shd w:val="clear" w:color="auto" w:fill="auto"/>
            <w:noWrap/>
            <w:vAlign w:val="center"/>
            <w:hideMark/>
          </w:tcPr>
          <w:p w14:paraId="2A516B84"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val="en-US" w:eastAsia="ru-RU"/>
              </w:rPr>
              <w:t>n/a</w:t>
            </w:r>
          </w:p>
        </w:tc>
        <w:tc>
          <w:tcPr>
            <w:tcW w:w="847" w:type="dxa"/>
            <w:tcBorders>
              <w:top w:val="nil"/>
              <w:left w:val="nil"/>
              <w:bottom w:val="single" w:sz="8" w:space="0" w:color="auto"/>
              <w:right w:val="single" w:sz="8" w:space="0" w:color="auto"/>
            </w:tcBorders>
            <w:shd w:val="clear" w:color="auto" w:fill="auto"/>
            <w:noWrap/>
            <w:vAlign w:val="center"/>
            <w:hideMark/>
          </w:tcPr>
          <w:p w14:paraId="10967209" w14:textId="008A4BCF" w:rsidR="009B0F29" w:rsidRPr="009B0F29" w:rsidRDefault="002B0CCE" w:rsidP="002B0CC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val="en-US" w:eastAsia="ru-RU"/>
              </w:rPr>
              <w:t>-</w:t>
            </w:r>
          </w:p>
        </w:tc>
        <w:tc>
          <w:tcPr>
            <w:tcW w:w="922" w:type="dxa"/>
            <w:tcBorders>
              <w:top w:val="nil"/>
              <w:left w:val="nil"/>
              <w:bottom w:val="single" w:sz="8" w:space="0" w:color="auto"/>
              <w:right w:val="single" w:sz="8" w:space="0" w:color="auto"/>
            </w:tcBorders>
            <w:shd w:val="clear" w:color="auto" w:fill="auto"/>
            <w:noWrap/>
            <w:vAlign w:val="center"/>
            <w:hideMark/>
          </w:tcPr>
          <w:p w14:paraId="76A176E4" w14:textId="548AFE45" w:rsidR="009B0F29" w:rsidRPr="009B0F29" w:rsidRDefault="002B0CCE" w:rsidP="002B0CC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val="en-US" w:eastAsia="ru-RU"/>
              </w:rPr>
              <w:t>-</w:t>
            </w:r>
          </w:p>
        </w:tc>
        <w:tc>
          <w:tcPr>
            <w:tcW w:w="1016" w:type="dxa"/>
            <w:tcBorders>
              <w:top w:val="nil"/>
              <w:left w:val="nil"/>
              <w:bottom w:val="single" w:sz="8" w:space="0" w:color="auto"/>
              <w:right w:val="single" w:sz="8" w:space="0" w:color="auto"/>
            </w:tcBorders>
            <w:shd w:val="clear" w:color="auto" w:fill="auto"/>
            <w:noWrap/>
            <w:vAlign w:val="center"/>
            <w:hideMark/>
          </w:tcPr>
          <w:p w14:paraId="2B5B0ECD" w14:textId="73496E23" w:rsidR="009B0F29" w:rsidRPr="009B0F29" w:rsidRDefault="002B0CCE" w:rsidP="002B0CC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val="en-US" w:eastAsia="ru-RU"/>
              </w:rPr>
              <w:t>-</w:t>
            </w:r>
          </w:p>
        </w:tc>
        <w:tc>
          <w:tcPr>
            <w:tcW w:w="768" w:type="dxa"/>
            <w:tcBorders>
              <w:top w:val="nil"/>
              <w:left w:val="nil"/>
              <w:bottom w:val="single" w:sz="8" w:space="0" w:color="auto"/>
              <w:right w:val="single" w:sz="8" w:space="0" w:color="auto"/>
            </w:tcBorders>
            <w:shd w:val="clear" w:color="auto" w:fill="auto"/>
            <w:noWrap/>
            <w:vAlign w:val="center"/>
            <w:hideMark/>
          </w:tcPr>
          <w:p w14:paraId="5F539F9E" w14:textId="63132E8C" w:rsidR="009B0F29" w:rsidRPr="009B0F29" w:rsidRDefault="002B0CCE" w:rsidP="002B0CC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val="en-US" w:eastAsia="ru-RU"/>
              </w:rPr>
              <w:t>-</w:t>
            </w:r>
          </w:p>
        </w:tc>
        <w:tc>
          <w:tcPr>
            <w:tcW w:w="847" w:type="dxa"/>
            <w:tcBorders>
              <w:top w:val="nil"/>
              <w:left w:val="nil"/>
              <w:bottom w:val="single" w:sz="8" w:space="0" w:color="auto"/>
              <w:right w:val="single" w:sz="8" w:space="0" w:color="auto"/>
            </w:tcBorders>
            <w:shd w:val="clear" w:color="auto" w:fill="auto"/>
            <w:noWrap/>
            <w:vAlign w:val="center"/>
            <w:hideMark/>
          </w:tcPr>
          <w:p w14:paraId="261F65BD" w14:textId="71ED982F" w:rsidR="009B0F29" w:rsidRPr="009B0F29" w:rsidRDefault="002B0CCE" w:rsidP="002B0CC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val="en-US" w:eastAsia="ru-RU"/>
              </w:rPr>
              <w:t>-</w:t>
            </w:r>
          </w:p>
        </w:tc>
        <w:tc>
          <w:tcPr>
            <w:tcW w:w="847" w:type="dxa"/>
            <w:tcBorders>
              <w:top w:val="nil"/>
              <w:left w:val="nil"/>
              <w:bottom w:val="single" w:sz="8" w:space="0" w:color="auto"/>
              <w:right w:val="single" w:sz="8" w:space="0" w:color="auto"/>
            </w:tcBorders>
            <w:shd w:val="clear" w:color="auto" w:fill="auto"/>
            <w:noWrap/>
            <w:vAlign w:val="center"/>
            <w:hideMark/>
          </w:tcPr>
          <w:p w14:paraId="1D8EC85F" w14:textId="42F42F6C" w:rsidR="009B0F29" w:rsidRPr="009B0F29" w:rsidRDefault="002B0CCE" w:rsidP="002B0CC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val="en-US" w:eastAsia="ru-RU"/>
              </w:rPr>
              <w:t>-</w:t>
            </w:r>
          </w:p>
        </w:tc>
        <w:tc>
          <w:tcPr>
            <w:tcW w:w="916" w:type="dxa"/>
            <w:tcBorders>
              <w:top w:val="nil"/>
              <w:left w:val="nil"/>
              <w:bottom w:val="single" w:sz="8" w:space="0" w:color="auto"/>
              <w:right w:val="single" w:sz="8" w:space="0" w:color="auto"/>
            </w:tcBorders>
            <w:shd w:val="clear" w:color="auto" w:fill="auto"/>
            <w:noWrap/>
            <w:vAlign w:val="center"/>
            <w:hideMark/>
          </w:tcPr>
          <w:p w14:paraId="09A9ADA5" w14:textId="2CCC0EE3" w:rsidR="009B0F29" w:rsidRPr="009B0F29" w:rsidRDefault="002B0CCE" w:rsidP="002B0CC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val="en-US" w:eastAsia="ru-RU"/>
              </w:rPr>
              <w:t>-</w:t>
            </w:r>
          </w:p>
        </w:tc>
        <w:tc>
          <w:tcPr>
            <w:tcW w:w="1016" w:type="dxa"/>
            <w:tcBorders>
              <w:top w:val="nil"/>
              <w:left w:val="nil"/>
              <w:bottom w:val="single" w:sz="8" w:space="0" w:color="auto"/>
              <w:right w:val="single" w:sz="8" w:space="0" w:color="auto"/>
            </w:tcBorders>
            <w:shd w:val="clear" w:color="auto" w:fill="auto"/>
            <w:noWrap/>
            <w:vAlign w:val="center"/>
            <w:hideMark/>
          </w:tcPr>
          <w:p w14:paraId="4D775135" w14:textId="2B63ED56" w:rsidR="009B0F29" w:rsidRPr="009B0F29" w:rsidRDefault="002B0CCE" w:rsidP="002B0CC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val="en-US" w:eastAsia="ru-RU"/>
              </w:rPr>
              <w:t>-</w:t>
            </w:r>
          </w:p>
        </w:tc>
        <w:tc>
          <w:tcPr>
            <w:tcW w:w="768" w:type="dxa"/>
            <w:tcBorders>
              <w:top w:val="nil"/>
              <w:left w:val="nil"/>
              <w:bottom w:val="single" w:sz="8" w:space="0" w:color="auto"/>
            </w:tcBorders>
            <w:shd w:val="clear" w:color="auto" w:fill="auto"/>
            <w:noWrap/>
            <w:vAlign w:val="center"/>
            <w:hideMark/>
          </w:tcPr>
          <w:p w14:paraId="757335EB" w14:textId="3394D209" w:rsidR="009B0F29" w:rsidRPr="009B0F29" w:rsidRDefault="002B0CCE" w:rsidP="002B0CCE">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val="en-US" w:eastAsia="ru-RU"/>
              </w:rPr>
              <w:t>-</w:t>
            </w:r>
          </w:p>
        </w:tc>
      </w:tr>
      <w:tr w:rsidR="0033733C" w:rsidRPr="009B0F29" w14:paraId="7864C357" w14:textId="77777777" w:rsidTr="00541373">
        <w:trPr>
          <w:trHeight w:val="285"/>
          <w:tblHeader/>
        </w:trPr>
        <w:tc>
          <w:tcPr>
            <w:tcW w:w="928" w:type="dxa"/>
            <w:tcBorders>
              <w:top w:val="nil"/>
              <w:left w:val="nil"/>
              <w:bottom w:val="single" w:sz="8" w:space="0" w:color="auto"/>
              <w:right w:val="single" w:sz="8" w:space="0" w:color="auto"/>
            </w:tcBorders>
            <w:shd w:val="clear" w:color="auto" w:fill="auto"/>
            <w:noWrap/>
            <w:vAlign w:val="center"/>
            <w:hideMark/>
          </w:tcPr>
          <w:p w14:paraId="71A350F6" w14:textId="77777777" w:rsidR="009B0F29" w:rsidRPr="009B0F29" w:rsidRDefault="009B0F29" w:rsidP="009B0F29">
            <w:pPr>
              <w:spacing w:after="0" w:line="240" w:lineRule="auto"/>
              <w:rPr>
                <w:rFonts w:eastAsia="Times New Roman" w:cs="Times New Roman"/>
                <w:color w:val="000000"/>
                <w:sz w:val="16"/>
                <w:szCs w:val="16"/>
                <w:lang w:eastAsia="ru-RU"/>
              </w:rPr>
            </w:pPr>
            <w:r w:rsidRPr="009B0F29">
              <w:rPr>
                <w:rFonts w:eastAsia="Times New Roman" w:cs="Times New Roman"/>
                <w:color w:val="000000"/>
                <w:sz w:val="16"/>
                <w:szCs w:val="16"/>
                <w:lang w:eastAsia="ru-RU"/>
              </w:rPr>
              <w:t>EUR/CHF</w:t>
            </w:r>
          </w:p>
        </w:tc>
        <w:tc>
          <w:tcPr>
            <w:tcW w:w="847" w:type="dxa"/>
            <w:tcBorders>
              <w:top w:val="nil"/>
              <w:left w:val="nil"/>
              <w:bottom w:val="single" w:sz="8" w:space="0" w:color="auto"/>
              <w:right w:val="single" w:sz="8" w:space="0" w:color="auto"/>
            </w:tcBorders>
            <w:shd w:val="clear" w:color="auto" w:fill="auto"/>
            <w:noWrap/>
            <w:vAlign w:val="center"/>
            <w:hideMark/>
          </w:tcPr>
          <w:p w14:paraId="2165DE10"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24</w:t>
            </w:r>
          </w:p>
        </w:tc>
        <w:tc>
          <w:tcPr>
            <w:tcW w:w="847" w:type="dxa"/>
            <w:tcBorders>
              <w:top w:val="nil"/>
              <w:left w:val="nil"/>
              <w:bottom w:val="single" w:sz="8" w:space="0" w:color="auto"/>
              <w:right w:val="single" w:sz="8" w:space="0" w:color="auto"/>
            </w:tcBorders>
            <w:shd w:val="clear" w:color="auto" w:fill="auto"/>
            <w:noWrap/>
            <w:vAlign w:val="center"/>
            <w:hideMark/>
          </w:tcPr>
          <w:p w14:paraId="5C04C67B"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22" w:type="dxa"/>
            <w:tcBorders>
              <w:top w:val="nil"/>
              <w:left w:val="nil"/>
              <w:bottom w:val="single" w:sz="8" w:space="0" w:color="auto"/>
              <w:right w:val="single" w:sz="8" w:space="0" w:color="auto"/>
            </w:tcBorders>
            <w:shd w:val="clear" w:color="auto" w:fill="auto"/>
            <w:noWrap/>
            <w:vAlign w:val="center"/>
            <w:hideMark/>
          </w:tcPr>
          <w:p w14:paraId="3E3F3F24"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8,3</w:t>
            </w:r>
          </w:p>
        </w:tc>
        <w:tc>
          <w:tcPr>
            <w:tcW w:w="1016" w:type="dxa"/>
            <w:tcBorders>
              <w:top w:val="nil"/>
              <w:left w:val="nil"/>
              <w:bottom w:val="single" w:sz="8" w:space="0" w:color="auto"/>
              <w:right w:val="single" w:sz="8" w:space="0" w:color="auto"/>
            </w:tcBorders>
            <w:shd w:val="clear" w:color="auto" w:fill="auto"/>
            <w:noWrap/>
            <w:vAlign w:val="center"/>
            <w:hideMark/>
          </w:tcPr>
          <w:p w14:paraId="1B66157B"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right w:val="single" w:sz="8" w:space="0" w:color="auto"/>
            </w:tcBorders>
            <w:shd w:val="clear" w:color="auto" w:fill="auto"/>
            <w:noWrap/>
            <w:vAlign w:val="center"/>
            <w:hideMark/>
          </w:tcPr>
          <w:p w14:paraId="3652DB83"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0,4%</w:t>
            </w:r>
          </w:p>
        </w:tc>
        <w:tc>
          <w:tcPr>
            <w:tcW w:w="847" w:type="dxa"/>
            <w:tcBorders>
              <w:top w:val="nil"/>
              <w:left w:val="nil"/>
              <w:bottom w:val="single" w:sz="8" w:space="0" w:color="auto"/>
              <w:right w:val="single" w:sz="8" w:space="0" w:color="auto"/>
            </w:tcBorders>
            <w:shd w:val="clear" w:color="auto" w:fill="auto"/>
            <w:noWrap/>
            <w:vAlign w:val="center"/>
            <w:hideMark/>
          </w:tcPr>
          <w:p w14:paraId="23BC038A"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0,2</w:t>
            </w:r>
          </w:p>
        </w:tc>
        <w:tc>
          <w:tcPr>
            <w:tcW w:w="847" w:type="dxa"/>
            <w:tcBorders>
              <w:top w:val="nil"/>
              <w:left w:val="nil"/>
              <w:bottom w:val="single" w:sz="8" w:space="0" w:color="auto"/>
              <w:right w:val="single" w:sz="8" w:space="0" w:color="auto"/>
            </w:tcBorders>
            <w:shd w:val="clear" w:color="auto" w:fill="auto"/>
            <w:noWrap/>
            <w:vAlign w:val="center"/>
            <w:hideMark/>
          </w:tcPr>
          <w:p w14:paraId="7EE07B87"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16" w:type="dxa"/>
            <w:tcBorders>
              <w:top w:val="nil"/>
              <w:left w:val="nil"/>
              <w:bottom w:val="single" w:sz="8" w:space="0" w:color="auto"/>
              <w:right w:val="single" w:sz="8" w:space="0" w:color="auto"/>
            </w:tcBorders>
            <w:shd w:val="clear" w:color="auto" w:fill="auto"/>
            <w:noWrap/>
            <w:vAlign w:val="center"/>
            <w:hideMark/>
          </w:tcPr>
          <w:p w14:paraId="04EFE54E"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-0,64</w:t>
            </w:r>
          </w:p>
        </w:tc>
        <w:tc>
          <w:tcPr>
            <w:tcW w:w="1016" w:type="dxa"/>
            <w:tcBorders>
              <w:top w:val="nil"/>
              <w:left w:val="nil"/>
              <w:bottom w:val="single" w:sz="8" w:space="0" w:color="auto"/>
              <w:right w:val="single" w:sz="8" w:space="0" w:color="auto"/>
            </w:tcBorders>
            <w:shd w:val="clear" w:color="auto" w:fill="auto"/>
            <w:noWrap/>
            <w:vAlign w:val="center"/>
            <w:hideMark/>
          </w:tcPr>
          <w:p w14:paraId="023C8D2C"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tcBorders>
            <w:shd w:val="clear" w:color="auto" w:fill="auto"/>
            <w:noWrap/>
            <w:vAlign w:val="center"/>
            <w:hideMark/>
          </w:tcPr>
          <w:p w14:paraId="68008E6C" w14:textId="441283BB"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7,3%</w:t>
            </w:r>
          </w:p>
        </w:tc>
      </w:tr>
      <w:tr w:rsidR="0033733C" w:rsidRPr="009B0F29" w14:paraId="2BEE1646" w14:textId="77777777" w:rsidTr="00541373">
        <w:trPr>
          <w:trHeight w:val="285"/>
          <w:tblHeader/>
        </w:trPr>
        <w:tc>
          <w:tcPr>
            <w:tcW w:w="928" w:type="dxa"/>
            <w:tcBorders>
              <w:top w:val="nil"/>
              <w:left w:val="nil"/>
              <w:bottom w:val="single" w:sz="8" w:space="0" w:color="auto"/>
              <w:right w:val="single" w:sz="8" w:space="0" w:color="auto"/>
            </w:tcBorders>
            <w:shd w:val="clear" w:color="auto" w:fill="auto"/>
            <w:noWrap/>
            <w:vAlign w:val="center"/>
            <w:hideMark/>
          </w:tcPr>
          <w:p w14:paraId="4CA6C5FC" w14:textId="77777777" w:rsidR="009B0F29" w:rsidRPr="009B0F29" w:rsidRDefault="009B0F29" w:rsidP="009B0F29">
            <w:pPr>
              <w:spacing w:after="0" w:line="240" w:lineRule="auto"/>
              <w:rPr>
                <w:rFonts w:eastAsia="Times New Roman" w:cs="Times New Roman"/>
                <w:color w:val="000000"/>
                <w:sz w:val="16"/>
                <w:szCs w:val="16"/>
                <w:lang w:eastAsia="ru-RU"/>
              </w:rPr>
            </w:pPr>
            <w:r w:rsidRPr="009B0F29">
              <w:rPr>
                <w:rFonts w:eastAsia="Times New Roman" w:cs="Times New Roman"/>
                <w:color w:val="000000"/>
                <w:sz w:val="16"/>
                <w:szCs w:val="16"/>
                <w:lang w:eastAsia="ru-RU"/>
              </w:rPr>
              <w:t>EUR/GBP</w:t>
            </w:r>
          </w:p>
        </w:tc>
        <w:tc>
          <w:tcPr>
            <w:tcW w:w="847" w:type="dxa"/>
            <w:tcBorders>
              <w:top w:val="nil"/>
              <w:left w:val="nil"/>
              <w:bottom w:val="single" w:sz="8" w:space="0" w:color="auto"/>
              <w:right w:val="single" w:sz="8" w:space="0" w:color="auto"/>
            </w:tcBorders>
            <w:shd w:val="clear" w:color="auto" w:fill="auto"/>
            <w:noWrap/>
            <w:vAlign w:val="center"/>
            <w:hideMark/>
          </w:tcPr>
          <w:p w14:paraId="3506253F"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36</w:t>
            </w:r>
          </w:p>
        </w:tc>
        <w:tc>
          <w:tcPr>
            <w:tcW w:w="847" w:type="dxa"/>
            <w:tcBorders>
              <w:top w:val="nil"/>
              <w:left w:val="nil"/>
              <w:bottom w:val="single" w:sz="8" w:space="0" w:color="auto"/>
              <w:right w:val="single" w:sz="8" w:space="0" w:color="auto"/>
            </w:tcBorders>
            <w:shd w:val="clear" w:color="auto" w:fill="auto"/>
            <w:noWrap/>
            <w:vAlign w:val="center"/>
            <w:hideMark/>
          </w:tcPr>
          <w:p w14:paraId="47CFAD6A"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22" w:type="dxa"/>
            <w:tcBorders>
              <w:top w:val="nil"/>
              <w:left w:val="nil"/>
              <w:bottom w:val="single" w:sz="8" w:space="0" w:color="auto"/>
              <w:right w:val="single" w:sz="8" w:space="0" w:color="auto"/>
            </w:tcBorders>
            <w:shd w:val="clear" w:color="auto" w:fill="auto"/>
            <w:noWrap/>
            <w:vAlign w:val="center"/>
            <w:hideMark/>
          </w:tcPr>
          <w:p w14:paraId="053C98F3"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45,7</w:t>
            </w:r>
          </w:p>
        </w:tc>
        <w:tc>
          <w:tcPr>
            <w:tcW w:w="1016" w:type="dxa"/>
            <w:tcBorders>
              <w:top w:val="nil"/>
              <w:left w:val="nil"/>
              <w:bottom w:val="single" w:sz="8" w:space="0" w:color="auto"/>
              <w:right w:val="single" w:sz="8" w:space="0" w:color="auto"/>
            </w:tcBorders>
            <w:shd w:val="clear" w:color="auto" w:fill="auto"/>
            <w:noWrap/>
            <w:vAlign w:val="center"/>
            <w:hideMark/>
          </w:tcPr>
          <w:p w14:paraId="00C442CD"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right w:val="single" w:sz="8" w:space="0" w:color="auto"/>
            </w:tcBorders>
            <w:shd w:val="clear" w:color="auto" w:fill="auto"/>
            <w:noWrap/>
            <w:vAlign w:val="center"/>
            <w:hideMark/>
          </w:tcPr>
          <w:p w14:paraId="04435F82"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3,7%</w:t>
            </w:r>
          </w:p>
        </w:tc>
        <w:tc>
          <w:tcPr>
            <w:tcW w:w="847" w:type="dxa"/>
            <w:tcBorders>
              <w:top w:val="nil"/>
              <w:left w:val="nil"/>
              <w:bottom w:val="single" w:sz="8" w:space="0" w:color="auto"/>
              <w:right w:val="single" w:sz="8" w:space="0" w:color="auto"/>
            </w:tcBorders>
            <w:shd w:val="clear" w:color="auto" w:fill="auto"/>
            <w:noWrap/>
            <w:vAlign w:val="center"/>
            <w:hideMark/>
          </w:tcPr>
          <w:p w14:paraId="27B3B813"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-0,2</w:t>
            </w:r>
          </w:p>
        </w:tc>
        <w:tc>
          <w:tcPr>
            <w:tcW w:w="847" w:type="dxa"/>
            <w:tcBorders>
              <w:top w:val="nil"/>
              <w:left w:val="nil"/>
              <w:bottom w:val="single" w:sz="8" w:space="0" w:color="auto"/>
              <w:right w:val="single" w:sz="8" w:space="0" w:color="auto"/>
            </w:tcBorders>
            <w:shd w:val="clear" w:color="auto" w:fill="auto"/>
            <w:noWrap/>
            <w:vAlign w:val="center"/>
            <w:hideMark/>
          </w:tcPr>
          <w:p w14:paraId="34A97891"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16" w:type="dxa"/>
            <w:tcBorders>
              <w:top w:val="nil"/>
              <w:left w:val="nil"/>
              <w:bottom w:val="single" w:sz="8" w:space="0" w:color="auto"/>
              <w:right w:val="single" w:sz="8" w:space="0" w:color="auto"/>
            </w:tcBorders>
            <w:shd w:val="clear" w:color="auto" w:fill="auto"/>
            <w:noWrap/>
            <w:vAlign w:val="center"/>
            <w:hideMark/>
          </w:tcPr>
          <w:p w14:paraId="64832E0D"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-0,61</w:t>
            </w:r>
          </w:p>
        </w:tc>
        <w:tc>
          <w:tcPr>
            <w:tcW w:w="1016" w:type="dxa"/>
            <w:tcBorders>
              <w:top w:val="nil"/>
              <w:left w:val="nil"/>
              <w:bottom w:val="single" w:sz="8" w:space="0" w:color="auto"/>
              <w:right w:val="single" w:sz="8" w:space="0" w:color="auto"/>
            </w:tcBorders>
            <w:shd w:val="clear" w:color="auto" w:fill="auto"/>
            <w:noWrap/>
            <w:vAlign w:val="center"/>
            <w:hideMark/>
          </w:tcPr>
          <w:p w14:paraId="178A82FA"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tcBorders>
            <w:shd w:val="clear" w:color="auto" w:fill="auto"/>
            <w:noWrap/>
            <w:vAlign w:val="center"/>
            <w:hideMark/>
          </w:tcPr>
          <w:p w14:paraId="37CF6F50" w14:textId="15546FA8"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3,7%</w:t>
            </w:r>
          </w:p>
        </w:tc>
      </w:tr>
      <w:tr w:rsidR="0033733C" w:rsidRPr="009B0F29" w14:paraId="068BEAD6" w14:textId="77777777" w:rsidTr="00541373">
        <w:trPr>
          <w:trHeight w:val="285"/>
          <w:tblHeader/>
        </w:trPr>
        <w:tc>
          <w:tcPr>
            <w:tcW w:w="928" w:type="dxa"/>
            <w:tcBorders>
              <w:top w:val="nil"/>
              <w:left w:val="nil"/>
              <w:bottom w:val="single" w:sz="8" w:space="0" w:color="auto"/>
              <w:right w:val="single" w:sz="8" w:space="0" w:color="auto"/>
            </w:tcBorders>
            <w:shd w:val="clear" w:color="auto" w:fill="auto"/>
            <w:noWrap/>
            <w:vAlign w:val="center"/>
            <w:hideMark/>
          </w:tcPr>
          <w:p w14:paraId="67D93679" w14:textId="77777777" w:rsidR="009B0F29" w:rsidRPr="009B0F29" w:rsidRDefault="009B0F29" w:rsidP="009B0F29">
            <w:pPr>
              <w:spacing w:after="0" w:line="240" w:lineRule="auto"/>
              <w:rPr>
                <w:rFonts w:eastAsia="Times New Roman" w:cs="Times New Roman"/>
                <w:color w:val="000000"/>
                <w:sz w:val="16"/>
                <w:szCs w:val="16"/>
                <w:lang w:eastAsia="ru-RU"/>
              </w:rPr>
            </w:pPr>
            <w:r w:rsidRPr="009B0F29">
              <w:rPr>
                <w:rFonts w:eastAsia="Times New Roman" w:cs="Times New Roman"/>
                <w:color w:val="000000"/>
                <w:sz w:val="16"/>
                <w:szCs w:val="16"/>
                <w:lang w:eastAsia="ru-RU"/>
              </w:rPr>
              <w:t>EUR/USD</w:t>
            </w:r>
          </w:p>
        </w:tc>
        <w:tc>
          <w:tcPr>
            <w:tcW w:w="847" w:type="dxa"/>
            <w:tcBorders>
              <w:top w:val="nil"/>
              <w:left w:val="nil"/>
              <w:bottom w:val="single" w:sz="8" w:space="0" w:color="auto"/>
              <w:right w:val="single" w:sz="8" w:space="0" w:color="auto"/>
            </w:tcBorders>
            <w:shd w:val="clear" w:color="auto" w:fill="auto"/>
            <w:noWrap/>
            <w:vAlign w:val="center"/>
            <w:hideMark/>
          </w:tcPr>
          <w:p w14:paraId="130B9EE5"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val="en-US" w:eastAsia="ru-RU"/>
              </w:rPr>
              <w:t>1302,5</w:t>
            </w:r>
          </w:p>
        </w:tc>
        <w:tc>
          <w:tcPr>
            <w:tcW w:w="847" w:type="dxa"/>
            <w:tcBorders>
              <w:top w:val="nil"/>
              <w:left w:val="nil"/>
              <w:bottom w:val="single" w:sz="8" w:space="0" w:color="auto"/>
              <w:right w:val="single" w:sz="8" w:space="0" w:color="auto"/>
            </w:tcBorders>
            <w:shd w:val="clear" w:color="auto" w:fill="auto"/>
            <w:noWrap/>
            <w:vAlign w:val="center"/>
            <w:hideMark/>
          </w:tcPr>
          <w:p w14:paraId="3FDB6FFD"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22" w:type="dxa"/>
            <w:tcBorders>
              <w:top w:val="nil"/>
              <w:left w:val="nil"/>
              <w:bottom w:val="single" w:sz="8" w:space="0" w:color="auto"/>
              <w:right w:val="single" w:sz="8" w:space="0" w:color="auto"/>
            </w:tcBorders>
            <w:shd w:val="clear" w:color="auto" w:fill="auto"/>
            <w:noWrap/>
            <w:vAlign w:val="center"/>
            <w:hideMark/>
          </w:tcPr>
          <w:p w14:paraId="60640A9C"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24375,4</w:t>
            </w:r>
          </w:p>
        </w:tc>
        <w:tc>
          <w:tcPr>
            <w:tcW w:w="1016" w:type="dxa"/>
            <w:tcBorders>
              <w:top w:val="nil"/>
              <w:left w:val="nil"/>
              <w:bottom w:val="single" w:sz="8" w:space="0" w:color="auto"/>
              <w:right w:val="single" w:sz="8" w:space="0" w:color="auto"/>
            </w:tcBorders>
            <w:shd w:val="clear" w:color="auto" w:fill="auto"/>
            <w:noWrap/>
            <w:vAlign w:val="center"/>
            <w:hideMark/>
          </w:tcPr>
          <w:p w14:paraId="78F7EA5F"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right w:val="single" w:sz="8" w:space="0" w:color="auto"/>
            </w:tcBorders>
            <w:shd w:val="clear" w:color="auto" w:fill="auto"/>
            <w:noWrap/>
            <w:vAlign w:val="center"/>
            <w:hideMark/>
          </w:tcPr>
          <w:p w14:paraId="59E72756"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val="en-US" w:eastAsia="ru-RU"/>
              </w:rPr>
              <w:t>4,3%</w:t>
            </w:r>
          </w:p>
        </w:tc>
        <w:tc>
          <w:tcPr>
            <w:tcW w:w="847" w:type="dxa"/>
            <w:tcBorders>
              <w:top w:val="nil"/>
              <w:left w:val="nil"/>
              <w:bottom w:val="single" w:sz="8" w:space="0" w:color="auto"/>
              <w:right w:val="single" w:sz="8" w:space="0" w:color="auto"/>
            </w:tcBorders>
            <w:shd w:val="clear" w:color="auto" w:fill="auto"/>
            <w:noWrap/>
            <w:vAlign w:val="center"/>
            <w:hideMark/>
          </w:tcPr>
          <w:p w14:paraId="13DCEC94"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0,8</w:t>
            </w:r>
          </w:p>
        </w:tc>
        <w:tc>
          <w:tcPr>
            <w:tcW w:w="847" w:type="dxa"/>
            <w:tcBorders>
              <w:top w:val="nil"/>
              <w:left w:val="nil"/>
              <w:bottom w:val="single" w:sz="8" w:space="0" w:color="auto"/>
              <w:right w:val="single" w:sz="8" w:space="0" w:color="auto"/>
            </w:tcBorders>
            <w:shd w:val="clear" w:color="auto" w:fill="auto"/>
            <w:noWrap/>
            <w:vAlign w:val="center"/>
            <w:hideMark/>
          </w:tcPr>
          <w:p w14:paraId="1D6CB78B"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16" w:type="dxa"/>
            <w:tcBorders>
              <w:top w:val="nil"/>
              <w:left w:val="nil"/>
              <w:bottom w:val="single" w:sz="8" w:space="0" w:color="auto"/>
              <w:right w:val="single" w:sz="8" w:space="0" w:color="auto"/>
            </w:tcBorders>
            <w:shd w:val="clear" w:color="auto" w:fill="auto"/>
            <w:noWrap/>
            <w:vAlign w:val="center"/>
            <w:hideMark/>
          </w:tcPr>
          <w:p w14:paraId="6ECA17CD"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-10,51</w:t>
            </w:r>
          </w:p>
        </w:tc>
        <w:tc>
          <w:tcPr>
            <w:tcW w:w="1016" w:type="dxa"/>
            <w:tcBorders>
              <w:top w:val="nil"/>
              <w:left w:val="nil"/>
              <w:bottom w:val="single" w:sz="8" w:space="0" w:color="auto"/>
              <w:right w:val="single" w:sz="8" w:space="0" w:color="auto"/>
            </w:tcBorders>
            <w:shd w:val="clear" w:color="auto" w:fill="auto"/>
            <w:noWrap/>
            <w:vAlign w:val="center"/>
            <w:hideMark/>
          </w:tcPr>
          <w:p w14:paraId="59FFF82D"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tcBorders>
            <w:shd w:val="clear" w:color="auto" w:fill="auto"/>
            <w:noWrap/>
            <w:vAlign w:val="center"/>
            <w:hideMark/>
          </w:tcPr>
          <w:p w14:paraId="4BE0B4FB" w14:textId="634C47E3"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3,2%</w:t>
            </w:r>
          </w:p>
        </w:tc>
      </w:tr>
      <w:tr w:rsidR="0033733C" w:rsidRPr="009B0F29" w14:paraId="789A962B" w14:textId="77777777" w:rsidTr="00541373">
        <w:trPr>
          <w:trHeight w:val="285"/>
          <w:tblHeader/>
        </w:trPr>
        <w:tc>
          <w:tcPr>
            <w:tcW w:w="928" w:type="dxa"/>
            <w:tcBorders>
              <w:top w:val="nil"/>
              <w:left w:val="nil"/>
              <w:bottom w:val="single" w:sz="8" w:space="0" w:color="auto"/>
              <w:right w:val="single" w:sz="8" w:space="0" w:color="auto"/>
            </w:tcBorders>
            <w:shd w:val="clear" w:color="auto" w:fill="auto"/>
            <w:noWrap/>
            <w:vAlign w:val="center"/>
            <w:hideMark/>
          </w:tcPr>
          <w:p w14:paraId="40BCCB90" w14:textId="77777777" w:rsidR="009B0F29" w:rsidRPr="009B0F29" w:rsidRDefault="009B0F29" w:rsidP="009B0F29">
            <w:pPr>
              <w:spacing w:after="0" w:line="240" w:lineRule="auto"/>
              <w:rPr>
                <w:rFonts w:eastAsia="Times New Roman" w:cs="Times New Roman"/>
                <w:color w:val="000000"/>
                <w:sz w:val="16"/>
                <w:szCs w:val="16"/>
                <w:lang w:eastAsia="ru-RU"/>
              </w:rPr>
            </w:pPr>
            <w:r w:rsidRPr="009B0F29">
              <w:rPr>
                <w:rFonts w:eastAsia="Times New Roman" w:cs="Times New Roman"/>
                <w:color w:val="000000"/>
                <w:sz w:val="16"/>
                <w:szCs w:val="16"/>
                <w:lang w:eastAsia="ru-RU"/>
              </w:rPr>
              <w:t>EUR/JPY</w:t>
            </w:r>
          </w:p>
        </w:tc>
        <w:tc>
          <w:tcPr>
            <w:tcW w:w="847" w:type="dxa"/>
            <w:tcBorders>
              <w:top w:val="nil"/>
              <w:left w:val="nil"/>
              <w:bottom w:val="single" w:sz="8" w:space="0" w:color="auto"/>
              <w:right w:val="single" w:sz="8" w:space="0" w:color="auto"/>
            </w:tcBorders>
            <w:shd w:val="clear" w:color="auto" w:fill="auto"/>
            <w:noWrap/>
            <w:vAlign w:val="center"/>
            <w:hideMark/>
          </w:tcPr>
          <w:p w14:paraId="25DA3984"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30,8</w:t>
            </w:r>
          </w:p>
        </w:tc>
        <w:tc>
          <w:tcPr>
            <w:tcW w:w="847" w:type="dxa"/>
            <w:tcBorders>
              <w:top w:val="nil"/>
              <w:left w:val="nil"/>
              <w:bottom w:val="single" w:sz="8" w:space="0" w:color="auto"/>
              <w:right w:val="single" w:sz="8" w:space="0" w:color="auto"/>
            </w:tcBorders>
            <w:shd w:val="clear" w:color="auto" w:fill="auto"/>
            <w:noWrap/>
            <w:vAlign w:val="center"/>
            <w:hideMark/>
          </w:tcPr>
          <w:p w14:paraId="3FDD4D80"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22" w:type="dxa"/>
            <w:tcBorders>
              <w:top w:val="nil"/>
              <w:left w:val="nil"/>
              <w:bottom w:val="single" w:sz="8" w:space="0" w:color="auto"/>
              <w:right w:val="single" w:sz="8" w:space="0" w:color="auto"/>
            </w:tcBorders>
            <w:shd w:val="clear" w:color="auto" w:fill="auto"/>
            <w:noWrap/>
            <w:vAlign w:val="center"/>
            <w:hideMark/>
          </w:tcPr>
          <w:p w14:paraId="27F30B75"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20,16</w:t>
            </w:r>
          </w:p>
        </w:tc>
        <w:tc>
          <w:tcPr>
            <w:tcW w:w="1016" w:type="dxa"/>
            <w:tcBorders>
              <w:top w:val="nil"/>
              <w:left w:val="nil"/>
              <w:bottom w:val="single" w:sz="8" w:space="0" w:color="auto"/>
              <w:right w:val="single" w:sz="8" w:space="0" w:color="auto"/>
            </w:tcBorders>
            <w:shd w:val="clear" w:color="auto" w:fill="auto"/>
            <w:noWrap/>
            <w:vAlign w:val="center"/>
            <w:hideMark/>
          </w:tcPr>
          <w:p w14:paraId="320B46D2"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right w:val="single" w:sz="8" w:space="0" w:color="auto"/>
            </w:tcBorders>
            <w:shd w:val="clear" w:color="auto" w:fill="auto"/>
            <w:noWrap/>
            <w:vAlign w:val="center"/>
            <w:hideMark/>
          </w:tcPr>
          <w:p w14:paraId="75A8AC6B"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1,0%</w:t>
            </w:r>
          </w:p>
        </w:tc>
        <w:tc>
          <w:tcPr>
            <w:tcW w:w="847" w:type="dxa"/>
            <w:tcBorders>
              <w:top w:val="nil"/>
              <w:left w:val="nil"/>
              <w:bottom w:val="single" w:sz="8" w:space="0" w:color="auto"/>
              <w:right w:val="single" w:sz="8" w:space="0" w:color="auto"/>
            </w:tcBorders>
            <w:shd w:val="clear" w:color="auto" w:fill="auto"/>
            <w:noWrap/>
            <w:vAlign w:val="center"/>
            <w:hideMark/>
          </w:tcPr>
          <w:p w14:paraId="62EB85AC"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-1,5</w:t>
            </w:r>
          </w:p>
        </w:tc>
        <w:tc>
          <w:tcPr>
            <w:tcW w:w="847" w:type="dxa"/>
            <w:tcBorders>
              <w:top w:val="nil"/>
              <w:left w:val="nil"/>
              <w:bottom w:val="single" w:sz="8" w:space="0" w:color="auto"/>
              <w:right w:val="single" w:sz="8" w:space="0" w:color="auto"/>
            </w:tcBorders>
            <w:shd w:val="clear" w:color="auto" w:fill="auto"/>
            <w:noWrap/>
            <w:vAlign w:val="center"/>
            <w:hideMark/>
          </w:tcPr>
          <w:p w14:paraId="0073FA9E"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16" w:type="dxa"/>
            <w:tcBorders>
              <w:top w:val="nil"/>
              <w:left w:val="nil"/>
              <w:bottom w:val="single" w:sz="8" w:space="0" w:color="auto"/>
              <w:right w:val="single" w:sz="8" w:space="0" w:color="auto"/>
            </w:tcBorders>
            <w:shd w:val="clear" w:color="auto" w:fill="auto"/>
            <w:noWrap/>
            <w:vAlign w:val="center"/>
            <w:hideMark/>
          </w:tcPr>
          <w:p w14:paraId="7C623EC9"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-0,62</w:t>
            </w:r>
          </w:p>
        </w:tc>
        <w:tc>
          <w:tcPr>
            <w:tcW w:w="1016" w:type="dxa"/>
            <w:tcBorders>
              <w:top w:val="nil"/>
              <w:left w:val="nil"/>
              <w:bottom w:val="single" w:sz="8" w:space="0" w:color="auto"/>
              <w:right w:val="single" w:sz="8" w:space="0" w:color="auto"/>
            </w:tcBorders>
            <w:shd w:val="clear" w:color="auto" w:fill="auto"/>
            <w:noWrap/>
            <w:vAlign w:val="center"/>
            <w:hideMark/>
          </w:tcPr>
          <w:p w14:paraId="600F987C"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tcBorders>
            <w:shd w:val="clear" w:color="auto" w:fill="auto"/>
            <w:noWrap/>
            <w:vAlign w:val="center"/>
            <w:hideMark/>
          </w:tcPr>
          <w:p w14:paraId="5159AEFA" w14:textId="006EB0BA"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3,7%</w:t>
            </w:r>
          </w:p>
        </w:tc>
      </w:tr>
      <w:tr w:rsidR="0033733C" w:rsidRPr="009B0F29" w14:paraId="70C943F7" w14:textId="77777777" w:rsidTr="00541373">
        <w:trPr>
          <w:trHeight w:val="285"/>
          <w:tblHeader/>
        </w:trPr>
        <w:tc>
          <w:tcPr>
            <w:tcW w:w="928" w:type="dxa"/>
            <w:tcBorders>
              <w:top w:val="nil"/>
              <w:left w:val="nil"/>
              <w:bottom w:val="single" w:sz="8" w:space="0" w:color="auto"/>
              <w:right w:val="single" w:sz="8" w:space="0" w:color="auto"/>
            </w:tcBorders>
            <w:shd w:val="clear" w:color="auto" w:fill="auto"/>
            <w:noWrap/>
            <w:vAlign w:val="center"/>
            <w:hideMark/>
          </w:tcPr>
          <w:p w14:paraId="5D7FD84B" w14:textId="77777777" w:rsidR="009B0F29" w:rsidRPr="009B0F29" w:rsidRDefault="009B0F29" w:rsidP="009B0F29">
            <w:pPr>
              <w:spacing w:after="0" w:line="240" w:lineRule="auto"/>
              <w:rPr>
                <w:rFonts w:eastAsia="Times New Roman" w:cs="Times New Roman"/>
                <w:color w:val="000000"/>
                <w:sz w:val="16"/>
                <w:szCs w:val="16"/>
                <w:lang w:eastAsia="ru-RU"/>
              </w:rPr>
            </w:pPr>
            <w:r w:rsidRPr="009B0F29">
              <w:rPr>
                <w:rFonts w:eastAsia="Times New Roman" w:cs="Times New Roman"/>
                <w:color w:val="000000"/>
                <w:sz w:val="16"/>
                <w:szCs w:val="16"/>
                <w:lang w:eastAsia="ru-RU"/>
              </w:rPr>
              <w:t>JPY/USD</w:t>
            </w:r>
          </w:p>
        </w:tc>
        <w:tc>
          <w:tcPr>
            <w:tcW w:w="847" w:type="dxa"/>
            <w:tcBorders>
              <w:top w:val="nil"/>
              <w:left w:val="nil"/>
              <w:bottom w:val="single" w:sz="8" w:space="0" w:color="auto"/>
              <w:right w:val="single" w:sz="8" w:space="0" w:color="auto"/>
            </w:tcBorders>
            <w:shd w:val="clear" w:color="auto" w:fill="auto"/>
            <w:noWrap/>
            <w:vAlign w:val="center"/>
            <w:hideMark/>
          </w:tcPr>
          <w:p w14:paraId="0C99AC03"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1062,8</w:t>
            </w:r>
          </w:p>
        </w:tc>
        <w:tc>
          <w:tcPr>
            <w:tcW w:w="847" w:type="dxa"/>
            <w:tcBorders>
              <w:top w:val="nil"/>
              <w:left w:val="nil"/>
              <w:bottom w:val="single" w:sz="8" w:space="0" w:color="auto"/>
              <w:right w:val="single" w:sz="8" w:space="0" w:color="auto"/>
            </w:tcBorders>
            <w:shd w:val="clear" w:color="auto" w:fill="auto"/>
            <w:noWrap/>
            <w:vAlign w:val="center"/>
            <w:hideMark/>
          </w:tcPr>
          <w:p w14:paraId="7E689EBE"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22" w:type="dxa"/>
            <w:tcBorders>
              <w:top w:val="nil"/>
              <w:left w:val="nil"/>
              <w:bottom w:val="single" w:sz="8" w:space="0" w:color="auto"/>
              <w:right w:val="single" w:sz="8" w:space="0" w:color="auto"/>
            </w:tcBorders>
            <w:shd w:val="clear" w:color="auto" w:fill="auto"/>
            <w:noWrap/>
            <w:vAlign w:val="center"/>
            <w:hideMark/>
          </w:tcPr>
          <w:p w14:paraId="0E9ECCF2"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859,7</w:t>
            </w:r>
          </w:p>
        </w:tc>
        <w:tc>
          <w:tcPr>
            <w:tcW w:w="1016" w:type="dxa"/>
            <w:tcBorders>
              <w:top w:val="nil"/>
              <w:left w:val="nil"/>
              <w:bottom w:val="single" w:sz="8" w:space="0" w:color="auto"/>
              <w:right w:val="single" w:sz="8" w:space="0" w:color="auto"/>
            </w:tcBorders>
            <w:shd w:val="clear" w:color="auto" w:fill="auto"/>
            <w:noWrap/>
            <w:vAlign w:val="center"/>
            <w:hideMark/>
          </w:tcPr>
          <w:p w14:paraId="7D29255F"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right w:val="single" w:sz="8" w:space="0" w:color="auto"/>
            </w:tcBorders>
            <w:shd w:val="clear" w:color="auto" w:fill="auto"/>
            <w:noWrap/>
            <w:vAlign w:val="center"/>
            <w:hideMark/>
          </w:tcPr>
          <w:p w14:paraId="2E8B95F7"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12,7%</w:t>
            </w:r>
          </w:p>
        </w:tc>
        <w:tc>
          <w:tcPr>
            <w:tcW w:w="847" w:type="dxa"/>
            <w:tcBorders>
              <w:top w:val="nil"/>
              <w:left w:val="nil"/>
              <w:bottom w:val="single" w:sz="8" w:space="0" w:color="auto"/>
              <w:right w:val="single" w:sz="8" w:space="0" w:color="auto"/>
            </w:tcBorders>
            <w:shd w:val="clear" w:color="auto" w:fill="auto"/>
            <w:noWrap/>
            <w:vAlign w:val="center"/>
            <w:hideMark/>
          </w:tcPr>
          <w:p w14:paraId="3C04E04D"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2,2</w:t>
            </w:r>
          </w:p>
        </w:tc>
        <w:tc>
          <w:tcPr>
            <w:tcW w:w="847" w:type="dxa"/>
            <w:tcBorders>
              <w:top w:val="nil"/>
              <w:left w:val="nil"/>
              <w:bottom w:val="single" w:sz="8" w:space="0" w:color="auto"/>
              <w:right w:val="single" w:sz="8" w:space="0" w:color="auto"/>
            </w:tcBorders>
            <w:shd w:val="clear" w:color="auto" w:fill="auto"/>
            <w:noWrap/>
            <w:vAlign w:val="center"/>
            <w:hideMark/>
          </w:tcPr>
          <w:p w14:paraId="221DACF6"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16" w:type="dxa"/>
            <w:tcBorders>
              <w:top w:val="nil"/>
              <w:left w:val="nil"/>
              <w:bottom w:val="single" w:sz="8" w:space="0" w:color="auto"/>
              <w:right w:val="single" w:sz="8" w:space="0" w:color="auto"/>
            </w:tcBorders>
            <w:shd w:val="clear" w:color="auto" w:fill="auto"/>
            <w:noWrap/>
            <w:vAlign w:val="center"/>
            <w:hideMark/>
          </w:tcPr>
          <w:p w14:paraId="67811BAD"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-0,19</w:t>
            </w:r>
          </w:p>
        </w:tc>
        <w:tc>
          <w:tcPr>
            <w:tcW w:w="1016" w:type="dxa"/>
            <w:tcBorders>
              <w:top w:val="nil"/>
              <w:left w:val="nil"/>
              <w:bottom w:val="single" w:sz="8" w:space="0" w:color="auto"/>
              <w:right w:val="single" w:sz="8" w:space="0" w:color="auto"/>
            </w:tcBorders>
            <w:shd w:val="clear" w:color="auto" w:fill="auto"/>
            <w:noWrap/>
            <w:vAlign w:val="center"/>
            <w:hideMark/>
          </w:tcPr>
          <w:p w14:paraId="5F0FB288"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tcBorders>
            <w:shd w:val="clear" w:color="auto" w:fill="auto"/>
            <w:noWrap/>
            <w:vAlign w:val="center"/>
            <w:hideMark/>
          </w:tcPr>
          <w:p w14:paraId="784100D1" w14:textId="317E7A35"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1,3%</w:t>
            </w:r>
          </w:p>
        </w:tc>
      </w:tr>
      <w:tr w:rsidR="0033733C" w:rsidRPr="009B0F29" w14:paraId="4E1A7006" w14:textId="77777777" w:rsidTr="00541373">
        <w:trPr>
          <w:trHeight w:val="285"/>
          <w:tblHeader/>
        </w:trPr>
        <w:tc>
          <w:tcPr>
            <w:tcW w:w="928" w:type="dxa"/>
            <w:tcBorders>
              <w:top w:val="nil"/>
              <w:left w:val="nil"/>
              <w:bottom w:val="single" w:sz="8" w:space="0" w:color="auto"/>
              <w:right w:val="single" w:sz="8" w:space="0" w:color="auto"/>
            </w:tcBorders>
            <w:shd w:val="clear" w:color="auto" w:fill="auto"/>
            <w:noWrap/>
            <w:vAlign w:val="center"/>
            <w:hideMark/>
          </w:tcPr>
          <w:p w14:paraId="74414640" w14:textId="77777777" w:rsidR="009B0F29" w:rsidRPr="009B0F29" w:rsidRDefault="009B0F29" w:rsidP="009B0F29">
            <w:pPr>
              <w:spacing w:after="0" w:line="240" w:lineRule="auto"/>
              <w:rPr>
                <w:rFonts w:eastAsia="Times New Roman" w:cs="Times New Roman"/>
                <w:color w:val="000000"/>
                <w:sz w:val="16"/>
                <w:szCs w:val="16"/>
                <w:lang w:eastAsia="ru-RU"/>
              </w:rPr>
            </w:pPr>
            <w:r w:rsidRPr="009B0F29">
              <w:rPr>
                <w:rFonts w:eastAsia="Times New Roman" w:cs="Times New Roman"/>
                <w:color w:val="000000"/>
                <w:sz w:val="16"/>
                <w:szCs w:val="16"/>
                <w:lang w:eastAsia="ru-RU"/>
              </w:rPr>
              <w:t>GBP/JPY</w:t>
            </w:r>
          </w:p>
        </w:tc>
        <w:tc>
          <w:tcPr>
            <w:tcW w:w="847" w:type="dxa"/>
            <w:tcBorders>
              <w:top w:val="nil"/>
              <w:left w:val="nil"/>
              <w:bottom w:val="single" w:sz="8" w:space="0" w:color="auto"/>
              <w:right w:val="single" w:sz="8" w:space="0" w:color="auto"/>
            </w:tcBorders>
            <w:shd w:val="clear" w:color="auto" w:fill="auto"/>
            <w:noWrap/>
            <w:vAlign w:val="center"/>
            <w:hideMark/>
          </w:tcPr>
          <w:p w14:paraId="0730F845"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3</w:t>
            </w:r>
          </w:p>
        </w:tc>
        <w:tc>
          <w:tcPr>
            <w:tcW w:w="847" w:type="dxa"/>
            <w:tcBorders>
              <w:top w:val="nil"/>
              <w:left w:val="nil"/>
              <w:bottom w:val="single" w:sz="8" w:space="0" w:color="auto"/>
              <w:right w:val="single" w:sz="8" w:space="0" w:color="auto"/>
            </w:tcBorders>
            <w:shd w:val="clear" w:color="auto" w:fill="auto"/>
            <w:noWrap/>
            <w:vAlign w:val="center"/>
            <w:hideMark/>
          </w:tcPr>
          <w:p w14:paraId="7CB11BA5"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22" w:type="dxa"/>
            <w:tcBorders>
              <w:top w:val="nil"/>
              <w:left w:val="nil"/>
              <w:bottom w:val="single" w:sz="8" w:space="0" w:color="auto"/>
              <w:right w:val="single" w:sz="8" w:space="0" w:color="auto"/>
            </w:tcBorders>
            <w:shd w:val="clear" w:color="auto" w:fill="auto"/>
            <w:noWrap/>
            <w:vAlign w:val="center"/>
            <w:hideMark/>
          </w:tcPr>
          <w:p w14:paraId="317E8C11"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5,8</w:t>
            </w:r>
          </w:p>
        </w:tc>
        <w:tc>
          <w:tcPr>
            <w:tcW w:w="1016" w:type="dxa"/>
            <w:tcBorders>
              <w:top w:val="nil"/>
              <w:left w:val="nil"/>
              <w:bottom w:val="single" w:sz="8" w:space="0" w:color="auto"/>
              <w:right w:val="single" w:sz="8" w:space="0" w:color="auto"/>
            </w:tcBorders>
            <w:shd w:val="clear" w:color="auto" w:fill="auto"/>
            <w:noWrap/>
            <w:vAlign w:val="center"/>
            <w:hideMark/>
          </w:tcPr>
          <w:p w14:paraId="5ED03D38"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right w:val="single" w:sz="8" w:space="0" w:color="auto"/>
            </w:tcBorders>
            <w:shd w:val="clear" w:color="auto" w:fill="auto"/>
            <w:noWrap/>
            <w:vAlign w:val="center"/>
            <w:hideMark/>
          </w:tcPr>
          <w:p w14:paraId="75C96D66"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13,1%</w:t>
            </w:r>
          </w:p>
        </w:tc>
        <w:tc>
          <w:tcPr>
            <w:tcW w:w="847" w:type="dxa"/>
            <w:tcBorders>
              <w:top w:val="nil"/>
              <w:left w:val="nil"/>
              <w:bottom w:val="single" w:sz="8" w:space="0" w:color="auto"/>
              <w:right w:val="single" w:sz="8" w:space="0" w:color="auto"/>
            </w:tcBorders>
            <w:shd w:val="clear" w:color="auto" w:fill="auto"/>
            <w:noWrap/>
            <w:vAlign w:val="center"/>
            <w:hideMark/>
          </w:tcPr>
          <w:p w14:paraId="4B76DD03"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-1,4</w:t>
            </w:r>
          </w:p>
        </w:tc>
        <w:tc>
          <w:tcPr>
            <w:tcW w:w="847" w:type="dxa"/>
            <w:tcBorders>
              <w:top w:val="nil"/>
              <w:left w:val="nil"/>
              <w:bottom w:val="single" w:sz="8" w:space="0" w:color="auto"/>
              <w:right w:val="single" w:sz="8" w:space="0" w:color="auto"/>
            </w:tcBorders>
            <w:shd w:val="clear" w:color="auto" w:fill="auto"/>
            <w:noWrap/>
            <w:vAlign w:val="center"/>
            <w:hideMark/>
          </w:tcPr>
          <w:p w14:paraId="2A0998C7"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16" w:type="dxa"/>
            <w:tcBorders>
              <w:top w:val="nil"/>
              <w:left w:val="nil"/>
              <w:bottom w:val="single" w:sz="8" w:space="0" w:color="auto"/>
              <w:right w:val="single" w:sz="8" w:space="0" w:color="auto"/>
            </w:tcBorders>
            <w:shd w:val="clear" w:color="auto" w:fill="auto"/>
            <w:noWrap/>
            <w:vAlign w:val="center"/>
            <w:hideMark/>
          </w:tcPr>
          <w:p w14:paraId="4D36D838"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-2,36</w:t>
            </w:r>
          </w:p>
        </w:tc>
        <w:tc>
          <w:tcPr>
            <w:tcW w:w="1016" w:type="dxa"/>
            <w:tcBorders>
              <w:top w:val="nil"/>
              <w:left w:val="nil"/>
              <w:bottom w:val="single" w:sz="8" w:space="0" w:color="auto"/>
              <w:right w:val="single" w:sz="8" w:space="0" w:color="auto"/>
            </w:tcBorders>
            <w:shd w:val="clear" w:color="auto" w:fill="auto"/>
            <w:noWrap/>
            <w:vAlign w:val="center"/>
            <w:hideMark/>
          </w:tcPr>
          <w:p w14:paraId="4C11B296"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tcBorders>
            <w:shd w:val="clear" w:color="auto" w:fill="auto"/>
            <w:noWrap/>
            <w:vAlign w:val="center"/>
            <w:hideMark/>
          </w:tcPr>
          <w:p w14:paraId="5DFD00F4" w14:textId="5C23044B"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10,3%</w:t>
            </w:r>
          </w:p>
        </w:tc>
      </w:tr>
      <w:tr w:rsidR="0033733C" w:rsidRPr="009B0F29" w14:paraId="6AA8CA85" w14:textId="77777777" w:rsidTr="00541373">
        <w:trPr>
          <w:trHeight w:val="285"/>
          <w:tblHeader/>
        </w:trPr>
        <w:tc>
          <w:tcPr>
            <w:tcW w:w="928" w:type="dxa"/>
            <w:tcBorders>
              <w:top w:val="nil"/>
              <w:left w:val="nil"/>
              <w:bottom w:val="single" w:sz="8" w:space="0" w:color="auto"/>
              <w:right w:val="single" w:sz="8" w:space="0" w:color="auto"/>
            </w:tcBorders>
            <w:shd w:val="clear" w:color="auto" w:fill="auto"/>
            <w:noWrap/>
            <w:vAlign w:val="center"/>
            <w:hideMark/>
          </w:tcPr>
          <w:p w14:paraId="674878C9" w14:textId="77777777" w:rsidR="009B0F29" w:rsidRPr="009B0F29" w:rsidRDefault="009B0F29" w:rsidP="009B0F29">
            <w:pPr>
              <w:spacing w:after="0" w:line="240" w:lineRule="auto"/>
              <w:rPr>
                <w:rFonts w:eastAsia="Times New Roman" w:cs="Times New Roman"/>
                <w:color w:val="000000"/>
                <w:sz w:val="16"/>
                <w:szCs w:val="16"/>
                <w:lang w:eastAsia="ru-RU"/>
              </w:rPr>
            </w:pPr>
            <w:r w:rsidRPr="009B0F29">
              <w:rPr>
                <w:rFonts w:eastAsia="Times New Roman" w:cs="Times New Roman"/>
                <w:color w:val="000000"/>
                <w:sz w:val="16"/>
                <w:szCs w:val="16"/>
                <w:lang w:eastAsia="ru-RU"/>
              </w:rPr>
              <w:t>AUD/JPY</w:t>
            </w:r>
          </w:p>
        </w:tc>
        <w:tc>
          <w:tcPr>
            <w:tcW w:w="847" w:type="dxa"/>
            <w:tcBorders>
              <w:top w:val="nil"/>
              <w:left w:val="nil"/>
              <w:bottom w:val="single" w:sz="8" w:space="0" w:color="auto"/>
              <w:right w:val="single" w:sz="8" w:space="0" w:color="auto"/>
            </w:tcBorders>
            <w:shd w:val="clear" w:color="auto" w:fill="auto"/>
            <w:noWrap/>
            <w:vAlign w:val="center"/>
            <w:hideMark/>
          </w:tcPr>
          <w:p w14:paraId="624E925B"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4,3</w:t>
            </w:r>
          </w:p>
        </w:tc>
        <w:tc>
          <w:tcPr>
            <w:tcW w:w="847" w:type="dxa"/>
            <w:tcBorders>
              <w:top w:val="nil"/>
              <w:left w:val="nil"/>
              <w:bottom w:val="single" w:sz="8" w:space="0" w:color="auto"/>
              <w:right w:val="single" w:sz="8" w:space="0" w:color="auto"/>
            </w:tcBorders>
            <w:shd w:val="clear" w:color="auto" w:fill="auto"/>
            <w:noWrap/>
            <w:vAlign w:val="center"/>
            <w:hideMark/>
          </w:tcPr>
          <w:p w14:paraId="7B519701"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22" w:type="dxa"/>
            <w:tcBorders>
              <w:top w:val="nil"/>
              <w:left w:val="nil"/>
              <w:bottom w:val="single" w:sz="8" w:space="0" w:color="auto"/>
              <w:right w:val="single" w:sz="8" w:space="0" w:color="auto"/>
            </w:tcBorders>
            <w:shd w:val="clear" w:color="auto" w:fill="auto"/>
            <w:noWrap/>
            <w:vAlign w:val="center"/>
            <w:hideMark/>
          </w:tcPr>
          <w:p w14:paraId="041AFB6D"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2,093</w:t>
            </w:r>
          </w:p>
        </w:tc>
        <w:tc>
          <w:tcPr>
            <w:tcW w:w="1016" w:type="dxa"/>
            <w:tcBorders>
              <w:top w:val="nil"/>
              <w:left w:val="nil"/>
              <w:bottom w:val="single" w:sz="8" w:space="0" w:color="auto"/>
              <w:right w:val="single" w:sz="8" w:space="0" w:color="auto"/>
            </w:tcBorders>
            <w:shd w:val="clear" w:color="auto" w:fill="auto"/>
            <w:noWrap/>
            <w:vAlign w:val="center"/>
            <w:hideMark/>
          </w:tcPr>
          <w:p w14:paraId="1A2C3408"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right w:val="single" w:sz="8" w:space="0" w:color="auto"/>
            </w:tcBorders>
            <w:shd w:val="clear" w:color="auto" w:fill="auto"/>
            <w:noWrap/>
            <w:vAlign w:val="center"/>
            <w:hideMark/>
          </w:tcPr>
          <w:p w14:paraId="2CD4C98F"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3,7%</w:t>
            </w:r>
          </w:p>
        </w:tc>
        <w:tc>
          <w:tcPr>
            <w:tcW w:w="847" w:type="dxa"/>
            <w:tcBorders>
              <w:top w:val="nil"/>
              <w:left w:val="nil"/>
              <w:bottom w:val="single" w:sz="8" w:space="0" w:color="auto"/>
              <w:right w:val="single" w:sz="8" w:space="0" w:color="auto"/>
            </w:tcBorders>
            <w:shd w:val="clear" w:color="auto" w:fill="auto"/>
            <w:noWrap/>
            <w:vAlign w:val="center"/>
            <w:hideMark/>
          </w:tcPr>
          <w:p w14:paraId="7A4544B1"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-1,7</w:t>
            </w:r>
          </w:p>
        </w:tc>
        <w:tc>
          <w:tcPr>
            <w:tcW w:w="847" w:type="dxa"/>
            <w:tcBorders>
              <w:top w:val="nil"/>
              <w:left w:val="nil"/>
              <w:bottom w:val="single" w:sz="8" w:space="0" w:color="auto"/>
              <w:right w:val="single" w:sz="8" w:space="0" w:color="auto"/>
            </w:tcBorders>
            <w:shd w:val="clear" w:color="auto" w:fill="auto"/>
            <w:noWrap/>
            <w:vAlign w:val="center"/>
            <w:hideMark/>
          </w:tcPr>
          <w:p w14:paraId="4E694105"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16" w:type="dxa"/>
            <w:tcBorders>
              <w:top w:val="nil"/>
              <w:left w:val="nil"/>
              <w:bottom w:val="single" w:sz="8" w:space="0" w:color="auto"/>
              <w:right w:val="single" w:sz="8" w:space="0" w:color="auto"/>
            </w:tcBorders>
            <w:shd w:val="clear" w:color="auto" w:fill="auto"/>
            <w:noWrap/>
            <w:vAlign w:val="center"/>
            <w:hideMark/>
          </w:tcPr>
          <w:p w14:paraId="36F04D6F"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-3,31</w:t>
            </w:r>
          </w:p>
        </w:tc>
        <w:tc>
          <w:tcPr>
            <w:tcW w:w="1016" w:type="dxa"/>
            <w:tcBorders>
              <w:top w:val="nil"/>
              <w:left w:val="nil"/>
              <w:bottom w:val="single" w:sz="8" w:space="0" w:color="auto"/>
              <w:right w:val="single" w:sz="8" w:space="0" w:color="auto"/>
            </w:tcBorders>
            <w:shd w:val="clear" w:color="auto" w:fill="auto"/>
            <w:noWrap/>
            <w:vAlign w:val="center"/>
            <w:hideMark/>
          </w:tcPr>
          <w:p w14:paraId="3BD77563"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tcBorders>
            <w:shd w:val="clear" w:color="auto" w:fill="auto"/>
            <w:noWrap/>
            <w:vAlign w:val="center"/>
            <w:hideMark/>
          </w:tcPr>
          <w:p w14:paraId="53BF3D8A" w14:textId="466889B3"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10,3%</w:t>
            </w:r>
          </w:p>
        </w:tc>
      </w:tr>
      <w:tr w:rsidR="0033733C" w:rsidRPr="009B0F29" w14:paraId="57D150A9" w14:textId="77777777" w:rsidTr="00541373">
        <w:trPr>
          <w:trHeight w:val="60"/>
          <w:tblHeader/>
        </w:trPr>
        <w:tc>
          <w:tcPr>
            <w:tcW w:w="928" w:type="dxa"/>
            <w:tcBorders>
              <w:top w:val="nil"/>
              <w:left w:val="nil"/>
              <w:bottom w:val="single" w:sz="8" w:space="0" w:color="auto"/>
              <w:right w:val="nil"/>
            </w:tcBorders>
            <w:shd w:val="clear" w:color="auto" w:fill="auto"/>
            <w:noWrap/>
            <w:vAlign w:val="center"/>
            <w:hideMark/>
          </w:tcPr>
          <w:p w14:paraId="686E4607" w14:textId="77777777" w:rsidR="009B0F29" w:rsidRPr="009B0F29" w:rsidRDefault="009B0F29" w:rsidP="009B0F29">
            <w:pPr>
              <w:spacing w:after="0" w:line="240" w:lineRule="auto"/>
              <w:jc w:val="left"/>
              <w:rPr>
                <w:rFonts w:ascii="Calibri" w:eastAsia="Times New Roman" w:hAnsi="Calibri" w:cs="Calibri"/>
                <w:color w:val="000000"/>
                <w:sz w:val="2"/>
                <w:szCs w:val="2"/>
                <w:lang w:eastAsia="ru-RU"/>
              </w:rPr>
            </w:pPr>
            <w:r w:rsidRPr="009B0F29">
              <w:rPr>
                <w:rFonts w:ascii="Calibri" w:eastAsia="Times New Roman" w:hAnsi="Calibri" w:cs="Calibri"/>
                <w:color w:val="000000"/>
                <w:sz w:val="2"/>
                <w:szCs w:val="2"/>
                <w:lang w:eastAsia="ru-RU"/>
              </w:rPr>
              <w:t> </w:t>
            </w:r>
          </w:p>
        </w:tc>
        <w:tc>
          <w:tcPr>
            <w:tcW w:w="847" w:type="dxa"/>
            <w:tcBorders>
              <w:top w:val="nil"/>
              <w:left w:val="nil"/>
              <w:bottom w:val="single" w:sz="8" w:space="0" w:color="auto"/>
              <w:right w:val="nil"/>
            </w:tcBorders>
            <w:shd w:val="clear" w:color="auto" w:fill="auto"/>
            <w:noWrap/>
            <w:vAlign w:val="center"/>
            <w:hideMark/>
          </w:tcPr>
          <w:p w14:paraId="69816217" w14:textId="6F4A7C48" w:rsidR="009B0F29" w:rsidRPr="009B0F29" w:rsidRDefault="009B0F29" w:rsidP="002B0CCE">
            <w:pPr>
              <w:spacing w:after="0" w:line="240" w:lineRule="auto"/>
              <w:jc w:val="center"/>
              <w:rPr>
                <w:rFonts w:ascii="Calibri" w:eastAsia="Times New Roman" w:hAnsi="Calibri" w:cs="Calibri"/>
                <w:color w:val="000000"/>
                <w:sz w:val="2"/>
                <w:szCs w:val="2"/>
                <w:lang w:eastAsia="ru-RU"/>
              </w:rPr>
            </w:pPr>
          </w:p>
        </w:tc>
        <w:tc>
          <w:tcPr>
            <w:tcW w:w="847" w:type="dxa"/>
            <w:tcBorders>
              <w:top w:val="nil"/>
              <w:left w:val="nil"/>
              <w:bottom w:val="single" w:sz="8" w:space="0" w:color="auto"/>
              <w:right w:val="nil"/>
            </w:tcBorders>
            <w:shd w:val="clear" w:color="auto" w:fill="auto"/>
            <w:noWrap/>
            <w:vAlign w:val="center"/>
            <w:hideMark/>
          </w:tcPr>
          <w:p w14:paraId="239D0D9C" w14:textId="178ECE45" w:rsidR="009B0F29" w:rsidRPr="009B0F29" w:rsidRDefault="009B0F29" w:rsidP="002B0CCE">
            <w:pPr>
              <w:spacing w:after="0" w:line="240" w:lineRule="auto"/>
              <w:jc w:val="center"/>
              <w:rPr>
                <w:rFonts w:ascii="Calibri" w:eastAsia="Times New Roman" w:hAnsi="Calibri" w:cs="Calibri"/>
                <w:color w:val="000000"/>
                <w:sz w:val="2"/>
                <w:szCs w:val="2"/>
                <w:lang w:eastAsia="ru-RU"/>
              </w:rPr>
            </w:pPr>
          </w:p>
        </w:tc>
        <w:tc>
          <w:tcPr>
            <w:tcW w:w="922" w:type="dxa"/>
            <w:tcBorders>
              <w:top w:val="nil"/>
              <w:left w:val="nil"/>
              <w:bottom w:val="single" w:sz="8" w:space="0" w:color="auto"/>
              <w:right w:val="nil"/>
            </w:tcBorders>
            <w:shd w:val="clear" w:color="auto" w:fill="auto"/>
            <w:noWrap/>
            <w:vAlign w:val="center"/>
            <w:hideMark/>
          </w:tcPr>
          <w:p w14:paraId="5B1FD9CF" w14:textId="5C8BE722" w:rsidR="009B0F29" w:rsidRPr="009B0F29" w:rsidRDefault="009B0F29" w:rsidP="002B0CCE">
            <w:pPr>
              <w:spacing w:after="0" w:line="240" w:lineRule="auto"/>
              <w:jc w:val="center"/>
              <w:rPr>
                <w:rFonts w:ascii="Calibri" w:eastAsia="Times New Roman" w:hAnsi="Calibri" w:cs="Calibri"/>
                <w:color w:val="000000"/>
                <w:sz w:val="2"/>
                <w:szCs w:val="2"/>
                <w:lang w:eastAsia="ru-RU"/>
              </w:rPr>
            </w:pPr>
          </w:p>
        </w:tc>
        <w:tc>
          <w:tcPr>
            <w:tcW w:w="1016" w:type="dxa"/>
            <w:tcBorders>
              <w:top w:val="nil"/>
              <w:left w:val="nil"/>
              <w:bottom w:val="single" w:sz="8" w:space="0" w:color="auto"/>
              <w:right w:val="nil"/>
            </w:tcBorders>
            <w:shd w:val="clear" w:color="auto" w:fill="auto"/>
            <w:noWrap/>
            <w:vAlign w:val="center"/>
            <w:hideMark/>
          </w:tcPr>
          <w:p w14:paraId="6FF3C69E" w14:textId="7E2EFAC9" w:rsidR="009B0F29" w:rsidRPr="009B0F29" w:rsidRDefault="009B0F29" w:rsidP="002B0CCE">
            <w:pPr>
              <w:spacing w:after="0" w:line="240" w:lineRule="auto"/>
              <w:jc w:val="center"/>
              <w:rPr>
                <w:rFonts w:ascii="Calibri" w:eastAsia="Times New Roman" w:hAnsi="Calibri" w:cs="Calibri"/>
                <w:color w:val="000000"/>
                <w:sz w:val="2"/>
                <w:szCs w:val="2"/>
                <w:lang w:eastAsia="ru-RU"/>
              </w:rPr>
            </w:pPr>
          </w:p>
        </w:tc>
        <w:tc>
          <w:tcPr>
            <w:tcW w:w="768" w:type="dxa"/>
            <w:tcBorders>
              <w:top w:val="nil"/>
              <w:left w:val="nil"/>
              <w:bottom w:val="single" w:sz="8" w:space="0" w:color="auto"/>
              <w:right w:val="nil"/>
            </w:tcBorders>
            <w:shd w:val="clear" w:color="auto" w:fill="auto"/>
            <w:noWrap/>
            <w:vAlign w:val="center"/>
            <w:hideMark/>
          </w:tcPr>
          <w:p w14:paraId="7617953B" w14:textId="6B57DF63" w:rsidR="009B0F29" w:rsidRPr="009B0F29" w:rsidRDefault="009B0F29" w:rsidP="002B0CCE">
            <w:pPr>
              <w:spacing w:after="0" w:line="240" w:lineRule="auto"/>
              <w:jc w:val="center"/>
              <w:rPr>
                <w:rFonts w:ascii="Calibri" w:eastAsia="Times New Roman" w:hAnsi="Calibri" w:cs="Calibri"/>
                <w:color w:val="000000"/>
                <w:sz w:val="2"/>
                <w:szCs w:val="2"/>
                <w:lang w:eastAsia="ru-RU"/>
              </w:rPr>
            </w:pPr>
          </w:p>
        </w:tc>
        <w:tc>
          <w:tcPr>
            <w:tcW w:w="847" w:type="dxa"/>
            <w:tcBorders>
              <w:top w:val="nil"/>
              <w:left w:val="nil"/>
              <w:bottom w:val="single" w:sz="8" w:space="0" w:color="auto"/>
              <w:right w:val="nil"/>
            </w:tcBorders>
            <w:shd w:val="clear" w:color="auto" w:fill="auto"/>
            <w:noWrap/>
            <w:vAlign w:val="center"/>
            <w:hideMark/>
          </w:tcPr>
          <w:p w14:paraId="01C4DFC4" w14:textId="2521C83C" w:rsidR="009B0F29" w:rsidRPr="009B0F29" w:rsidRDefault="009B0F29" w:rsidP="002B0CCE">
            <w:pPr>
              <w:spacing w:after="0" w:line="240" w:lineRule="auto"/>
              <w:jc w:val="center"/>
              <w:rPr>
                <w:rFonts w:ascii="Calibri" w:eastAsia="Times New Roman" w:hAnsi="Calibri" w:cs="Calibri"/>
                <w:color w:val="000000"/>
                <w:sz w:val="2"/>
                <w:szCs w:val="2"/>
                <w:lang w:eastAsia="ru-RU"/>
              </w:rPr>
            </w:pPr>
          </w:p>
        </w:tc>
        <w:tc>
          <w:tcPr>
            <w:tcW w:w="847" w:type="dxa"/>
            <w:tcBorders>
              <w:top w:val="nil"/>
              <w:left w:val="nil"/>
              <w:bottom w:val="single" w:sz="8" w:space="0" w:color="auto"/>
              <w:right w:val="nil"/>
            </w:tcBorders>
            <w:shd w:val="clear" w:color="auto" w:fill="auto"/>
            <w:noWrap/>
            <w:vAlign w:val="center"/>
            <w:hideMark/>
          </w:tcPr>
          <w:p w14:paraId="78C901E5" w14:textId="1C0B7599" w:rsidR="009B0F29" w:rsidRPr="009B0F29" w:rsidRDefault="009B0F29" w:rsidP="002B0CCE">
            <w:pPr>
              <w:spacing w:after="0" w:line="240" w:lineRule="auto"/>
              <w:jc w:val="center"/>
              <w:rPr>
                <w:rFonts w:ascii="Calibri" w:eastAsia="Times New Roman" w:hAnsi="Calibri" w:cs="Calibri"/>
                <w:color w:val="000000"/>
                <w:sz w:val="2"/>
                <w:szCs w:val="2"/>
                <w:lang w:eastAsia="ru-RU"/>
              </w:rPr>
            </w:pPr>
          </w:p>
        </w:tc>
        <w:tc>
          <w:tcPr>
            <w:tcW w:w="916" w:type="dxa"/>
            <w:tcBorders>
              <w:top w:val="nil"/>
              <w:left w:val="nil"/>
              <w:bottom w:val="single" w:sz="8" w:space="0" w:color="auto"/>
              <w:right w:val="nil"/>
            </w:tcBorders>
            <w:shd w:val="clear" w:color="auto" w:fill="auto"/>
            <w:noWrap/>
            <w:vAlign w:val="center"/>
            <w:hideMark/>
          </w:tcPr>
          <w:p w14:paraId="525AA807" w14:textId="7EAB3336" w:rsidR="009B0F29" w:rsidRPr="009B0F29" w:rsidRDefault="009B0F29" w:rsidP="002B0CCE">
            <w:pPr>
              <w:spacing w:after="0" w:line="240" w:lineRule="auto"/>
              <w:jc w:val="center"/>
              <w:rPr>
                <w:rFonts w:ascii="Calibri" w:eastAsia="Times New Roman" w:hAnsi="Calibri" w:cs="Calibri"/>
                <w:color w:val="000000"/>
                <w:sz w:val="2"/>
                <w:szCs w:val="2"/>
                <w:lang w:eastAsia="ru-RU"/>
              </w:rPr>
            </w:pPr>
          </w:p>
        </w:tc>
        <w:tc>
          <w:tcPr>
            <w:tcW w:w="1016" w:type="dxa"/>
            <w:tcBorders>
              <w:top w:val="nil"/>
              <w:left w:val="nil"/>
              <w:bottom w:val="single" w:sz="8" w:space="0" w:color="auto"/>
              <w:right w:val="nil"/>
            </w:tcBorders>
            <w:shd w:val="clear" w:color="auto" w:fill="auto"/>
            <w:noWrap/>
            <w:vAlign w:val="center"/>
            <w:hideMark/>
          </w:tcPr>
          <w:p w14:paraId="7AECEC6E" w14:textId="08D8AD82" w:rsidR="009B0F29" w:rsidRPr="009B0F29" w:rsidRDefault="009B0F29" w:rsidP="002B0CCE">
            <w:pPr>
              <w:spacing w:after="0" w:line="240" w:lineRule="auto"/>
              <w:jc w:val="center"/>
              <w:rPr>
                <w:rFonts w:ascii="Calibri" w:eastAsia="Times New Roman" w:hAnsi="Calibri" w:cs="Calibri"/>
                <w:color w:val="000000"/>
                <w:sz w:val="2"/>
                <w:szCs w:val="2"/>
                <w:lang w:eastAsia="ru-RU"/>
              </w:rPr>
            </w:pPr>
          </w:p>
        </w:tc>
        <w:tc>
          <w:tcPr>
            <w:tcW w:w="768" w:type="dxa"/>
            <w:tcBorders>
              <w:top w:val="nil"/>
              <w:left w:val="nil"/>
              <w:bottom w:val="single" w:sz="8" w:space="0" w:color="auto"/>
              <w:right w:val="nil"/>
            </w:tcBorders>
            <w:shd w:val="clear" w:color="auto" w:fill="auto"/>
            <w:noWrap/>
            <w:vAlign w:val="center"/>
            <w:hideMark/>
          </w:tcPr>
          <w:p w14:paraId="6E373AA2" w14:textId="7B8516AF" w:rsidR="009B0F29" w:rsidRPr="009B0F29" w:rsidRDefault="009B0F29" w:rsidP="002B0CCE">
            <w:pPr>
              <w:spacing w:after="0" w:line="240" w:lineRule="auto"/>
              <w:jc w:val="center"/>
              <w:rPr>
                <w:rFonts w:ascii="Calibri" w:eastAsia="Times New Roman" w:hAnsi="Calibri" w:cs="Calibri"/>
                <w:color w:val="000000"/>
                <w:sz w:val="2"/>
                <w:szCs w:val="2"/>
                <w:lang w:eastAsia="ru-RU"/>
              </w:rPr>
            </w:pPr>
          </w:p>
        </w:tc>
      </w:tr>
      <w:tr w:rsidR="0033733C" w:rsidRPr="009B0F29" w14:paraId="4798D8F9" w14:textId="77777777" w:rsidTr="00541373">
        <w:trPr>
          <w:trHeight w:val="285"/>
          <w:tblHeader/>
        </w:trPr>
        <w:tc>
          <w:tcPr>
            <w:tcW w:w="928" w:type="dxa"/>
            <w:tcBorders>
              <w:top w:val="nil"/>
              <w:left w:val="nil"/>
              <w:bottom w:val="single" w:sz="8" w:space="0" w:color="auto"/>
              <w:right w:val="single" w:sz="8" w:space="0" w:color="auto"/>
            </w:tcBorders>
            <w:shd w:val="clear" w:color="auto" w:fill="auto"/>
            <w:noWrap/>
            <w:vAlign w:val="center"/>
            <w:hideMark/>
          </w:tcPr>
          <w:p w14:paraId="14104E52" w14:textId="3BEF78CC" w:rsidR="009B0F29" w:rsidRPr="009B0F29" w:rsidRDefault="005D3637" w:rsidP="009B0F29">
            <w:pPr>
              <w:spacing w:after="0" w:line="240" w:lineRule="auto"/>
              <w:rPr>
                <w:rFonts w:eastAsia="Times New Roman" w:cs="Times New Roman"/>
                <w:color w:val="000000"/>
                <w:sz w:val="16"/>
                <w:szCs w:val="16"/>
                <w:lang w:val="en-US" w:eastAsia="ru-RU"/>
              </w:rPr>
            </w:pPr>
            <w:r>
              <w:rPr>
                <w:rFonts w:eastAsia="Times New Roman" w:cs="Times New Roman"/>
                <w:color w:val="000000"/>
                <w:sz w:val="16"/>
                <w:szCs w:val="16"/>
                <w:lang w:val="en-US" w:eastAsia="ru-RU"/>
              </w:rPr>
              <w:t>RUB</w:t>
            </w:r>
            <w:r w:rsidR="009B0F29" w:rsidRPr="009B0F29">
              <w:rPr>
                <w:rFonts w:eastAsia="Times New Roman" w:cs="Times New Roman"/>
                <w:color w:val="000000"/>
                <w:sz w:val="16"/>
                <w:szCs w:val="16"/>
                <w:lang w:eastAsia="ru-RU"/>
              </w:rPr>
              <w:t>/</w:t>
            </w:r>
            <w:r>
              <w:rPr>
                <w:rFonts w:eastAsia="Times New Roman" w:cs="Times New Roman"/>
                <w:color w:val="000000"/>
                <w:sz w:val="16"/>
                <w:szCs w:val="16"/>
                <w:lang w:val="en-US" w:eastAsia="ru-RU"/>
              </w:rPr>
              <w:t>USD</w:t>
            </w:r>
          </w:p>
        </w:tc>
        <w:tc>
          <w:tcPr>
            <w:tcW w:w="847" w:type="dxa"/>
            <w:tcBorders>
              <w:top w:val="nil"/>
              <w:left w:val="nil"/>
              <w:bottom w:val="single" w:sz="8" w:space="0" w:color="auto"/>
              <w:right w:val="single" w:sz="8" w:space="0" w:color="auto"/>
            </w:tcBorders>
            <w:shd w:val="clear" w:color="auto" w:fill="auto"/>
            <w:noWrap/>
            <w:vAlign w:val="center"/>
            <w:hideMark/>
          </w:tcPr>
          <w:p w14:paraId="50995AFB"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71,3</w:t>
            </w:r>
          </w:p>
        </w:tc>
        <w:tc>
          <w:tcPr>
            <w:tcW w:w="847" w:type="dxa"/>
            <w:tcBorders>
              <w:top w:val="nil"/>
              <w:left w:val="nil"/>
              <w:bottom w:val="single" w:sz="8" w:space="0" w:color="auto"/>
              <w:right w:val="single" w:sz="8" w:space="0" w:color="auto"/>
            </w:tcBorders>
            <w:shd w:val="clear" w:color="auto" w:fill="auto"/>
            <w:noWrap/>
            <w:vAlign w:val="center"/>
            <w:hideMark/>
          </w:tcPr>
          <w:p w14:paraId="26443C0E"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22" w:type="dxa"/>
            <w:tcBorders>
              <w:top w:val="nil"/>
              <w:left w:val="nil"/>
              <w:bottom w:val="single" w:sz="8" w:space="0" w:color="auto"/>
              <w:right w:val="single" w:sz="8" w:space="0" w:color="auto"/>
            </w:tcBorders>
            <w:shd w:val="clear" w:color="auto" w:fill="auto"/>
            <w:noWrap/>
            <w:vAlign w:val="center"/>
            <w:hideMark/>
          </w:tcPr>
          <w:p w14:paraId="22C0BC01"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89,8</w:t>
            </w:r>
          </w:p>
        </w:tc>
        <w:tc>
          <w:tcPr>
            <w:tcW w:w="1016" w:type="dxa"/>
            <w:tcBorders>
              <w:top w:val="nil"/>
              <w:left w:val="nil"/>
              <w:bottom w:val="single" w:sz="8" w:space="0" w:color="auto"/>
              <w:right w:val="single" w:sz="8" w:space="0" w:color="auto"/>
            </w:tcBorders>
            <w:shd w:val="clear" w:color="auto" w:fill="auto"/>
            <w:noWrap/>
            <w:vAlign w:val="center"/>
            <w:hideMark/>
          </w:tcPr>
          <w:p w14:paraId="56F940D0"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right w:val="single" w:sz="8" w:space="0" w:color="auto"/>
            </w:tcBorders>
            <w:shd w:val="clear" w:color="auto" w:fill="auto"/>
            <w:noWrap/>
            <w:vAlign w:val="center"/>
            <w:hideMark/>
          </w:tcPr>
          <w:p w14:paraId="33384C39"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5,3%</w:t>
            </w:r>
          </w:p>
        </w:tc>
        <w:tc>
          <w:tcPr>
            <w:tcW w:w="847" w:type="dxa"/>
            <w:tcBorders>
              <w:top w:val="nil"/>
              <w:left w:val="nil"/>
              <w:bottom w:val="single" w:sz="8" w:space="0" w:color="auto"/>
              <w:right w:val="nil"/>
            </w:tcBorders>
            <w:shd w:val="clear" w:color="auto" w:fill="auto"/>
            <w:noWrap/>
            <w:vAlign w:val="center"/>
            <w:hideMark/>
          </w:tcPr>
          <w:p w14:paraId="11D0E653"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4,5</w:t>
            </w:r>
          </w:p>
        </w:tc>
        <w:tc>
          <w:tcPr>
            <w:tcW w:w="847" w:type="dxa"/>
            <w:tcBorders>
              <w:top w:val="nil"/>
              <w:left w:val="nil"/>
              <w:bottom w:val="single" w:sz="8" w:space="0" w:color="auto"/>
              <w:right w:val="single" w:sz="8" w:space="0" w:color="auto"/>
            </w:tcBorders>
            <w:shd w:val="clear" w:color="auto" w:fill="auto"/>
            <w:noWrap/>
            <w:vAlign w:val="center"/>
            <w:hideMark/>
          </w:tcPr>
          <w:p w14:paraId="1620B9CC"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16" w:type="dxa"/>
            <w:tcBorders>
              <w:top w:val="nil"/>
              <w:left w:val="nil"/>
              <w:bottom w:val="single" w:sz="8" w:space="0" w:color="auto"/>
              <w:right w:val="single" w:sz="8" w:space="0" w:color="auto"/>
            </w:tcBorders>
            <w:shd w:val="clear" w:color="auto" w:fill="auto"/>
            <w:noWrap/>
            <w:vAlign w:val="center"/>
            <w:hideMark/>
          </w:tcPr>
          <w:p w14:paraId="00849111"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-1,03</w:t>
            </w:r>
          </w:p>
        </w:tc>
        <w:tc>
          <w:tcPr>
            <w:tcW w:w="1016" w:type="dxa"/>
            <w:tcBorders>
              <w:top w:val="nil"/>
              <w:left w:val="nil"/>
              <w:bottom w:val="single" w:sz="8" w:space="0" w:color="auto"/>
              <w:right w:val="single" w:sz="8" w:space="0" w:color="auto"/>
            </w:tcBorders>
            <w:shd w:val="clear" w:color="auto" w:fill="auto"/>
            <w:noWrap/>
            <w:vAlign w:val="center"/>
            <w:hideMark/>
          </w:tcPr>
          <w:p w14:paraId="78BDF75D"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8" w:space="0" w:color="auto"/>
            </w:tcBorders>
            <w:shd w:val="clear" w:color="auto" w:fill="auto"/>
            <w:noWrap/>
            <w:vAlign w:val="center"/>
            <w:hideMark/>
          </w:tcPr>
          <w:p w14:paraId="2AC7A1D9" w14:textId="33776F18"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1,3%</w:t>
            </w:r>
          </w:p>
        </w:tc>
      </w:tr>
      <w:tr w:rsidR="002B0CCE" w:rsidRPr="009B0F29" w14:paraId="4A2443A1" w14:textId="77777777" w:rsidTr="00541373">
        <w:trPr>
          <w:trHeight w:val="285"/>
          <w:tblHeader/>
        </w:trPr>
        <w:tc>
          <w:tcPr>
            <w:tcW w:w="928" w:type="dxa"/>
            <w:tcBorders>
              <w:top w:val="nil"/>
              <w:left w:val="nil"/>
              <w:bottom w:val="single" w:sz="4" w:space="0" w:color="auto"/>
              <w:right w:val="single" w:sz="8" w:space="0" w:color="auto"/>
            </w:tcBorders>
            <w:shd w:val="clear" w:color="auto" w:fill="auto"/>
            <w:noWrap/>
            <w:vAlign w:val="center"/>
            <w:hideMark/>
          </w:tcPr>
          <w:p w14:paraId="4DC8ABD0" w14:textId="7F6644FE" w:rsidR="009B0F29" w:rsidRPr="009B0F29" w:rsidRDefault="0033733C" w:rsidP="009B0F29">
            <w:pPr>
              <w:spacing w:after="0" w:line="240" w:lineRule="auto"/>
              <w:rPr>
                <w:rFonts w:eastAsia="Times New Roman" w:cs="Times New Roman"/>
                <w:color w:val="000000"/>
                <w:sz w:val="16"/>
                <w:szCs w:val="16"/>
                <w:lang w:val="en-US" w:eastAsia="ru-RU"/>
              </w:rPr>
            </w:pPr>
            <w:r>
              <w:rPr>
                <w:rFonts w:eastAsia="Times New Roman" w:cs="Times New Roman"/>
                <w:color w:val="000000"/>
                <w:sz w:val="16"/>
                <w:szCs w:val="16"/>
                <w:lang w:val="en-US" w:eastAsia="ru-RU"/>
              </w:rPr>
              <w:t>AUD</w:t>
            </w:r>
            <w:r w:rsidR="009B0F29" w:rsidRPr="009B0F29">
              <w:rPr>
                <w:rFonts w:eastAsia="Times New Roman" w:cs="Times New Roman"/>
                <w:color w:val="000000"/>
                <w:sz w:val="16"/>
                <w:szCs w:val="16"/>
                <w:lang w:eastAsia="ru-RU"/>
              </w:rPr>
              <w:t>/</w:t>
            </w:r>
            <w:r>
              <w:rPr>
                <w:rFonts w:eastAsia="Times New Roman" w:cs="Times New Roman"/>
                <w:color w:val="000000"/>
                <w:sz w:val="16"/>
                <w:szCs w:val="16"/>
                <w:lang w:val="en-US" w:eastAsia="ru-RU"/>
              </w:rPr>
              <w:t>USD</w:t>
            </w:r>
          </w:p>
        </w:tc>
        <w:tc>
          <w:tcPr>
            <w:tcW w:w="847" w:type="dxa"/>
            <w:tcBorders>
              <w:top w:val="nil"/>
              <w:left w:val="nil"/>
              <w:bottom w:val="single" w:sz="4" w:space="0" w:color="auto"/>
              <w:right w:val="single" w:sz="8" w:space="0" w:color="auto"/>
            </w:tcBorders>
            <w:shd w:val="clear" w:color="auto" w:fill="auto"/>
            <w:noWrap/>
            <w:vAlign w:val="center"/>
            <w:hideMark/>
          </w:tcPr>
          <w:p w14:paraId="26741EDC"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1023,8</w:t>
            </w:r>
          </w:p>
        </w:tc>
        <w:tc>
          <w:tcPr>
            <w:tcW w:w="847" w:type="dxa"/>
            <w:tcBorders>
              <w:top w:val="nil"/>
              <w:left w:val="nil"/>
              <w:bottom w:val="single" w:sz="4" w:space="0" w:color="auto"/>
              <w:right w:val="single" w:sz="8" w:space="0" w:color="auto"/>
            </w:tcBorders>
            <w:shd w:val="clear" w:color="auto" w:fill="auto"/>
            <w:noWrap/>
            <w:vAlign w:val="center"/>
            <w:hideMark/>
          </w:tcPr>
          <w:p w14:paraId="4FD09EA9"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22" w:type="dxa"/>
            <w:tcBorders>
              <w:top w:val="nil"/>
              <w:left w:val="nil"/>
              <w:bottom w:val="single" w:sz="4" w:space="0" w:color="auto"/>
              <w:right w:val="single" w:sz="8" w:space="0" w:color="auto"/>
            </w:tcBorders>
            <w:shd w:val="clear" w:color="auto" w:fill="auto"/>
            <w:noWrap/>
            <w:vAlign w:val="center"/>
            <w:hideMark/>
          </w:tcPr>
          <w:p w14:paraId="116390D7"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1023</w:t>
            </w:r>
          </w:p>
        </w:tc>
        <w:tc>
          <w:tcPr>
            <w:tcW w:w="1016" w:type="dxa"/>
            <w:tcBorders>
              <w:top w:val="nil"/>
              <w:left w:val="nil"/>
              <w:bottom w:val="single" w:sz="4" w:space="0" w:color="auto"/>
              <w:right w:val="single" w:sz="8" w:space="0" w:color="auto"/>
            </w:tcBorders>
            <w:shd w:val="clear" w:color="auto" w:fill="auto"/>
            <w:noWrap/>
            <w:vAlign w:val="center"/>
            <w:hideMark/>
          </w:tcPr>
          <w:p w14:paraId="33B83A9C"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4" w:space="0" w:color="auto"/>
              <w:right w:val="single" w:sz="8" w:space="0" w:color="auto"/>
            </w:tcBorders>
            <w:shd w:val="clear" w:color="auto" w:fill="auto"/>
            <w:noWrap/>
            <w:vAlign w:val="center"/>
            <w:hideMark/>
          </w:tcPr>
          <w:p w14:paraId="3DAD367C"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12,5%</w:t>
            </w:r>
          </w:p>
        </w:tc>
        <w:tc>
          <w:tcPr>
            <w:tcW w:w="847" w:type="dxa"/>
            <w:tcBorders>
              <w:top w:val="nil"/>
              <w:left w:val="nil"/>
              <w:bottom w:val="single" w:sz="4" w:space="0" w:color="auto"/>
              <w:right w:val="nil"/>
            </w:tcBorders>
            <w:shd w:val="clear" w:color="auto" w:fill="auto"/>
            <w:noWrap/>
            <w:vAlign w:val="center"/>
            <w:hideMark/>
          </w:tcPr>
          <w:p w14:paraId="390FF549"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-0,2</w:t>
            </w:r>
          </w:p>
        </w:tc>
        <w:tc>
          <w:tcPr>
            <w:tcW w:w="847" w:type="dxa"/>
            <w:tcBorders>
              <w:top w:val="nil"/>
              <w:left w:val="nil"/>
              <w:bottom w:val="single" w:sz="4" w:space="0" w:color="auto"/>
              <w:right w:val="single" w:sz="8" w:space="0" w:color="auto"/>
            </w:tcBorders>
            <w:shd w:val="clear" w:color="auto" w:fill="auto"/>
            <w:noWrap/>
            <w:vAlign w:val="center"/>
            <w:hideMark/>
          </w:tcPr>
          <w:p w14:paraId="3441BAE0"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16" w:type="dxa"/>
            <w:tcBorders>
              <w:top w:val="nil"/>
              <w:left w:val="nil"/>
              <w:bottom w:val="single" w:sz="4" w:space="0" w:color="auto"/>
              <w:right w:val="single" w:sz="8" w:space="0" w:color="auto"/>
            </w:tcBorders>
            <w:shd w:val="clear" w:color="auto" w:fill="auto"/>
            <w:noWrap/>
            <w:vAlign w:val="center"/>
            <w:hideMark/>
          </w:tcPr>
          <w:p w14:paraId="58AAF68B"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-0,14</w:t>
            </w:r>
          </w:p>
        </w:tc>
        <w:tc>
          <w:tcPr>
            <w:tcW w:w="1016" w:type="dxa"/>
            <w:tcBorders>
              <w:top w:val="nil"/>
              <w:left w:val="nil"/>
              <w:bottom w:val="single" w:sz="4" w:space="0" w:color="auto"/>
              <w:right w:val="single" w:sz="8" w:space="0" w:color="auto"/>
            </w:tcBorders>
            <w:shd w:val="clear" w:color="auto" w:fill="auto"/>
            <w:noWrap/>
            <w:vAlign w:val="center"/>
            <w:hideMark/>
          </w:tcPr>
          <w:p w14:paraId="31C1242A"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nil"/>
              <w:left w:val="nil"/>
              <w:bottom w:val="single" w:sz="4" w:space="0" w:color="auto"/>
            </w:tcBorders>
            <w:shd w:val="clear" w:color="auto" w:fill="auto"/>
            <w:noWrap/>
            <w:vAlign w:val="center"/>
            <w:hideMark/>
          </w:tcPr>
          <w:p w14:paraId="599527CA" w14:textId="07EDC81C"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0,5%</w:t>
            </w:r>
          </w:p>
        </w:tc>
      </w:tr>
      <w:tr w:rsidR="002B0CCE" w:rsidRPr="009B0F29" w14:paraId="0C5FEDB9" w14:textId="77777777" w:rsidTr="00541373">
        <w:trPr>
          <w:trHeight w:val="285"/>
          <w:tblHeader/>
        </w:trPr>
        <w:tc>
          <w:tcPr>
            <w:tcW w:w="928" w:type="dxa"/>
            <w:tcBorders>
              <w:top w:val="single" w:sz="4" w:space="0" w:color="auto"/>
              <w:bottom w:val="single" w:sz="4" w:space="0" w:color="auto"/>
              <w:right w:val="single" w:sz="4" w:space="0" w:color="auto"/>
            </w:tcBorders>
            <w:shd w:val="clear" w:color="auto" w:fill="auto"/>
            <w:noWrap/>
            <w:vAlign w:val="center"/>
            <w:hideMark/>
          </w:tcPr>
          <w:p w14:paraId="6C4349C2" w14:textId="54936D3B" w:rsidR="009B0F29" w:rsidRPr="009B0F29" w:rsidRDefault="0033733C" w:rsidP="009B0F29">
            <w:pPr>
              <w:spacing w:after="0" w:line="240" w:lineRule="auto"/>
              <w:rPr>
                <w:rFonts w:eastAsia="Times New Roman" w:cs="Times New Roman"/>
                <w:color w:val="000000"/>
                <w:sz w:val="16"/>
                <w:szCs w:val="16"/>
                <w:lang w:val="en-US" w:eastAsia="ru-RU"/>
              </w:rPr>
            </w:pPr>
            <w:r>
              <w:rPr>
                <w:rFonts w:eastAsia="Times New Roman" w:cs="Times New Roman"/>
                <w:color w:val="000000"/>
                <w:sz w:val="16"/>
                <w:szCs w:val="16"/>
                <w:lang w:val="en-US" w:eastAsia="ru-RU"/>
              </w:rPr>
              <w:t>CAD</w:t>
            </w:r>
            <w:r w:rsidR="009B0F29" w:rsidRPr="009B0F29">
              <w:rPr>
                <w:rFonts w:eastAsia="Times New Roman" w:cs="Times New Roman"/>
                <w:color w:val="000000"/>
                <w:sz w:val="16"/>
                <w:szCs w:val="16"/>
                <w:lang w:eastAsia="ru-RU"/>
              </w:rPr>
              <w:t>/</w:t>
            </w:r>
            <w:r>
              <w:rPr>
                <w:rFonts w:eastAsia="Times New Roman" w:cs="Times New Roman"/>
                <w:color w:val="000000"/>
                <w:sz w:val="16"/>
                <w:szCs w:val="16"/>
                <w:lang w:val="en-US" w:eastAsia="ru-RU"/>
              </w:rPr>
              <w:t>USD</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1823F"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627,3</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EA4F2"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AADB5"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662,6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6D1C5"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A4451"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6,4%</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B916C"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0,9</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6A656"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823BB"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-0,68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FABC0"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CD763"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3,9%</w:t>
            </w:r>
          </w:p>
        </w:tc>
      </w:tr>
      <w:tr w:rsidR="002B0CCE" w:rsidRPr="009B0F29" w14:paraId="6454D77B" w14:textId="77777777" w:rsidTr="00541373">
        <w:trPr>
          <w:trHeight w:val="285"/>
          <w:tblHeader/>
        </w:trPr>
        <w:tc>
          <w:tcPr>
            <w:tcW w:w="928" w:type="dxa"/>
            <w:tcBorders>
              <w:top w:val="single" w:sz="4" w:space="0" w:color="auto"/>
              <w:left w:val="nil"/>
              <w:bottom w:val="single" w:sz="8" w:space="0" w:color="auto"/>
              <w:right w:val="single" w:sz="4" w:space="0" w:color="auto"/>
            </w:tcBorders>
            <w:shd w:val="clear" w:color="auto" w:fill="auto"/>
            <w:noWrap/>
            <w:vAlign w:val="center"/>
            <w:hideMark/>
          </w:tcPr>
          <w:p w14:paraId="572F9651" w14:textId="695B797F" w:rsidR="009B0F29" w:rsidRPr="009B0F29" w:rsidRDefault="0033733C" w:rsidP="009B0F29">
            <w:pPr>
              <w:spacing w:after="0" w:line="240" w:lineRule="auto"/>
              <w:rPr>
                <w:rFonts w:eastAsia="Times New Roman" w:cs="Times New Roman"/>
                <w:color w:val="000000"/>
                <w:sz w:val="16"/>
                <w:szCs w:val="16"/>
                <w:lang w:val="en-US" w:eastAsia="ru-RU"/>
              </w:rPr>
            </w:pPr>
            <w:r>
              <w:rPr>
                <w:rFonts w:eastAsia="Times New Roman" w:cs="Times New Roman"/>
                <w:color w:val="000000"/>
                <w:sz w:val="16"/>
                <w:szCs w:val="16"/>
                <w:lang w:val="en-US" w:eastAsia="ru-RU"/>
              </w:rPr>
              <w:t>GBP</w:t>
            </w:r>
            <w:r w:rsidR="009B0F29" w:rsidRPr="009B0F29">
              <w:rPr>
                <w:rFonts w:eastAsia="Times New Roman" w:cs="Times New Roman"/>
                <w:color w:val="000000"/>
                <w:sz w:val="16"/>
                <w:szCs w:val="16"/>
                <w:lang w:eastAsia="ru-RU"/>
              </w:rPr>
              <w:t>/</w:t>
            </w:r>
            <w:r>
              <w:rPr>
                <w:rFonts w:eastAsia="Times New Roman" w:cs="Times New Roman"/>
                <w:color w:val="000000"/>
                <w:sz w:val="16"/>
                <w:szCs w:val="16"/>
                <w:lang w:val="en-US" w:eastAsia="ru-RU"/>
              </w:rPr>
              <w:t>USD</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67F89"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231,8</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78A01"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61D08"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182,0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49F7D"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74140"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1,2%</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EE89F"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-0,01</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F1AB1"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FC6C1"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89469"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&lt;0.01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23FC3" w14:textId="77777777" w:rsidR="009B0F29" w:rsidRPr="009B0F29" w:rsidRDefault="009B0F29" w:rsidP="002B0CCE">
            <w:pPr>
              <w:spacing w:after="0" w:line="240" w:lineRule="auto"/>
              <w:jc w:val="center"/>
              <w:rPr>
                <w:rFonts w:eastAsia="Times New Roman" w:cs="Times New Roman"/>
                <w:color w:val="000000"/>
                <w:sz w:val="16"/>
                <w:szCs w:val="16"/>
                <w:lang w:eastAsia="ru-RU"/>
              </w:rPr>
            </w:pPr>
            <w:r w:rsidRPr="009B0F29">
              <w:rPr>
                <w:rFonts w:eastAsia="Times New Roman" w:cs="Times New Roman"/>
                <w:color w:val="000000"/>
                <w:sz w:val="16"/>
                <w:szCs w:val="16"/>
                <w:lang w:eastAsia="ru-RU"/>
              </w:rPr>
              <w:t>5,0%</w:t>
            </w:r>
          </w:p>
        </w:tc>
      </w:tr>
    </w:tbl>
    <w:p w14:paraId="0A3FE706" w14:textId="6413EA6C" w:rsidR="00CF488A" w:rsidRDefault="002B0CCE" w:rsidP="002B0CCE">
      <w:pPr>
        <w:pStyle w:val="a1"/>
      </w:pPr>
      <w:r>
        <w:t>Source: Author’s calculations</w:t>
      </w:r>
    </w:p>
    <w:p w14:paraId="5577E4C7" w14:textId="77777777" w:rsidR="002B0CCE" w:rsidRDefault="002B0CCE" w:rsidP="008226B3">
      <w:pPr>
        <w:spacing w:after="0" w:line="360" w:lineRule="auto"/>
        <w:ind w:firstLine="709"/>
        <w:rPr>
          <w:rFonts w:cs="Times New Roman"/>
          <w:lang w:val="en-US"/>
        </w:rPr>
      </w:pPr>
    </w:p>
    <w:p w14:paraId="668F75CB" w14:textId="1DA065F9" w:rsidR="003D2C8A" w:rsidRDefault="00CF488A" w:rsidP="00CF488A">
      <w:pPr>
        <w:pStyle w:val="a0"/>
      </w:pPr>
      <w:r w:rsidRPr="00CF488A">
        <w:t xml:space="preserve">Table </w:t>
      </w:r>
      <w:r>
        <w:fldChar w:fldCharType="begin"/>
      </w:r>
      <w:r w:rsidRPr="00CF488A">
        <w:instrText xml:space="preserve"> SEQ Table \* ARABIC </w:instrText>
      </w:r>
      <w:r>
        <w:fldChar w:fldCharType="separate"/>
      </w:r>
      <w:r w:rsidR="004D16C9">
        <w:rPr>
          <w:noProof/>
        </w:rPr>
        <w:t>12</w:t>
      </w:r>
      <w:r>
        <w:fldChar w:fldCharType="end"/>
      </w:r>
      <w:r>
        <w:t xml:space="preserve">. Scatterplot of FX spot return effect </w:t>
      </w:r>
      <w:r w:rsidR="00F61BB7">
        <w:t>and</w:t>
      </w:r>
      <w:r>
        <w:t xml:space="preserve"> FX future trade volume. </w:t>
      </w:r>
    </w:p>
    <w:p w14:paraId="65F30063" w14:textId="64E1C2F1" w:rsidR="00CF488A" w:rsidRPr="00CF488A" w:rsidRDefault="00CF488A" w:rsidP="00CF488A">
      <w:pPr>
        <w:pStyle w:val="a0"/>
      </w:pPr>
      <w:r>
        <w:t>GBP/JPY December FX future</w:t>
      </w:r>
      <w:r w:rsidR="003D2C8A">
        <w:t xml:space="preserve"> example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CF488A" w14:paraId="36268EC1" w14:textId="77777777" w:rsidTr="00CF488A">
        <w:tc>
          <w:tcPr>
            <w:tcW w:w="9344" w:type="dxa"/>
          </w:tcPr>
          <w:p w14:paraId="7EFFCB48" w14:textId="1F730761" w:rsidR="00CF488A" w:rsidRDefault="00CF488A" w:rsidP="00BA61B1">
            <w:pPr>
              <w:spacing w:line="360" w:lineRule="auto"/>
              <w:jc w:val="center"/>
              <w:rPr>
                <w:rFonts w:cs="Times New Roman"/>
                <w:lang w:val="en-US"/>
              </w:rPr>
            </w:pPr>
            <w:r>
              <w:rPr>
                <w:rFonts w:cs="Times New Roman"/>
                <w:noProof/>
                <w:lang w:val="en-US"/>
              </w:rPr>
              <w:drawing>
                <wp:inline distT="0" distB="0" distL="0" distR="0" wp14:anchorId="1836CDB5" wp14:editId="5E684402">
                  <wp:extent cx="4343400" cy="260216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2688" cy="2613724"/>
                          </a:xfrm>
                          <a:prstGeom prst="rect">
                            <a:avLst/>
                          </a:prstGeom>
                          <a:noFill/>
                        </pic:spPr>
                      </pic:pic>
                    </a:graphicData>
                  </a:graphic>
                </wp:inline>
              </w:drawing>
            </w:r>
          </w:p>
        </w:tc>
      </w:tr>
    </w:tbl>
    <w:p w14:paraId="06DA2ED4" w14:textId="01425300" w:rsidR="00CF488A" w:rsidRDefault="00541373" w:rsidP="00541373">
      <w:pPr>
        <w:pStyle w:val="a1"/>
      </w:pPr>
      <w:r>
        <w:t>Source: Author’s calculations</w:t>
      </w:r>
    </w:p>
    <w:p w14:paraId="5AE6015E" w14:textId="4130A9E5" w:rsidR="00DC761F" w:rsidRPr="00DC761F" w:rsidRDefault="00DC761F" w:rsidP="008226B3">
      <w:pPr>
        <w:spacing w:after="0" w:line="360" w:lineRule="auto"/>
        <w:ind w:firstLine="709"/>
        <w:rPr>
          <w:rFonts w:cs="Times New Roman"/>
          <w:lang w:val="en-US"/>
        </w:rPr>
      </w:pPr>
      <w:r>
        <w:rPr>
          <w:rFonts w:cs="Times New Roman"/>
          <w:lang w:val="en-US"/>
        </w:rPr>
        <w:t xml:space="preserve">Before making conclusions on regression results, we want to state that, because FX future trade volume is used </w:t>
      </w:r>
      <w:r w:rsidRPr="00DC761F">
        <w:rPr>
          <w:rFonts w:cs="Times New Roman"/>
          <w:lang w:val="en-US"/>
        </w:rPr>
        <w:t>«</w:t>
      </w:r>
      <w:r>
        <w:rPr>
          <w:rFonts w:cs="Times New Roman"/>
          <w:lang w:val="en-US"/>
        </w:rPr>
        <w:t>as is</w:t>
      </w:r>
      <w:r w:rsidRPr="00DC761F">
        <w:rPr>
          <w:rFonts w:cs="Times New Roman"/>
          <w:lang w:val="en-US"/>
        </w:rPr>
        <w:t>»</w:t>
      </w:r>
      <w:r>
        <w:rPr>
          <w:rFonts w:cs="Times New Roman"/>
          <w:lang w:val="en-US"/>
        </w:rPr>
        <w:t xml:space="preserve"> (in number of contracts traded within 30-minutes period), but FX spot delta and FX future price deviation were used in standardized form of standard deviations and </w:t>
      </w:r>
      <w:r>
        <w:rPr>
          <w:rFonts w:cs="Times New Roman"/>
          <w:lang w:val="en-US"/>
        </w:rPr>
        <w:lastRenderedPageBreak/>
        <w:t>basis points, results for the first hypothesis are not directly comparable across currency pairs in regression coefficients, but results for the second hypothesis are comparable.</w:t>
      </w:r>
    </w:p>
    <w:p w14:paraId="38D8F69E" w14:textId="77777777" w:rsidR="00BC4E75" w:rsidRDefault="00DC761F" w:rsidP="00BC4E75">
      <w:pPr>
        <w:spacing w:after="0" w:line="360" w:lineRule="auto"/>
        <w:ind w:firstLine="709"/>
        <w:rPr>
          <w:rFonts w:cs="Times New Roman"/>
          <w:lang w:val="en-US"/>
        </w:rPr>
      </w:pPr>
      <w:r>
        <w:rPr>
          <w:rFonts w:cs="Times New Roman"/>
          <w:lang w:val="en-US"/>
        </w:rPr>
        <w:t xml:space="preserve">We could make several conclusions on FX spot rate influence on FX future prices: </w:t>
      </w:r>
    </w:p>
    <w:p w14:paraId="3C81B0A9" w14:textId="751BE611" w:rsidR="00BC4E75" w:rsidRPr="00BC4E75" w:rsidRDefault="00DC761F" w:rsidP="00BC4E75">
      <w:pPr>
        <w:pStyle w:val="-"/>
      </w:pPr>
      <w:r w:rsidRPr="00BC4E75">
        <w:t xml:space="preserve">reported dependence of spot returns on FX future trade volume </w:t>
      </w:r>
      <w:r w:rsidR="005B393A">
        <w:t>is</w:t>
      </w:r>
      <w:r w:rsidRPr="00BC4E75">
        <w:t>, in general, low</w:t>
      </w:r>
      <w:r w:rsidR="005B393A">
        <w:t>,</w:t>
      </w:r>
      <w:r w:rsidRPr="00BC4E75">
        <w:t xml:space="preserve"> and high R-squared</w:t>
      </w:r>
      <w:r w:rsidR="005B393A">
        <w:t xml:space="preserve"> values</w:t>
      </w:r>
      <w:r w:rsidRPr="00BC4E75">
        <w:t xml:space="preserve"> are rare across almost all currency pairs; </w:t>
      </w:r>
    </w:p>
    <w:p w14:paraId="7FC59E33" w14:textId="19E9AF9D" w:rsidR="00BC4E75" w:rsidRPr="00BC4E75" w:rsidRDefault="00DC761F" w:rsidP="00BC4E75">
      <w:pPr>
        <w:pStyle w:val="-"/>
      </w:pPr>
      <w:r w:rsidRPr="00BC4E75">
        <w:t>negative beta-coefficients reported in the results of the second hypothesis are surprising and mean that, in general, upward movements in FX spot rate result in</w:t>
      </w:r>
      <w:r w:rsidR="00F06966" w:rsidRPr="00BC4E75">
        <w:t xml:space="preserve"> more negative value of deviation («underpriced» contracts become more underpriced and «overpriced» contracts become less overpriced). Though, the interpretation of these values should not be as straightforward, because the prices are collected each 30-minites period and it could be possible in this case that, </w:t>
      </w:r>
      <w:r w:rsidR="00F06966" w:rsidRPr="00BC4E75">
        <w:t>because of the higher liquidity in the spot market as compared with FX futures market</w:t>
      </w:r>
      <w:r w:rsidR="00F06966" w:rsidRPr="00BC4E75">
        <w:t>, closing price of FX rate was derived more close to the end of 30-minutes period than the closing price of FX future</w:t>
      </w:r>
      <w:r w:rsidR="00BC4E75" w:rsidRPr="00BC4E75">
        <w:t xml:space="preserve">s, </w:t>
      </w:r>
    </w:p>
    <w:p w14:paraId="288D1824" w14:textId="3502E0EB" w:rsidR="004A4185" w:rsidRPr="00BC4E75" w:rsidRDefault="00BC4E75" w:rsidP="00BC4E75">
      <w:pPr>
        <w:pStyle w:val="-"/>
      </w:pPr>
      <w:r w:rsidRPr="00BC4E75">
        <w:t xml:space="preserve">in general, effect of spot price movement was slightly more strong for FX futures with negative interest rates as compared with other FX futures. </w:t>
      </w:r>
      <w:r w:rsidR="004A4185" w:rsidRPr="00BC4E75">
        <w:br w:type="page"/>
      </w:r>
    </w:p>
    <w:p w14:paraId="1E8DA53E" w14:textId="66631008" w:rsidR="005A0896" w:rsidRDefault="005A0896" w:rsidP="00467D70">
      <w:pPr>
        <w:pStyle w:val="Heading1"/>
        <w:numPr>
          <w:ilvl w:val="1"/>
          <w:numId w:val="25"/>
        </w:numPr>
        <w:ind w:left="567"/>
        <w:rPr>
          <w:lang w:val="en-US"/>
        </w:rPr>
      </w:pPr>
      <w:bookmarkStart w:id="25" w:name="_Toc73483062"/>
      <w:r>
        <w:rPr>
          <w:lang w:val="en-US"/>
        </w:rPr>
        <w:lastRenderedPageBreak/>
        <w:t>CONCLUSION</w:t>
      </w:r>
      <w:r w:rsidR="00EB56A7">
        <w:rPr>
          <w:lang w:val="en-US"/>
        </w:rPr>
        <w:t>S</w:t>
      </w:r>
      <w:bookmarkEnd w:id="25"/>
    </w:p>
    <w:p w14:paraId="6EDDABEA" w14:textId="77777777" w:rsidR="009B1A98" w:rsidRDefault="005A0896" w:rsidP="005A0896">
      <w:pPr>
        <w:spacing w:line="360" w:lineRule="auto"/>
        <w:ind w:firstLine="709"/>
        <w:rPr>
          <w:rFonts w:cs="Times New Roman"/>
          <w:lang w:val="en-US"/>
        </w:rPr>
      </w:pPr>
      <w:r w:rsidRPr="005A0896">
        <w:rPr>
          <w:rFonts w:cs="Times New Roman"/>
          <w:lang w:val="en-US"/>
        </w:rPr>
        <w:t>We have conducted research of the drivers of FX futures prices on a currency pairs, where at least one currency has negative domestic interbank lending rate.</w:t>
      </w:r>
      <w:r>
        <w:rPr>
          <w:rFonts w:cs="Times New Roman"/>
          <w:lang w:val="en-US"/>
        </w:rPr>
        <w:t xml:space="preserve"> Assuming that LIBOR, EURIBOR and OIS rates are the best possible benchmark rates to be used in calculation of theoretical prices of FX futures, we were able to compare prices of FX futures traded at CME with the</w:t>
      </w:r>
      <w:r w:rsidR="009B1A98">
        <w:rPr>
          <w:rFonts w:cs="Times New Roman"/>
          <w:lang w:val="en-US"/>
        </w:rPr>
        <w:t>ir</w:t>
      </w:r>
      <w:r>
        <w:rPr>
          <w:rFonts w:cs="Times New Roman"/>
          <w:lang w:val="en-US"/>
        </w:rPr>
        <w:t xml:space="preserve"> theoretical </w:t>
      </w:r>
      <w:r w:rsidR="009B1A98">
        <w:rPr>
          <w:rFonts w:cs="Times New Roman"/>
          <w:lang w:val="en-US"/>
        </w:rPr>
        <w:t>values</w:t>
      </w:r>
      <w:r>
        <w:rPr>
          <w:rFonts w:cs="Times New Roman"/>
          <w:lang w:val="en-US"/>
        </w:rPr>
        <w:t xml:space="preserve"> and calculate the difference. The results of the analysis </w:t>
      </w:r>
      <w:r w:rsidR="009B1A98">
        <w:rPr>
          <w:rFonts w:cs="Times New Roman"/>
          <w:lang w:val="en-US"/>
        </w:rPr>
        <w:t>could be summarized as follows:</w:t>
      </w:r>
    </w:p>
    <w:p w14:paraId="381EBE30" w14:textId="698D13CA" w:rsidR="009B1A98" w:rsidRDefault="005A0896" w:rsidP="009B1A98">
      <w:pPr>
        <w:pStyle w:val="ListParagraph"/>
        <w:numPr>
          <w:ilvl w:val="0"/>
          <w:numId w:val="38"/>
        </w:numPr>
        <w:spacing w:line="360" w:lineRule="auto"/>
        <w:rPr>
          <w:rFonts w:cs="Times New Roman"/>
          <w:lang w:val="en-US"/>
        </w:rPr>
      </w:pPr>
      <w:r w:rsidRPr="009B1A98">
        <w:rPr>
          <w:rFonts w:cs="Times New Roman"/>
          <w:lang w:val="en-US"/>
        </w:rPr>
        <w:t>contracts that reference Swiss Franc</w:t>
      </w:r>
      <w:r w:rsidR="00B61F90" w:rsidRPr="009B1A98">
        <w:rPr>
          <w:rFonts w:cs="Times New Roman"/>
          <w:lang w:val="en-US"/>
        </w:rPr>
        <w:t xml:space="preserve"> (CHF)</w:t>
      </w:r>
      <w:r w:rsidRPr="009B1A98">
        <w:rPr>
          <w:rFonts w:cs="Times New Roman"/>
          <w:lang w:val="en-US"/>
        </w:rPr>
        <w:t xml:space="preserve"> and Euro</w:t>
      </w:r>
      <w:r w:rsidR="00B61F90" w:rsidRPr="009B1A98">
        <w:rPr>
          <w:rFonts w:cs="Times New Roman"/>
          <w:lang w:val="en-US"/>
        </w:rPr>
        <w:t xml:space="preserve"> (EUR)</w:t>
      </w:r>
      <w:r w:rsidRPr="009B1A98">
        <w:rPr>
          <w:rFonts w:cs="Times New Roman"/>
          <w:lang w:val="en-US"/>
        </w:rPr>
        <w:t xml:space="preserve">, </w:t>
      </w:r>
      <w:r w:rsidR="004A4185" w:rsidRPr="009B1A98">
        <w:rPr>
          <w:rFonts w:cs="Times New Roman"/>
          <w:lang w:val="en-US"/>
        </w:rPr>
        <w:t>observed</w:t>
      </w:r>
      <w:r w:rsidRPr="009B1A98">
        <w:rPr>
          <w:rFonts w:cs="Times New Roman"/>
          <w:lang w:val="en-US"/>
        </w:rPr>
        <w:t xml:space="preserve"> price</w:t>
      </w:r>
      <w:r w:rsidR="004A4185" w:rsidRPr="009B1A98">
        <w:rPr>
          <w:rFonts w:cs="Times New Roman"/>
          <w:lang w:val="en-US"/>
        </w:rPr>
        <w:t xml:space="preserve"> of exchange-traded future</w:t>
      </w:r>
      <w:r w:rsidRPr="009B1A98">
        <w:rPr>
          <w:rFonts w:cs="Times New Roman"/>
          <w:lang w:val="en-US"/>
        </w:rPr>
        <w:t xml:space="preserve"> does not deviate significantly from </w:t>
      </w:r>
      <w:r w:rsidR="004A4185" w:rsidRPr="009B1A98">
        <w:rPr>
          <w:rFonts w:cs="Times New Roman"/>
          <w:lang w:val="en-US"/>
        </w:rPr>
        <w:t>it’s theoretical value</w:t>
      </w:r>
      <w:r w:rsidR="00B61F90" w:rsidRPr="009B1A98">
        <w:rPr>
          <w:rFonts w:cs="Times New Roman"/>
          <w:lang w:val="en-US"/>
        </w:rPr>
        <w:t xml:space="preserve">, which suggest us to think that </w:t>
      </w:r>
      <w:r w:rsidR="00B61F90" w:rsidRPr="00A650DD">
        <w:rPr>
          <w:rFonts w:cs="Times New Roman"/>
          <w:i/>
          <w:iCs/>
          <w:lang w:val="en-US"/>
        </w:rPr>
        <w:t>the rates used by market participants</w:t>
      </w:r>
      <w:r w:rsidR="00A650DD">
        <w:rPr>
          <w:rFonts w:cs="Times New Roman"/>
          <w:i/>
          <w:iCs/>
          <w:lang w:val="en-US"/>
        </w:rPr>
        <w:t xml:space="preserve"> for the valuation of CHF and EUR futures</w:t>
      </w:r>
      <w:r w:rsidR="00B61F90" w:rsidRPr="00A650DD">
        <w:rPr>
          <w:rFonts w:cs="Times New Roman"/>
          <w:i/>
          <w:iCs/>
          <w:lang w:val="en-US"/>
        </w:rPr>
        <w:t xml:space="preserve"> are close to the Swiss Franc LIBOR and EURIBOR</w:t>
      </w:r>
      <w:r w:rsidR="009B1A98">
        <w:rPr>
          <w:rFonts w:cs="Times New Roman"/>
          <w:lang w:val="en-US"/>
        </w:rPr>
        <w:t>;</w:t>
      </w:r>
    </w:p>
    <w:p w14:paraId="06909111" w14:textId="77777777" w:rsidR="009B1A98" w:rsidRDefault="005E68B9" w:rsidP="009B1A98">
      <w:pPr>
        <w:pStyle w:val="ListParagraph"/>
        <w:numPr>
          <w:ilvl w:val="0"/>
          <w:numId w:val="38"/>
        </w:numPr>
        <w:spacing w:line="360" w:lineRule="auto"/>
        <w:rPr>
          <w:rFonts w:cs="Times New Roman"/>
          <w:lang w:val="en-US"/>
        </w:rPr>
      </w:pPr>
      <w:r w:rsidRPr="009B1A98">
        <w:rPr>
          <w:rFonts w:cs="Times New Roman"/>
          <w:lang w:val="en-US"/>
        </w:rPr>
        <w:t>At the same time</w:t>
      </w:r>
      <w:r w:rsidR="00E50DAC" w:rsidRPr="009B1A98">
        <w:rPr>
          <w:rFonts w:cs="Times New Roman"/>
          <w:lang w:val="en-US"/>
        </w:rPr>
        <w:t>,</w:t>
      </w:r>
      <w:r w:rsidRPr="009B1A98">
        <w:rPr>
          <w:rFonts w:cs="Times New Roman"/>
          <w:lang w:val="en-US"/>
        </w:rPr>
        <w:t xml:space="preserve"> it was determined that the market participants do not adjust prices of FX futures given the new rates at the time when LIBOR rates are announced. </w:t>
      </w:r>
      <w:r w:rsidR="00E50DAC" w:rsidRPr="009B1A98">
        <w:rPr>
          <w:rFonts w:cs="Times New Roman"/>
          <w:lang w:val="en-US"/>
        </w:rPr>
        <w:t xml:space="preserve">This suggest us to think that </w:t>
      </w:r>
      <w:r w:rsidR="00E50DAC" w:rsidRPr="00A650DD">
        <w:rPr>
          <w:rFonts w:cs="Times New Roman"/>
          <w:i/>
          <w:iCs/>
          <w:lang w:val="en-US"/>
        </w:rPr>
        <w:t xml:space="preserve">quoted offered rate are not applied «as is» in FX future valuation and market makers use </w:t>
      </w:r>
      <w:r w:rsidR="009B1A98" w:rsidRPr="00A650DD">
        <w:rPr>
          <w:rFonts w:cs="Times New Roman"/>
          <w:i/>
          <w:iCs/>
          <w:lang w:val="en-US"/>
        </w:rPr>
        <w:t>other</w:t>
      </w:r>
      <w:r w:rsidR="00E50DAC" w:rsidRPr="00A650DD">
        <w:rPr>
          <w:rFonts w:cs="Times New Roman"/>
          <w:i/>
          <w:iCs/>
          <w:lang w:val="en-US"/>
        </w:rPr>
        <w:t xml:space="preserve"> reference rates to price contracts</w:t>
      </w:r>
      <w:r w:rsidR="009B1A98">
        <w:rPr>
          <w:rFonts w:cs="Times New Roman"/>
          <w:lang w:val="en-US"/>
        </w:rPr>
        <w:t>. Though, at least for Swiss Franc and Euro, these rates</w:t>
      </w:r>
      <w:r w:rsidR="00E50DAC" w:rsidRPr="009B1A98">
        <w:rPr>
          <w:rFonts w:cs="Times New Roman"/>
          <w:lang w:val="en-US"/>
        </w:rPr>
        <w:t xml:space="preserve"> are close</w:t>
      </w:r>
      <w:r w:rsidR="009B1A98">
        <w:rPr>
          <w:rFonts w:cs="Times New Roman"/>
          <w:lang w:val="en-US"/>
        </w:rPr>
        <w:t xml:space="preserve"> on average</w:t>
      </w:r>
      <w:r w:rsidR="00E50DAC" w:rsidRPr="009B1A98">
        <w:rPr>
          <w:rFonts w:cs="Times New Roman"/>
          <w:lang w:val="en-US"/>
        </w:rPr>
        <w:t xml:space="preserve"> to</w:t>
      </w:r>
      <w:r w:rsidR="009B1A98">
        <w:rPr>
          <w:rFonts w:cs="Times New Roman"/>
          <w:lang w:val="en-US"/>
        </w:rPr>
        <w:t xml:space="preserve"> the</w:t>
      </w:r>
      <w:r w:rsidR="00E50DAC" w:rsidRPr="009B1A98">
        <w:rPr>
          <w:rFonts w:cs="Times New Roman"/>
          <w:lang w:val="en-US"/>
        </w:rPr>
        <w:t xml:space="preserve"> </w:t>
      </w:r>
      <w:r w:rsidR="009B1A98">
        <w:rPr>
          <w:rFonts w:cs="Times New Roman"/>
          <w:lang w:val="en-US"/>
        </w:rPr>
        <w:t xml:space="preserve">quoted </w:t>
      </w:r>
      <w:r w:rsidR="009B1A98" w:rsidRPr="009B1A98">
        <w:rPr>
          <w:rFonts w:cs="Times New Roman"/>
          <w:lang w:val="en-US"/>
        </w:rPr>
        <w:t>«</w:t>
      </w:r>
      <w:r w:rsidR="00E50DAC" w:rsidRPr="009B1A98">
        <w:rPr>
          <w:rFonts w:cs="Times New Roman"/>
          <w:lang w:val="en-US"/>
        </w:rPr>
        <w:t>offered rates</w:t>
      </w:r>
      <w:r w:rsidR="009B1A98" w:rsidRPr="009B1A98">
        <w:rPr>
          <w:rFonts w:cs="Times New Roman"/>
          <w:lang w:val="en-US"/>
        </w:rPr>
        <w:t>»</w:t>
      </w:r>
      <w:r w:rsidR="00E50DAC" w:rsidRPr="009B1A98">
        <w:rPr>
          <w:rFonts w:cs="Times New Roman"/>
          <w:lang w:val="en-US"/>
        </w:rPr>
        <w:t xml:space="preserve">. </w:t>
      </w:r>
    </w:p>
    <w:p w14:paraId="61C61E5A" w14:textId="699E31E1" w:rsidR="009B1A98" w:rsidRDefault="009B1A98" w:rsidP="009B1A98">
      <w:pPr>
        <w:pStyle w:val="ListParagraph"/>
        <w:numPr>
          <w:ilvl w:val="0"/>
          <w:numId w:val="38"/>
        </w:numPr>
        <w:spacing w:line="360" w:lineRule="auto"/>
        <w:rPr>
          <w:rFonts w:cs="Times New Roman"/>
          <w:lang w:val="en-US"/>
        </w:rPr>
      </w:pPr>
      <w:r>
        <w:rPr>
          <w:rFonts w:cs="Times New Roman"/>
          <w:lang w:val="en-US"/>
        </w:rPr>
        <w:t>W</w:t>
      </w:r>
      <w:r w:rsidR="00CD4CFF" w:rsidRPr="009B1A98">
        <w:rPr>
          <w:rFonts w:cs="Times New Roman"/>
          <w:lang w:val="en-US"/>
        </w:rPr>
        <w:t>e suggest that</w:t>
      </w:r>
      <w:r>
        <w:rPr>
          <w:rFonts w:cs="Times New Roman"/>
          <w:lang w:val="en-US"/>
        </w:rPr>
        <w:t xml:space="preserve">, given that for two major currencies (Swis Franc and Euro) prices of FX futures does not deviate significantly from their theoretical values, </w:t>
      </w:r>
      <w:r w:rsidR="00A650DD">
        <w:rPr>
          <w:rFonts w:cs="Times New Roman"/>
          <w:lang w:val="en-US"/>
        </w:rPr>
        <w:t>we could imply</w:t>
      </w:r>
      <w:r>
        <w:rPr>
          <w:rFonts w:cs="Times New Roman"/>
          <w:lang w:val="en-US"/>
        </w:rPr>
        <w:t xml:space="preserve"> </w:t>
      </w:r>
      <w:r w:rsidRPr="00A650DD">
        <w:rPr>
          <w:rFonts w:cs="Times New Roman"/>
          <w:i/>
          <w:iCs/>
          <w:lang w:val="en-US"/>
        </w:rPr>
        <w:t>efficient transfer of negative interest rates from the currency zone</w:t>
      </w:r>
      <w:r w:rsidR="00A650DD">
        <w:rPr>
          <w:rFonts w:cs="Times New Roman"/>
          <w:i/>
          <w:iCs/>
          <w:lang w:val="en-US"/>
        </w:rPr>
        <w:t>s</w:t>
      </w:r>
      <w:r w:rsidRPr="00A650DD">
        <w:rPr>
          <w:rFonts w:cs="Times New Roman"/>
          <w:i/>
          <w:iCs/>
          <w:lang w:val="en-US"/>
        </w:rPr>
        <w:t xml:space="preserve"> where </w:t>
      </w:r>
      <w:r w:rsidR="00A650DD">
        <w:rPr>
          <w:rFonts w:cs="Times New Roman"/>
          <w:i/>
          <w:iCs/>
          <w:lang w:val="en-US"/>
        </w:rPr>
        <w:t>they are</w:t>
      </w:r>
      <w:r w:rsidRPr="00A650DD">
        <w:rPr>
          <w:rFonts w:cs="Times New Roman"/>
          <w:i/>
          <w:iCs/>
          <w:lang w:val="en-US"/>
        </w:rPr>
        <w:t xml:space="preserve"> stated (e.g. Switzerland or Eurozone), to other jurisdictions in other currency zones</w:t>
      </w:r>
      <w:r>
        <w:rPr>
          <w:rFonts w:cs="Times New Roman"/>
          <w:lang w:val="en-US"/>
        </w:rPr>
        <w:t>. At least this conclusion is applicable for institutional traders/ market makers. They are agents that, by providing liquidity, contribute to the proximity of exchange price to it’s theoretical value even in the presence of negative interest rates. So, in general we could state that, by observing FX future trading data, we could imply that negative interest rates are representative as a rates of lending and borrowing for those organisations, that have much contribution to the total trade volume in CME</w:t>
      </w:r>
      <w:r w:rsidR="00A650DD">
        <w:rPr>
          <w:rFonts w:cs="Times New Roman"/>
          <w:lang w:val="en-US"/>
        </w:rPr>
        <w:t>;</w:t>
      </w:r>
    </w:p>
    <w:p w14:paraId="74EC7BF2" w14:textId="63739C2A" w:rsidR="00A650DD" w:rsidRDefault="00A650DD" w:rsidP="009B1A98">
      <w:pPr>
        <w:pStyle w:val="ListParagraph"/>
        <w:numPr>
          <w:ilvl w:val="0"/>
          <w:numId w:val="38"/>
        </w:numPr>
        <w:spacing w:line="360" w:lineRule="auto"/>
        <w:rPr>
          <w:rFonts w:cs="Times New Roman"/>
          <w:lang w:val="en-US"/>
        </w:rPr>
      </w:pPr>
      <w:r>
        <w:rPr>
          <w:rFonts w:cs="Times New Roman"/>
          <w:lang w:val="en-US"/>
        </w:rPr>
        <w:t xml:space="preserve">In United States, where interest rates are non-negative, the implied risk-free rate used for valuation is consistently higher than USD LIBOR meaning that </w:t>
      </w:r>
      <w:r w:rsidRPr="00A650DD">
        <w:rPr>
          <w:rFonts w:cs="Times New Roman"/>
          <w:i/>
          <w:iCs/>
          <w:lang w:val="en-US"/>
        </w:rPr>
        <w:t>representativeness of USD LIBOR is not as high as</w:t>
      </w:r>
      <w:r>
        <w:rPr>
          <w:rFonts w:cs="Times New Roman"/>
          <w:i/>
          <w:iCs/>
          <w:lang w:val="en-US"/>
        </w:rPr>
        <w:t xml:space="preserve"> the</w:t>
      </w:r>
      <w:r w:rsidRPr="00A650DD">
        <w:rPr>
          <w:rFonts w:cs="Times New Roman"/>
          <w:i/>
          <w:iCs/>
          <w:lang w:val="en-US"/>
        </w:rPr>
        <w:t xml:space="preserve"> representativeness of</w:t>
      </w:r>
      <w:r>
        <w:rPr>
          <w:rFonts w:cs="Times New Roman"/>
          <w:i/>
          <w:iCs/>
          <w:lang w:val="en-US"/>
        </w:rPr>
        <w:t xml:space="preserve"> CHF LIBOR and EURIBOR</w:t>
      </w:r>
      <w:r>
        <w:rPr>
          <w:rFonts w:cs="Times New Roman"/>
          <w:lang w:val="en-US"/>
        </w:rPr>
        <w:t>;</w:t>
      </w:r>
    </w:p>
    <w:p w14:paraId="653AF24A" w14:textId="1C93507F" w:rsidR="00A650DD" w:rsidRDefault="00A650DD" w:rsidP="009B1A98">
      <w:pPr>
        <w:pStyle w:val="ListParagraph"/>
        <w:numPr>
          <w:ilvl w:val="0"/>
          <w:numId w:val="38"/>
        </w:numPr>
        <w:spacing w:line="360" w:lineRule="auto"/>
        <w:rPr>
          <w:rFonts w:cs="Times New Roman"/>
          <w:lang w:val="en-US"/>
        </w:rPr>
      </w:pPr>
      <w:r w:rsidRPr="00A650DD">
        <w:rPr>
          <w:rFonts w:cs="Times New Roman"/>
          <w:i/>
          <w:iCs/>
          <w:lang w:val="en-US"/>
        </w:rPr>
        <w:lastRenderedPageBreak/>
        <w:t>Overnight rates</w:t>
      </w:r>
      <w:r>
        <w:rPr>
          <w:rFonts w:cs="Times New Roman"/>
          <w:lang w:val="en-US"/>
        </w:rPr>
        <w:t xml:space="preserve"> in the form of their expected values during the term of the contract (OIS rates), are </w:t>
      </w:r>
      <w:r w:rsidRPr="00A650DD">
        <w:rPr>
          <w:rFonts w:cs="Times New Roman"/>
          <w:i/>
          <w:iCs/>
          <w:lang w:val="en-US"/>
        </w:rPr>
        <w:t>either not applied for FX futures valuation, or applied indirectly with significant spread</w:t>
      </w:r>
      <w:r>
        <w:rPr>
          <w:rFonts w:cs="Times New Roman"/>
          <w:lang w:val="en-US"/>
        </w:rPr>
        <w:t>. This could be explained by possible effect of the values of derivatives portfolios. These conclusions are supported by by researches of consultants and investment holdings</w:t>
      </w:r>
      <w:r>
        <w:rPr>
          <w:rStyle w:val="FootnoteReference"/>
          <w:rFonts w:cs="Times New Roman"/>
          <w:lang w:val="en-US"/>
        </w:rPr>
        <w:footnoteReference w:id="71"/>
      </w:r>
      <w:r>
        <w:rPr>
          <w:rFonts w:cs="Times New Roman"/>
          <w:lang w:val="en-US"/>
        </w:rPr>
        <w:t xml:space="preserve">. </w:t>
      </w:r>
    </w:p>
    <w:p w14:paraId="0549640C" w14:textId="4D0F7F29" w:rsidR="00A513E4" w:rsidRPr="005F7E45" w:rsidRDefault="00E00F93" w:rsidP="000932F5">
      <w:pPr>
        <w:pStyle w:val="ListParagraph"/>
        <w:numPr>
          <w:ilvl w:val="0"/>
          <w:numId w:val="38"/>
        </w:numPr>
        <w:spacing w:line="360" w:lineRule="auto"/>
        <w:jc w:val="left"/>
        <w:rPr>
          <w:rFonts w:cs="Times New Roman"/>
          <w:lang w:val="en-US"/>
        </w:rPr>
      </w:pPr>
      <w:r w:rsidRPr="005F7E45">
        <w:rPr>
          <w:rFonts w:cs="Times New Roman"/>
          <w:lang w:val="en-US"/>
        </w:rPr>
        <w:t xml:space="preserve">Concenring mentioned </w:t>
      </w:r>
      <w:r w:rsidR="007A2168" w:rsidRPr="005F7E45">
        <w:rPr>
          <w:rFonts w:cs="Times New Roman"/>
          <w:lang w:val="en-US"/>
        </w:rPr>
        <w:t>goal of «i</w:t>
      </w:r>
      <w:r w:rsidR="007A2168" w:rsidRPr="005F7E45">
        <w:rPr>
          <w:rFonts w:cs="Times New Roman"/>
          <w:lang w:val="en-US"/>
        </w:rPr>
        <w:t>dentification of the drivers of pricing of FX futures on currencies with negative domestic interbank interest rates, performed via analysis of the deviations of FX futures prices from the theoretical values</w:t>
      </w:r>
      <w:r w:rsidR="007A2168" w:rsidRPr="005F7E45">
        <w:rPr>
          <w:rFonts w:cs="Times New Roman"/>
          <w:lang w:val="en-US"/>
        </w:rPr>
        <w:t>» we could state that, with regards to the pricing mechanism, based on relative value of money and potential interest earned in one currency against other cuurency, no conceptual difference in pricing drivers is observed for FX futures where at least one currency has negative interbank ledning/ borrowing rate as compare</w:t>
      </w:r>
      <w:r w:rsidR="005F7E45" w:rsidRPr="005F7E45">
        <w:rPr>
          <w:rFonts w:cs="Times New Roman"/>
          <w:lang w:val="en-US"/>
        </w:rPr>
        <w:t>d</w:t>
      </w:r>
      <w:r w:rsidR="007A2168" w:rsidRPr="005F7E45">
        <w:rPr>
          <w:rFonts w:cs="Times New Roman"/>
          <w:lang w:val="en-US"/>
        </w:rPr>
        <w:t xml:space="preserve"> with</w:t>
      </w:r>
      <w:r w:rsidR="005F7E45" w:rsidRPr="005F7E45">
        <w:rPr>
          <w:rFonts w:cs="Times New Roman"/>
          <w:lang w:val="en-US"/>
        </w:rPr>
        <w:t xml:space="preserve"> FX futures on currencies </w:t>
      </w:r>
      <w:r w:rsidR="007A2168" w:rsidRPr="005F7E45">
        <w:rPr>
          <w:rFonts w:cs="Times New Roman"/>
          <w:lang w:val="en-US"/>
        </w:rPr>
        <w:t xml:space="preserve">where </w:t>
      </w:r>
      <w:r w:rsidR="005F7E45" w:rsidRPr="005F7E45">
        <w:rPr>
          <w:rFonts w:cs="Times New Roman"/>
          <w:lang w:val="en-US"/>
        </w:rPr>
        <w:t>both currency have positive interbank lending rates. Rates of all levels are applied for FX futures valuation</w:t>
      </w:r>
      <w:r w:rsidR="005F7E45">
        <w:rPr>
          <w:rFonts w:cs="Times New Roman"/>
          <w:lang w:val="en-US"/>
        </w:rPr>
        <w:t>.</w:t>
      </w:r>
      <w:r w:rsidR="00A513E4" w:rsidRPr="005F7E45">
        <w:rPr>
          <w:rFonts w:cs="Times New Roman"/>
          <w:lang w:val="en-US"/>
        </w:rPr>
        <w:br w:type="page"/>
      </w:r>
    </w:p>
    <w:p w14:paraId="318ED381" w14:textId="5D0B80D4" w:rsidR="00F9178C" w:rsidRDefault="00A513E4" w:rsidP="00A513E4">
      <w:pPr>
        <w:pStyle w:val="Heading1"/>
        <w:rPr>
          <w:lang w:val="en-US"/>
        </w:rPr>
      </w:pPr>
      <w:bookmarkStart w:id="26" w:name="_Toc73483063"/>
      <w:r>
        <w:rPr>
          <w:lang w:val="en-US"/>
        </w:rPr>
        <w:lastRenderedPageBreak/>
        <w:t>LIST OF REFERENCES</w:t>
      </w:r>
      <w:bookmarkEnd w:id="26"/>
    </w:p>
    <w:p w14:paraId="1EE51FF2" w14:textId="77777777" w:rsidR="00B95C60" w:rsidRDefault="00B95C60" w:rsidP="00B95C60">
      <w:pPr>
        <w:pStyle w:val="-"/>
        <w:numPr>
          <w:ilvl w:val="0"/>
          <w:numId w:val="34"/>
        </w:numPr>
      </w:pPr>
      <w:r>
        <w:t>Deloitte. 2019 Global Treasury Survey. A journey toward adoption of new technology</w:t>
      </w:r>
    </w:p>
    <w:p w14:paraId="57073AEA" w14:textId="126BF7B6" w:rsidR="00B95C60" w:rsidRDefault="00B95C60" w:rsidP="00B95C60">
      <w:pPr>
        <w:pStyle w:val="-"/>
        <w:numPr>
          <w:ilvl w:val="0"/>
          <w:numId w:val="34"/>
        </w:numPr>
      </w:pPr>
      <w:r>
        <w:t>Wells Fargo. 2020 Foreign Exchange Risk Management Survey</w:t>
      </w:r>
    </w:p>
    <w:p w14:paraId="530AC680" w14:textId="0A07DD2A" w:rsidR="00E761F0" w:rsidRDefault="00E761F0" w:rsidP="00B95C60">
      <w:pPr>
        <w:pStyle w:val="-"/>
        <w:numPr>
          <w:ilvl w:val="0"/>
          <w:numId w:val="34"/>
        </w:numPr>
      </w:pPr>
      <w:r>
        <w:t xml:space="preserve">BIS. Derivatives statistics. </w:t>
      </w:r>
      <w:hyperlink r:id="rId25" w:history="1">
        <w:r w:rsidRPr="00906081">
          <w:rPr>
            <w:rStyle w:val="Hyperlink"/>
          </w:rPr>
          <w:t>https://stats.bis.org/statx/toc/DER.html</w:t>
        </w:r>
      </w:hyperlink>
      <w:r>
        <w:t xml:space="preserve"> </w:t>
      </w:r>
    </w:p>
    <w:p w14:paraId="3CEC9B1F" w14:textId="41767D0C" w:rsidR="00632A33" w:rsidRDefault="00632A33" w:rsidP="00B95C60">
      <w:pPr>
        <w:pStyle w:val="-"/>
        <w:numPr>
          <w:ilvl w:val="0"/>
          <w:numId w:val="34"/>
        </w:numPr>
      </w:pPr>
      <w:r w:rsidRPr="00632A33">
        <w:t xml:space="preserve">FIA. 2019 Market Data - Derivatives volume grows BRIC by BRIC. March, 2020. </w:t>
      </w:r>
      <w:hyperlink r:id="rId26" w:history="1">
        <w:r w:rsidRPr="00906081">
          <w:rPr>
            <w:rStyle w:val="Hyperlink"/>
          </w:rPr>
          <w:t>https://www.fia.org/marketvoice/articles/2019-market-data-derivatives-volume-grows-bric-bric</w:t>
        </w:r>
      </w:hyperlink>
      <w:r>
        <w:t xml:space="preserve"> </w:t>
      </w:r>
    </w:p>
    <w:p w14:paraId="27109998" w14:textId="28B5BFB1" w:rsidR="009D1415" w:rsidRDefault="009D1415" w:rsidP="00572BF8">
      <w:pPr>
        <w:pStyle w:val="-"/>
        <w:numPr>
          <w:ilvl w:val="0"/>
          <w:numId w:val="34"/>
        </w:numPr>
      </w:pPr>
      <w:r>
        <w:t xml:space="preserve">ISDA. Adoption of RFRs: Major Developments in 2021. April, 2021. </w:t>
      </w:r>
      <w:hyperlink r:id="rId27" w:history="1">
        <w:r w:rsidRPr="00906081">
          <w:rPr>
            <w:rStyle w:val="Hyperlink"/>
          </w:rPr>
          <w:t>https://www.isda.org/a/MzFTE/Adoption-of-RFRs-Major-Developments-in-2021.pdf</w:t>
        </w:r>
      </w:hyperlink>
      <w:r>
        <w:t xml:space="preserve"> </w:t>
      </w:r>
    </w:p>
    <w:p w14:paraId="4B6BFF18" w14:textId="1C3878AA" w:rsidR="00B95C60" w:rsidRDefault="00B95C60" w:rsidP="00B95C60">
      <w:pPr>
        <w:pStyle w:val="-"/>
        <w:numPr>
          <w:ilvl w:val="0"/>
          <w:numId w:val="34"/>
        </w:numPr>
      </w:pPr>
      <w:r>
        <w:t xml:space="preserve">Intercontinental Exchange. «LIBOR®». February, 2021. </w:t>
      </w:r>
      <w:hyperlink r:id="rId28" w:history="1">
        <w:r w:rsidR="001F5F78" w:rsidRPr="00906081">
          <w:rPr>
            <w:rStyle w:val="Hyperlink"/>
          </w:rPr>
          <w:t>https://www.theice.com/iba/libor</w:t>
        </w:r>
      </w:hyperlink>
    </w:p>
    <w:p w14:paraId="3D79D678" w14:textId="4DCDE12B" w:rsidR="005F41B8" w:rsidRDefault="005F41B8" w:rsidP="00B95C60">
      <w:pPr>
        <w:pStyle w:val="-"/>
        <w:numPr>
          <w:ilvl w:val="0"/>
          <w:numId w:val="34"/>
        </w:numPr>
      </w:pPr>
      <w:r w:rsidRPr="005F41B8">
        <w:t>Hull, J. White, A. LIBOR vs. OIS: The Derivatives Discounting Dilemma. 2012. Journal Of Investment Management, Vol. 11, No.3, 14-27</w:t>
      </w:r>
    </w:p>
    <w:p w14:paraId="7E6E5384" w14:textId="3ED6A152" w:rsidR="001F5F78" w:rsidRDefault="001F5F78" w:rsidP="001F5F78">
      <w:pPr>
        <w:pStyle w:val="-"/>
        <w:numPr>
          <w:ilvl w:val="0"/>
          <w:numId w:val="34"/>
        </w:numPr>
      </w:pPr>
      <w:r>
        <w:t xml:space="preserve">ISDA. IBOR Transition Guide for Asia. July, 2020. </w:t>
      </w:r>
      <w:hyperlink r:id="rId29" w:history="1">
        <w:r w:rsidRPr="00906081">
          <w:rPr>
            <w:rStyle w:val="Hyperlink"/>
          </w:rPr>
          <w:t>http://assets.isda.org/media/7b78f06e/202e9dcd-pdf/</w:t>
        </w:r>
      </w:hyperlink>
      <w:r>
        <w:t xml:space="preserve"> </w:t>
      </w:r>
    </w:p>
    <w:p w14:paraId="4AF7ABDE" w14:textId="20B6475B" w:rsidR="00355B32" w:rsidRDefault="00355B32" w:rsidP="001F5F78">
      <w:pPr>
        <w:pStyle w:val="-"/>
        <w:numPr>
          <w:ilvl w:val="0"/>
          <w:numId w:val="34"/>
        </w:numPr>
      </w:pPr>
      <w:r w:rsidRPr="00355B32">
        <w:t>FRM ® Exam part I. Financial Markets and Products. 2020</w:t>
      </w:r>
    </w:p>
    <w:p w14:paraId="09261EA1" w14:textId="77777777" w:rsidR="00B95C60" w:rsidRDefault="00B95C60" w:rsidP="00B95C60">
      <w:pPr>
        <w:pStyle w:val="-"/>
        <w:numPr>
          <w:ilvl w:val="0"/>
          <w:numId w:val="34"/>
        </w:numPr>
      </w:pPr>
      <w:r>
        <w:t>Hull, J. Options, Futures and Other Derivatives. 2018</w:t>
      </w:r>
    </w:p>
    <w:p w14:paraId="1671B0FA" w14:textId="77777777" w:rsidR="00B95C60" w:rsidRDefault="00B95C60" w:rsidP="00B95C60">
      <w:pPr>
        <w:pStyle w:val="-"/>
        <w:numPr>
          <w:ilvl w:val="0"/>
          <w:numId w:val="34"/>
        </w:numPr>
      </w:pPr>
      <w:r>
        <w:t xml:space="preserve">Phan H‐L, Zurbruegg R. The time‐to‐maturity pattern of futures price sensitivity to news. Journal of Futures Markets. 2020; 40:126–144 </w:t>
      </w:r>
    </w:p>
    <w:p w14:paraId="229F19EC" w14:textId="77777777" w:rsidR="00B95C60" w:rsidRDefault="00B95C60" w:rsidP="00B95C60">
      <w:pPr>
        <w:pStyle w:val="-"/>
        <w:numPr>
          <w:ilvl w:val="0"/>
          <w:numId w:val="34"/>
        </w:numPr>
      </w:pPr>
      <w:r>
        <w:t>Jiang X, Han L, Yin L. Can skewness of the futures‐spot basis predict currency spot returns? Journal of Futures Markets. 2019; 39:1435–1449</w:t>
      </w:r>
    </w:p>
    <w:p w14:paraId="4CB247ED" w14:textId="77777777" w:rsidR="00B95C60" w:rsidRDefault="00B95C60" w:rsidP="00B95C60">
      <w:pPr>
        <w:pStyle w:val="-"/>
        <w:numPr>
          <w:ilvl w:val="0"/>
          <w:numId w:val="34"/>
        </w:numPr>
      </w:pPr>
      <w:r>
        <w:t>Hazelkorn T., Moskowitz T., and Vasudevan K. Beyond basis basics: Leverage demand and deviations from the law of one price. National Bureau Of Economic Research. 2020; Working Paper 26773</w:t>
      </w:r>
    </w:p>
    <w:p w14:paraId="6E7E3D17" w14:textId="77777777" w:rsidR="00B95C60" w:rsidRDefault="00B95C60" w:rsidP="00B95C60">
      <w:pPr>
        <w:pStyle w:val="-"/>
        <w:numPr>
          <w:ilvl w:val="0"/>
          <w:numId w:val="34"/>
        </w:numPr>
      </w:pPr>
      <w:r>
        <w:t>Borio C., Iqbal M. McCauley R., McGuire P., Sushko V. The failure of covered interest parity: FX hedging demand and costly balance sheets. 2018; BIS Working Papers. №590</w:t>
      </w:r>
    </w:p>
    <w:p w14:paraId="7BFA8E11" w14:textId="77777777" w:rsidR="00B95C60" w:rsidRDefault="00B95C60" w:rsidP="00B95C60">
      <w:pPr>
        <w:pStyle w:val="-"/>
        <w:numPr>
          <w:ilvl w:val="0"/>
          <w:numId w:val="34"/>
        </w:numPr>
      </w:pPr>
      <w:r>
        <w:t>Ito T. Transmission of monetary policy expectations on the money markets: Comparative analysis of nontraditional monetary policy regimes in Japan. Journal of Corporate Accounting and Finance. 2019;30: 48–53. P.53</w:t>
      </w:r>
    </w:p>
    <w:p w14:paraId="562925F9" w14:textId="77777777" w:rsidR="00B95C60" w:rsidRDefault="00B95C60" w:rsidP="00B95C60">
      <w:pPr>
        <w:pStyle w:val="-"/>
        <w:numPr>
          <w:ilvl w:val="0"/>
          <w:numId w:val="34"/>
        </w:numPr>
      </w:pPr>
      <w:r>
        <w:t>Miyao R, Okimoto T. Regime shifts in the effects of Japan’s unconventional monetary policies. The Manchester School. 2020;88</w:t>
      </w:r>
    </w:p>
    <w:p w14:paraId="03A2AEC8" w14:textId="77777777" w:rsidR="00B95C60" w:rsidRDefault="00B95C60" w:rsidP="00B95C60">
      <w:pPr>
        <w:pStyle w:val="-"/>
        <w:numPr>
          <w:ilvl w:val="0"/>
          <w:numId w:val="34"/>
        </w:numPr>
      </w:pPr>
      <w:r>
        <w:t>Huang X. Macroeconomic news announcements, systemic risk, financial market volatility, and jumps. J Futures Markets. 2018;38: p.514</w:t>
      </w:r>
    </w:p>
    <w:p w14:paraId="00F83FF0" w14:textId="4718B359" w:rsidR="009309AB" w:rsidRDefault="00B95C60" w:rsidP="009309AB">
      <w:pPr>
        <w:pStyle w:val="-"/>
        <w:numPr>
          <w:ilvl w:val="0"/>
          <w:numId w:val="34"/>
        </w:numPr>
      </w:pPr>
      <w:r>
        <w:lastRenderedPageBreak/>
        <w:t>Georgiadis G., Gräb J. Global financial market impact of the announcement of the ECB’s asset purchase programme</w:t>
      </w:r>
      <w:r w:rsidR="001F5F78">
        <w:t>.</w:t>
      </w:r>
      <w:r>
        <w:t xml:space="preserve"> Journal of Financial Stability. 2016; 26 257–265</w:t>
      </w:r>
    </w:p>
    <w:p w14:paraId="6A5FE338" w14:textId="5642B4F6" w:rsidR="009309AB" w:rsidRDefault="009309AB" w:rsidP="00563D23">
      <w:pPr>
        <w:pStyle w:val="-"/>
        <w:numPr>
          <w:ilvl w:val="0"/>
          <w:numId w:val="34"/>
        </w:numPr>
      </w:pPr>
      <w:r>
        <w:t>Mishkin, F. The economics of Money, Banking and Financial Markets. Business School Edition</w:t>
      </w:r>
      <w:r>
        <w:t xml:space="preserve">. </w:t>
      </w:r>
      <w:r>
        <w:t>Fifth Edition. 2019</w:t>
      </w:r>
    </w:p>
    <w:p w14:paraId="37DD0BDD" w14:textId="02B84FED" w:rsidR="008D06E5" w:rsidRDefault="008D06E5" w:rsidP="00B95C60">
      <w:pPr>
        <w:pStyle w:val="-"/>
        <w:numPr>
          <w:ilvl w:val="0"/>
          <w:numId w:val="34"/>
        </w:numPr>
      </w:pPr>
      <w:r w:rsidRPr="008D06E5">
        <w:t xml:space="preserve">Bank of Russia. « MosPrime Rate». </w:t>
      </w:r>
      <w:hyperlink r:id="rId30" w:history="1">
        <w:r w:rsidR="00E35B4E" w:rsidRPr="00583874">
          <w:rPr>
            <w:rStyle w:val="Hyperlink"/>
          </w:rPr>
          <w:t>https://www.cbr.ru/eng/hd_base/mosprime/</w:t>
        </w:r>
      </w:hyperlink>
    </w:p>
    <w:p w14:paraId="329C7A67" w14:textId="2F845A94" w:rsidR="00E35B4E" w:rsidRDefault="00E35B4E" w:rsidP="00E35B4E">
      <w:pPr>
        <w:pStyle w:val="-"/>
        <w:numPr>
          <w:ilvl w:val="0"/>
          <w:numId w:val="34"/>
        </w:numPr>
      </w:pPr>
      <w:r>
        <w:t xml:space="preserve">Blackrock. BlackRock’s Guide to LIBOR Transition. April, 2020. </w:t>
      </w:r>
      <w:hyperlink r:id="rId31" w:history="1">
        <w:r w:rsidRPr="00583874">
          <w:rPr>
            <w:rStyle w:val="Hyperlink"/>
          </w:rPr>
          <w:t>https://www.blackrock.com/corporate/literature/whitepaper/viewpoint-blk-guide-libor-transition-april-2020.pdf</w:t>
        </w:r>
      </w:hyperlink>
      <w:r w:rsidRPr="00E35B4E">
        <w:t xml:space="preserve"> </w:t>
      </w:r>
    </w:p>
    <w:p w14:paraId="38109FC1" w14:textId="4DC3DF96" w:rsidR="00E35B4E" w:rsidRDefault="00E35B4E" w:rsidP="00E35B4E">
      <w:pPr>
        <w:pStyle w:val="-"/>
        <w:numPr>
          <w:ilvl w:val="0"/>
          <w:numId w:val="34"/>
        </w:numPr>
      </w:pPr>
      <w:r>
        <w:t xml:space="preserve">KPMG. Moving to new risk-free rates. January, 2019. </w:t>
      </w:r>
      <w:hyperlink r:id="rId32" w:history="1">
        <w:r w:rsidRPr="00583874">
          <w:rPr>
            <w:rStyle w:val="Hyperlink"/>
          </w:rPr>
          <w:t>https://assets.kpmg/content/dam/kpmg/xx/pdf/2019/01/evolving-libor-risk-free-rates.pdf</w:t>
        </w:r>
      </w:hyperlink>
      <w:r w:rsidRPr="00E35B4E">
        <w:t xml:space="preserve"> </w:t>
      </w:r>
    </w:p>
    <w:p w14:paraId="7D4DFCB1" w14:textId="6CE6AE20" w:rsidR="00E35B4E" w:rsidRDefault="00E35B4E" w:rsidP="004B0506">
      <w:pPr>
        <w:pStyle w:val="-"/>
        <w:numPr>
          <w:ilvl w:val="0"/>
          <w:numId w:val="34"/>
        </w:numPr>
      </w:pPr>
      <w:r>
        <w:t>Bank of England. Monetary Policy Summary and minutes of the Monetary</w:t>
      </w:r>
      <w:r w:rsidRPr="00E35B4E">
        <w:t xml:space="preserve"> </w:t>
      </w:r>
      <w:r>
        <w:t>Policy Committee meeting ending on 3 February 2021.</w:t>
      </w:r>
      <w:r w:rsidRPr="00E35B4E">
        <w:t xml:space="preserve"> </w:t>
      </w:r>
      <w:hyperlink r:id="rId33" w:history="1">
        <w:r w:rsidRPr="00583874">
          <w:rPr>
            <w:rStyle w:val="Hyperlink"/>
          </w:rPr>
          <w:t>https://www.bankofengland.co.uk/-/media/boe/files/monetary-policy-summary-and-minutes/2021/february-2021.pdf</w:t>
        </w:r>
      </w:hyperlink>
      <w:r w:rsidRPr="00E35B4E">
        <w:t xml:space="preserve"> </w:t>
      </w:r>
    </w:p>
    <w:p w14:paraId="68B2FEFA" w14:textId="0C8CD549" w:rsidR="00926CD3" w:rsidRDefault="00926CD3" w:rsidP="004B0506">
      <w:pPr>
        <w:pStyle w:val="-"/>
        <w:numPr>
          <w:ilvl w:val="0"/>
          <w:numId w:val="34"/>
        </w:numPr>
      </w:pPr>
      <w:r w:rsidRPr="00926CD3">
        <w:t xml:space="preserve">Bank of Japan. </w:t>
      </w:r>
      <w:r w:rsidRPr="00926CD3">
        <w:t>«</w:t>
      </w:r>
      <w:r w:rsidRPr="00926CD3">
        <w:t>What kind of role does the official discount rate- the basic interest rate that was used by the Bank in providing loans to financial institutions- currently play?</w:t>
      </w:r>
      <w:r w:rsidRPr="00926CD3">
        <w:t>»</w:t>
      </w:r>
      <w:r w:rsidRPr="00926CD3">
        <w:t xml:space="preserve">. </w:t>
      </w:r>
      <w:hyperlink r:id="rId34" w:history="1">
        <w:r w:rsidRPr="00583874">
          <w:rPr>
            <w:rStyle w:val="Hyperlink"/>
          </w:rPr>
          <w:t>https://www.boj.or.jp/en/announcements/education/oshiete/seisaku/b38.htm/</w:t>
        </w:r>
      </w:hyperlink>
      <w:r w:rsidRPr="00926CD3">
        <w:t xml:space="preserve"> </w:t>
      </w:r>
    </w:p>
    <w:p w14:paraId="11DF1435" w14:textId="70C73E1F" w:rsidR="00A117FA" w:rsidRDefault="00A117FA" w:rsidP="004B0506">
      <w:pPr>
        <w:pStyle w:val="-"/>
        <w:numPr>
          <w:ilvl w:val="0"/>
          <w:numId w:val="34"/>
        </w:numPr>
      </w:pPr>
      <w:r>
        <w:t xml:space="preserve">Bank of Japan. </w:t>
      </w:r>
      <w:r w:rsidRPr="00A117FA">
        <w:t>«</w:t>
      </w:r>
      <w:r w:rsidRPr="00A117FA">
        <w:t>What is the Complementary Deposit Facility? How does a negative interest rate applied to current accounts at the Bank affect financial markets?</w:t>
      </w:r>
      <w:r w:rsidRPr="00A117FA">
        <w:t xml:space="preserve">». </w:t>
      </w:r>
      <w:hyperlink r:id="rId35" w:history="1">
        <w:r w:rsidRPr="00583874">
          <w:rPr>
            <w:rStyle w:val="Hyperlink"/>
          </w:rPr>
          <w:t>https://www.boj.or.jp/en/announcements/education/oshiete/seisaku/b37.htm/</w:t>
        </w:r>
      </w:hyperlink>
      <w:r w:rsidRPr="00A117FA">
        <w:t xml:space="preserve"> </w:t>
      </w:r>
    </w:p>
    <w:p w14:paraId="26A719EF" w14:textId="1600F754" w:rsidR="00A117FA" w:rsidRDefault="00A117FA" w:rsidP="00F60B8E">
      <w:pPr>
        <w:pStyle w:val="-"/>
        <w:numPr>
          <w:ilvl w:val="0"/>
          <w:numId w:val="34"/>
        </w:numPr>
        <w:jc w:val="left"/>
      </w:pPr>
      <w:r>
        <w:t xml:space="preserve">Bank of Japan. </w:t>
      </w:r>
      <w:r w:rsidR="00F60B8E" w:rsidRPr="00F60B8E">
        <w:t>What is the uncollateralized overnight call rate? What is the excess and shortage of funds?</w:t>
      </w:r>
      <w:r w:rsidR="00F60B8E">
        <w:t xml:space="preserve"> </w:t>
      </w:r>
      <w:hyperlink r:id="rId36" w:history="1">
        <w:r w:rsidR="00F60B8E" w:rsidRPr="00583874">
          <w:rPr>
            <w:rStyle w:val="Hyperlink"/>
          </w:rPr>
          <w:t>https://www.boj.or.jp/en/announcements/education/oshiete/seisaku/b32.htm/</w:t>
        </w:r>
      </w:hyperlink>
      <w:r w:rsidR="00F60B8E">
        <w:t xml:space="preserve"> </w:t>
      </w:r>
    </w:p>
    <w:p w14:paraId="3E1D21D7" w14:textId="50B360DB" w:rsidR="00F60B8E" w:rsidRDefault="00F60B8E" w:rsidP="00F60B8E">
      <w:pPr>
        <w:pStyle w:val="-"/>
        <w:numPr>
          <w:ilvl w:val="0"/>
          <w:numId w:val="34"/>
        </w:numPr>
        <w:jc w:val="left"/>
      </w:pPr>
      <w:r>
        <w:t xml:space="preserve">Swiss National Bank. </w:t>
      </w:r>
      <w:r w:rsidR="00C178CF" w:rsidRPr="00C178CF">
        <w:t>«</w:t>
      </w:r>
      <w:r w:rsidRPr="00F60B8E">
        <w:t>Instruction sheet on open market operations</w:t>
      </w:r>
      <w:r w:rsidR="00C178CF" w:rsidRPr="00C178CF">
        <w:t xml:space="preserve">». </w:t>
      </w:r>
      <w:r>
        <w:t xml:space="preserve"> </w:t>
      </w:r>
      <w:hyperlink r:id="rId37" w:history="1">
        <w:r w:rsidR="00C178CF" w:rsidRPr="00583874">
          <w:rPr>
            <w:rStyle w:val="Hyperlink"/>
          </w:rPr>
          <w:t>https://www.snb.ch/en/mmr/reference/repo_mb23/source/repo_mb23.en.pdf</w:t>
        </w:r>
      </w:hyperlink>
    </w:p>
    <w:p w14:paraId="36844EAF" w14:textId="3A58D127" w:rsidR="00C178CF" w:rsidRDefault="00C178CF" w:rsidP="005A1E22">
      <w:pPr>
        <w:pStyle w:val="-"/>
        <w:numPr>
          <w:ilvl w:val="0"/>
          <w:numId w:val="34"/>
        </w:numPr>
        <w:jc w:val="left"/>
      </w:pPr>
      <w:r>
        <w:t xml:space="preserve">Swiss National Bank. </w:t>
      </w:r>
      <w:r w:rsidRPr="00C178CF">
        <w:t>«</w:t>
      </w:r>
      <w:r w:rsidRPr="00C178CF">
        <w:t>Guidelines of the Swiss National Bank on monetary</w:t>
      </w:r>
      <w:r w:rsidRPr="00C178CF">
        <w:t xml:space="preserve"> </w:t>
      </w:r>
      <w:r w:rsidRPr="00C178CF">
        <w:t>policy instruments</w:t>
      </w:r>
      <w:r w:rsidRPr="00C178CF">
        <w:t xml:space="preserve">». </w:t>
      </w:r>
      <w:hyperlink r:id="rId38" w:history="1">
        <w:r w:rsidRPr="00583874">
          <w:rPr>
            <w:rStyle w:val="Hyperlink"/>
          </w:rPr>
          <w:t>https://www.snb.ch/en/mmr/reference/snb_legal_geldpol_instr/source/snb_legal_geldpol_instr.en.pdf</w:t>
        </w:r>
      </w:hyperlink>
      <w:r w:rsidRPr="00C178CF">
        <w:t xml:space="preserve"> </w:t>
      </w:r>
    </w:p>
    <w:p w14:paraId="7C5C9C28" w14:textId="34142213" w:rsidR="00C178CF" w:rsidRDefault="004D3A96" w:rsidP="00600506">
      <w:pPr>
        <w:pStyle w:val="-"/>
        <w:numPr>
          <w:ilvl w:val="0"/>
          <w:numId w:val="34"/>
        </w:numPr>
        <w:jc w:val="left"/>
      </w:pPr>
      <w:r>
        <w:t xml:space="preserve">Swiss National Bank. </w:t>
      </w:r>
      <w:r w:rsidRPr="004D3A96">
        <w:t>«</w:t>
      </w:r>
      <w:r>
        <w:t>Instruction sheet on the liquidity-shortage financing facility</w:t>
      </w:r>
      <w:r w:rsidRPr="004D3A96">
        <w:t xml:space="preserve"> </w:t>
      </w:r>
      <w:r>
        <w:t>(special-rate repo transactions)</w:t>
      </w:r>
      <w:r w:rsidRPr="004D3A96">
        <w:t xml:space="preserve">». </w:t>
      </w:r>
      <w:hyperlink r:id="rId39" w:history="1">
        <w:r w:rsidRPr="00583874">
          <w:rPr>
            <w:rStyle w:val="Hyperlink"/>
          </w:rPr>
          <w:t>https://www.snb.ch/en/mmr/reference/repo_mb25/source/repo_mb25.en.pdf</w:t>
        </w:r>
      </w:hyperlink>
      <w:r w:rsidRPr="004D3A96">
        <w:t xml:space="preserve"> </w:t>
      </w:r>
    </w:p>
    <w:p w14:paraId="036BEFE6" w14:textId="32CC6E65" w:rsidR="00313C94" w:rsidRDefault="00313C94" w:rsidP="003D16DF">
      <w:pPr>
        <w:pStyle w:val="-"/>
        <w:numPr>
          <w:ilvl w:val="0"/>
          <w:numId w:val="34"/>
        </w:numPr>
        <w:jc w:val="left"/>
      </w:pPr>
      <w:r>
        <w:t xml:space="preserve">Swiss. National Bank. </w:t>
      </w:r>
      <w:r w:rsidRPr="00313C94">
        <w:t>«</w:t>
      </w:r>
      <w:r w:rsidRPr="00313C94">
        <w:t>Monetary policy assessment of 24 September 2020</w:t>
      </w:r>
      <w:r w:rsidRPr="00313C94">
        <w:t xml:space="preserve">. </w:t>
      </w:r>
      <w:r w:rsidRPr="00313C94">
        <w:t>Swiss National Bank maintains expansionary monetary policy</w:t>
      </w:r>
      <w:r w:rsidRPr="00313C94">
        <w:t xml:space="preserve">». </w:t>
      </w:r>
      <w:hyperlink r:id="rId40" w:history="1">
        <w:r w:rsidRPr="00583874">
          <w:rPr>
            <w:rStyle w:val="Hyperlink"/>
          </w:rPr>
          <w:t>https://www.snb.ch/en/mmr/reference/pre_20200924_1/source/pre_20200924_1.en.pdf</w:t>
        </w:r>
      </w:hyperlink>
      <w:r w:rsidRPr="00313C94">
        <w:t xml:space="preserve"> </w:t>
      </w:r>
    </w:p>
    <w:p w14:paraId="004FA51F" w14:textId="0CE05BD6" w:rsidR="004D3A96" w:rsidRDefault="00866E8B" w:rsidP="00600506">
      <w:pPr>
        <w:pStyle w:val="-"/>
        <w:numPr>
          <w:ilvl w:val="0"/>
          <w:numId w:val="34"/>
        </w:numPr>
        <w:jc w:val="left"/>
      </w:pPr>
      <w:r>
        <w:lastRenderedPageBreak/>
        <w:t xml:space="preserve">European Central Bank. </w:t>
      </w:r>
      <w:r w:rsidRPr="00866E8B">
        <w:t>«</w:t>
      </w:r>
      <w:r w:rsidRPr="00866E8B">
        <w:t>Monetary policy decisions</w:t>
      </w:r>
      <w:r w:rsidRPr="00866E8B">
        <w:t>»</w:t>
      </w:r>
      <w:r>
        <w:t xml:space="preserve">. </w:t>
      </w:r>
      <w:r w:rsidRPr="00866E8B">
        <w:t>4 June 2020</w:t>
      </w:r>
      <w:r w:rsidRPr="00866E8B">
        <w:t xml:space="preserve">. </w:t>
      </w:r>
      <w:hyperlink r:id="rId41" w:history="1">
        <w:r w:rsidRPr="00583874">
          <w:rPr>
            <w:rStyle w:val="Hyperlink"/>
          </w:rPr>
          <w:t>https://www.ecb.europa.eu/press/pr/date/2020/html/ecb.mp200604~a307d3429c.en.html</w:t>
        </w:r>
      </w:hyperlink>
      <w:r w:rsidRPr="00866E8B">
        <w:t xml:space="preserve"> </w:t>
      </w:r>
    </w:p>
    <w:p w14:paraId="162FDDBD" w14:textId="36B88CC9" w:rsidR="00866E8B" w:rsidRPr="00B95C60" w:rsidRDefault="00313C94" w:rsidP="00600506">
      <w:pPr>
        <w:pStyle w:val="-"/>
        <w:numPr>
          <w:ilvl w:val="0"/>
          <w:numId w:val="34"/>
        </w:numPr>
        <w:jc w:val="left"/>
      </w:pPr>
      <w:r>
        <w:t xml:space="preserve">Bank of England. </w:t>
      </w:r>
      <w:r w:rsidRPr="00313C94">
        <w:t>«</w:t>
      </w:r>
      <w:r w:rsidRPr="00313C94">
        <w:t>Bank of England Market Operations Guide: Our tools</w:t>
      </w:r>
      <w:r w:rsidRPr="00313C94">
        <w:t>»</w:t>
      </w:r>
      <w:r>
        <w:t xml:space="preserve">. </w:t>
      </w:r>
      <w:hyperlink r:id="rId42" w:history="1">
        <w:r w:rsidRPr="00583874">
          <w:rPr>
            <w:rStyle w:val="Hyperlink"/>
          </w:rPr>
          <w:t>https://www.bankofengland.co.uk/markets/bank-of-england-market-operations-guide/our-tools</w:t>
        </w:r>
      </w:hyperlink>
      <w:r>
        <w:t xml:space="preserve"> </w:t>
      </w:r>
    </w:p>
    <w:p w14:paraId="77EE24E6" w14:textId="667C0044" w:rsidR="003668BF" w:rsidRDefault="003668BF" w:rsidP="008226B3">
      <w:pPr>
        <w:spacing w:line="360" w:lineRule="auto"/>
        <w:ind w:firstLine="709"/>
        <w:rPr>
          <w:rFonts w:cs="Times New Roman"/>
          <w:lang w:val="en-US"/>
        </w:rPr>
      </w:pPr>
      <w:r>
        <w:rPr>
          <w:rFonts w:cs="Times New Roman"/>
          <w:lang w:val="en-US"/>
        </w:rPr>
        <w:br w:type="page"/>
      </w:r>
    </w:p>
    <w:p w14:paraId="74C8AB34" w14:textId="77777777" w:rsidR="00F10158" w:rsidRDefault="00F10158" w:rsidP="008226B3">
      <w:pPr>
        <w:spacing w:line="360" w:lineRule="auto"/>
        <w:rPr>
          <w:lang w:val="en-US"/>
        </w:rPr>
        <w:sectPr w:rsidR="00F10158" w:rsidSect="008226B3">
          <w:pgSz w:w="11906" w:h="16838"/>
          <w:pgMar w:top="1134" w:right="851" w:bottom="1134" w:left="1701" w:header="709" w:footer="709" w:gutter="0"/>
          <w:cols w:space="708"/>
          <w:docGrid w:linePitch="360"/>
        </w:sectPr>
      </w:pPr>
    </w:p>
    <w:tbl>
      <w:tblPr>
        <w:tblStyle w:val="TableGrid"/>
        <w:tblW w:w="15446" w:type="dxa"/>
        <w:tblBorders>
          <w:left w:val="none" w:sz="0" w:space="0" w:color="auto"/>
          <w:right w:val="none" w:sz="0" w:space="0" w:color="auto"/>
        </w:tblBorders>
        <w:tblLook w:val="04A0" w:firstRow="1" w:lastRow="0" w:firstColumn="1" w:lastColumn="0" w:noHBand="0" w:noVBand="1"/>
      </w:tblPr>
      <w:tblGrid>
        <w:gridCol w:w="15446"/>
      </w:tblGrid>
      <w:tr w:rsidR="00484429" w:rsidRPr="00566F83" w14:paraId="5285BCB2" w14:textId="77777777" w:rsidTr="00484429">
        <w:tc>
          <w:tcPr>
            <w:tcW w:w="15446" w:type="dxa"/>
            <w:tcBorders>
              <w:top w:val="nil"/>
            </w:tcBorders>
          </w:tcPr>
          <w:p w14:paraId="547974E1" w14:textId="216BADB1" w:rsidR="00484429" w:rsidRDefault="00484429" w:rsidP="00484429">
            <w:pPr>
              <w:pStyle w:val="Heading2"/>
              <w:spacing w:line="360" w:lineRule="auto"/>
              <w:outlineLvl w:val="1"/>
              <w:rPr>
                <w:lang w:val="en-US"/>
              </w:rPr>
            </w:pPr>
            <w:bookmarkStart w:id="27" w:name="_Toc73483064"/>
            <w:r>
              <w:rPr>
                <w:lang w:val="en-US"/>
              </w:rPr>
              <w:lastRenderedPageBreak/>
              <w:t>Appendix 1. Graphical presentation of calculation results</w:t>
            </w:r>
            <w:bookmarkEnd w:id="27"/>
          </w:p>
        </w:tc>
      </w:tr>
      <w:tr w:rsidR="005459B3" w:rsidRPr="00566F83" w14:paraId="0AC06A41" w14:textId="77777777" w:rsidTr="00421805">
        <w:tc>
          <w:tcPr>
            <w:tcW w:w="15446" w:type="dxa"/>
          </w:tcPr>
          <w:p w14:paraId="7AD64FCD" w14:textId="0643DED8" w:rsidR="005459B3" w:rsidRDefault="004E2DC3" w:rsidP="00484429">
            <w:pPr>
              <w:pStyle w:val="a0"/>
            </w:pPr>
            <w:r>
              <w:t>JPY/USD FX future price deviation from theoretical value</w:t>
            </w:r>
          </w:p>
        </w:tc>
      </w:tr>
      <w:tr w:rsidR="005459B3" w14:paraId="5E40F4C8" w14:textId="77777777" w:rsidTr="00484429">
        <w:trPr>
          <w:trHeight w:val="3367"/>
        </w:trPr>
        <w:tc>
          <w:tcPr>
            <w:tcW w:w="15446" w:type="dxa"/>
          </w:tcPr>
          <w:p w14:paraId="12B8FFFB" w14:textId="09E28EB5" w:rsidR="005459B3" w:rsidRDefault="00514414" w:rsidP="00F10158">
            <w:pPr>
              <w:spacing w:line="360" w:lineRule="auto"/>
              <w:jc w:val="center"/>
              <w:rPr>
                <w:lang w:val="en-US"/>
              </w:rPr>
            </w:pPr>
            <w:r>
              <w:rPr>
                <w:noProof/>
                <w:lang w:val="en-US"/>
              </w:rPr>
              <w:drawing>
                <wp:inline distT="0" distB="0" distL="0" distR="0" wp14:anchorId="5ED81468" wp14:editId="51089322">
                  <wp:extent cx="5400000" cy="216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pic:spPr>
                      </pic:pic>
                    </a:graphicData>
                  </a:graphic>
                </wp:inline>
              </w:drawing>
            </w:r>
          </w:p>
        </w:tc>
      </w:tr>
      <w:tr w:rsidR="0013741F" w:rsidRPr="00566F83" w14:paraId="58EED5ED" w14:textId="77777777" w:rsidTr="00421805">
        <w:tc>
          <w:tcPr>
            <w:tcW w:w="15446" w:type="dxa"/>
          </w:tcPr>
          <w:p w14:paraId="7CFB8A20" w14:textId="0CB5EDCD" w:rsidR="0013741F" w:rsidRDefault="0013741F" w:rsidP="00484429">
            <w:pPr>
              <w:pStyle w:val="a0"/>
            </w:pPr>
            <w:r>
              <w:t>GBP/JPY FX future price deviation from theoretical value</w:t>
            </w:r>
          </w:p>
        </w:tc>
      </w:tr>
      <w:tr w:rsidR="0013741F" w14:paraId="3A70D935" w14:textId="77777777" w:rsidTr="00484429">
        <w:trPr>
          <w:trHeight w:val="3352"/>
        </w:trPr>
        <w:tc>
          <w:tcPr>
            <w:tcW w:w="15446" w:type="dxa"/>
          </w:tcPr>
          <w:p w14:paraId="5D91B8F1" w14:textId="6D5C0288" w:rsidR="0013741F" w:rsidRDefault="00514414" w:rsidP="00916AFC">
            <w:pPr>
              <w:spacing w:line="360" w:lineRule="auto"/>
              <w:jc w:val="center"/>
              <w:rPr>
                <w:lang w:val="en-US"/>
              </w:rPr>
            </w:pPr>
            <w:r>
              <w:rPr>
                <w:noProof/>
                <w:lang w:val="en-US"/>
              </w:rPr>
              <w:drawing>
                <wp:inline distT="0" distB="0" distL="0" distR="0" wp14:anchorId="508086AE" wp14:editId="5101525F">
                  <wp:extent cx="5403600" cy="21600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3600" cy="2160000"/>
                          </a:xfrm>
                          <a:prstGeom prst="rect">
                            <a:avLst/>
                          </a:prstGeom>
                          <a:noFill/>
                        </pic:spPr>
                      </pic:pic>
                    </a:graphicData>
                  </a:graphic>
                </wp:inline>
              </w:drawing>
            </w:r>
          </w:p>
        </w:tc>
      </w:tr>
      <w:tr w:rsidR="0013741F" w14:paraId="1F286612" w14:textId="77777777" w:rsidTr="00421805">
        <w:tc>
          <w:tcPr>
            <w:tcW w:w="15446" w:type="dxa"/>
          </w:tcPr>
          <w:p w14:paraId="16499010" w14:textId="19C025DC" w:rsidR="0013741F" w:rsidRDefault="0013741F" w:rsidP="00916AFC">
            <w:pPr>
              <w:spacing w:line="360" w:lineRule="auto"/>
              <w:jc w:val="center"/>
              <w:rPr>
                <w:lang w:val="en-US"/>
              </w:rPr>
            </w:pPr>
            <w:r w:rsidRPr="004E2DC3">
              <w:rPr>
                <w:noProof/>
                <w:lang w:val="en-US"/>
              </w:rPr>
              <w:drawing>
                <wp:inline distT="0" distB="0" distL="0" distR="0" wp14:anchorId="7B792E3A" wp14:editId="0CFD10D5">
                  <wp:extent cx="5819775" cy="1804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54015" cy="181491"/>
                          </a:xfrm>
                          <a:prstGeom prst="rect">
                            <a:avLst/>
                          </a:prstGeom>
                        </pic:spPr>
                      </pic:pic>
                    </a:graphicData>
                  </a:graphic>
                </wp:inline>
              </w:drawing>
            </w:r>
          </w:p>
        </w:tc>
      </w:tr>
    </w:tbl>
    <w:p w14:paraId="74065277" w14:textId="77777777" w:rsidR="00F10158" w:rsidRDefault="00F10158" w:rsidP="008226B3">
      <w:pPr>
        <w:spacing w:line="360" w:lineRule="auto"/>
        <w:ind w:firstLine="709"/>
        <w:rPr>
          <w:lang w:val="en-US"/>
        </w:rPr>
        <w:sectPr w:rsidR="00F10158" w:rsidSect="00F10158">
          <w:pgSz w:w="16838" w:h="11906" w:orient="landscape"/>
          <w:pgMar w:top="1701" w:right="1134" w:bottom="851" w:left="1134" w:header="709" w:footer="709" w:gutter="0"/>
          <w:cols w:space="708"/>
          <w:docGrid w:linePitch="360"/>
        </w:sectPr>
      </w:pPr>
    </w:p>
    <w:tbl>
      <w:tblPr>
        <w:tblStyle w:val="TableGrid"/>
        <w:tblW w:w="15446" w:type="dxa"/>
        <w:tblBorders>
          <w:left w:val="none" w:sz="0" w:space="0" w:color="auto"/>
          <w:right w:val="none" w:sz="0" w:space="0" w:color="auto"/>
        </w:tblBorders>
        <w:tblLook w:val="04A0" w:firstRow="1" w:lastRow="0" w:firstColumn="1" w:lastColumn="0" w:noHBand="0" w:noVBand="1"/>
      </w:tblPr>
      <w:tblGrid>
        <w:gridCol w:w="15446"/>
      </w:tblGrid>
      <w:tr w:rsidR="00421805" w:rsidRPr="00566F83" w14:paraId="489244FC" w14:textId="77777777" w:rsidTr="0061104A">
        <w:tc>
          <w:tcPr>
            <w:tcW w:w="15446" w:type="dxa"/>
          </w:tcPr>
          <w:p w14:paraId="004A9712" w14:textId="3E11B10E" w:rsidR="00421805" w:rsidRDefault="00421805" w:rsidP="00484429">
            <w:pPr>
              <w:pStyle w:val="a0"/>
            </w:pPr>
            <w:r>
              <w:lastRenderedPageBreak/>
              <w:t>CHF/USD FX future price deviation from theoretical value</w:t>
            </w:r>
          </w:p>
        </w:tc>
      </w:tr>
      <w:tr w:rsidR="00421805" w14:paraId="3539879B" w14:textId="77777777" w:rsidTr="0061104A">
        <w:trPr>
          <w:trHeight w:val="3828"/>
        </w:trPr>
        <w:tc>
          <w:tcPr>
            <w:tcW w:w="15446" w:type="dxa"/>
          </w:tcPr>
          <w:p w14:paraId="2E6D6146" w14:textId="00D909C1" w:rsidR="00421805" w:rsidRDefault="00A06202" w:rsidP="0061104A">
            <w:pPr>
              <w:spacing w:line="360" w:lineRule="auto"/>
              <w:jc w:val="center"/>
              <w:rPr>
                <w:lang w:val="en-US"/>
              </w:rPr>
            </w:pPr>
            <w:r>
              <w:rPr>
                <w:noProof/>
                <w:lang w:val="en-US"/>
              </w:rPr>
              <w:drawing>
                <wp:inline distT="0" distB="0" distL="0" distR="0" wp14:anchorId="3ED59840" wp14:editId="2157E74A">
                  <wp:extent cx="5756400" cy="230400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6400" cy="2304000"/>
                          </a:xfrm>
                          <a:prstGeom prst="rect">
                            <a:avLst/>
                          </a:prstGeom>
                          <a:noFill/>
                        </pic:spPr>
                      </pic:pic>
                    </a:graphicData>
                  </a:graphic>
                </wp:inline>
              </w:drawing>
            </w:r>
          </w:p>
        </w:tc>
      </w:tr>
      <w:tr w:rsidR="00421805" w:rsidRPr="00566F83" w14:paraId="4E800087" w14:textId="77777777" w:rsidTr="0061104A">
        <w:tc>
          <w:tcPr>
            <w:tcW w:w="15446" w:type="dxa"/>
          </w:tcPr>
          <w:p w14:paraId="7B142297" w14:textId="734F05EF" w:rsidR="00421805" w:rsidRDefault="00421805" w:rsidP="00484429">
            <w:pPr>
              <w:pStyle w:val="a0"/>
            </w:pPr>
            <w:r>
              <w:t>EUR/CHF FX future price deviation from theoretical value</w:t>
            </w:r>
          </w:p>
        </w:tc>
      </w:tr>
      <w:tr w:rsidR="00421805" w14:paraId="01EFF0AC" w14:textId="77777777" w:rsidTr="0061104A">
        <w:tc>
          <w:tcPr>
            <w:tcW w:w="15446" w:type="dxa"/>
          </w:tcPr>
          <w:p w14:paraId="1FA116AF" w14:textId="633100F9" w:rsidR="00421805" w:rsidRDefault="000A487C" w:rsidP="0061104A">
            <w:pPr>
              <w:spacing w:line="360" w:lineRule="auto"/>
              <w:jc w:val="center"/>
              <w:rPr>
                <w:lang w:val="en-US"/>
              </w:rPr>
            </w:pPr>
            <w:r>
              <w:rPr>
                <w:noProof/>
                <w:lang w:val="en-US"/>
              </w:rPr>
              <w:drawing>
                <wp:inline distT="0" distB="0" distL="0" distR="0" wp14:anchorId="2121F6ED" wp14:editId="69FF3EC0">
                  <wp:extent cx="5756400" cy="230400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6400" cy="2304000"/>
                          </a:xfrm>
                          <a:prstGeom prst="rect">
                            <a:avLst/>
                          </a:prstGeom>
                          <a:noFill/>
                        </pic:spPr>
                      </pic:pic>
                    </a:graphicData>
                  </a:graphic>
                </wp:inline>
              </w:drawing>
            </w:r>
          </w:p>
        </w:tc>
      </w:tr>
      <w:tr w:rsidR="00421805" w14:paraId="6A10B8E1" w14:textId="77777777" w:rsidTr="0061104A">
        <w:tc>
          <w:tcPr>
            <w:tcW w:w="15446" w:type="dxa"/>
          </w:tcPr>
          <w:p w14:paraId="6CF0B9B1" w14:textId="77777777" w:rsidR="00421805" w:rsidRDefault="00421805" w:rsidP="0061104A">
            <w:pPr>
              <w:spacing w:line="360" w:lineRule="auto"/>
              <w:jc w:val="center"/>
              <w:rPr>
                <w:lang w:val="en-US"/>
              </w:rPr>
            </w:pPr>
            <w:r w:rsidRPr="004E2DC3">
              <w:rPr>
                <w:noProof/>
                <w:lang w:val="en-US"/>
              </w:rPr>
              <w:drawing>
                <wp:inline distT="0" distB="0" distL="0" distR="0" wp14:anchorId="1EC23F5C" wp14:editId="1D0561A0">
                  <wp:extent cx="5819775" cy="180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54015" cy="181491"/>
                          </a:xfrm>
                          <a:prstGeom prst="rect">
                            <a:avLst/>
                          </a:prstGeom>
                        </pic:spPr>
                      </pic:pic>
                    </a:graphicData>
                  </a:graphic>
                </wp:inline>
              </w:drawing>
            </w:r>
          </w:p>
        </w:tc>
      </w:tr>
    </w:tbl>
    <w:p w14:paraId="13807CF6" w14:textId="77777777" w:rsidR="00421805" w:rsidRDefault="00421805" w:rsidP="008226B3">
      <w:pPr>
        <w:spacing w:line="360" w:lineRule="auto"/>
        <w:ind w:firstLine="709"/>
        <w:rPr>
          <w:lang w:val="en-US"/>
        </w:rPr>
        <w:sectPr w:rsidR="00421805" w:rsidSect="00421805">
          <w:pgSz w:w="16838" w:h="11906" w:orient="landscape"/>
          <w:pgMar w:top="1701" w:right="1134" w:bottom="851" w:left="1134" w:header="709" w:footer="709" w:gutter="0"/>
          <w:cols w:space="708"/>
          <w:docGrid w:linePitch="360"/>
        </w:sectPr>
      </w:pPr>
    </w:p>
    <w:tbl>
      <w:tblPr>
        <w:tblStyle w:val="TableGrid"/>
        <w:tblW w:w="15446" w:type="dxa"/>
        <w:tblBorders>
          <w:left w:val="none" w:sz="0" w:space="0" w:color="auto"/>
          <w:right w:val="none" w:sz="0" w:space="0" w:color="auto"/>
        </w:tblBorders>
        <w:tblLook w:val="04A0" w:firstRow="1" w:lastRow="0" w:firstColumn="1" w:lastColumn="0" w:noHBand="0" w:noVBand="1"/>
      </w:tblPr>
      <w:tblGrid>
        <w:gridCol w:w="15446"/>
      </w:tblGrid>
      <w:tr w:rsidR="003D6C2D" w:rsidRPr="00566F83" w14:paraId="3D6E06B3" w14:textId="77777777" w:rsidTr="0061104A">
        <w:tc>
          <w:tcPr>
            <w:tcW w:w="15446" w:type="dxa"/>
          </w:tcPr>
          <w:p w14:paraId="103E346E" w14:textId="0737BE59" w:rsidR="003D6C2D" w:rsidRDefault="003D6C2D" w:rsidP="00484429">
            <w:pPr>
              <w:pStyle w:val="a0"/>
            </w:pPr>
            <w:r>
              <w:lastRenderedPageBreak/>
              <w:t>EUR/JPY FX future price deviation from theoretical value</w:t>
            </w:r>
          </w:p>
        </w:tc>
      </w:tr>
      <w:tr w:rsidR="003D6C2D" w14:paraId="4B692E66" w14:textId="77777777" w:rsidTr="0061104A">
        <w:trPr>
          <w:trHeight w:val="3828"/>
        </w:trPr>
        <w:tc>
          <w:tcPr>
            <w:tcW w:w="15446" w:type="dxa"/>
          </w:tcPr>
          <w:p w14:paraId="4103D758" w14:textId="077A11DC" w:rsidR="003D6C2D" w:rsidRDefault="003D6C2D" w:rsidP="0061104A">
            <w:pPr>
              <w:spacing w:line="360" w:lineRule="auto"/>
              <w:jc w:val="center"/>
              <w:rPr>
                <w:lang w:val="en-US"/>
              </w:rPr>
            </w:pPr>
            <w:r>
              <w:rPr>
                <w:noProof/>
                <w:lang w:val="en-US"/>
              </w:rPr>
              <w:drawing>
                <wp:inline distT="0" distB="0" distL="0" distR="0" wp14:anchorId="4658D000" wp14:editId="41ED54B6">
                  <wp:extent cx="5749200" cy="2304000"/>
                  <wp:effectExtent l="0" t="0" r="444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9200" cy="2304000"/>
                          </a:xfrm>
                          <a:prstGeom prst="rect">
                            <a:avLst/>
                          </a:prstGeom>
                          <a:noFill/>
                        </pic:spPr>
                      </pic:pic>
                    </a:graphicData>
                  </a:graphic>
                </wp:inline>
              </w:drawing>
            </w:r>
          </w:p>
        </w:tc>
      </w:tr>
      <w:tr w:rsidR="003D6C2D" w:rsidRPr="00566F83" w14:paraId="50353868" w14:textId="77777777" w:rsidTr="0061104A">
        <w:tc>
          <w:tcPr>
            <w:tcW w:w="15446" w:type="dxa"/>
          </w:tcPr>
          <w:p w14:paraId="1D25DA52" w14:textId="0B7B54B8" w:rsidR="003D6C2D" w:rsidRDefault="00011691" w:rsidP="00484429">
            <w:pPr>
              <w:pStyle w:val="a0"/>
            </w:pPr>
            <w:r>
              <w:t>AUD</w:t>
            </w:r>
            <w:r w:rsidR="003D6C2D">
              <w:t>/</w:t>
            </w:r>
            <w:r>
              <w:t>JPY</w:t>
            </w:r>
            <w:r w:rsidR="003D6C2D">
              <w:t xml:space="preserve"> FX future price deviation from theoretical value</w:t>
            </w:r>
          </w:p>
        </w:tc>
      </w:tr>
      <w:tr w:rsidR="003D6C2D" w14:paraId="38C653ED" w14:textId="77777777" w:rsidTr="0061104A">
        <w:tc>
          <w:tcPr>
            <w:tcW w:w="15446" w:type="dxa"/>
          </w:tcPr>
          <w:p w14:paraId="24C1C599" w14:textId="7B8D010D" w:rsidR="003D6C2D" w:rsidRDefault="00011691" w:rsidP="0061104A">
            <w:pPr>
              <w:spacing w:line="360" w:lineRule="auto"/>
              <w:jc w:val="center"/>
              <w:rPr>
                <w:lang w:val="en-US"/>
              </w:rPr>
            </w:pPr>
            <w:r>
              <w:rPr>
                <w:noProof/>
                <w:lang w:val="en-US"/>
              </w:rPr>
              <w:drawing>
                <wp:inline distT="0" distB="0" distL="0" distR="0" wp14:anchorId="0ED142F0" wp14:editId="6B6E4356">
                  <wp:extent cx="5767200" cy="2304000"/>
                  <wp:effectExtent l="0" t="0" r="508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7200" cy="2304000"/>
                          </a:xfrm>
                          <a:prstGeom prst="rect">
                            <a:avLst/>
                          </a:prstGeom>
                          <a:noFill/>
                        </pic:spPr>
                      </pic:pic>
                    </a:graphicData>
                  </a:graphic>
                </wp:inline>
              </w:drawing>
            </w:r>
          </w:p>
        </w:tc>
      </w:tr>
      <w:tr w:rsidR="003D6C2D" w14:paraId="14EAE43C" w14:textId="77777777" w:rsidTr="0061104A">
        <w:tc>
          <w:tcPr>
            <w:tcW w:w="15446" w:type="dxa"/>
          </w:tcPr>
          <w:p w14:paraId="2B8E80AB" w14:textId="77777777" w:rsidR="003D6C2D" w:rsidRDefault="003D6C2D" w:rsidP="0061104A">
            <w:pPr>
              <w:spacing w:line="360" w:lineRule="auto"/>
              <w:jc w:val="center"/>
              <w:rPr>
                <w:lang w:val="en-US"/>
              </w:rPr>
            </w:pPr>
            <w:r w:rsidRPr="004E2DC3">
              <w:rPr>
                <w:noProof/>
                <w:lang w:val="en-US"/>
              </w:rPr>
              <w:drawing>
                <wp:inline distT="0" distB="0" distL="0" distR="0" wp14:anchorId="21D23AE2" wp14:editId="1929A47B">
                  <wp:extent cx="5819775" cy="18042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54015" cy="181491"/>
                          </a:xfrm>
                          <a:prstGeom prst="rect">
                            <a:avLst/>
                          </a:prstGeom>
                        </pic:spPr>
                      </pic:pic>
                    </a:graphicData>
                  </a:graphic>
                </wp:inline>
              </w:drawing>
            </w:r>
          </w:p>
        </w:tc>
      </w:tr>
      <w:tr w:rsidR="00CA05B7" w:rsidRPr="00566F83" w14:paraId="62C330A3" w14:textId="77777777" w:rsidTr="0061104A">
        <w:tc>
          <w:tcPr>
            <w:tcW w:w="15446" w:type="dxa"/>
          </w:tcPr>
          <w:p w14:paraId="6C3FB301" w14:textId="0E5C12E1" w:rsidR="00CA05B7" w:rsidRDefault="003668BF" w:rsidP="00484429">
            <w:pPr>
              <w:pStyle w:val="a0"/>
            </w:pPr>
            <w:r>
              <w:lastRenderedPageBreak/>
              <w:br w:type="page"/>
            </w:r>
            <w:r w:rsidR="00CA05B7">
              <w:t>EUR/USD FX future price deviation from theoretical value</w:t>
            </w:r>
          </w:p>
        </w:tc>
      </w:tr>
      <w:tr w:rsidR="00CA05B7" w14:paraId="772D563C" w14:textId="77777777" w:rsidTr="0061104A">
        <w:trPr>
          <w:trHeight w:val="3828"/>
        </w:trPr>
        <w:tc>
          <w:tcPr>
            <w:tcW w:w="15446" w:type="dxa"/>
          </w:tcPr>
          <w:p w14:paraId="752DC00B" w14:textId="443E9E2C" w:rsidR="00CA05B7" w:rsidRDefault="00CA05B7" w:rsidP="0061104A">
            <w:pPr>
              <w:spacing w:line="360" w:lineRule="auto"/>
              <w:jc w:val="center"/>
              <w:rPr>
                <w:lang w:val="en-US"/>
              </w:rPr>
            </w:pPr>
            <w:r>
              <w:rPr>
                <w:noProof/>
                <w:lang w:val="en-US"/>
              </w:rPr>
              <w:drawing>
                <wp:inline distT="0" distB="0" distL="0" distR="0" wp14:anchorId="7A437F39" wp14:editId="3146D580">
                  <wp:extent cx="5864400" cy="2304000"/>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64400" cy="2304000"/>
                          </a:xfrm>
                          <a:prstGeom prst="rect">
                            <a:avLst/>
                          </a:prstGeom>
                          <a:noFill/>
                        </pic:spPr>
                      </pic:pic>
                    </a:graphicData>
                  </a:graphic>
                </wp:inline>
              </w:drawing>
            </w:r>
          </w:p>
        </w:tc>
      </w:tr>
      <w:tr w:rsidR="00CA05B7" w:rsidRPr="00566F83" w14:paraId="6B6A1705" w14:textId="77777777" w:rsidTr="0061104A">
        <w:tc>
          <w:tcPr>
            <w:tcW w:w="15446" w:type="dxa"/>
          </w:tcPr>
          <w:p w14:paraId="21523FE6" w14:textId="3839FCFE" w:rsidR="00CA05B7" w:rsidRDefault="0061063D" w:rsidP="00484429">
            <w:pPr>
              <w:pStyle w:val="a0"/>
            </w:pPr>
            <w:r>
              <w:t>EUR</w:t>
            </w:r>
            <w:r w:rsidR="00CA05B7">
              <w:t>/</w:t>
            </w:r>
            <w:r>
              <w:t>GBP</w:t>
            </w:r>
            <w:r w:rsidR="00CA05B7">
              <w:t xml:space="preserve"> FX future price deviation from theoretical value</w:t>
            </w:r>
          </w:p>
        </w:tc>
      </w:tr>
      <w:tr w:rsidR="00CA05B7" w14:paraId="496F1C2F" w14:textId="77777777" w:rsidTr="0061104A">
        <w:tc>
          <w:tcPr>
            <w:tcW w:w="15446" w:type="dxa"/>
          </w:tcPr>
          <w:p w14:paraId="60020B0F" w14:textId="5B50361C" w:rsidR="00CA05B7" w:rsidRDefault="0061063D" w:rsidP="0061104A">
            <w:pPr>
              <w:spacing w:line="360" w:lineRule="auto"/>
              <w:jc w:val="center"/>
              <w:rPr>
                <w:lang w:val="en-US"/>
              </w:rPr>
            </w:pPr>
            <w:r>
              <w:rPr>
                <w:noProof/>
                <w:lang w:val="en-US"/>
              </w:rPr>
              <w:drawing>
                <wp:inline distT="0" distB="0" distL="0" distR="0" wp14:anchorId="04F2FBCC" wp14:editId="2F38BBD8">
                  <wp:extent cx="5756400" cy="230400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6400" cy="2304000"/>
                          </a:xfrm>
                          <a:prstGeom prst="rect">
                            <a:avLst/>
                          </a:prstGeom>
                          <a:noFill/>
                        </pic:spPr>
                      </pic:pic>
                    </a:graphicData>
                  </a:graphic>
                </wp:inline>
              </w:drawing>
            </w:r>
          </w:p>
        </w:tc>
      </w:tr>
      <w:tr w:rsidR="00CA05B7" w14:paraId="7A80C349" w14:textId="77777777" w:rsidTr="001D3316">
        <w:tc>
          <w:tcPr>
            <w:tcW w:w="15446" w:type="dxa"/>
            <w:tcBorders>
              <w:bottom w:val="single" w:sz="4" w:space="0" w:color="auto"/>
            </w:tcBorders>
          </w:tcPr>
          <w:p w14:paraId="469919D4" w14:textId="77777777" w:rsidR="00CA05B7" w:rsidRDefault="00CA05B7" w:rsidP="0061104A">
            <w:pPr>
              <w:spacing w:line="360" w:lineRule="auto"/>
              <w:jc w:val="center"/>
              <w:rPr>
                <w:lang w:val="en-US"/>
              </w:rPr>
            </w:pPr>
            <w:r w:rsidRPr="004E2DC3">
              <w:rPr>
                <w:noProof/>
                <w:lang w:val="en-US"/>
              </w:rPr>
              <w:drawing>
                <wp:inline distT="0" distB="0" distL="0" distR="0" wp14:anchorId="66BB218D" wp14:editId="34030852">
                  <wp:extent cx="5819775" cy="18042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54015" cy="181491"/>
                          </a:xfrm>
                          <a:prstGeom prst="rect">
                            <a:avLst/>
                          </a:prstGeom>
                        </pic:spPr>
                      </pic:pic>
                    </a:graphicData>
                  </a:graphic>
                </wp:inline>
              </w:drawing>
            </w:r>
          </w:p>
        </w:tc>
      </w:tr>
      <w:tr w:rsidR="001D3316" w:rsidRPr="00566F83" w14:paraId="3E55DD87" w14:textId="77777777" w:rsidTr="001D3316">
        <w:tblPrEx>
          <w:tblBorders>
            <w:left w:val="single" w:sz="4" w:space="0" w:color="auto"/>
            <w:right w:val="single" w:sz="4" w:space="0" w:color="auto"/>
          </w:tblBorders>
        </w:tblPrEx>
        <w:tc>
          <w:tcPr>
            <w:tcW w:w="15446" w:type="dxa"/>
            <w:tcBorders>
              <w:left w:val="nil"/>
              <w:right w:val="nil"/>
            </w:tcBorders>
          </w:tcPr>
          <w:p w14:paraId="433E0BC2" w14:textId="08D56EC1" w:rsidR="001D3316" w:rsidRDefault="00E0747E" w:rsidP="00484429">
            <w:pPr>
              <w:pStyle w:val="a0"/>
            </w:pPr>
            <w:r>
              <w:lastRenderedPageBreak/>
              <w:t>GBP</w:t>
            </w:r>
            <w:r w:rsidR="001D3316">
              <w:t>/</w:t>
            </w:r>
            <w:r>
              <w:t>CHF</w:t>
            </w:r>
            <w:r w:rsidR="001D3316">
              <w:t xml:space="preserve"> FX future price deviation from theoretical value</w:t>
            </w:r>
          </w:p>
        </w:tc>
      </w:tr>
      <w:tr w:rsidR="001D3316" w14:paraId="19D80098" w14:textId="77777777" w:rsidTr="001D3316">
        <w:tblPrEx>
          <w:tblBorders>
            <w:left w:val="single" w:sz="4" w:space="0" w:color="auto"/>
            <w:right w:val="single" w:sz="4" w:space="0" w:color="auto"/>
          </w:tblBorders>
        </w:tblPrEx>
        <w:trPr>
          <w:trHeight w:val="3828"/>
        </w:trPr>
        <w:tc>
          <w:tcPr>
            <w:tcW w:w="15446" w:type="dxa"/>
            <w:tcBorders>
              <w:left w:val="nil"/>
              <w:right w:val="nil"/>
            </w:tcBorders>
          </w:tcPr>
          <w:p w14:paraId="7F206BE4" w14:textId="418C6E66" w:rsidR="001D3316" w:rsidRDefault="00E0747E" w:rsidP="0061104A">
            <w:pPr>
              <w:spacing w:line="360" w:lineRule="auto"/>
              <w:jc w:val="center"/>
              <w:rPr>
                <w:lang w:val="en-US"/>
              </w:rPr>
            </w:pPr>
            <w:r>
              <w:rPr>
                <w:noProof/>
                <w:lang w:val="en-US"/>
              </w:rPr>
              <w:drawing>
                <wp:inline distT="0" distB="0" distL="0" distR="0" wp14:anchorId="7783EC6B" wp14:editId="43741D3D">
                  <wp:extent cx="5756400" cy="230400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6400" cy="2304000"/>
                          </a:xfrm>
                          <a:prstGeom prst="rect">
                            <a:avLst/>
                          </a:prstGeom>
                          <a:noFill/>
                        </pic:spPr>
                      </pic:pic>
                    </a:graphicData>
                  </a:graphic>
                </wp:inline>
              </w:drawing>
            </w:r>
          </w:p>
        </w:tc>
      </w:tr>
      <w:tr w:rsidR="001D3316" w:rsidRPr="00566F83" w14:paraId="7D2F16CC" w14:textId="77777777" w:rsidTr="001D3316">
        <w:tblPrEx>
          <w:tblBorders>
            <w:left w:val="single" w:sz="4" w:space="0" w:color="auto"/>
            <w:right w:val="single" w:sz="4" w:space="0" w:color="auto"/>
          </w:tblBorders>
        </w:tblPrEx>
        <w:tc>
          <w:tcPr>
            <w:tcW w:w="15446" w:type="dxa"/>
            <w:tcBorders>
              <w:left w:val="nil"/>
              <w:right w:val="nil"/>
            </w:tcBorders>
          </w:tcPr>
          <w:p w14:paraId="0E9B76F4" w14:textId="5F9227EC" w:rsidR="001D3316" w:rsidRDefault="00F76594" w:rsidP="00484429">
            <w:pPr>
              <w:pStyle w:val="a0"/>
            </w:pPr>
            <w:r>
              <w:t>RUB</w:t>
            </w:r>
            <w:r w:rsidR="001D3316">
              <w:t>/</w:t>
            </w:r>
            <w:r>
              <w:t>USD</w:t>
            </w:r>
            <w:r w:rsidR="001D3316">
              <w:t xml:space="preserve"> FX future price deviation from theoretical value</w:t>
            </w:r>
          </w:p>
        </w:tc>
      </w:tr>
      <w:tr w:rsidR="001D3316" w14:paraId="6AE00703" w14:textId="77777777" w:rsidTr="001D3316">
        <w:tblPrEx>
          <w:tblBorders>
            <w:left w:val="single" w:sz="4" w:space="0" w:color="auto"/>
            <w:right w:val="single" w:sz="4" w:space="0" w:color="auto"/>
          </w:tblBorders>
        </w:tblPrEx>
        <w:tc>
          <w:tcPr>
            <w:tcW w:w="15446" w:type="dxa"/>
            <w:tcBorders>
              <w:left w:val="nil"/>
              <w:right w:val="nil"/>
            </w:tcBorders>
          </w:tcPr>
          <w:p w14:paraId="128A9E1A" w14:textId="34AE750A" w:rsidR="001D3316" w:rsidRDefault="00E0747E" w:rsidP="0061104A">
            <w:pPr>
              <w:spacing w:line="360" w:lineRule="auto"/>
              <w:jc w:val="center"/>
              <w:rPr>
                <w:lang w:val="en-US"/>
              </w:rPr>
            </w:pPr>
            <w:r>
              <w:rPr>
                <w:noProof/>
                <w:lang w:val="en-US"/>
              </w:rPr>
              <w:drawing>
                <wp:inline distT="0" distB="0" distL="0" distR="0" wp14:anchorId="03C700EF" wp14:editId="23CCD288">
                  <wp:extent cx="5760000" cy="230400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0" cy="2304000"/>
                          </a:xfrm>
                          <a:prstGeom prst="rect">
                            <a:avLst/>
                          </a:prstGeom>
                          <a:noFill/>
                        </pic:spPr>
                      </pic:pic>
                    </a:graphicData>
                  </a:graphic>
                </wp:inline>
              </w:drawing>
            </w:r>
          </w:p>
        </w:tc>
      </w:tr>
      <w:tr w:rsidR="001D3316" w14:paraId="72B09C82" w14:textId="77777777" w:rsidTr="00F138E4">
        <w:tblPrEx>
          <w:tblBorders>
            <w:left w:val="single" w:sz="4" w:space="0" w:color="auto"/>
            <w:right w:val="single" w:sz="4" w:space="0" w:color="auto"/>
          </w:tblBorders>
        </w:tblPrEx>
        <w:tc>
          <w:tcPr>
            <w:tcW w:w="15446" w:type="dxa"/>
            <w:tcBorders>
              <w:left w:val="nil"/>
              <w:bottom w:val="single" w:sz="4" w:space="0" w:color="auto"/>
              <w:right w:val="nil"/>
            </w:tcBorders>
          </w:tcPr>
          <w:p w14:paraId="2F79E771" w14:textId="77777777" w:rsidR="001D3316" w:rsidRDefault="001D3316" w:rsidP="0061104A">
            <w:pPr>
              <w:spacing w:line="360" w:lineRule="auto"/>
              <w:jc w:val="center"/>
              <w:rPr>
                <w:lang w:val="en-US"/>
              </w:rPr>
            </w:pPr>
            <w:r w:rsidRPr="004E2DC3">
              <w:rPr>
                <w:noProof/>
                <w:lang w:val="en-US"/>
              </w:rPr>
              <w:drawing>
                <wp:inline distT="0" distB="0" distL="0" distR="0" wp14:anchorId="30436E92" wp14:editId="25F5A857">
                  <wp:extent cx="5819775" cy="1804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54015" cy="181491"/>
                          </a:xfrm>
                          <a:prstGeom prst="rect">
                            <a:avLst/>
                          </a:prstGeom>
                        </pic:spPr>
                      </pic:pic>
                    </a:graphicData>
                  </a:graphic>
                </wp:inline>
              </w:drawing>
            </w:r>
          </w:p>
        </w:tc>
      </w:tr>
      <w:tr w:rsidR="00F138E4" w:rsidRPr="00566F83" w14:paraId="6658FF24" w14:textId="77777777" w:rsidTr="00F138E4">
        <w:tblPrEx>
          <w:tblBorders>
            <w:left w:val="single" w:sz="4" w:space="0" w:color="auto"/>
            <w:right w:val="single" w:sz="4" w:space="0" w:color="auto"/>
          </w:tblBorders>
        </w:tblPrEx>
        <w:tc>
          <w:tcPr>
            <w:tcW w:w="15446" w:type="dxa"/>
            <w:tcBorders>
              <w:left w:val="nil"/>
              <w:right w:val="nil"/>
            </w:tcBorders>
          </w:tcPr>
          <w:p w14:paraId="0E18BEB6" w14:textId="47BC2DBE" w:rsidR="00F138E4" w:rsidRDefault="00F138E4" w:rsidP="00484429">
            <w:pPr>
              <w:pStyle w:val="a0"/>
            </w:pPr>
            <w:r>
              <w:lastRenderedPageBreak/>
              <w:t>AUD/USD FX future price deviation from theoretical value</w:t>
            </w:r>
          </w:p>
        </w:tc>
      </w:tr>
      <w:tr w:rsidR="00F138E4" w14:paraId="7B29F7DF" w14:textId="77777777" w:rsidTr="00F138E4">
        <w:tblPrEx>
          <w:tblBorders>
            <w:left w:val="single" w:sz="4" w:space="0" w:color="auto"/>
            <w:right w:val="single" w:sz="4" w:space="0" w:color="auto"/>
          </w:tblBorders>
        </w:tblPrEx>
        <w:trPr>
          <w:trHeight w:val="3828"/>
        </w:trPr>
        <w:tc>
          <w:tcPr>
            <w:tcW w:w="15446" w:type="dxa"/>
            <w:tcBorders>
              <w:left w:val="nil"/>
              <w:right w:val="nil"/>
            </w:tcBorders>
          </w:tcPr>
          <w:p w14:paraId="7F40FCAA" w14:textId="52389254" w:rsidR="00F138E4" w:rsidRDefault="00F138E4" w:rsidP="0061104A">
            <w:pPr>
              <w:spacing w:line="360" w:lineRule="auto"/>
              <w:jc w:val="center"/>
              <w:rPr>
                <w:lang w:val="en-US"/>
              </w:rPr>
            </w:pPr>
            <w:r>
              <w:rPr>
                <w:noProof/>
                <w:lang w:val="en-US"/>
              </w:rPr>
              <w:drawing>
                <wp:inline distT="0" distB="0" distL="0" distR="0" wp14:anchorId="72230A60" wp14:editId="5F5273C2">
                  <wp:extent cx="5756400" cy="230400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6400" cy="2304000"/>
                          </a:xfrm>
                          <a:prstGeom prst="rect">
                            <a:avLst/>
                          </a:prstGeom>
                          <a:noFill/>
                        </pic:spPr>
                      </pic:pic>
                    </a:graphicData>
                  </a:graphic>
                </wp:inline>
              </w:drawing>
            </w:r>
          </w:p>
        </w:tc>
      </w:tr>
      <w:tr w:rsidR="00F138E4" w:rsidRPr="00566F83" w14:paraId="5510F586" w14:textId="77777777" w:rsidTr="00F138E4">
        <w:tblPrEx>
          <w:tblBorders>
            <w:left w:val="single" w:sz="4" w:space="0" w:color="auto"/>
            <w:right w:val="single" w:sz="4" w:space="0" w:color="auto"/>
          </w:tblBorders>
        </w:tblPrEx>
        <w:tc>
          <w:tcPr>
            <w:tcW w:w="15446" w:type="dxa"/>
            <w:tcBorders>
              <w:left w:val="nil"/>
              <w:right w:val="nil"/>
            </w:tcBorders>
          </w:tcPr>
          <w:p w14:paraId="1417186E" w14:textId="53D8AC66" w:rsidR="00F138E4" w:rsidRDefault="00191448" w:rsidP="00484429">
            <w:pPr>
              <w:pStyle w:val="a0"/>
            </w:pPr>
            <w:r>
              <w:t>CAD</w:t>
            </w:r>
            <w:r w:rsidR="00F138E4">
              <w:t>/</w:t>
            </w:r>
            <w:r>
              <w:t>USD</w:t>
            </w:r>
            <w:r w:rsidR="00F138E4">
              <w:t xml:space="preserve"> FX future price deviation from theoretical value</w:t>
            </w:r>
          </w:p>
        </w:tc>
      </w:tr>
      <w:tr w:rsidR="00F138E4" w14:paraId="733DB741" w14:textId="77777777" w:rsidTr="00F138E4">
        <w:tblPrEx>
          <w:tblBorders>
            <w:left w:val="single" w:sz="4" w:space="0" w:color="auto"/>
            <w:right w:val="single" w:sz="4" w:space="0" w:color="auto"/>
          </w:tblBorders>
        </w:tblPrEx>
        <w:tc>
          <w:tcPr>
            <w:tcW w:w="15446" w:type="dxa"/>
            <w:tcBorders>
              <w:left w:val="nil"/>
              <w:right w:val="nil"/>
            </w:tcBorders>
          </w:tcPr>
          <w:p w14:paraId="06A7ED0D" w14:textId="1C09D629" w:rsidR="00F138E4" w:rsidRDefault="00191448" w:rsidP="0061104A">
            <w:pPr>
              <w:spacing w:line="360" w:lineRule="auto"/>
              <w:jc w:val="center"/>
              <w:rPr>
                <w:lang w:val="en-US"/>
              </w:rPr>
            </w:pPr>
            <w:r>
              <w:rPr>
                <w:noProof/>
                <w:lang w:val="en-US"/>
              </w:rPr>
              <w:drawing>
                <wp:inline distT="0" distB="0" distL="0" distR="0" wp14:anchorId="4D1FEA21" wp14:editId="4069A80E">
                  <wp:extent cx="5760000" cy="230400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00" cy="2304000"/>
                          </a:xfrm>
                          <a:prstGeom prst="rect">
                            <a:avLst/>
                          </a:prstGeom>
                          <a:noFill/>
                        </pic:spPr>
                      </pic:pic>
                    </a:graphicData>
                  </a:graphic>
                </wp:inline>
              </w:drawing>
            </w:r>
          </w:p>
        </w:tc>
      </w:tr>
      <w:tr w:rsidR="00F138E4" w14:paraId="645D7A81" w14:textId="77777777" w:rsidTr="00AA09D6">
        <w:tblPrEx>
          <w:tblBorders>
            <w:left w:val="single" w:sz="4" w:space="0" w:color="auto"/>
            <w:right w:val="single" w:sz="4" w:space="0" w:color="auto"/>
          </w:tblBorders>
        </w:tblPrEx>
        <w:tc>
          <w:tcPr>
            <w:tcW w:w="15446" w:type="dxa"/>
            <w:tcBorders>
              <w:left w:val="nil"/>
              <w:bottom w:val="single" w:sz="4" w:space="0" w:color="auto"/>
              <w:right w:val="nil"/>
            </w:tcBorders>
          </w:tcPr>
          <w:p w14:paraId="21AC26E9" w14:textId="77777777" w:rsidR="00F138E4" w:rsidRDefault="00F138E4" w:rsidP="0061104A">
            <w:pPr>
              <w:spacing w:line="360" w:lineRule="auto"/>
              <w:jc w:val="center"/>
              <w:rPr>
                <w:lang w:val="en-US"/>
              </w:rPr>
            </w:pPr>
            <w:r w:rsidRPr="004E2DC3">
              <w:rPr>
                <w:noProof/>
                <w:lang w:val="en-US"/>
              </w:rPr>
              <w:drawing>
                <wp:inline distT="0" distB="0" distL="0" distR="0" wp14:anchorId="7A4A69A1" wp14:editId="13C33522">
                  <wp:extent cx="5819775" cy="18042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54015" cy="181491"/>
                          </a:xfrm>
                          <a:prstGeom prst="rect">
                            <a:avLst/>
                          </a:prstGeom>
                        </pic:spPr>
                      </pic:pic>
                    </a:graphicData>
                  </a:graphic>
                </wp:inline>
              </w:drawing>
            </w:r>
          </w:p>
        </w:tc>
      </w:tr>
      <w:tr w:rsidR="00AA09D6" w:rsidRPr="00566F83" w14:paraId="6612AE6D" w14:textId="77777777" w:rsidTr="00AA09D6">
        <w:tblPrEx>
          <w:tblBorders>
            <w:left w:val="single" w:sz="4" w:space="0" w:color="auto"/>
            <w:right w:val="single" w:sz="4" w:space="0" w:color="auto"/>
          </w:tblBorders>
        </w:tblPrEx>
        <w:tc>
          <w:tcPr>
            <w:tcW w:w="15446" w:type="dxa"/>
            <w:tcBorders>
              <w:left w:val="nil"/>
              <w:right w:val="nil"/>
            </w:tcBorders>
          </w:tcPr>
          <w:p w14:paraId="7E92F01E" w14:textId="3E2E532C" w:rsidR="00AA09D6" w:rsidRDefault="00AA09D6" w:rsidP="00484429">
            <w:pPr>
              <w:pStyle w:val="a0"/>
            </w:pPr>
            <w:r>
              <w:lastRenderedPageBreak/>
              <w:t>GBP/USD FX future price deviation from theoretical value</w:t>
            </w:r>
          </w:p>
        </w:tc>
      </w:tr>
      <w:tr w:rsidR="00AA09D6" w14:paraId="0BB84104" w14:textId="77777777" w:rsidTr="00AA09D6">
        <w:tblPrEx>
          <w:tblBorders>
            <w:left w:val="single" w:sz="4" w:space="0" w:color="auto"/>
            <w:right w:val="single" w:sz="4" w:space="0" w:color="auto"/>
          </w:tblBorders>
        </w:tblPrEx>
        <w:trPr>
          <w:trHeight w:val="3828"/>
        </w:trPr>
        <w:tc>
          <w:tcPr>
            <w:tcW w:w="15446" w:type="dxa"/>
            <w:tcBorders>
              <w:left w:val="nil"/>
              <w:right w:val="nil"/>
            </w:tcBorders>
          </w:tcPr>
          <w:p w14:paraId="75BA6B6E" w14:textId="4B6A800F" w:rsidR="00AA09D6" w:rsidRDefault="00AA09D6" w:rsidP="0061104A">
            <w:pPr>
              <w:spacing w:line="360" w:lineRule="auto"/>
              <w:jc w:val="center"/>
              <w:rPr>
                <w:lang w:val="en-US"/>
              </w:rPr>
            </w:pPr>
            <w:r>
              <w:rPr>
                <w:noProof/>
                <w:lang w:val="en-US"/>
              </w:rPr>
              <w:drawing>
                <wp:inline distT="0" distB="0" distL="0" distR="0" wp14:anchorId="465DEBB0" wp14:editId="4FBF94A4">
                  <wp:extent cx="5756400" cy="230400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6400" cy="2304000"/>
                          </a:xfrm>
                          <a:prstGeom prst="rect">
                            <a:avLst/>
                          </a:prstGeom>
                          <a:noFill/>
                        </pic:spPr>
                      </pic:pic>
                    </a:graphicData>
                  </a:graphic>
                </wp:inline>
              </w:drawing>
            </w:r>
          </w:p>
        </w:tc>
      </w:tr>
      <w:tr w:rsidR="00AA09D6" w14:paraId="353A9F41" w14:textId="77777777" w:rsidTr="00AA09D6">
        <w:tblPrEx>
          <w:tblBorders>
            <w:left w:val="single" w:sz="4" w:space="0" w:color="auto"/>
            <w:right w:val="single" w:sz="4" w:space="0" w:color="auto"/>
          </w:tblBorders>
        </w:tblPrEx>
        <w:tc>
          <w:tcPr>
            <w:tcW w:w="15446" w:type="dxa"/>
            <w:tcBorders>
              <w:left w:val="nil"/>
              <w:right w:val="nil"/>
            </w:tcBorders>
          </w:tcPr>
          <w:p w14:paraId="145FAB48" w14:textId="77777777" w:rsidR="00AA09D6" w:rsidRDefault="00AA09D6" w:rsidP="0061104A">
            <w:pPr>
              <w:spacing w:line="360" w:lineRule="auto"/>
              <w:jc w:val="center"/>
              <w:rPr>
                <w:lang w:val="en-US"/>
              </w:rPr>
            </w:pPr>
            <w:r w:rsidRPr="004E2DC3">
              <w:rPr>
                <w:noProof/>
                <w:lang w:val="en-US"/>
              </w:rPr>
              <w:drawing>
                <wp:inline distT="0" distB="0" distL="0" distR="0" wp14:anchorId="2DBD202C" wp14:editId="4B8805AF">
                  <wp:extent cx="5819775" cy="18042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54015" cy="181491"/>
                          </a:xfrm>
                          <a:prstGeom prst="rect">
                            <a:avLst/>
                          </a:prstGeom>
                        </pic:spPr>
                      </pic:pic>
                    </a:graphicData>
                  </a:graphic>
                </wp:inline>
              </w:drawing>
            </w:r>
          </w:p>
        </w:tc>
      </w:tr>
    </w:tbl>
    <w:p w14:paraId="4ACCF414" w14:textId="26AE2ECE" w:rsidR="001D3316" w:rsidRDefault="00484429" w:rsidP="00484429">
      <w:pPr>
        <w:pStyle w:val="a1"/>
      </w:pPr>
      <w:r>
        <w:t>Source: Author’s calculations</w:t>
      </w:r>
    </w:p>
    <w:p w14:paraId="1C574D20" w14:textId="77777777" w:rsidR="001D3316" w:rsidRDefault="001D3316">
      <w:pPr>
        <w:jc w:val="left"/>
        <w:rPr>
          <w:lang w:val="en-US"/>
        </w:rPr>
      </w:pPr>
      <w:r>
        <w:rPr>
          <w:lang w:val="en-US"/>
        </w:rPr>
        <w:br w:type="page"/>
      </w:r>
    </w:p>
    <w:p w14:paraId="4DDF64BA" w14:textId="77777777" w:rsidR="00907D96" w:rsidRDefault="00907D96" w:rsidP="008226B3">
      <w:pPr>
        <w:spacing w:line="360" w:lineRule="auto"/>
        <w:ind w:firstLine="709"/>
        <w:rPr>
          <w:lang w:val="en-US"/>
        </w:rPr>
        <w:sectPr w:rsidR="00907D96" w:rsidSect="003D6C2D">
          <w:pgSz w:w="16838" w:h="11906" w:orient="landscape"/>
          <w:pgMar w:top="1701" w:right="1134" w:bottom="851" w:left="1134" w:header="709" w:footer="709" w:gutter="0"/>
          <w:cols w:space="708"/>
          <w:docGrid w:linePitch="360"/>
        </w:sectPr>
      </w:pPr>
    </w:p>
    <w:p w14:paraId="5F29DCB9" w14:textId="13944CD6" w:rsidR="005D1EDB" w:rsidRDefault="005D1EDB" w:rsidP="008226B3">
      <w:pPr>
        <w:pStyle w:val="Heading2"/>
        <w:spacing w:line="360" w:lineRule="auto"/>
        <w:ind w:firstLine="709"/>
        <w:rPr>
          <w:lang w:val="en-US"/>
        </w:rPr>
      </w:pPr>
      <w:bookmarkStart w:id="28" w:name="_Toc73483065"/>
      <w:r>
        <w:rPr>
          <w:lang w:val="en-US"/>
        </w:rPr>
        <w:lastRenderedPageBreak/>
        <w:t>Appendix 2. Details o</w:t>
      </w:r>
      <w:r w:rsidR="00944378">
        <w:rPr>
          <w:lang w:val="en-US"/>
        </w:rPr>
        <w:t>f</w:t>
      </w:r>
      <w:r>
        <w:rPr>
          <w:lang w:val="en-US"/>
        </w:rPr>
        <w:t xml:space="preserve"> implied risk-free rate calculation</w:t>
      </w:r>
      <w:bookmarkEnd w:id="28"/>
    </w:p>
    <w:p w14:paraId="7652A615" w14:textId="77777777" w:rsidR="005D1EDB" w:rsidRDefault="005D1EDB" w:rsidP="008226B3">
      <w:pPr>
        <w:spacing w:after="0" w:line="360" w:lineRule="auto"/>
        <w:ind w:firstLine="709"/>
        <w:rPr>
          <w:rFonts w:eastAsiaTheme="minorEastAsia" w:cs="Times New Roman"/>
          <w:lang w:val="en-US"/>
        </w:rPr>
      </w:pPr>
      <w:r>
        <w:rPr>
          <w:rFonts w:eastAsiaTheme="minorEastAsia" w:cs="Times New Roman"/>
          <w:lang w:val="en-US"/>
        </w:rPr>
        <w:t>The full process of derivation involves not only using the formula (it will provide us with erroneous volatility of implied risk-free rate), but involves other processes which are crucial for the calculation. The full process of derivation of implied risk-free rate looks as follows:</w:t>
      </w:r>
    </w:p>
    <w:p w14:paraId="5BBA64C5" w14:textId="77777777" w:rsidR="005D1EDB" w:rsidRDefault="005D1EDB" w:rsidP="00DF74A2">
      <w:pPr>
        <w:pStyle w:val="-"/>
      </w:pPr>
      <w:r>
        <w:t>For each of the relevant currency pairs involving EUR, JPY or CHF, series of implied risk-free rates are calculated based on series of 30-minutes closing prices;</w:t>
      </w:r>
    </w:p>
    <w:p w14:paraId="18B8BE33" w14:textId="77777777" w:rsidR="005D1EDB" w:rsidRDefault="005D1EDB" w:rsidP="00DF74A2">
      <w:pPr>
        <w:pStyle w:val="-"/>
      </w:pPr>
      <w:r>
        <w:t>Because rates calculated at this values show significant volatility, daily averages of implied RFR are calculated;</w:t>
      </w:r>
    </w:p>
    <w:p w14:paraId="02655BD6" w14:textId="77777777" w:rsidR="005D1EDB" w:rsidRDefault="005D1EDB" w:rsidP="00DF74A2">
      <w:pPr>
        <w:pStyle w:val="-"/>
      </w:pPr>
      <w:r>
        <w:t>Averages across all currency pairs are calculated, if (and only if) there is data on RFRs derived from at least 3 currency pairs at the given day;</w:t>
      </w:r>
    </w:p>
    <w:p w14:paraId="0580C1CA" w14:textId="77777777" w:rsidR="005D1EDB" w:rsidRPr="00DE1AC8" w:rsidRDefault="005D1EDB" w:rsidP="00DF74A2">
      <w:pPr>
        <w:pStyle w:val="-"/>
      </w:pPr>
      <w:r w:rsidRPr="00375FE3">
        <w:t xml:space="preserve">10-days moving average is calculated to </w:t>
      </w:r>
      <w:r>
        <w:t>smoothen the resultant RFR.</w:t>
      </w:r>
    </w:p>
    <w:p w14:paraId="379719D5" w14:textId="77777777" w:rsidR="005D1EDB" w:rsidRPr="00DE1AC8" w:rsidRDefault="005D1EDB" w:rsidP="008226B3">
      <w:pPr>
        <w:spacing w:after="0" w:line="360" w:lineRule="auto"/>
        <w:ind w:firstLine="709"/>
        <w:rPr>
          <w:rFonts w:cs="Times New Roman"/>
          <w:lang w:val="en-US"/>
        </w:rPr>
      </w:pPr>
      <w:r>
        <w:rPr>
          <w:rFonts w:cs="Times New Roman"/>
          <w:lang w:val="en-US"/>
        </w:rPr>
        <w:t>Resultant RFR is (1) interpolated (2) derived from many FX futures (3) calculated for December, March and June futures separately and (4) could be easily compared with interpolated LIBOR rate.</w:t>
      </w:r>
    </w:p>
    <w:p w14:paraId="3AC6DABC" w14:textId="3620EE14" w:rsidR="005D1EDB" w:rsidRDefault="005D1EDB" w:rsidP="008226B3">
      <w:pPr>
        <w:spacing w:after="0" w:line="360" w:lineRule="auto"/>
        <w:ind w:firstLine="709"/>
        <w:rPr>
          <w:rFonts w:cs="Times New Roman"/>
          <w:lang w:val="en-US"/>
        </w:rPr>
      </w:pPr>
      <w:r>
        <w:rPr>
          <w:rFonts w:cs="Times New Roman"/>
          <w:lang w:val="en-US"/>
        </w:rPr>
        <w:t>Here we attach table which shows steps for the calculation of implied RFR for JPY.</w:t>
      </w:r>
    </w:p>
    <w:p w14:paraId="285A588C" w14:textId="4199AC41" w:rsidR="00DF74A2" w:rsidRPr="00DF74A2" w:rsidRDefault="00DF74A2" w:rsidP="00DF74A2">
      <w:pPr>
        <w:pStyle w:val="a0"/>
      </w:pPr>
      <w:r w:rsidRPr="00DF74A2">
        <w:t xml:space="preserve">Table </w:t>
      </w:r>
      <w:r>
        <w:fldChar w:fldCharType="begin"/>
      </w:r>
      <w:r w:rsidRPr="00DF74A2">
        <w:instrText xml:space="preserve"> SEQ Table \* ARABIC </w:instrText>
      </w:r>
      <w:r>
        <w:fldChar w:fldCharType="separate"/>
      </w:r>
      <w:r w:rsidR="004D16C9">
        <w:rPr>
          <w:noProof/>
        </w:rPr>
        <w:t>13</w:t>
      </w:r>
      <w:r>
        <w:fldChar w:fldCharType="end"/>
      </w:r>
      <w:r>
        <w:t>. Example of implied risk-free rate calculation for JPY</w:t>
      </w:r>
    </w:p>
    <w:tbl>
      <w:tblPr>
        <w:tblW w:w="9256" w:type="dxa"/>
        <w:tblLook w:val="04A0" w:firstRow="1" w:lastRow="0" w:firstColumn="1" w:lastColumn="0" w:noHBand="0" w:noVBand="1"/>
      </w:tblPr>
      <w:tblGrid>
        <w:gridCol w:w="1245"/>
        <w:gridCol w:w="1023"/>
        <w:gridCol w:w="993"/>
        <w:gridCol w:w="992"/>
        <w:gridCol w:w="901"/>
        <w:gridCol w:w="1126"/>
        <w:gridCol w:w="8"/>
        <w:gridCol w:w="1501"/>
        <w:gridCol w:w="8"/>
        <w:gridCol w:w="1451"/>
        <w:gridCol w:w="8"/>
      </w:tblGrid>
      <w:tr w:rsidR="005D1EDB" w:rsidRPr="00566F83" w14:paraId="0CB1E76E" w14:textId="77777777" w:rsidTr="00944378">
        <w:trPr>
          <w:gridAfter w:val="1"/>
          <w:wAfter w:w="8" w:type="dxa"/>
          <w:trHeight w:val="288"/>
        </w:trPr>
        <w:tc>
          <w:tcPr>
            <w:tcW w:w="1245" w:type="dxa"/>
            <w:vMerge w:val="restart"/>
            <w:tcBorders>
              <w:top w:val="single" w:sz="4" w:space="0" w:color="auto"/>
              <w:bottom w:val="single" w:sz="4" w:space="0" w:color="auto"/>
              <w:right w:val="single" w:sz="4" w:space="0" w:color="auto"/>
            </w:tcBorders>
            <w:shd w:val="clear" w:color="auto" w:fill="auto"/>
            <w:noWrap/>
            <w:vAlign w:val="center"/>
            <w:hideMark/>
          </w:tcPr>
          <w:p w14:paraId="79C22B18" w14:textId="77777777" w:rsidR="005D1EDB" w:rsidRPr="00CC1E4C" w:rsidRDefault="005D1EDB" w:rsidP="00A7701E">
            <w:pPr>
              <w:spacing w:after="0" w:line="360" w:lineRule="auto"/>
              <w:jc w:val="center"/>
              <w:rPr>
                <w:rFonts w:eastAsia="Times New Roman" w:cs="Times New Roman"/>
                <w:b/>
                <w:bCs/>
                <w:color w:val="000000"/>
                <w:sz w:val="16"/>
                <w:szCs w:val="16"/>
                <w:lang w:eastAsia="ru-RU"/>
              </w:rPr>
            </w:pPr>
            <w:r w:rsidRPr="00CC1E4C">
              <w:rPr>
                <w:rFonts w:eastAsia="Times New Roman" w:cs="Times New Roman"/>
                <w:b/>
                <w:bCs/>
                <w:color w:val="000000"/>
                <w:sz w:val="16"/>
                <w:szCs w:val="16"/>
                <w:lang w:eastAsia="ru-RU"/>
              </w:rPr>
              <w:t>Date</w:t>
            </w:r>
          </w:p>
        </w:tc>
        <w:tc>
          <w:tcPr>
            <w:tcW w:w="390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8FC3EE4" w14:textId="77777777" w:rsidR="005D1EDB" w:rsidRPr="00CC1E4C" w:rsidRDefault="005D1EDB" w:rsidP="007618CF">
            <w:pPr>
              <w:spacing w:after="0" w:line="240" w:lineRule="auto"/>
              <w:jc w:val="center"/>
              <w:rPr>
                <w:rFonts w:eastAsia="Times New Roman" w:cs="Times New Roman"/>
                <w:b/>
                <w:bCs/>
                <w:color w:val="000000"/>
                <w:sz w:val="16"/>
                <w:szCs w:val="16"/>
                <w:lang w:val="en-US" w:eastAsia="ru-RU"/>
              </w:rPr>
            </w:pPr>
            <w:r>
              <w:rPr>
                <w:rFonts w:eastAsia="Times New Roman" w:cs="Times New Roman"/>
                <w:b/>
                <w:bCs/>
                <w:color w:val="000000"/>
                <w:sz w:val="16"/>
                <w:szCs w:val="16"/>
                <w:lang w:val="en-US" w:eastAsia="ru-RU"/>
              </w:rPr>
              <w:t>Daily value of implied RFR</w:t>
            </w:r>
            <w:r w:rsidRPr="00CC1E4C">
              <w:rPr>
                <w:rFonts w:eastAsia="Times New Roman" w:cs="Times New Roman"/>
                <w:b/>
                <w:bCs/>
                <w:color w:val="000000"/>
                <w:sz w:val="16"/>
                <w:szCs w:val="16"/>
                <w:lang w:val="en-US" w:eastAsia="ru-RU"/>
              </w:rPr>
              <w:t>, derived from</w:t>
            </w:r>
          </w:p>
        </w:tc>
        <w:tc>
          <w:tcPr>
            <w:tcW w:w="1126" w:type="dxa"/>
            <w:tcBorders>
              <w:top w:val="single" w:sz="4" w:space="0" w:color="auto"/>
              <w:left w:val="single" w:sz="4" w:space="0" w:color="auto"/>
              <w:right w:val="single" w:sz="4" w:space="0" w:color="auto"/>
            </w:tcBorders>
            <w:shd w:val="clear" w:color="auto" w:fill="auto"/>
            <w:vAlign w:val="center"/>
            <w:hideMark/>
          </w:tcPr>
          <w:p w14:paraId="70057E60" w14:textId="782692F2" w:rsidR="005D1EDB" w:rsidRPr="00CC1E4C" w:rsidRDefault="007618CF" w:rsidP="007618CF">
            <w:pPr>
              <w:spacing w:after="0" w:line="240" w:lineRule="auto"/>
              <w:jc w:val="center"/>
              <w:rPr>
                <w:rFonts w:eastAsia="Times New Roman" w:cs="Times New Roman"/>
                <w:b/>
                <w:bCs/>
                <w:color w:val="000000"/>
                <w:sz w:val="16"/>
                <w:szCs w:val="16"/>
                <w:lang w:eastAsia="ru-RU"/>
              </w:rPr>
            </w:pPr>
            <w:r>
              <w:rPr>
                <w:rFonts w:eastAsia="Times New Roman" w:cs="Times New Roman"/>
                <w:b/>
                <w:bCs/>
                <w:color w:val="000000"/>
                <w:sz w:val="16"/>
                <w:szCs w:val="16"/>
                <w:lang w:val="en-US" w:eastAsia="ru-RU"/>
              </w:rPr>
              <w:t xml:space="preserve">JPY </w:t>
            </w:r>
            <w:r w:rsidR="005D1EDB" w:rsidRPr="00CC1E4C">
              <w:rPr>
                <w:rFonts w:eastAsia="Times New Roman" w:cs="Times New Roman"/>
                <w:b/>
                <w:bCs/>
                <w:color w:val="000000"/>
                <w:sz w:val="16"/>
                <w:szCs w:val="16"/>
                <w:lang w:eastAsia="ru-RU"/>
              </w:rPr>
              <w:t>LIBOR</w:t>
            </w:r>
            <w:r>
              <w:rPr>
                <w:rFonts w:eastAsia="Times New Roman" w:cs="Times New Roman"/>
                <w:b/>
                <w:bCs/>
                <w:color w:val="000000"/>
                <w:sz w:val="16"/>
                <w:szCs w:val="16"/>
                <w:lang w:val="en-US" w:eastAsia="ru-RU"/>
              </w:rPr>
              <w:t>,</w:t>
            </w:r>
            <w:r w:rsidR="005D1EDB" w:rsidRPr="00CC1E4C">
              <w:rPr>
                <w:rFonts w:eastAsia="Times New Roman" w:cs="Times New Roman"/>
                <w:b/>
                <w:bCs/>
                <w:color w:val="000000"/>
                <w:sz w:val="16"/>
                <w:szCs w:val="16"/>
                <w:lang w:eastAsia="ru-RU"/>
              </w:rPr>
              <w:t xml:space="preserve"> interpolated</w:t>
            </w:r>
          </w:p>
        </w:tc>
        <w:tc>
          <w:tcPr>
            <w:tcW w:w="1509" w:type="dxa"/>
            <w:gridSpan w:val="2"/>
            <w:tcBorders>
              <w:top w:val="single" w:sz="4" w:space="0" w:color="auto"/>
              <w:left w:val="single" w:sz="4" w:space="0" w:color="auto"/>
              <w:right w:val="single" w:sz="4" w:space="0" w:color="auto"/>
            </w:tcBorders>
            <w:shd w:val="clear" w:color="auto" w:fill="auto"/>
            <w:vAlign w:val="center"/>
            <w:hideMark/>
          </w:tcPr>
          <w:p w14:paraId="1DCE2901" w14:textId="77777777" w:rsidR="005D1EDB" w:rsidRPr="00CC1E4C" w:rsidRDefault="005D1EDB" w:rsidP="007618CF">
            <w:pPr>
              <w:spacing w:after="0" w:line="240" w:lineRule="auto"/>
              <w:jc w:val="center"/>
              <w:rPr>
                <w:rFonts w:eastAsia="Times New Roman" w:cs="Times New Roman"/>
                <w:b/>
                <w:bCs/>
                <w:color w:val="000000"/>
                <w:sz w:val="16"/>
                <w:szCs w:val="16"/>
                <w:lang w:eastAsia="ru-RU"/>
              </w:rPr>
            </w:pPr>
            <w:r w:rsidRPr="00CC1E4C">
              <w:rPr>
                <w:rFonts w:eastAsia="Times New Roman" w:cs="Times New Roman"/>
                <w:b/>
                <w:bCs/>
                <w:color w:val="000000"/>
                <w:sz w:val="16"/>
                <w:szCs w:val="16"/>
                <w:lang w:eastAsia="ru-RU"/>
              </w:rPr>
              <w:t>Average implied JPY RFR</w:t>
            </w:r>
          </w:p>
        </w:tc>
        <w:tc>
          <w:tcPr>
            <w:tcW w:w="1459" w:type="dxa"/>
            <w:gridSpan w:val="2"/>
            <w:tcBorders>
              <w:top w:val="single" w:sz="4" w:space="0" w:color="auto"/>
              <w:left w:val="single" w:sz="4" w:space="0" w:color="auto"/>
            </w:tcBorders>
            <w:shd w:val="clear" w:color="auto" w:fill="auto"/>
            <w:vAlign w:val="center"/>
            <w:hideMark/>
          </w:tcPr>
          <w:p w14:paraId="0907D638" w14:textId="3EC0D9A9" w:rsidR="005D1EDB" w:rsidRPr="00CC1E4C" w:rsidRDefault="005D1EDB" w:rsidP="007618CF">
            <w:pPr>
              <w:spacing w:after="0" w:line="240" w:lineRule="auto"/>
              <w:jc w:val="center"/>
              <w:rPr>
                <w:rFonts w:eastAsia="Times New Roman" w:cs="Times New Roman"/>
                <w:b/>
                <w:bCs/>
                <w:color w:val="000000"/>
                <w:sz w:val="16"/>
                <w:szCs w:val="16"/>
                <w:lang w:val="en-US" w:eastAsia="ru-RU"/>
              </w:rPr>
            </w:pPr>
            <w:r w:rsidRPr="00CC1E4C">
              <w:rPr>
                <w:rFonts w:eastAsia="Times New Roman" w:cs="Times New Roman"/>
                <w:b/>
                <w:bCs/>
                <w:color w:val="000000"/>
                <w:sz w:val="16"/>
                <w:szCs w:val="16"/>
                <w:lang w:val="en-US" w:eastAsia="ru-RU"/>
              </w:rPr>
              <w:t>Implied RFR 10-days mov</w:t>
            </w:r>
            <w:r w:rsidR="007618CF">
              <w:rPr>
                <w:rFonts w:eastAsia="Times New Roman" w:cs="Times New Roman"/>
                <w:b/>
                <w:bCs/>
                <w:color w:val="000000"/>
                <w:sz w:val="16"/>
                <w:szCs w:val="16"/>
                <w:lang w:val="en-US" w:eastAsia="ru-RU"/>
              </w:rPr>
              <w:t>ing</w:t>
            </w:r>
            <w:r w:rsidRPr="00CC1E4C">
              <w:rPr>
                <w:rFonts w:eastAsia="Times New Roman" w:cs="Times New Roman"/>
                <w:b/>
                <w:bCs/>
                <w:color w:val="000000"/>
                <w:sz w:val="16"/>
                <w:szCs w:val="16"/>
                <w:lang w:val="en-US" w:eastAsia="ru-RU"/>
              </w:rPr>
              <w:t xml:space="preserve"> av</w:t>
            </w:r>
            <w:r w:rsidR="007618CF">
              <w:rPr>
                <w:rFonts w:eastAsia="Times New Roman" w:cs="Times New Roman"/>
                <w:b/>
                <w:bCs/>
                <w:color w:val="000000"/>
                <w:sz w:val="16"/>
                <w:szCs w:val="16"/>
                <w:lang w:val="en-US" w:eastAsia="ru-RU"/>
              </w:rPr>
              <w:t>erage</w:t>
            </w:r>
          </w:p>
        </w:tc>
      </w:tr>
      <w:tr w:rsidR="005D1EDB" w:rsidRPr="00F0331E" w14:paraId="01320341" w14:textId="77777777" w:rsidTr="00944378">
        <w:trPr>
          <w:trHeight w:val="288"/>
        </w:trPr>
        <w:tc>
          <w:tcPr>
            <w:tcW w:w="1245" w:type="dxa"/>
            <w:vMerge/>
            <w:tcBorders>
              <w:top w:val="single" w:sz="4" w:space="0" w:color="auto"/>
              <w:bottom w:val="single" w:sz="4" w:space="0" w:color="auto"/>
              <w:right w:val="single" w:sz="4" w:space="0" w:color="auto"/>
            </w:tcBorders>
            <w:vAlign w:val="center"/>
            <w:hideMark/>
          </w:tcPr>
          <w:p w14:paraId="20082C92" w14:textId="77777777" w:rsidR="005D1EDB" w:rsidRPr="00CC1E4C" w:rsidRDefault="005D1EDB" w:rsidP="008226B3">
            <w:pPr>
              <w:spacing w:after="0" w:line="360" w:lineRule="auto"/>
              <w:ind w:firstLine="709"/>
              <w:jc w:val="center"/>
              <w:rPr>
                <w:rFonts w:eastAsia="Times New Roman" w:cs="Times New Roman"/>
                <w:b/>
                <w:bCs/>
                <w:color w:val="000000"/>
                <w:sz w:val="16"/>
                <w:szCs w:val="16"/>
                <w:lang w:val="en-US" w:eastAsia="ru-RU"/>
              </w:rPr>
            </w:pPr>
          </w:p>
        </w:tc>
        <w:tc>
          <w:tcPr>
            <w:tcW w:w="1023" w:type="dxa"/>
            <w:tcBorders>
              <w:top w:val="nil"/>
              <w:left w:val="nil"/>
              <w:bottom w:val="single" w:sz="4" w:space="0" w:color="auto"/>
              <w:right w:val="single" w:sz="4" w:space="0" w:color="auto"/>
            </w:tcBorders>
            <w:shd w:val="clear" w:color="auto" w:fill="auto"/>
            <w:noWrap/>
            <w:vAlign w:val="center"/>
            <w:hideMark/>
          </w:tcPr>
          <w:p w14:paraId="74A2AD0F" w14:textId="77777777" w:rsidR="005D1EDB" w:rsidRPr="00CC1E4C" w:rsidRDefault="005D1EDB" w:rsidP="007618CF">
            <w:pPr>
              <w:spacing w:after="0" w:line="360" w:lineRule="auto"/>
              <w:jc w:val="center"/>
              <w:rPr>
                <w:rFonts w:eastAsia="Times New Roman" w:cs="Times New Roman"/>
                <w:b/>
                <w:bCs/>
                <w:color w:val="000000"/>
                <w:sz w:val="16"/>
                <w:szCs w:val="16"/>
                <w:lang w:eastAsia="ru-RU"/>
              </w:rPr>
            </w:pPr>
            <w:r w:rsidRPr="00CC1E4C">
              <w:rPr>
                <w:rFonts w:eastAsia="Times New Roman" w:cs="Times New Roman"/>
                <w:b/>
                <w:bCs/>
                <w:color w:val="000000"/>
                <w:sz w:val="16"/>
                <w:szCs w:val="16"/>
                <w:lang w:eastAsia="ru-RU"/>
              </w:rPr>
              <w:t>JPY/USD</w:t>
            </w:r>
          </w:p>
        </w:tc>
        <w:tc>
          <w:tcPr>
            <w:tcW w:w="993" w:type="dxa"/>
            <w:tcBorders>
              <w:top w:val="nil"/>
              <w:left w:val="nil"/>
              <w:bottom w:val="single" w:sz="4" w:space="0" w:color="auto"/>
              <w:right w:val="single" w:sz="4" w:space="0" w:color="auto"/>
            </w:tcBorders>
            <w:shd w:val="clear" w:color="auto" w:fill="auto"/>
            <w:noWrap/>
            <w:vAlign w:val="center"/>
            <w:hideMark/>
          </w:tcPr>
          <w:p w14:paraId="1FD6185B" w14:textId="77777777" w:rsidR="005D1EDB" w:rsidRPr="00CC1E4C" w:rsidRDefault="005D1EDB" w:rsidP="007618CF">
            <w:pPr>
              <w:spacing w:after="0" w:line="360" w:lineRule="auto"/>
              <w:jc w:val="center"/>
              <w:rPr>
                <w:rFonts w:eastAsia="Times New Roman" w:cs="Times New Roman"/>
                <w:b/>
                <w:bCs/>
                <w:color w:val="000000"/>
                <w:sz w:val="16"/>
                <w:szCs w:val="16"/>
                <w:lang w:eastAsia="ru-RU"/>
              </w:rPr>
            </w:pPr>
            <w:r w:rsidRPr="00CC1E4C">
              <w:rPr>
                <w:rFonts w:eastAsia="Times New Roman" w:cs="Times New Roman"/>
                <w:b/>
                <w:bCs/>
                <w:color w:val="000000"/>
                <w:sz w:val="16"/>
                <w:szCs w:val="16"/>
                <w:lang w:eastAsia="ru-RU"/>
              </w:rPr>
              <w:t>GBP/JPY</w:t>
            </w:r>
          </w:p>
        </w:tc>
        <w:tc>
          <w:tcPr>
            <w:tcW w:w="992" w:type="dxa"/>
            <w:tcBorders>
              <w:top w:val="nil"/>
              <w:left w:val="nil"/>
              <w:bottom w:val="single" w:sz="4" w:space="0" w:color="auto"/>
              <w:right w:val="single" w:sz="4" w:space="0" w:color="auto"/>
            </w:tcBorders>
            <w:shd w:val="clear" w:color="auto" w:fill="auto"/>
            <w:noWrap/>
            <w:vAlign w:val="center"/>
            <w:hideMark/>
          </w:tcPr>
          <w:p w14:paraId="737110EE" w14:textId="77777777" w:rsidR="005D1EDB" w:rsidRPr="00CC1E4C" w:rsidRDefault="005D1EDB" w:rsidP="007618CF">
            <w:pPr>
              <w:spacing w:after="0" w:line="360" w:lineRule="auto"/>
              <w:jc w:val="center"/>
              <w:rPr>
                <w:rFonts w:eastAsia="Times New Roman" w:cs="Times New Roman"/>
                <w:b/>
                <w:bCs/>
                <w:color w:val="000000"/>
                <w:sz w:val="16"/>
                <w:szCs w:val="16"/>
                <w:lang w:eastAsia="ru-RU"/>
              </w:rPr>
            </w:pPr>
            <w:r w:rsidRPr="00CC1E4C">
              <w:rPr>
                <w:rFonts w:eastAsia="Times New Roman" w:cs="Times New Roman"/>
                <w:b/>
                <w:bCs/>
                <w:color w:val="000000"/>
                <w:sz w:val="16"/>
                <w:szCs w:val="16"/>
                <w:lang w:eastAsia="ru-RU"/>
              </w:rPr>
              <w:t>EUR/JPY</w:t>
            </w:r>
          </w:p>
        </w:tc>
        <w:tc>
          <w:tcPr>
            <w:tcW w:w="901" w:type="dxa"/>
            <w:tcBorders>
              <w:top w:val="nil"/>
              <w:left w:val="nil"/>
              <w:bottom w:val="single" w:sz="4" w:space="0" w:color="auto"/>
              <w:right w:val="single" w:sz="4" w:space="0" w:color="auto"/>
            </w:tcBorders>
            <w:shd w:val="clear" w:color="auto" w:fill="auto"/>
            <w:noWrap/>
            <w:vAlign w:val="center"/>
            <w:hideMark/>
          </w:tcPr>
          <w:p w14:paraId="53A36B4D" w14:textId="77777777" w:rsidR="005D1EDB" w:rsidRPr="00CC1E4C" w:rsidRDefault="005D1EDB" w:rsidP="007618CF">
            <w:pPr>
              <w:spacing w:after="0" w:line="360" w:lineRule="auto"/>
              <w:jc w:val="center"/>
              <w:rPr>
                <w:rFonts w:eastAsia="Times New Roman" w:cs="Times New Roman"/>
                <w:b/>
                <w:bCs/>
                <w:color w:val="000000"/>
                <w:sz w:val="16"/>
                <w:szCs w:val="16"/>
                <w:lang w:eastAsia="ru-RU"/>
              </w:rPr>
            </w:pPr>
            <w:r w:rsidRPr="00CC1E4C">
              <w:rPr>
                <w:rFonts w:eastAsia="Times New Roman" w:cs="Times New Roman"/>
                <w:b/>
                <w:bCs/>
                <w:color w:val="000000"/>
                <w:sz w:val="16"/>
                <w:szCs w:val="16"/>
                <w:lang w:eastAsia="ru-RU"/>
              </w:rPr>
              <w:t>AUD/JPY</w:t>
            </w:r>
          </w:p>
        </w:tc>
        <w:tc>
          <w:tcPr>
            <w:tcW w:w="1134" w:type="dxa"/>
            <w:gridSpan w:val="2"/>
            <w:tcBorders>
              <w:left w:val="single" w:sz="4" w:space="0" w:color="auto"/>
              <w:bottom w:val="single" w:sz="4" w:space="0" w:color="auto"/>
              <w:right w:val="single" w:sz="4" w:space="0" w:color="auto"/>
            </w:tcBorders>
            <w:vAlign w:val="center"/>
            <w:hideMark/>
          </w:tcPr>
          <w:p w14:paraId="3F585817" w14:textId="77777777" w:rsidR="005D1EDB" w:rsidRPr="00CC1E4C" w:rsidRDefault="005D1EDB" w:rsidP="007618CF">
            <w:pPr>
              <w:spacing w:after="0" w:line="360" w:lineRule="auto"/>
              <w:rPr>
                <w:rFonts w:eastAsia="Times New Roman" w:cs="Times New Roman"/>
                <w:b/>
                <w:bCs/>
                <w:color w:val="000000"/>
                <w:sz w:val="16"/>
                <w:szCs w:val="16"/>
                <w:lang w:eastAsia="ru-RU"/>
              </w:rPr>
            </w:pPr>
          </w:p>
        </w:tc>
        <w:tc>
          <w:tcPr>
            <w:tcW w:w="1509" w:type="dxa"/>
            <w:gridSpan w:val="2"/>
            <w:tcBorders>
              <w:left w:val="single" w:sz="4" w:space="0" w:color="auto"/>
              <w:bottom w:val="single" w:sz="4" w:space="0" w:color="auto"/>
              <w:right w:val="single" w:sz="4" w:space="0" w:color="auto"/>
            </w:tcBorders>
            <w:vAlign w:val="center"/>
            <w:hideMark/>
          </w:tcPr>
          <w:p w14:paraId="3B385282" w14:textId="77777777" w:rsidR="005D1EDB" w:rsidRPr="00CC1E4C" w:rsidRDefault="005D1EDB" w:rsidP="008226B3">
            <w:pPr>
              <w:spacing w:after="0" w:line="360" w:lineRule="auto"/>
              <w:ind w:firstLine="709"/>
              <w:jc w:val="center"/>
              <w:rPr>
                <w:rFonts w:eastAsia="Times New Roman" w:cs="Times New Roman"/>
                <w:b/>
                <w:bCs/>
                <w:color w:val="000000"/>
                <w:sz w:val="16"/>
                <w:szCs w:val="16"/>
                <w:lang w:eastAsia="ru-RU"/>
              </w:rPr>
            </w:pPr>
          </w:p>
        </w:tc>
        <w:tc>
          <w:tcPr>
            <w:tcW w:w="1459" w:type="dxa"/>
            <w:gridSpan w:val="2"/>
            <w:tcBorders>
              <w:left w:val="single" w:sz="4" w:space="0" w:color="auto"/>
              <w:bottom w:val="single" w:sz="4" w:space="0" w:color="auto"/>
            </w:tcBorders>
            <w:vAlign w:val="center"/>
            <w:hideMark/>
          </w:tcPr>
          <w:p w14:paraId="7AC20B22" w14:textId="77777777" w:rsidR="005D1EDB" w:rsidRPr="00CC1E4C" w:rsidRDefault="005D1EDB" w:rsidP="008226B3">
            <w:pPr>
              <w:spacing w:after="0" w:line="360" w:lineRule="auto"/>
              <w:ind w:firstLine="709"/>
              <w:jc w:val="center"/>
              <w:rPr>
                <w:rFonts w:eastAsia="Times New Roman" w:cs="Times New Roman"/>
                <w:b/>
                <w:bCs/>
                <w:color w:val="000000"/>
                <w:sz w:val="16"/>
                <w:szCs w:val="16"/>
                <w:lang w:eastAsia="ru-RU"/>
              </w:rPr>
            </w:pPr>
          </w:p>
        </w:tc>
      </w:tr>
      <w:tr w:rsidR="005D1EDB" w:rsidRPr="00F0331E" w14:paraId="61F8481C" w14:textId="77777777" w:rsidTr="00944378">
        <w:trPr>
          <w:trHeight w:val="288"/>
        </w:trPr>
        <w:tc>
          <w:tcPr>
            <w:tcW w:w="1245" w:type="dxa"/>
            <w:tcBorders>
              <w:top w:val="nil"/>
              <w:bottom w:val="single" w:sz="4" w:space="0" w:color="auto"/>
              <w:right w:val="single" w:sz="4" w:space="0" w:color="auto"/>
            </w:tcBorders>
            <w:shd w:val="clear" w:color="auto" w:fill="auto"/>
            <w:noWrap/>
            <w:vAlign w:val="center"/>
            <w:hideMark/>
          </w:tcPr>
          <w:p w14:paraId="76B3774D"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30.11.2020</w:t>
            </w:r>
          </w:p>
        </w:tc>
        <w:tc>
          <w:tcPr>
            <w:tcW w:w="1023" w:type="dxa"/>
            <w:tcBorders>
              <w:top w:val="nil"/>
              <w:left w:val="nil"/>
              <w:bottom w:val="single" w:sz="4" w:space="0" w:color="auto"/>
              <w:right w:val="single" w:sz="4" w:space="0" w:color="auto"/>
            </w:tcBorders>
            <w:shd w:val="clear" w:color="auto" w:fill="auto"/>
            <w:noWrap/>
            <w:vAlign w:val="center"/>
            <w:hideMark/>
          </w:tcPr>
          <w:p w14:paraId="5DF4C8FF"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-0,3150%</w:t>
            </w:r>
          </w:p>
        </w:tc>
        <w:tc>
          <w:tcPr>
            <w:tcW w:w="993" w:type="dxa"/>
            <w:tcBorders>
              <w:top w:val="nil"/>
              <w:left w:val="nil"/>
              <w:bottom w:val="single" w:sz="4" w:space="0" w:color="auto"/>
              <w:right w:val="single" w:sz="4" w:space="0" w:color="auto"/>
            </w:tcBorders>
            <w:shd w:val="clear" w:color="auto" w:fill="auto"/>
            <w:noWrap/>
            <w:vAlign w:val="center"/>
            <w:hideMark/>
          </w:tcPr>
          <w:p w14:paraId="12CFC5F7"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-0,7141%</w:t>
            </w:r>
          </w:p>
        </w:tc>
        <w:tc>
          <w:tcPr>
            <w:tcW w:w="992" w:type="dxa"/>
            <w:tcBorders>
              <w:top w:val="nil"/>
              <w:left w:val="nil"/>
              <w:bottom w:val="single" w:sz="4" w:space="0" w:color="auto"/>
              <w:right w:val="single" w:sz="4" w:space="0" w:color="auto"/>
            </w:tcBorders>
            <w:shd w:val="clear" w:color="auto" w:fill="auto"/>
            <w:noWrap/>
            <w:vAlign w:val="center"/>
            <w:hideMark/>
          </w:tcPr>
          <w:p w14:paraId="47EA5AB7"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-0,3159%</w:t>
            </w:r>
          </w:p>
        </w:tc>
        <w:tc>
          <w:tcPr>
            <w:tcW w:w="901" w:type="dxa"/>
            <w:tcBorders>
              <w:top w:val="nil"/>
              <w:left w:val="nil"/>
              <w:bottom w:val="single" w:sz="4" w:space="0" w:color="auto"/>
              <w:right w:val="single" w:sz="4" w:space="0" w:color="auto"/>
            </w:tcBorders>
            <w:shd w:val="clear" w:color="auto" w:fill="auto"/>
            <w:noWrap/>
            <w:vAlign w:val="center"/>
            <w:hideMark/>
          </w:tcPr>
          <w:p w14:paraId="04A6EAFC"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0,1144%</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2918A7C"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-0,1132%</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747A6EB7"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-0,3076%</w:t>
            </w:r>
          </w:p>
        </w:tc>
        <w:tc>
          <w:tcPr>
            <w:tcW w:w="1459" w:type="dxa"/>
            <w:gridSpan w:val="2"/>
            <w:tcBorders>
              <w:top w:val="nil"/>
              <w:left w:val="nil"/>
              <w:bottom w:val="single" w:sz="4" w:space="0" w:color="auto"/>
            </w:tcBorders>
            <w:shd w:val="clear" w:color="auto" w:fill="auto"/>
            <w:noWrap/>
            <w:vAlign w:val="center"/>
            <w:hideMark/>
          </w:tcPr>
          <w:p w14:paraId="17F6611D"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-0,1885%</w:t>
            </w:r>
          </w:p>
        </w:tc>
      </w:tr>
      <w:tr w:rsidR="005D1EDB" w:rsidRPr="00F0331E" w14:paraId="51C72D83" w14:textId="77777777" w:rsidTr="00944378">
        <w:trPr>
          <w:trHeight w:val="288"/>
        </w:trPr>
        <w:tc>
          <w:tcPr>
            <w:tcW w:w="1245" w:type="dxa"/>
            <w:tcBorders>
              <w:top w:val="nil"/>
              <w:bottom w:val="single" w:sz="4" w:space="0" w:color="auto"/>
              <w:right w:val="single" w:sz="4" w:space="0" w:color="auto"/>
            </w:tcBorders>
            <w:shd w:val="clear" w:color="auto" w:fill="auto"/>
            <w:noWrap/>
            <w:vAlign w:val="center"/>
            <w:hideMark/>
          </w:tcPr>
          <w:p w14:paraId="0CF34B51"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01.12.2020</w:t>
            </w:r>
          </w:p>
        </w:tc>
        <w:tc>
          <w:tcPr>
            <w:tcW w:w="1023" w:type="dxa"/>
            <w:tcBorders>
              <w:top w:val="nil"/>
              <w:left w:val="nil"/>
              <w:bottom w:val="single" w:sz="4" w:space="0" w:color="auto"/>
              <w:right w:val="single" w:sz="4" w:space="0" w:color="auto"/>
            </w:tcBorders>
            <w:shd w:val="clear" w:color="auto" w:fill="auto"/>
            <w:noWrap/>
            <w:vAlign w:val="center"/>
            <w:hideMark/>
          </w:tcPr>
          <w:p w14:paraId="6C9D208A"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-0,3287%</w:t>
            </w:r>
          </w:p>
        </w:tc>
        <w:tc>
          <w:tcPr>
            <w:tcW w:w="993" w:type="dxa"/>
            <w:tcBorders>
              <w:top w:val="nil"/>
              <w:left w:val="nil"/>
              <w:bottom w:val="single" w:sz="4" w:space="0" w:color="auto"/>
              <w:right w:val="single" w:sz="4" w:space="0" w:color="auto"/>
            </w:tcBorders>
            <w:shd w:val="clear" w:color="auto" w:fill="auto"/>
            <w:noWrap/>
            <w:vAlign w:val="center"/>
            <w:hideMark/>
          </w:tcPr>
          <w:p w14:paraId="62F63E39"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-0,2062%</w:t>
            </w:r>
          </w:p>
        </w:tc>
        <w:tc>
          <w:tcPr>
            <w:tcW w:w="992" w:type="dxa"/>
            <w:tcBorders>
              <w:top w:val="nil"/>
              <w:left w:val="nil"/>
              <w:bottom w:val="single" w:sz="4" w:space="0" w:color="auto"/>
              <w:right w:val="single" w:sz="4" w:space="0" w:color="auto"/>
            </w:tcBorders>
            <w:shd w:val="clear" w:color="auto" w:fill="auto"/>
            <w:noWrap/>
            <w:vAlign w:val="center"/>
            <w:hideMark/>
          </w:tcPr>
          <w:p w14:paraId="1BBE06B9"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-0,2605%</w:t>
            </w:r>
          </w:p>
        </w:tc>
        <w:tc>
          <w:tcPr>
            <w:tcW w:w="901" w:type="dxa"/>
            <w:tcBorders>
              <w:top w:val="nil"/>
              <w:left w:val="nil"/>
              <w:bottom w:val="single" w:sz="4" w:space="0" w:color="auto"/>
              <w:right w:val="single" w:sz="4" w:space="0" w:color="auto"/>
            </w:tcBorders>
            <w:shd w:val="clear" w:color="auto" w:fill="auto"/>
            <w:noWrap/>
            <w:vAlign w:val="center"/>
            <w:hideMark/>
          </w:tcPr>
          <w:p w14:paraId="64149DE7"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-0,1712%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FA97B0"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-0,1133%</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7999FC92"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-0,2417%</w:t>
            </w:r>
          </w:p>
        </w:tc>
        <w:tc>
          <w:tcPr>
            <w:tcW w:w="1459" w:type="dxa"/>
            <w:gridSpan w:val="2"/>
            <w:tcBorders>
              <w:top w:val="nil"/>
              <w:left w:val="nil"/>
              <w:bottom w:val="single" w:sz="4" w:space="0" w:color="auto"/>
            </w:tcBorders>
            <w:shd w:val="clear" w:color="auto" w:fill="auto"/>
            <w:noWrap/>
            <w:vAlign w:val="center"/>
            <w:hideMark/>
          </w:tcPr>
          <w:p w14:paraId="237B71BD"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-0,0940%</w:t>
            </w:r>
          </w:p>
        </w:tc>
      </w:tr>
      <w:tr w:rsidR="005D1EDB" w:rsidRPr="00F0331E" w14:paraId="15A99C1D" w14:textId="77777777" w:rsidTr="00944378">
        <w:trPr>
          <w:trHeight w:val="288"/>
        </w:trPr>
        <w:tc>
          <w:tcPr>
            <w:tcW w:w="1245" w:type="dxa"/>
            <w:tcBorders>
              <w:top w:val="nil"/>
              <w:bottom w:val="single" w:sz="4" w:space="0" w:color="auto"/>
              <w:right w:val="single" w:sz="4" w:space="0" w:color="auto"/>
            </w:tcBorders>
            <w:shd w:val="clear" w:color="auto" w:fill="auto"/>
            <w:noWrap/>
            <w:vAlign w:val="center"/>
            <w:hideMark/>
          </w:tcPr>
          <w:p w14:paraId="6129C9DD"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02.12.2020</w:t>
            </w:r>
          </w:p>
        </w:tc>
        <w:tc>
          <w:tcPr>
            <w:tcW w:w="1023" w:type="dxa"/>
            <w:tcBorders>
              <w:top w:val="nil"/>
              <w:left w:val="nil"/>
              <w:bottom w:val="single" w:sz="4" w:space="0" w:color="auto"/>
              <w:right w:val="single" w:sz="4" w:space="0" w:color="auto"/>
            </w:tcBorders>
            <w:shd w:val="clear" w:color="auto" w:fill="auto"/>
            <w:noWrap/>
            <w:vAlign w:val="center"/>
            <w:hideMark/>
          </w:tcPr>
          <w:p w14:paraId="1B3203DF"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-0,2643%</w:t>
            </w:r>
          </w:p>
        </w:tc>
        <w:tc>
          <w:tcPr>
            <w:tcW w:w="993" w:type="dxa"/>
            <w:tcBorders>
              <w:top w:val="nil"/>
              <w:left w:val="nil"/>
              <w:bottom w:val="single" w:sz="4" w:space="0" w:color="auto"/>
              <w:right w:val="single" w:sz="4" w:space="0" w:color="auto"/>
            </w:tcBorders>
            <w:shd w:val="clear" w:color="auto" w:fill="auto"/>
            <w:noWrap/>
            <w:vAlign w:val="center"/>
            <w:hideMark/>
          </w:tcPr>
          <w:p w14:paraId="68CB3AA8"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-0,1646%</w:t>
            </w:r>
          </w:p>
        </w:tc>
        <w:tc>
          <w:tcPr>
            <w:tcW w:w="992" w:type="dxa"/>
            <w:tcBorders>
              <w:top w:val="nil"/>
              <w:left w:val="nil"/>
              <w:bottom w:val="single" w:sz="4" w:space="0" w:color="auto"/>
              <w:right w:val="single" w:sz="4" w:space="0" w:color="auto"/>
            </w:tcBorders>
            <w:shd w:val="clear" w:color="auto" w:fill="auto"/>
            <w:noWrap/>
            <w:vAlign w:val="center"/>
            <w:hideMark/>
          </w:tcPr>
          <w:p w14:paraId="57962528"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-0,0978%</w:t>
            </w:r>
          </w:p>
        </w:tc>
        <w:tc>
          <w:tcPr>
            <w:tcW w:w="901" w:type="dxa"/>
            <w:tcBorders>
              <w:top w:val="nil"/>
              <w:left w:val="nil"/>
              <w:bottom w:val="single" w:sz="4" w:space="0" w:color="auto"/>
              <w:right w:val="single" w:sz="4" w:space="0" w:color="auto"/>
            </w:tcBorders>
            <w:shd w:val="clear" w:color="auto" w:fill="auto"/>
            <w:noWrap/>
            <w:vAlign w:val="center"/>
            <w:hideMark/>
          </w:tcPr>
          <w:p w14:paraId="361C5F7A"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9878D07"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-0,1109%</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603A5135"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-0,1756%</w:t>
            </w:r>
          </w:p>
        </w:tc>
        <w:tc>
          <w:tcPr>
            <w:tcW w:w="1459" w:type="dxa"/>
            <w:gridSpan w:val="2"/>
            <w:tcBorders>
              <w:top w:val="nil"/>
              <w:left w:val="nil"/>
              <w:bottom w:val="single" w:sz="4" w:space="0" w:color="auto"/>
            </w:tcBorders>
            <w:shd w:val="clear" w:color="auto" w:fill="auto"/>
            <w:noWrap/>
            <w:vAlign w:val="center"/>
            <w:hideMark/>
          </w:tcPr>
          <w:p w14:paraId="384A4E46"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-0,1591%</w:t>
            </w:r>
          </w:p>
        </w:tc>
      </w:tr>
      <w:tr w:rsidR="005D1EDB" w:rsidRPr="00F0331E" w14:paraId="2FF1FE80" w14:textId="77777777" w:rsidTr="00944378">
        <w:trPr>
          <w:trHeight w:val="288"/>
        </w:trPr>
        <w:tc>
          <w:tcPr>
            <w:tcW w:w="1245" w:type="dxa"/>
            <w:tcBorders>
              <w:top w:val="nil"/>
              <w:bottom w:val="single" w:sz="4" w:space="0" w:color="auto"/>
              <w:right w:val="single" w:sz="4" w:space="0" w:color="auto"/>
            </w:tcBorders>
            <w:shd w:val="clear" w:color="auto" w:fill="auto"/>
            <w:noWrap/>
            <w:vAlign w:val="center"/>
            <w:hideMark/>
          </w:tcPr>
          <w:p w14:paraId="26D6BF5B"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03.12.2020</w:t>
            </w:r>
          </w:p>
        </w:tc>
        <w:tc>
          <w:tcPr>
            <w:tcW w:w="1023" w:type="dxa"/>
            <w:tcBorders>
              <w:top w:val="nil"/>
              <w:left w:val="nil"/>
              <w:bottom w:val="single" w:sz="4" w:space="0" w:color="auto"/>
              <w:right w:val="single" w:sz="4" w:space="0" w:color="auto"/>
            </w:tcBorders>
            <w:shd w:val="clear" w:color="auto" w:fill="auto"/>
            <w:noWrap/>
            <w:vAlign w:val="center"/>
            <w:hideMark/>
          </w:tcPr>
          <w:p w14:paraId="1777D017"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-0,2600%</w:t>
            </w:r>
          </w:p>
        </w:tc>
        <w:tc>
          <w:tcPr>
            <w:tcW w:w="993" w:type="dxa"/>
            <w:tcBorders>
              <w:top w:val="nil"/>
              <w:left w:val="nil"/>
              <w:bottom w:val="single" w:sz="4" w:space="0" w:color="auto"/>
              <w:right w:val="single" w:sz="4" w:space="0" w:color="auto"/>
            </w:tcBorders>
            <w:shd w:val="clear" w:color="auto" w:fill="auto"/>
            <w:noWrap/>
            <w:vAlign w:val="center"/>
            <w:hideMark/>
          </w:tcPr>
          <w:p w14:paraId="6A76C783"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0,6165%</w:t>
            </w:r>
          </w:p>
        </w:tc>
        <w:tc>
          <w:tcPr>
            <w:tcW w:w="992" w:type="dxa"/>
            <w:tcBorders>
              <w:top w:val="nil"/>
              <w:left w:val="nil"/>
              <w:bottom w:val="single" w:sz="4" w:space="0" w:color="auto"/>
              <w:right w:val="single" w:sz="4" w:space="0" w:color="auto"/>
            </w:tcBorders>
            <w:shd w:val="clear" w:color="auto" w:fill="auto"/>
            <w:noWrap/>
            <w:vAlign w:val="center"/>
            <w:hideMark/>
          </w:tcPr>
          <w:p w14:paraId="69D0DF87"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-0,0292%</w:t>
            </w:r>
          </w:p>
        </w:tc>
        <w:tc>
          <w:tcPr>
            <w:tcW w:w="901" w:type="dxa"/>
            <w:tcBorders>
              <w:top w:val="nil"/>
              <w:left w:val="nil"/>
              <w:bottom w:val="single" w:sz="4" w:space="0" w:color="auto"/>
              <w:right w:val="single" w:sz="4" w:space="0" w:color="auto"/>
            </w:tcBorders>
            <w:shd w:val="clear" w:color="auto" w:fill="auto"/>
            <w:noWrap/>
            <w:vAlign w:val="center"/>
            <w:hideMark/>
          </w:tcPr>
          <w:p w14:paraId="0D1C3050"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D76209E"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-0,1064%</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07CDFFAE"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0,1091%</w:t>
            </w:r>
          </w:p>
        </w:tc>
        <w:tc>
          <w:tcPr>
            <w:tcW w:w="1459" w:type="dxa"/>
            <w:gridSpan w:val="2"/>
            <w:tcBorders>
              <w:top w:val="nil"/>
              <w:left w:val="nil"/>
              <w:bottom w:val="single" w:sz="4" w:space="0" w:color="auto"/>
            </w:tcBorders>
            <w:shd w:val="clear" w:color="auto" w:fill="auto"/>
            <w:noWrap/>
            <w:vAlign w:val="center"/>
            <w:hideMark/>
          </w:tcPr>
          <w:p w14:paraId="04D6651F"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-0,1499%</w:t>
            </w:r>
          </w:p>
        </w:tc>
      </w:tr>
      <w:tr w:rsidR="005D1EDB" w:rsidRPr="00F0331E" w14:paraId="133F3ECF" w14:textId="77777777" w:rsidTr="00944378">
        <w:trPr>
          <w:trHeight w:val="288"/>
        </w:trPr>
        <w:tc>
          <w:tcPr>
            <w:tcW w:w="1245" w:type="dxa"/>
            <w:tcBorders>
              <w:top w:val="nil"/>
              <w:bottom w:val="single" w:sz="4" w:space="0" w:color="auto"/>
              <w:right w:val="single" w:sz="4" w:space="0" w:color="auto"/>
            </w:tcBorders>
            <w:shd w:val="clear" w:color="auto" w:fill="auto"/>
            <w:noWrap/>
            <w:vAlign w:val="center"/>
            <w:hideMark/>
          </w:tcPr>
          <w:p w14:paraId="71BD3CBA"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04.12.2020</w:t>
            </w:r>
          </w:p>
        </w:tc>
        <w:tc>
          <w:tcPr>
            <w:tcW w:w="1023" w:type="dxa"/>
            <w:tcBorders>
              <w:top w:val="nil"/>
              <w:left w:val="nil"/>
              <w:bottom w:val="single" w:sz="4" w:space="0" w:color="auto"/>
              <w:right w:val="single" w:sz="4" w:space="0" w:color="auto"/>
            </w:tcBorders>
            <w:shd w:val="clear" w:color="auto" w:fill="auto"/>
            <w:noWrap/>
            <w:vAlign w:val="center"/>
            <w:hideMark/>
          </w:tcPr>
          <w:p w14:paraId="03CFAFAC"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-0,1661%</w:t>
            </w:r>
          </w:p>
        </w:tc>
        <w:tc>
          <w:tcPr>
            <w:tcW w:w="993" w:type="dxa"/>
            <w:tcBorders>
              <w:top w:val="nil"/>
              <w:left w:val="nil"/>
              <w:bottom w:val="single" w:sz="4" w:space="0" w:color="auto"/>
              <w:right w:val="single" w:sz="4" w:space="0" w:color="auto"/>
            </w:tcBorders>
            <w:shd w:val="clear" w:color="auto" w:fill="auto"/>
            <w:noWrap/>
            <w:vAlign w:val="center"/>
            <w:hideMark/>
          </w:tcPr>
          <w:p w14:paraId="519315F3"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0,5647%</w:t>
            </w:r>
          </w:p>
        </w:tc>
        <w:tc>
          <w:tcPr>
            <w:tcW w:w="992" w:type="dxa"/>
            <w:tcBorders>
              <w:top w:val="nil"/>
              <w:left w:val="nil"/>
              <w:bottom w:val="single" w:sz="4" w:space="0" w:color="auto"/>
              <w:right w:val="single" w:sz="4" w:space="0" w:color="auto"/>
            </w:tcBorders>
            <w:shd w:val="clear" w:color="auto" w:fill="auto"/>
            <w:noWrap/>
            <w:vAlign w:val="center"/>
            <w:hideMark/>
          </w:tcPr>
          <w:p w14:paraId="12BDFB86"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-0,1139%</w:t>
            </w:r>
          </w:p>
        </w:tc>
        <w:tc>
          <w:tcPr>
            <w:tcW w:w="901" w:type="dxa"/>
            <w:tcBorders>
              <w:top w:val="nil"/>
              <w:left w:val="nil"/>
              <w:bottom w:val="single" w:sz="4" w:space="0" w:color="auto"/>
              <w:right w:val="single" w:sz="4" w:space="0" w:color="auto"/>
            </w:tcBorders>
            <w:shd w:val="clear" w:color="auto" w:fill="auto"/>
            <w:noWrap/>
            <w:vAlign w:val="center"/>
            <w:hideMark/>
          </w:tcPr>
          <w:p w14:paraId="1D66FAE7"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-1,2553%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2B444BD"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-0,0979%</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28BDD1D1"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-0,2426%</w:t>
            </w:r>
          </w:p>
        </w:tc>
        <w:tc>
          <w:tcPr>
            <w:tcW w:w="1459" w:type="dxa"/>
            <w:gridSpan w:val="2"/>
            <w:tcBorders>
              <w:top w:val="nil"/>
              <w:left w:val="nil"/>
              <w:bottom w:val="single" w:sz="4" w:space="0" w:color="auto"/>
            </w:tcBorders>
            <w:shd w:val="clear" w:color="auto" w:fill="auto"/>
            <w:noWrap/>
            <w:vAlign w:val="center"/>
            <w:hideMark/>
          </w:tcPr>
          <w:p w14:paraId="1526F986"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-0,1376%</w:t>
            </w:r>
          </w:p>
        </w:tc>
      </w:tr>
      <w:tr w:rsidR="005D1EDB" w:rsidRPr="00F0331E" w14:paraId="190A6C49" w14:textId="77777777" w:rsidTr="00944378">
        <w:trPr>
          <w:trHeight w:val="288"/>
        </w:trPr>
        <w:tc>
          <w:tcPr>
            <w:tcW w:w="1245" w:type="dxa"/>
            <w:tcBorders>
              <w:top w:val="nil"/>
              <w:bottom w:val="single" w:sz="4" w:space="0" w:color="auto"/>
              <w:right w:val="single" w:sz="4" w:space="0" w:color="auto"/>
            </w:tcBorders>
            <w:shd w:val="clear" w:color="auto" w:fill="auto"/>
            <w:noWrap/>
            <w:vAlign w:val="center"/>
            <w:hideMark/>
          </w:tcPr>
          <w:p w14:paraId="7C59365B"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06.12.2020</w:t>
            </w:r>
          </w:p>
        </w:tc>
        <w:tc>
          <w:tcPr>
            <w:tcW w:w="1023" w:type="dxa"/>
            <w:tcBorders>
              <w:top w:val="nil"/>
              <w:left w:val="nil"/>
              <w:bottom w:val="single" w:sz="4" w:space="0" w:color="auto"/>
              <w:right w:val="single" w:sz="4" w:space="0" w:color="auto"/>
            </w:tcBorders>
            <w:shd w:val="clear" w:color="auto" w:fill="auto"/>
            <w:noWrap/>
            <w:vAlign w:val="center"/>
            <w:hideMark/>
          </w:tcPr>
          <w:p w14:paraId="058732E1"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2EB791EB"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5365B657"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w:t>
            </w:r>
          </w:p>
        </w:tc>
        <w:tc>
          <w:tcPr>
            <w:tcW w:w="901" w:type="dxa"/>
            <w:tcBorders>
              <w:top w:val="nil"/>
              <w:left w:val="nil"/>
              <w:bottom w:val="single" w:sz="4" w:space="0" w:color="auto"/>
              <w:right w:val="single" w:sz="4" w:space="0" w:color="auto"/>
            </w:tcBorders>
            <w:shd w:val="clear" w:color="auto" w:fill="auto"/>
            <w:noWrap/>
            <w:vAlign w:val="center"/>
            <w:hideMark/>
          </w:tcPr>
          <w:p w14:paraId="00111CDF"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B8D54C1"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67F93D5D"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w:t>
            </w:r>
          </w:p>
        </w:tc>
        <w:tc>
          <w:tcPr>
            <w:tcW w:w="1459" w:type="dxa"/>
            <w:gridSpan w:val="2"/>
            <w:tcBorders>
              <w:top w:val="nil"/>
              <w:left w:val="nil"/>
              <w:bottom w:val="single" w:sz="4" w:space="0" w:color="auto"/>
            </w:tcBorders>
            <w:shd w:val="clear" w:color="auto" w:fill="auto"/>
            <w:noWrap/>
            <w:vAlign w:val="center"/>
            <w:hideMark/>
          </w:tcPr>
          <w:p w14:paraId="5FB40AAD"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-0,1376%</w:t>
            </w:r>
          </w:p>
        </w:tc>
      </w:tr>
      <w:tr w:rsidR="005D1EDB" w:rsidRPr="00F0331E" w14:paraId="09BAE9D8" w14:textId="77777777" w:rsidTr="00944378">
        <w:trPr>
          <w:trHeight w:val="288"/>
        </w:trPr>
        <w:tc>
          <w:tcPr>
            <w:tcW w:w="1245" w:type="dxa"/>
            <w:tcBorders>
              <w:top w:val="nil"/>
              <w:bottom w:val="single" w:sz="4" w:space="0" w:color="auto"/>
              <w:right w:val="single" w:sz="4" w:space="0" w:color="auto"/>
            </w:tcBorders>
            <w:shd w:val="clear" w:color="auto" w:fill="auto"/>
            <w:noWrap/>
            <w:vAlign w:val="center"/>
            <w:hideMark/>
          </w:tcPr>
          <w:p w14:paraId="3FE8F367"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07.12.2020</w:t>
            </w:r>
          </w:p>
        </w:tc>
        <w:tc>
          <w:tcPr>
            <w:tcW w:w="1023" w:type="dxa"/>
            <w:tcBorders>
              <w:top w:val="nil"/>
              <w:left w:val="nil"/>
              <w:bottom w:val="single" w:sz="4" w:space="0" w:color="auto"/>
              <w:right w:val="single" w:sz="4" w:space="0" w:color="auto"/>
            </w:tcBorders>
            <w:shd w:val="clear" w:color="auto" w:fill="auto"/>
            <w:noWrap/>
            <w:vAlign w:val="center"/>
            <w:hideMark/>
          </w:tcPr>
          <w:p w14:paraId="66CE89D0"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-0,3359%</w:t>
            </w:r>
          </w:p>
        </w:tc>
        <w:tc>
          <w:tcPr>
            <w:tcW w:w="993" w:type="dxa"/>
            <w:tcBorders>
              <w:top w:val="nil"/>
              <w:left w:val="nil"/>
              <w:bottom w:val="single" w:sz="4" w:space="0" w:color="auto"/>
              <w:right w:val="single" w:sz="4" w:space="0" w:color="auto"/>
            </w:tcBorders>
            <w:shd w:val="clear" w:color="auto" w:fill="auto"/>
            <w:noWrap/>
            <w:vAlign w:val="center"/>
            <w:hideMark/>
          </w:tcPr>
          <w:p w14:paraId="1C89D0C6"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1,6888%</w:t>
            </w:r>
          </w:p>
        </w:tc>
        <w:tc>
          <w:tcPr>
            <w:tcW w:w="992" w:type="dxa"/>
            <w:tcBorders>
              <w:top w:val="nil"/>
              <w:left w:val="nil"/>
              <w:bottom w:val="single" w:sz="4" w:space="0" w:color="auto"/>
              <w:right w:val="single" w:sz="4" w:space="0" w:color="auto"/>
            </w:tcBorders>
            <w:shd w:val="clear" w:color="auto" w:fill="auto"/>
            <w:noWrap/>
            <w:vAlign w:val="center"/>
            <w:hideMark/>
          </w:tcPr>
          <w:p w14:paraId="6E1AF818"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-0,1966%</w:t>
            </w:r>
          </w:p>
        </w:tc>
        <w:tc>
          <w:tcPr>
            <w:tcW w:w="901" w:type="dxa"/>
            <w:tcBorders>
              <w:top w:val="nil"/>
              <w:left w:val="nil"/>
              <w:bottom w:val="single" w:sz="4" w:space="0" w:color="auto"/>
              <w:right w:val="single" w:sz="4" w:space="0" w:color="auto"/>
            </w:tcBorders>
            <w:shd w:val="clear" w:color="auto" w:fill="auto"/>
            <w:noWrap/>
            <w:vAlign w:val="center"/>
            <w:hideMark/>
          </w:tcPr>
          <w:p w14:paraId="1BACAB74"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0,9112%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A3A48FF"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-0,0980%</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390F3FE5"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0,5169%</w:t>
            </w:r>
          </w:p>
        </w:tc>
        <w:tc>
          <w:tcPr>
            <w:tcW w:w="1459" w:type="dxa"/>
            <w:gridSpan w:val="2"/>
            <w:tcBorders>
              <w:top w:val="nil"/>
              <w:left w:val="nil"/>
              <w:bottom w:val="single" w:sz="4" w:space="0" w:color="auto"/>
            </w:tcBorders>
            <w:shd w:val="clear" w:color="auto" w:fill="auto"/>
            <w:noWrap/>
            <w:vAlign w:val="center"/>
            <w:hideMark/>
          </w:tcPr>
          <w:p w14:paraId="19130531"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-0,1163%</w:t>
            </w:r>
          </w:p>
        </w:tc>
      </w:tr>
      <w:tr w:rsidR="005D1EDB" w:rsidRPr="00F0331E" w14:paraId="36DD7D44" w14:textId="77777777" w:rsidTr="00944378">
        <w:trPr>
          <w:trHeight w:val="288"/>
        </w:trPr>
        <w:tc>
          <w:tcPr>
            <w:tcW w:w="1245" w:type="dxa"/>
            <w:tcBorders>
              <w:top w:val="nil"/>
              <w:bottom w:val="single" w:sz="4" w:space="0" w:color="auto"/>
              <w:right w:val="single" w:sz="4" w:space="0" w:color="auto"/>
            </w:tcBorders>
            <w:shd w:val="clear" w:color="auto" w:fill="auto"/>
            <w:noWrap/>
            <w:vAlign w:val="center"/>
            <w:hideMark/>
          </w:tcPr>
          <w:p w14:paraId="62A9AA0E"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08.12.2020</w:t>
            </w:r>
          </w:p>
        </w:tc>
        <w:tc>
          <w:tcPr>
            <w:tcW w:w="1023" w:type="dxa"/>
            <w:tcBorders>
              <w:top w:val="nil"/>
              <w:left w:val="nil"/>
              <w:bottom w:val="single" w:sz="4" w:space="0" w:color="auto"/>
              <w:right w:val="single" w:sz="4" w:space="0" w:color="auto"/>
            </w:tcBorders>
            <w:shd w:val="clear" w:color="auto" w:fill="auto"/>
            <w:noWrap/>
            <w:vAlign w:val="center"/>
            <w:hideMark/>
          </w:tcPr>
          <w:p w14:paraId="21EDC9D5"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-0,2935%</w:t>
            </w:r>
          </w:p>
        </w:tc>
        <w:tc>
          <w:tcPr>
            <w:tcW w:w="993" w:type="dxa"/>
            <w:tcBorders>
              <w:top w:val="nil"/>
              <w:left w:val="nil"/>
              <w:bottom w:val="single" w:sz="4" w:space="0" w:color="auto"/>
              <w:right w:val="single" w:sz="4" w:space="0" w:color="auto"/>
            </w:tcBorders>
            <w:shd w:val="clear" w:color="auto" w:fill="auto"/>
            <w:noWrap/>
            <w:vAlign w:val="center"/>
            <w:hideMark/>
          </w:tcPr>
          <w:p w14:paraId="3A64B5B0"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-1,5676%</w:t>
            </w:r>
          </w:p>
        </w:tc>
        <w:tc>
          <w:tcPr>
            <w:tcW w:w="992" w:type="dxa"/>
            <w:tcBorders>
              <w:top w:val="nil"/>
              <w:left w:val="nil"/>
              <w:bottom w:val="single" w:sz="4" w:space="0" w:color="auto"/>
              <w:right w:val="single" w:sz="4" w:space="0" w:color="auto"/>
            </w:tcBorders>
            <w:shd w:val="clear" w:color="auto" w:fill="auto"/>
            <w:noWrap/>
            <w:vAlign w:val="center"/>
            <w:hideMark/>
          </w:tcPr>
          <w:p w14:paraId="449AFB73"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-0,3933%</w:t>
            </w:r>
          </w:p>
        </w:tc>
        <w:tc>
          <w:tcPr>
            <w:tcW w:w="901" w:type="dxa"/>
            <w:tcBorders>
              <w:top w:val="nil"/>
              <w:left w:val="nil"/>
              <w:bottom w:val="single" w:sz="4" w:space="0" w:color="auto"/>
              <w:right w:val="single" w:sz="4" w:space="0" w:color="auto"/>
            </w:tcBorders>
            <w:shd w:val="clear" w:color="auto" w:fill="auto"/>
            <w:noWrap/>
            <w:vAlign w:val="center"/>
            <w:hideMark/>
          </w:tcPr>
          <w:p w14:paraId="08AD54CE"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C9B1722"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-0,1075%</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64D36B4F"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-0,7515%</w:t>
            </w:r>
          </w:p>
        </w:tc>
        <w:tc>
          <w:tcPr>
            <w:tcW w:w="1459" w:type="dxa"/>
            <w:gridSpan w:val="2"/>
            <w:tcBorders>
              <w:top w:val="nil"/>
              <w:left w:val="nil"/>
              <w:bottom w:val="single" w:sz="4" w:space="0" w:color="auto"/>
            </w:tcBorders>
            <w:shd w:val="clear" w:color="auto" w:fill="auto"/>
            <w:noWrap/>
            <w:vAlign w:val="center"/>
            <w:hideMark/>
          </w:tcPr>
          <w:p w14:paraId="1DC8AE90"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-0,0984%</w:t>
            </w:r>
          </w:p>
        </w:tc>
      </w:tr>
      <w:tr w:rsidR="005D1EDB" w:rsidRPr="00F0331E" w14:paraId="31C1C7BF" w14:textId="77777777" w:rsidTr="00944378">
        <w:trPr>
          <w:trHeight w:val="288"/>
        </w:trPr>
        <w:tc>
          <w:tcPr>
            <w:tcW w:w="1245" w:type="dxa"/>
            <w:tcBorders>
              <w:top w:val="nil"/>
              <w:bottom w:val="single" w:sz="4" w:space="0" w:color="auto"/>
              <w:right w:val="single" w:sz="4" w:space="0" w:color="auto"/>
            </w:tcBorders>
            <w:shd w:val="clear" w:color="auto" w:fill="auto"/>
            <w:noWrap/>
            <w:vAlign w:val="center"/>
            <w:hideMark/>
          </w:tcPr>
          <w:p w14:paraId="6A1B60F5"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09.12.2020</w:t>
            </w:r>
          </w:p>
        </w:tc>
        <w:tc>
          <w:tcPr>
            <w:tcW w:w="1023" w:type="dxa"/>
            <w:tcBorders>
              <w:top w:val="nil"/>
              <w:left w:val="nil"/>
              <w:bottom w:val="single" w:sz="4" w:space="0" w:color="auto"/>
              <w:right w:val="single" w:sz="4" w:space="0" w:color="auto"/>
            </w:tcBorders>
            <w:shd w:val="clear" w:color="auto" w:fill="auto"/>
            <w:noWrap/>
            <w:vAlign w:val="center"/>
            <w:hideMark/>
          </w:tcPr>
          <w:p w14:paraId="37638D3E"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-0,1984%</w:t>
            </w:r>
          </w:p>
        </w:tc>
        <w:tc>
          <w:tcPr>
            <w:tcW w:w="993" w:type="dxa"/>
            <w:tcBorders>
              <w:top w:val="nil"/>
              <w:left w:val="nil"/>
              <w:bottom w:val="single" w:sz="4" w:space="0" w:color="auto"/>
              <w:right w:val="single" w:sz="4" w:space="0" w:color="auto"/>
            </w:tcBorders>
            <w:shd w:val="clear" w:color="auto" w:fill="auto"/>
            <w:noWrap/>
            <w:vAlign w:val="center"/>
            <w:hideMark/>
          </w:tcPr>
          <w:p w14:paraId="012E4F21"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2,8127%</w:t>
            </w:r>
          </w:p>
        </w:tc>
        <w:tc>
          <w:tcPr>
            <w:tcW w:w="992" w:type="dxa"/>
            <w:tcBorders>
              <w:top w:val="nil"/>
              <w:left w:val="nil"/>
              <w:bottom w:val="single" w:sz="4" w:space="0" w:color="auto"/>
              <w:right w:val="single" w:sz="4" w:space="0" w:color="auto"/>
            </w:tcBorders>
            <w:shd w:val="clear" w:color="auto" w:fill="auto"/>
            <w:noWrap/>
            <w:vAlign w:val="center"/>
            <w:hideMark/>
          </w:tcPr>
          <w:p w14:paraId="689E6307"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-0,7874%</w:t>
            </w:r>
          </w:p>
        </w:tc>
        <w:tc>
          <w:tcPr>
            <w:tcW w:w="901" w:type="dxa"/>
            <w:tcBorders>
              <w:top w:val="nil"/>
              <w:left w:val="nil"/>
              <w:bottom w:val="single" w:sz="4" w:space="0" w:color="auto"/>
              <w:right w:val="single" w:sz="4" w:space="0" w:color="auto"/>
            </w:tcBorders>
            <w:shd w:val="clear" w:color="auto" w:fill="auto"/>
            <w:noWrap/>
            <w:vAlign w:val="center"/>
            <w:hideMark/>
          </w:tcPr>
          <w:p w14:paraId="1F49ECAC"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-1,9002%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2093B5A"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-0,0934%</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6736E6BA"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-0,0183%</w:t>
            </w:r>
          </w:p>
        </w:tc>
        <w:tc>
          <w:tcPr>
            <w:tcW w:w="1459" w:type="dxa"/>
            <w:gridSpan w:val="2"/>
            <w:tcBorders>
              <w:top w:val="nil"/>
              <w:left w:val="nil"/>
              <w:bottom w:val="single" w:sz="4" w:space="0" w:color="auto"/>
            </w:tcBorders>
            <w:shd w:val="clear" w:color="auto" w:fill="auto"/>
            <w:noWrap/>
            <w:vAlign w:val="center"/>
            <w:hideMark/>
          </w:tcPr>
          <w:p w14:paraId="403E514D"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-0,0855%</w:t>
            </w:r>
          </w:p>
        </w:tc>
      </w:tr>
      <w:tr w:rsidR="005D1EDB" w:rsidRPr="00F0331E" w14:paraId="7FC924DC" w14:textId="77777777" w:rsidTr="00944378">
        <w:trPr>
          <w:trHeight w:val="288"/>
        </w:trPr>
        <w:tc>
          <w:tcPr>
            <w:tcW w:w="1245" w:type="dxa"/>
            <w:tcBorders>
              <w:top w:val="nil"/>
              <w:bottom w:val="single" w:sz="4" w:space="0" w:color="auto"/>
              <w:right w:val="single" w:sz="4" w:space="0" w:color="auto"/>
            </w:tcBorders>
            <w:shd w:val="clear" w:color="auto" w:fill="auto"/>
            <w:noWrap/>
            <w:vAlign w:val="center"/>
            <w:hideMark/>
          </w:tcPr>
          <w:p w14:paraId="7218BCE1"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10.12.2020</w:t>
            </w:r>
          </w:p>
        </w:tc>
        <w:tc>
          <w:tcPr>
            <w:tcW w:w="1023" w:type="dxa"/>
            <w:tcBorders>
              <w:top w:val="nil"/>
              <w:left w:val="nil"/>
              <w:bottom w:val="single" w:sz="4" w:space="0" w:color="auto"/>
              <w:right w:val="single" w:sz="4" w:space="0" w:color="auto"/>
            </w:tcBorders>
            <w:shd w:val="clear" w:color="auto" w:fill="auto"/>
            <w:noWrap/>
            <w:vAlign w:val="center"/>
            <w:hideMark/>
          </w:tcPr>
          <w:p w14:paraId="3A13036B"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-0,0413%</w:t>
            </w:r>
          </w:p>
        </w:tc>
        <w:tc>
          <w:tcPr>
            <w:tcW w:w="993" w:type="dxa"/>
            <w:tcBorders>
              <w:top w:val="nil"/>
              <w:left w:val="nil"/>
              <w:bottom w:val="single" w:sz="4" w:space="0" w:color="auto"/>
              <w:right w:val="single" w:sz="4" w:space="0" w:color="auto"/>
            </w:tcBorders>
            <w:shd w:val="clear" w:color="auto" w:fill="auto"/>
            <w:noWrap/>
            <w:vAlign w:val="center"/>
            <w:hideMark/>
          </w:tcPr>
          <w:p w14:paraId="0676E722"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0,2080%</w:t>
            </w:r>
          </w:p>
        </w:tc>
        <w:tc>
          <w:tcPr>
            <w:tcW w:w="992" w:type="dxa"/>
            <w:tcBorders>
              <w:top w:val="nil"/>
              <w:left w:val="nil"/>
              <w:bottom w:val="single" w:sz="4" w:space="0" w:color="auto"/>
              <w:right w:val="single" w:sz="4" w:space="0" w:color="auto"/>
            </w:tcBorders>
            <w:shd w:val="clear" w:color="auto" w:fill="auto"/>
            <w:noWrap/>
            <w:vAlign w:val="center"/>
            <w:hideMark/>
          </w:tcPr>
          <w:p w14:paraId="1A8DACDD"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-0,5471%</w:t>
            </w:r>
          </w:p>
        </w:tc>
        <w:tc>
          <w:tcPr>
            <w:tcW w:w="901" w:type="dxa"/>
            <w:tcBorders>
              <w:top w:val="nil"/>
              <w:left w:val="nil"/>
              <w:bottom w:val="single" w:sz="4" w:space="0" w:color="auto"/>
              <w:right w:val="single" w:sz="4" w:space="0" w:color="auto"/>
            </w:tcBorders>
            <w:shd w:val="clear" w:color="auto" w:fill="auto"/>
            <w:noWrap/>
            <w:vAlign w:val="center"/>
            <w:hideMark/>
          </w:tcPr>
          <w:p w14:paraId="482D65E3"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0AA99DF"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-0,0886%</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7BDDC2C5"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-0,1268%</w:t>
            </w:r>
          </w:p>
        </w:tc>
        <w:tc>
          <w:tcPr>
            <w:tcW w:w="1459" w:type="dxa"/>
            <w:gridSpan w:val="2"/>
            <w:tcBorders>
              <w:top w:val="nil"/>
              <w:left w:val="nil"/>
              <w:bottom w:val="single" w:sz="4" w:space="0" w:color="auto"/>
            </w:tcBorders>
            <w:shd w:val="clear" w:color="auto" w:fill="auto"/>
            <w:noWrap/>
            <w:vAlign w:val="center"/>
            <w:hideMark/>
          </w:tcPr>
          <w:p w14:paraId="0585F9B4" w14:textId="77777777" w:rsidR="005D1EDB" w:rsidRPr="00CC1E4C" w:rsidRDefault="005D1EDB" w:rsidP="00DD49C5">
            <w:pPr>
              <w:spacing w:after="0" w:line="360" w:lineRule="auto"/>
              <w:jc w:val="center"/>
              <w:rPr>
                <w:rFonts w:eastAsia="Times New Roman" w:cs="Times New Roman"/>
                <w:color w:val="000000"/>
                <w:sz w:val="16"/>
                <w:szCs w:val="16"/>
                <w:lang w:eastAsia="ru-RU"/>
              </w:rPr>
            </w:pPr>
            <w:r w:rsidRPr="00CC1E4C">
              <w:rPr>
                <w:rFonts w:eastAsia="Times New Roman" w:cs="Times New Roman"/>
                <w:color w:val="000000"/>
                <w:sz w:val="16"/>
                <w:szCs w:val="16"/>
                <w:lang w:eastAsia="ru-RU"/>
              </w:rPr>
              <w:t>-0,1245%</w:t>
            </w:r>
          </w:p>
        </w:tc>
      </w:tr>
    </w:tbl>
    <w:p w14:paraId="62980E25" w14:textId="77777777" w:rsidR="005D1EDB" w:rsidRDefault="005D1EDB" w:rsidP="008226B3">
      <w:pPr>
        <w:spacing w:after="0" w:line="360" w:lineRule="auto"/>
        <w:ind w:firstLine="709"/>
        <w:rPr>
          <w:rFonts w:cs="Times New Roman"/>
          <w:lang w:val="en-US"/>
        </w:rPr>
      </w:pPr>
    </w:p>
    <w:p w14:paraId="3D1F56D3" w14:textId="77777777" w:rsidR="005D1EDB" w:rsidRPr="00A370EB" w:rsidRDefault="005D1EDB" w:rsidP="008226B3">
      <w:pPr>
        <w:spacing w:line="360" w:lineRule="auto"/>
        <w:ind w:firstLine="709"/>
        <w:rPr>
          <w:lang w:val="en-US"/>
        </w:rPr>
      </w:pPr>
    </w:p>
    <w:sectPr w:rsidR="005D1EDB" w:rsidRPr="00A370EB" w:rsidSect="00907D9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23353" w14:textId="77777777" w:rsidR="00D01F34" w:rsidRDefault="00D01F34" w:rsidP="00D3291F">
      <w:pPr>
        <w:spacing w:after="0" w:line="240" w:lineRule="auto"/>
      </w:pPr>
      <w:r>
        <w:separator/>
      </w:r>
    </w:p>
  </w:endnote>
  <w:endnote w:type="continuationSeparator" w:id="0">
    <w:p w14:paraId="6E7733CF" w14:textId="77777777" w:rsidR="00D01F34" w:rsidRDefault="00D01F34" w:rsidP="00D32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046942"/>
      <w:docPartObj>
        <w:docPartGallery w:val="Page Numbers (Bottom of Page)"/>
        <w:docPartUnique/>
      </w:docPartObj>
    </w:sdtPr>
    <w:sdtEndPr>
      <w:rPr>
        <w:noProof/>
      </w:rPr>
    </w:sdtEndPr>
    <w:sdtContent>
      <w:p w14:paraId="4962F536" w14:textId="04025BFA" w:rsidR="008226B3" w:rsidRDefault="008226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508641" w14:textId="77777777" w:rsidR="008226B3" w:rsidRDefault="00822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317E9" w14:textId="77777777" w:rsidR="00D01F34" w:rsidRDefault="00D01F34" w:rsidP="00D3291F">
      <w:pPr>
        <w:spacing w:after="0" w:line="240" w:lineRule="auto"/>
      </w:pPr>
      <w:r>
        <w:separator/>
      </w:r>
    </w:p>
  </w:footnote>
  <w:footnote w:type="continuationSeparator" w:id="0">
    <w:p w14:paraId="4DD6178E" w14:textId="77777777" w:rsidR="00D01F34" w:rsidRDefault="00D01F34" w:rsidP="00D3291F">
      <w:pPr>
        <w:spacing w:after="0" w:line="240" w:lineRule="auto"/>
      </w:pPr>
      <w:r>
        <w:continuationSeparator/>
      </w:r>
    </w:p>
  </w:footnote>
  <w:footnote w:id="1">
    <w:p w14:paraId="191A6B05" w14:textId="77777777" w:rsidR="00E100ED" w:rsidRPr="00E100ED" w:rsidRDefault="00E100ED" w:rsidP="00E100ED">
      <w:pPr>
        <w:pStyle w:val="FootnoteText"/>
        <w:rPr>
          <w:lang w:val="en-US"/>
        </w:rPr>
      </w:pPr>
      <w:r>
        <w:rPr>
          <w:rStyle w:val="FootnoteReference"/>
        </w:rPr>
        <w:footnoteRef/>
      </w:r>
      <w:r>
        <w:rPr>
          <w:lang w:val="en-US"/>
        </w:rPr>
        <w:t xml:space="preserve"> Bank of England. </w:t>
      </w:r>
      <w:r w:rsidRPr="00E100ED">
        <w:rPr>
          <w:lang w:val="en-US"/>
        </w:rPr>
        <w:t>Monetary Policy Summary and minutes of the Monetary</w:t>
      </w:r>
    </w:p>
    <w:p w14:paraId="1F78A6E5" w14:textId="2E3E0A17" w:rsidR="00E100ED" w:rsidRDefault="00E100ED" w:rsidP="00E100ED">
      <w:pPr>
        <w:pStyle w:val="FootnoteText"/>
        <w:rPr>
          <w:lang w:val="en-US"/>
        </w:rPr>
      </w:pPr>
      <w:r w:rsidRPr="00E100ED">
        <w:rPr>
          <w:lang w:val="en-US"/>
        </w:rPr>
        <w:t>Policy Committee meeting ending on 3 February 2021</w:t>
      </w:r>
      <w:r>
        <w:rPr>
          <w:lang w:val="en-US"/>
        </w:rPr>
        <w:t xml:space="preserve">. </w:t>
      </w:r>
      <w:r>
        <w:rPr>
          <w:lang w:val="en-US"/>
        </w:rPr>
        <w:t>p</w:t>
      </w:r>
      <w:r w:rsidRPr="00E100ED">
        <w:rPr>
          <w:lang w:val="en-US"/>
        </w:rPr>
        <w:t>. 1</w:t>
      </w:r>
      <w:r w:rsidR="00CE6970">
        <w:rPr>
          <w:lang w:val="en-US"/>
        </w:rPr>
        <w:t>1</w:t>
      </w:r>
    </w:p>
    <w:p w14:paraId="21DB87D3" w14:textId="2C6AFD00" w:rsidR="00E100ED" w:rsidRPr="00E100ED" w:rsidRDefault="00E100ED" w:rsidP="00E100ED">
      <w:pPr>
        <w:pStyle w:val="FootnoteText"/>
        <w:rPr>
          <w:lang w:val="en-US"/>
        </w:rPr>
      </w:pPr>
      <w:hyperlink r:id="rId1" w:history="1">
        <w:r w:rsidRPr="00CD7AC4">
          <w:rPr>
            <w:rStyle w:val="Hyperlink"/>
            <w:lang w:val="en-US"/>
          </w:rPr>
          <w:t>https</w:t>
        </w:r>
        <w:r w:rsidRPr="00E100ED">
          <w:rPr>
            <w:rStyle w:val="Hyperlink"/>
            <w:lang w:val="en-US"/>
          </w:rPr>
          <w:t>://</w:t>
        </w:r>
        <w:r w:rsidRPr="00CD7AC4">
          <w:rPr>
            <w:rStyle w:val="Hyperlink"/>
            <w:lang w:val="en-US"/>
          </w:rPr>
          <w:t>www</w:t>
        </w:r>
        <w:r w:rsidRPr="00E100ED">
          <w:rPr>
            <w:rStyle w:val="Hyperlink"/>
            <w:lang w:val="en-US"/>
          </w:rPr>
          <w:t>.</w:t>
        </w:r>
        <w:r w:rsidRPr="00CD7AC4">
          <w:rPr>
            <w:rStyle w:val="Hyperlink"/>
            <w:lang w:val="en-US"/>
          </w:rPr>
          <w:t>bankofengland</w:t>
        </w:r>
        <w:r w:rsidRPr="00E100ED">
          <w:rPr>
            <w:rStyle w:val="Hyperlink"/>
            <w:lang w:val="en-US"/>
          </w:rPr>
          <w:t>.</w:t>
        </w:r>
        <w:r w:rsidRPr="00CD7AC4">
          <w:rPr>
            <w:rStyle w:val="Hyperlink"/>
            <w:lang w:val="en-US"/>
          </w:rPr>
          <w:t>co</w:t>
        </w:r>
        <w:r w:rsidRPr="00E100ED">
          <w:rPr>
            <w:rStyle w:val="Hyperlink"/>
            <w:lang w:val="en-US"/>
          </w:rPr>
          <w:t>.</w:t>
        </w:r>
        <w:r w:rsidRPr="00CD7AC4">
          <w:rPr>
            <w:rStyle w:val="Hyperlink"/>
            <w:lang w:val="en-US"/>
          </w:rPr>
          <w:t>uk</w:t>
        </w:r>
        <w:r w:rsidRPr="00E100ED">
          <w:rPr>
            <w:rStyle w:val="Hyperlink"/>
            <w:lang w:val="en-US"/>
          </w:rPr>
          <w:t>/-/</w:t>
        </w:r>
        <w:r w:rsidRPr="00CD7AC4">
          <w:rPr>
            <w:rStyle w:val="Hyperlink"/>
            <w:lang w:val="en-US"/>
          </w:rPr>
          <w:t>media</w:t>
        </w:r>
        <w:r w:rsidRPr="00E100ED">
          <w:rPr>
            <w:rStyle w:val="Hyperlink"/>
            <w:lang w:val="en-US"/>
          </w:rPr>
          <w:t>/</w:t>
        </w:r>
        <w:r w:rsidRPr="00CD7AC4">
          <w:rPr>
            <w:rStyle w:val="Hyperlink"/>
            <w:lang w:val="en-US"/>
          </w:rPr>
          <w:t>boe</w:t>
        </w:r>
        <w:r w:rsidRPr="00E100ED">
          <w:rPr>
            <w:rStyle w:val="Hyperlink"/>
            <w:lang w:val="en-US"/>
          </w:rPr>
          <w:t>/</w:t>
        </w:r>
        <w:r w:rsidRPr="00CD7AC4">
          <w:rPr>
            <w:rStyle w:val="Hyperlink"/>
            <w:lang w:val="en-US"/>
          </w:rPr>
          <w:t>files</w:t>
        </w:r>
        <w:r w:rsidRPr="00E100ED">
          <w:rPr>
            <w:rStyle w:val="Hyperlink"/>
            <w:lang w:val="en-US"/>
          </w:rPr>
          <w:t>/</w:t>
        </w:r>
        <w:r w:rsidRPr="00CD7AC4">
          <w:rPr>
            <w:rStyle w:val="Hyperlink"/>
            <w:lang w:val="en-US"/>
          </w:rPr>
          <w:t>monetary</w:t>
        </w:r>
        <w:r w:rsidRPr="00E100ED">
          <w:rPr>
            <w:rStyle w:val="Hyperlink"/>
            <w:lang w:val="en-US"/>
          </w:rPr>
          <w:t>-</w:t>
        </w:r>
        <w:r w:rsidRPr="00CD7AC4">
          <w:rPr>
            <w:rStyle w:val="Hyperlink"/>
            <w:lang w:val="en-US"/>
          </w:rPr>
          <w:t>policy</w:t>
        </w:r>
        <w:r w:rsidRPr="00E100ED">
          <w:rPr>
            <w:rStyle w:val="Hyperlink"/>
            <w:lang w:val="en-US"/>
          </w:rPr>
          <w:t>-</w:t>
        </w:r>
        <w:r w:rsidRPr="00CD7AC4">
          <w:rPr>
            <w:rStyle w:val="Hyperlink"/>
            <w:lang w:val="en-US"/>
          </w:rPr>
          <w:t>summary</w:t>
        </w:r>
        <w:r w:rsidRPr="00E100ED">
          <w:rPr>
            <w:rStyle w:val="Hyperlink"/>
            <w:lang w:val="en-US"/>
          </w:rPr>
          <w:t>-</w:t>
        </w:r>
        <w:r w:rsidRPr="00CD7AC4">
          <w:rPr>
            <w:rStyle w:val="Hyperlink"/>
            <w:lang w:val="en-US"/>
          </w:rPr>
          <w:t>and</w:t>
        </w:r>
        <w:r w:rsidRPr="00E100ED">
          <w:rPr>
            <w:rStyle w:val="Hyperlink"/>
            <w:lang w:val="en-US"/>
          </w:rPr>
          <w:t>-</w:t>
        </w:r>
        <w:r w:rsidRPr="00CD7AC4">
          <w:rPr>
            <w:rStyle w:val="Hyperlink"/>
            <w:lang w:val="en-US"/>
          </w:rPr>
          <w:t>minutes</w:t>
        </w:r>
        <w:r w:rsidRPr="00E100ED">
          <w:rPr>
            <w:rStyle w:val="Hyperlink"/>
            <w:lang w:val="en-US"/>
          </w:rPr>
          <w:t>/2021/</w:t>
        </w:r>
        <w:r w:rsidRPr="00CD7AC4">
          <w:rPr>
            <w:rStyle w:val="Hyperlink"/>
            <w:lang w:val="en-US"/>
          </w:rPr>
          <w:t>february</w:t>
        </w:r>
        <w:r w:rsidRPr="00E100ED">
          <w:rPr>
            <w:rStyle w:val="Hyperlink"/>
            <w:lang w:val="en-US"/>
          </w:rPr>
          <w:t>-2021.</w:t>
        </w:r>
        <w:r w:rsidRPr="00CD7AC4">
          <w:rPr>
            <w:rStyle w:val="Hyperlink"/>
            <w:lang w:val="en-US"/>
          </w:rPr>
          <w:t>pdf</w:t>
        </w:r>
      </w:hyperlink>
      <w:r w:rsidRPr="00E100ED">
        <w:rPr>
          <w:lang w:val="en-US"/>
        </w:rPr>
        <w:t xml:space="preserve">, </w:t>
      </w:r>
    </w:p>
  </w:footnote>
  <w:footnote w:id="2">
    <w:p w14:paraId="6982C374" w14:textId="4B8A8AA8" w:rsidR="00BD4220" w:rsidRPr="00BD4220" w:rsidRDefault="00BD4220">
      <w:pPr>
        <w:pStyle w:val="FootnoteText"/>
        <w:rPr>
          <w:rStyle w:val="Char"/>
        </w:rPr>
      </w:pPr>
      <w:r>
        <w:rPr>
          <w:rStyle w:val="FootnoteReference"/>
        </w:rPr>
        <w:footnoteRef/>
      </w:r>
      <w:r w:rsidRPr="00BD4220">
        <w:rPr>
          <w:lang w:val="en-US"/>
        </w:rPr>
        <w:t xml:space="preserve"> </w:t>
      </w:r>
      <w:r w:rsidRPr="00E153D1">
        <w:rPr>
          <w:rStyle w:val="Char"/>
        </w:rPr>
        <w:t>«Zero lower bound» effect is observed when negative interest rates, if applied by Central Bank to the current account balances held at Centrak Bank by financial institutions, are frequently not fully passed-through to private clients in case of bank deposits.</w:t>
      </w:r>
    </w:p>
  </w:footnote>
  <w:footnote w:id="3">
    <w:p w14:paraId="37A20CD8" w14:textId="458EEC3D" w:rsidR="00932104" w:rsidRPr="002B7DFE" w:rsidRDefault="00932104">
      <w:pPr>
        <w:pStyle w:val="FootnoteText"/>
        <w:rPr>
          <w:lang w:val="en-US"/>
        </w:rPr>
      </w:pPr>
      <w:r>
        <w:rPr>
          <w:rStyle w:val="FootnoteReference"/>
        </w:rPr>
        <w:footnoteRef/>
      </w:r>
      <w:r w:rsidRPr="002B7DFE">
        <w:rPr>
          <w:lang w:val="en-US"/>
        </w:rPr>
        <w:t xml:space="preserve"> </w:t>
      </w:r>
      <w:r w:rsidRPr="00E153D1">
        <w:rPr>
          <w:rStyle w:val="Char"/>
        </w:rPr>
        <w:t>Monthly trade volume of FX derivatives on currencies with negative domestic interbank interest rates: Japanese Yen, Swiss Franc and Euro is USD 650 billion, makes about 20-27% of total FX derivatives monthly trade volume</w:t>
      </w:r>
    </w:p>
  </w:footnote>
  <w:footnote w:id="4">
    <w:p w14:paraId="7B0D04DE" w14:textId="77777777" w:rsidR="00932104" w:rsidRPr="00ED4982" w:rsidRDefault="00932104" w:rsidP="00582F61">
      <w:pPr>
        <w:pStyle w:val="FootnoteText"/>
        <w:rPr>
          <w:lang w:val="en-US"/>
        </w:rPr>
      </w:pPr>
      <w:r>
        <w:rPr>
          <w:rStyle w:val="FootnoteReference"/>
        </w:rPr>
        <w:footnoteRef/>
      </w:r>
      <w:r w:rsidRPr="00ED4982">
        <w:rPr>
          <w:lang w:val="en-US"/>
        </w:rPr>
        <w:t xml:space="preserve"> </w:t>
      </w:r>
      <w:r w:rsidRPr="00E153D1">
        <w:rPr>
          <w:rStyle w:val="Char"/>
        </w:rPr>
        <w:t>Deloitte. 2019 Global Treasury Survey. A journey toward adoption of new technology</w:t>
      </w:r>
    </w:p>
  </w:footnote>
  <w:footnote w:id="5">
    <w:p w14:paraId="0BA46E9D" w14:textId="18006B47" w:rsidR="00932104" w:rsidRPr="00E153D1" w:rsidRDefault="00932104">
      <w:pPr>
        <w:pStyle w:val="FootnoteText"/>
        <w:rPr>
          <w:rStyle w:val="Char"/>
        </w:rPr>
      </w:pPr>
      <w:r>
        <w:rPr>
          <w:rStyle w:val="FootnoteReference"/>
        </w:rPr>
        <w:footnoteRef/>
      </w:r>
      <w:r w:rsidRPr="00B630BE">
        <w:rPr>
          <w:lang w:val="en-US"/>
        </w:rPr>
        <w:t xml:space="preserve"> </w:t>
      </w:r>
      <w:r w:rsidRPr="00E153D1">
        <w:rPr>
          <w:rStyle w:val="Char"/>
        </w:rPr>
        <w:t>2020 Foreign Exchange Risk Management Survey</w:t>
      </w:r>
    </w:p>
  </w:footnote>
  <w:footnote w:id="6">
    <w:p w14:paraId="743869A4" w14:textId="176990C8" w:rsidR="00932104" w:rsidRPr="0071753D" w:rsidRDefault="00932104">
      <w:pPr>
        <w:pStyle w:val="FootnoteText"/>
        <w:rPr>
          <w:lang w:val="en-US"/>
        </w:rPr>
      </w:pPr>
      <w:r>
        <w:rPr>
          <w:rStyle w:val="FootnoteReference"/>
        </w:rPr>
        <w:footnoteRef/>
      </w:r>
      <w:r w:rsidRPr="0071753D">
        <w:rPr>
          <w:lang w:val="en-US"/>
        </w:rPr>
        <w:t xml:space="preserve"> </w:t>
      </w:r>
      <w:r w:rsidRPr="00E153D1">
        <w:rPr>
          <w:rStyle w:val="Char"/>
        </w:rPr>
        <w:t>Consumer and industrial products; Energy &amp; resources; Financial Services; Technology, media &amp; Telecom; Life Sciences and Healthcare; Public sector</w:t>
      </w:r>
    </w:p>
  </w:footnote>
  <w:footnote w:id="7">
    <w:p w14:paraId="03111B27" w14:textId="69C353CF" w:rsidR="00932104" w:rsidRPr="0071753D" w:rsidRDefault="00932104" w:rsidP="0071753D">
      <w:pPr>
        <w:pStyle w:val="FootnoteText"/>
        <w:rPr>
          <w:lang w:val="en-US"/>
        </w:rPr>
      </w:pPr>
      <w:r>
        <w:rPr>
          <w:rStyle w:val="FootnoteReference"/>
        </w:rPr>
        <w:footnoteRef/>
      </w:r>
      <w:r w:rsidRPr="0071753D">
        <w:rPr>
          <w:lang w:val="en-US"/>
        </w:rPr>
        <w:t xml:space="preserve"> </w:t>
      </w:r>
      <w:r w:rsidRPr="00E153D1">
        <w:rPr>
          <w:rStyle w:val="Char"/>
        </w:rPr>
        <w:t>Manufacturing, Technology, Wholesale Trade, Retail, Healthcare, Energy</w:t>
      </w:r>
    </w:p>
  </w:footnote>
  <w:footnote w:id="8">
    <w:p w14:paraId="543A01A2" w14:textId="3EFD2115" w:rsidR="00E761F0" w:rsidRPr="00E761F0" w:rsidRDefault="00E761F0">
      <w:pPr>
        <w:pStyle w:val="FootnoteText"/>
        <w:rPr>
          <w:lang w:val="en-US"/>
        </w:rPr>
      </w:pPr>
      <w:r>
        <w:rPr>
          <w:rStyle w:val="FootnoteReference"/>
        </w:rPr>
        <w:footnoteRef/>
      </w:r>
      <w:r w:rsidRPr="00E761F0">
        <w:rPr>
          <w:lang w:val="en-US"/>
        </w:rPr>
        <w:t xml:space="preserve"> BIS. Derivatives statistics. </w:t>
      </w:r>
      <w:hyperlink r:id="rId2" w:history="1">
        <w:r w:rsidRPr="00906081">
          <w:rPr>
            <w:rStyle w:val="Hyperlink"/>
            <w:lang w:val="en-US"/>
          </w:rPr>
          <w:t>https://stats.bis.org/statx/toc/DER.html</w:t>
        </w:r>
      </w:hyperlink>
      <w:r>
        <w:rPr>
          <w:lang w:val="en-US"/>
        </w:rPr>
        <w:t xml:space="preserve"> </w:t>
      </w:r>
    </w:p>
  </w:footnote>
  <w:footnote w:id="9">
    <w:p w14:paraId="2C87FAEB" w14:textId="6D6E714A" w:rsidR="00AA35ED" w:rsidRDefault="00AA35ED">
      <w:pPr>
        <w:pStyle w:val="FootnoteText"/>
        <w:rPr>
          <w:lang w:val="en-US"/>
        </w:rPr>
      </w:pPr>
      <w:r>
        <w:rPr>
          <w:rStyle w:val="FootnoteReference"/>
        </w:rPr>
        <w:footnoteRef/>
      </w:r>
      <w:r w:rsidRPr="00AA35ED">
        <w:rPr>
          <w:lang w:val="en-US"/>
        </w:rPr>
        <w:t xml:space="preserve"> </w:t>
      </w:r>
      <w:r>
        <w:rPr>
          <w:lang w:val="en-US"/>
        </w:rPr>
        <w:t>As reported by FIA, CME group is ranked at 2</w:t>
      </w:r>
      <w:r w:rsidRPr="00AA35ED">
        <w:rPr>
          <w:vertAlign w:val="superscript"/>
          <w:lang w:val="en-US"/>
        </w:rPr>
        <w:t>nd</w:t>
      </w:r>
      <w:r>
        <w:rPr>
          <w:lang w:val="en-US"/>
        </w:rPr>
        <w:t xml:space="preserve"> place in the </w:t>
      </w:r>
      <w:r w:rsidRPr="00AA35ED">
        <w:rPr>
          <w:lang w:val="en-US"/>
        </w:rPr>
        <w:t>«</w:t>
      </w:r>
      <w:r>
        <w:rPr>
          <w:lang w:val="en-US"/>
        </w:rPr>
        <w:t>Top 40 derivatives exchanges worldwide</w:t>
      </w:r>
      <w:r w:rsidRPr="00AA35ED">
        <w:rPr>
          <w:lang w:val="en-US"/>
        </w:rPr>
        <w:t xml:space="preserve">». </w:t>
      </w:r>
      <w:r>
        <w:rPr>
          <w:lang w:val="en-US"/>
        </w:rPr>
        <w:t>Exchange at the 1</w:t>
      </w:r>
      <w:r w:rsidRPr="00AA35ED">
        <w:rPr>
          <w:vertAlign w:val="superscript"/>
          <w:lang w:val="en-US"/>
        </w:rPr>
        <w:t>st</w:t>
      </w:r>
      <w:r>
        <w:rPr>
          <w:lang w:val="en-US"/>
        </w:rPr>
        <w:t xml:space="preserve"> position is National Stock Exchange of India. It gained +57% of trade volume (in number of contracts) in 1 year and this could be perceived as unprecedented event. Thus, we decided to rely at the exchange at the second position.</w:t>
      </w:r>
    </w:p>
    <w:p w14:paraId="40FD0E35" w14:textId="33675C62" w:rsidR="00E62D1D" w:rsidRPr="00AA35ED" w:rsidRDefault="00E62D1D">
      <w:pPr>
        <w:pStyle w:val="FootnoteText"/>
        <w:rPr>
          <w:lang w:val="en-US"/>
        </w:rPr>
      </w:pPr>
      <w:r>
        <w:rPr>
          <w:lang w:val="en-US"/>
        </w:rPr>
        <w:t xml:space="preserve">Source: FIA. </w:t>
      </w:r>
      <w:r w:rsidRPr="00E62D1D">
        <w:rPr>
          <w:lang w:val="en-US"/>
        </w:rPr>
        <w:t>2019 Market Data - Derivatives volume grows BRIC by BRIC</w:t>
      </w:r>
      <w:r>
        <w:rPr>
          <w:lang w:val="en-US"/>
        </w:rPr>
        <w:t xml:space="preserve">. March, 2020. </w:t>
      </w:r>
      <w:hyperlink r:id="rId3" w:history="1">
        <w:r w:rsidRPr="00906081">
          <w:rPr>
            <w:rStyle w:val="Hyperlink"/>
            <w:lang w:val="en-US"/>
          </w:rPr>
          <w:t>https://www.fia.org/marketvoice/articles/2019-market-data-derivatives-volume-grows-bric-bric</w:t>
        </w:r>
      </w:hyperlink>
      <w:r>
        <w:rPr>
          <w:lang w:val="en-US"/>
        </w:rPr>
        <w:t xml:space="preserve"> </w:t>
      </w:r>
    </w:p>
  </w:footnote>
  <w:footnote w:id="10">
    <w:p w14:paraId="30E1A88B" w14:textId="39A6BF43" w:rsidR="00355B32" w:rsidRPr="00355B32" w:rsidRDefault="00355B32">
      <w:pPr>
        <w:pStyle w:val="FootnoteText"/>
        <w:rPr>
          <w:lang w:val="en-US"/>
        </w:rPr>
      </w:pPr>
      <w:r>
        <w:rPr>
          <w:rStyle w:val="FootnoteReference"/>
        </w:rPr>
        <w:footnoteRef/>
      </w:r>
      <w:r w:rsidRPr="00355B32">
        <w:rPr>
          <w:lang w:val="en-US"/>
        </w:rPr>
        <w:t xml:space="preserve"> </w:t>
      </w:r>
      <w:r w:rsidRPr="00355B32">
        <w:rPr>
          <w:rStyle w:val="Char"/>
        </w:rPr>
        <w:t>FRM ® Exam part I. Financial Markets an</w:t>
      </w:r>
      <w:r>
        <w:rPr>
          <w:rStyle w:val="Char"/>
        </w:rPr>
        <w:t>d</w:t>
      </w:r>
      <w:r w:rsidRPr="00355B32">
        <w:rPr>
          <w:rStyle w:val="Char"/>
        </w:rPr>
        <w:t xml:space="preserve"> Products. 2020. P. 84 </w:t>
      </w:r>
    </w:p>
  </w:footnote>
  <w:footnote w:id="11">
    <w:p w14:paraId="7A5FB813" w14:textId="45794B3C" w:rsidR="00841E35" w:rsidRPr="00841E35" w:rsidRDefault="00841E35">
      <w:pPr>
        <w:pStyle w:val="FootnoteText"/>
        <w:rPr>
          <w:lang w:val="en-US"/>
        </w:rPr>
      </w:pPr>
      <w:r>
        <w:rPr>
          <w:rStyle w:val="FootnoteReference"/>
        </w:rPr>
        <w:footnoteRef/>
      </w:r>
      <w:r w:rsidRPr="00841E35">
        <w:rPr>
          <w:lang w:val="en-US"/>
        </w:rPr>
        <w:t xml:space="preserve"> </w:t>
      </w:r>
      <w:r w:rsidRPr="00E153D1">
        <w:rPr>
          <w:rStyle w:val="Char"/>
        </w:rPr>
        <w:t>Observed difference between contract prices calculated with either one of the approaches is significantly less than 0.5 basis points</w:t>
      </w:r>
    </w:p>
  </w:footnote>
  <w:footnote w:id="12">
    <w:p w14:paraId="1CE3EC0D" w14:textId="3AA07B8C" w:rsidR="00932104" w:rsidRPr="00E64B3B" w:rsidRDefault="00932104" w:rsidP="00625DE5">
      <w:pPr>
        <w:pStyle w:val="a"/>
      </w:pPr>
      <w:r>
        <w:rPr>
          <w:rStyle w:val="FootnoteReference"/>
        </w:rPr>
        <w:footnoteRef/>
      </w:r>
      <w:r w:rsidRPr="00E64B3B">
        <w:t xml:space="preserve"> </w:t>
      </w:r>
      <w:r w:rsidRPr="000C0A8C">
        <w:t>-0.74%: interpolated rate. At 19.10.2020 3m LIBOR CHF quoted at -0.7624% and 6m LIBOR CHF quoted at -0.7270%. Linear interpolation gives us: -0.7400% = -0.7624% + (-0.7270% - (-0.7624%))*(147-90)/(180-90)</w:t>
      </w:r>
      <w:r>
        <w:t>. Calculations for USD rate are made by applying the same principle.</w:t>
      </w:r>
    </w:p>
  </w:footnote>
  <w:footnote w:id="13">
    <w:p w14:paraId="7EAC038C" w14:textId="1A78EC10" w:rsidR="00932104" w:rsidRPr="00625DE5" w:rsidRDefault="00932104">
      <w:pPr>
        <w:pStyle w:val="FootnoteText"/>
        <w:rPr>
          <w:rStyle w:val="Char"/>
        </w:rPr>
      </w:pPr>
      <w:r>
        <w:rPr>
          <w:rStyle w:val="FootnoteReference"/>
        </w:rPr>
        <w:footnoteRef/>
      </w:r>
      <w:r w:rsidRPr="000C0A8C">
        <w:rPr>
          <w:lang w:val="en-US"/>
        </w:rPr>
        <w:t xml:space="preserve"> </w:t>
      </w:r>
      <w:r w:rsidRPr="00625DE5">
        <w:rPr>
          <w:rStyle w:val="Char"/>
        </w:rPr>
        <w:t>1.09697* exp((0.2375% - -0.7400%)*(147/365))) = 1.10129</w:t>
      </w:r>
      <w:r w:rsidR="008F39D7" w:rsidRPr="00625DE5">
        <w:rPr>
          <w:rStyle w:val="Char"/>
        </w:rPr>
        <w:t>7</w:t>
      </w:r>
    </w:p>
  </w:footnote>
  <w:footnote w:id="14">
    <w:p w14:paraId="5F165E37" w14:textId="0E60F8CF" w:rsidR="00932104" w:rsidRPr="000C0A8C" w:rsidRDefault="00932104">
      <w:pPr>
        <w:pStyle w:val="FootnoteText"/>
        <w:rPr>
          <w:lang w:val="en-US"/>
        </w:rPr>
      </w:pPr>
      <w:r>
        <w:rPr>
          <w:rStyle w:val="FootnoteReference"/>
        </w:rPr>
        <w:footnoteRef/>
      </w:r>
      <w:r w:rsidRPr="00B27A79">
        <w:rPr>
          <w:lang w:val="en-US"/>
        </w:rPr>
        <w:t xml:space="preserve"> </w:t>
      </w:r>
      <m:oMath>
        <m:r>
          <m:rPr>
            <m:sty m:val="p"/>
          </m:rPr>
          <w:rPr>
            <w:rStyle w:val="Char"/>
            <w:rFonts w:ascii="Cambria Math" w:hAnsi="Cambria Math"/>
          </w:rPr>
          <m:t>68.1= (</m:t>
        </m:r>
        <m:f>
          <m:fPr>
            <m:ctrlPr>
              <w:rPr>
                <w:rStyle w:val="Char"/>
                <w:rFonts w:ascii="Cambria Math" w:hAnsi="Cambria Math"/>
              </w:rPr>
            </m:ctrlPr>
          </m:fPr>
          <m:num>
            <m:r>
              <m:rPr>
                <m:sty m:val="p"/>
              </m:rPr>
              <w:rPr>
                <w:rStyle w:val="Char"/>
                <w:rFonts w:ascii="Cambria Math" w:hAnsi="Cambria Math"/>
              </w:rPr>
              <m:t xml:space="preserve">1.101297 </m:t>
            </m:r>
          </m:num>
          <m:den>
            <m:r>
              <m:rPr>
                <m:sty m:val="p"/>
              </m:rPr>
              <w:rPr>
                <w:rStyle w:val="Char"/>
                <w:rFonts w:ascii="Cambria Math" w:hAnsi="Cambria Math"/>
              </w:rPr>
              <m:t>1.1088</m:t>
            </m:r>
          </m:den>
        </m:f>
      </m:oMath>
      <w:r w:rsidRPr="00625DE5">
        <w:rPr>
          <w:rStyle w:val="Char"/>
        </w:rPr>
        <w:t xml:space="preserve"> – 1)* 10 000.</w:t>
      </w:r>
    </w:p>
  </w:footnote>
  <w:footnote w:id="15">
    <w:p w14:paraId="0DAB8DB5" w14:textId="5F81432B" w:rsidR="00461417" w:rsidRPr="008966FC" w:rsidRDefault="00461417">
      <w:pPr>
        <w:pStyle w:val="FootnoteText"/>
        <w:rPr>
          <w:lang w:val="en-US"/>
        </w:rPr>
      </w:pPr>
      <w:r>
        <w:rPr>
          <w:rStyle w:val="FootnoteReference"/>
        </w:rPr>
        <w:footnoteRef/>
      </w:r>
      <w:r w:rsidRPr="008966FC">
        <w:rPr>
          <w:lang w:val="en-US"/>
        </w:rPr>
        <w:t xml:space="preserve"> </w:t>
      </w:r>
      <w:r w:rsidRPr="00625DE5">
        <w:rPr>
          <w:rStyle w:val="Char"/>
        </w:rPr>
        <w:t>125 000 CHF * 1.1088</w:t>
      </w:r>
    </w:p>
  </w:footnote>
  <w:footnote w:id="16">
    <w:p w14:paraId="204CB0B0" w14:textId="7AF3F1FA" w:rsidR="00841E35" w:rsidRPr="00841E35" w:rsidRDefault="00841E35">
      <w:pPr>
        <w:pStyle w:val="FootnoteText"/>
        <w:rPr>
          <w:lang w:val="en-US"/>
        </w:rPr>
      </w:pPr>
      <w:r>
        <w:rPr>
          <w:rStyle w:val="FootnoteReference"/>
        </w:rPr>
        <w:footnoteRef/>
      </w:r>
      <w:r w:rsidRPr="00841E35">
        <w:rPr>
          <w:lang w:val="en-US"/>
        </w:rPr>
        <w:t xml:space="preserve"> </w:t>
      </w:r>
      <w:r>
        <w:rPr>
          <w:rStyle w:val="Char"/>
        </w:rPr>
        <w:t>O</w:t>
      </w:r>
      <w:r w:rsidRPr="00841E35">
        <w:rPr>
          <w:rStyle w:val="Char"/>
        </w:rPr>
        <w:t>bserved arbitrage opportunity of 937.12 USD is small for institutional traders and, to fully uncover this opportunity, they</w:t>
      </w:r>
      <w:r w:rsidR="00A71842">
        <w:rPr>
          <w:rStyle w:val="Char"/>
        </w:rPr>
        <w:t xml:space="preserve"> could</w:t>
      </w:r>
      <w:r w:rsidRPr="00841E35">
        <w:rPr>
          <w:rStyle w:val="Char"/>
        </w:rPr>
        <w:t xml:space="preserve"> perform the same actions, but in significantly larger scales</w:t>
      </w:r>
    </w:p>
  </w:footnote>
  <w:footnote w:id="17">
    <w:p w14:paraId="3564A829" w14:textId="26A3ED9F" w:rsidR="006F193C" w:rsidRPr="0017278B" w:rsidRDefault="0017278B" w:rsidP="006F193C">
      <w:pPr>
        <w:pStyle w:val="FootnoteText"/>
        <w:jc w:val="left"/>
        <w:rPr>
          <w:lang w:val="en-US"/>
        </w:rPr>
      </w:pPr>
      <w:r>
        <w:rPr>
          <w:rStyle w:val="FootnoteReference"/>
        </w:rPr>
        <w:footnoteRef/>
      </w:r>
      <w:r w:rsidRPr="0017278B">
        <w:rPr>
          <w:lang w:val="en-US"/>
        </w:rPr>
        <w:t xml:space="preserve"> </w:t>
      </w:r>
      <w:r>
        <w:rPr>
          <w:lang w:val="en-US"/>
        </w:rPr>
        <w:t xml:space="preserve">Adopted from </w:t>
      </w:r>
      <w:r w:rsidR="006F193C" w:rsidRPr="006F193C">
        <w:rPr>
          <w:lang w:val="en-US"/>
        </w:rPr>
        <w:t xml:space="preserve">ISDA. «IBOR Transition Guide for Asia». July, 2020. </w:t>
      </w:r>
      <w:hyperlink r:id="rId4" w:history="1">
        <w:r w:rsidR="006F193C" w:rsidRPr="00906081">
          <w:rPr>
            <w:rStyle w:val="Hyperlink"/>
            <w:lang w:val="en-US"/>
          </w:rPr>
          <w:t>http://assets.isda.org/media/7b78f06e/202e9dcd-pdf/</w:t>
        </w:r>
      </w:hyperlink>
      <w:r w:rsidR="006F193C">
        <w:rPr>
          <w:lang w:val="en-US"/>
        </w:rPr>
        <w:t xml:space="preserve"> </w:t>
      </w:r>
    </w:p>
  </w:footnote>
  <w:footnote w:id="18">
    <w:p w14:paraId="0B31B4E4" w14:textId="77777777" w:rsidR="009B0364" w:rsidRDefault="00AE66BE">
      <w:pPr>
        <w:pStyle w:val="FootnoteText"/>
        <w:rPr>
          <w:lang w:val="en-US"/>
        </w:rPr>
      </w:pPr>
      <w:r>
        <w:rPr>
          <w:rStyle w:val="FootnoteReference"/>
        </w:rPr>
        <w:footnoteRef/>
      </w:r>
      <w:r w:rsidRPr="00AE66BE">
        <w:rPr>
          <w:lang w:val="en-US"/>
        </w:rPr>
        <w:t xml:space="preserve"> </w:t>
      </w:r>
      <w:r w:rsidR="009B0364">
        <w:rPr>
          <w:lang w:val="en-US"/>
        </w:rPr>
        <w:t>As reported by ISDA, i</w:t>
      </w:r>
      <w:r w:rsidRPr="00AE66BE">
        <w:rPr>
          <w:lang w:val="en-US"/>
        </w:rPr>
        <w:t>n the US, interest rate derivatives trade volume is dominated by USD LIBOR (on average, &gt;40% of total month trade volume) and EURIBOR (around 20%)</w:t>
      </w:r>
      <w:r w:rsidR="009B0364">
        <w:rPr>
          <w:lang w:val="en-US"/>
        </w:rPr>
        <w:t xml:space="preserve">. </w:t>
      </w:r>
    </w:p>
    <w:p w14:paraId="5070E49A" w14:textId="77777777" w:rsidR="009B0364" w:rsidRDefault="009B0364" w:rsidP="009B0364">
      <w:pPr>
        <w:pStyle w:val="FootnoteText"/>
        <w:jc w:val="left"/>
        <w:rPr>
          <w:lang w:val="en-US"/>
        </w:rPr>
      </w:pPr>
      <w:r>
        <w:rPr>
          <w:lang w:val="en-US"/>
        </w:rPr>
        <w:t xml:space="preserve">Source: ISDA. </w:t>
      </w:r>
      <w:r w:rsidRPr="009B0364">
        <w:rPr>
          <w:lang w:val="en-US"/>
        </w:rPr>
        <w:t>Adoption of RFRs: Major Developments in 2021</w:t>
      </w:r>
      <w:r>
        <w:rPr>
          <w:lang w:val="en-US"/>
        </w:rPr>
        <w:t>. April, 2021.</w:t>
      </w:r>
    </w:p>
    <w:p w14:paraId="0BAA5C33" w14:textId="28FE6EDF" w:rsidR="009B0364" w:rsidRPr="00AE66BE" w:rsidRDefault="00D01F34" w:rsidP="009B0364">
      <w:pPr>
        <w:pStyle w:val="FootnoteText"/>
        <w:jc w:val="left"/>
        <w:rPr>
          <w:lang w:val="en-US"/>
        </w:rPr>
      </w:pPr>
      <w:hyperlink r:id="rId5" w:history="1">
        <w:r w:rsidR="009D1415" w:rsidRPr="00906081">
          <w:rPr>
            <w:rStyle w:val="Hyperlink"/>
            <w:lang w:val="en-US"/>
          </w:rPr>
          <w:t>https://www.isda.org/a/MzFTE/Adoption-of-RFRs-Major-Developments-in-2021.pdf</w:t>
        </w:r>
      </w:hyperlink>
      <w:r w:rsidR="009B0364">
        <w:rPr>
          <w:lang w:val="en-US"/>
        </w:rPr>
        <w:t xml:space="preserve"> </w:t>
      </w:r>
    </w:p>
  </w:footnote>
  <w:footnote w:id="19">
    <w:p w14:paraId="56A55B3E" w14:textId="00860D0D" w:rsidR="00932104" w:rsidRPr="008966FC" w:rsidRDefault="00932104" w:rsidP="00310E5E">
      <w:pPr>
        <w:pStyle w:val="FootnoteText"/>
        <w:rPr>
          <w:lang w:val="en-US"/>
        </w:rPr>
      </w:pPr>
      <w:r>
        <w:rPr>
          <w:rStyle w:val="FootnoteReference"/>
        </w:rPr>
        <w:footnoteRef/>
      </w:r>
      <w:r w:rsidRPr="008966FC">
        <w:rPr>
          <w:lang w:val="en-US"/>
        </w:rPr>
        <w:t xml:space="preserve"> </w:t>
      </w:r>
      <w:r w:rsidR="0012540F" w:rsidRPr="0012540F">
        <w:rPr>
          <w:lang w:val="en-US"/>
        </w:rPr>
        <w:t xml:space="preserve">Intercontinental Exchange. </w:t>
      </w:r>
      <w:r w:rsidR="0012540F" w:rsidRPr="00F901CB">
        <w:rPr>
          <w:lang w:val="en-US"/>
        </w:rPr>
        <w:t>«</w:t>
      </w:r>
      <w:r w:rsidR="0012540F" w:rsidRPr="0012540F">
        <w:rPr>
          <w:lang w:val="en-US"/>
        </w:rPr>
        <w:t>LIBOR®</w:t>
      </w:r>
      <w:r w:rsidR="0012540F" w:rsidRPr="00F901CB">
        <w:rPr>
          <w:lang w:val="en-US"/>
        </w:rPr>
        <w:t>»</w:t>
      </w:r>
      <w:r w:rsidR="0012540F" w:rsidRPr="0012540F">
        <w:rPr>
          <w:lang w:val="en-US"/>
        </w:rPr>
        <w:t>. February, 2021. https://www.theice.com/iba/libor</w:t>
      </w:r>
    </w:p>
  </w:footnote>
  <w:footnote w:id="20">
    <w:p w14:paraId="332A3D79" w14:textId="1493EE3B" w:rsidR="002C3D82" w:rsidRPr="002C3D82" w:rsidRDefault="002C3D82">
      <w:pPr>
        <w:pStyle w:val="FootnoteText"/>
        <w:rPr>
          <w:lang w:val="en-US"/>
        </w:rPr>
      </w:pPr>
      <w:r>
        <w:rPr>
          <w:rStyle w:val="FootnoteReference"/>
        </w:rPr>
        <w:footnoteRef/>
      </w:r>
      <w:r w:rsidRPr="002C3D82">
        <w:rPr>
          <w:lang w:val="en-US"/>
        </w:rPr>
        <w:t xml:space="preserve"> Hull, J. White, A. LIBOR vs. OIS: The Derivatives Discounting Dilemma. 2012. Journal Of Investment Management, Vol. 11, No.3, 14-27</w:t>
      </w:r>
    </w:p>
  </w:footnote>
  <w:footnote w:id="21">
    <w:p w14:paraId="60DFE2D5" w14:textId="0CC44DEF" w:rsidR="00932104" w:rsidRPr="006D45FB" w:rsidRDefault="00932104">
      <w:pPr>
        <w:pStyle w:val="FootnoteText"/>
        <w:rPr>
          <w:lang w:val="en-US"/>
        </w:rPr>
      </w:pPr>
      <w:r>
        <w:rPr>
          <w:rStyle w:val="FootnoteReference"/>
        </w:rPr>
        <w:footnoteRef/>
      </w:r>
      <w:r w:rsidRPr="006D45FB">
        <w:rPr>
          <w:lang w:val="en-US"/>
        </w:rPr>
        <w:t xml:space="preserve"> </w:t>
      </w:r>
      <w:r w:rsidRPr="003407F2">
        <w:rPr>
          <w:rStyle w:val="Char"/>
        </w:rPr>
        <w:t>Act/365 day counting convention was used for illustration purposes only, in reality different conventions may be applied to both OIS and IBOR rates</w:t>
      </w:r>
    </w:p>
  </w:footnote>
  <w:footnote w:id="22">
    <w:p w14:paraId="4F02574C" w14:textId="6DA180E0" w:rsidR="00932104" w:rsidRPr="00B706E6" w:rsidRDefault="00932104">
      <w:pPr>
        <w:pStyle w:val="FootnoteText"/>
        <w:rPr>
          <w:lang w:val="en-US"/>
        </w:rPr>
      </w:pPr>
      <w:r>
        <w:rPr>
          <w:rStyle w:val="FootnoteReference"/>
        </w:rPr>
        <w:footnoteRef/>
      </w:r>
      <w:r w:rsidRPr="00B706E6">
        <w:rPr>
          <w:lang w:val="en-US"/>
        </w:rPr>
        <w:t xml:space="preserve"> </w:t>
      </w:r>
      <w:r w:rsidRPr="003407F2">
        <w:rPr>
          <w:rStyle w:val="Char"/>
        </w:rPr>
        <w:t>see power of “bd” in the equation</w:t>
      </w:r>
    </w:p>
  </w:footnote>
  <w:footnote w:id="23">
    <w:p w14:paraId="5E5E833E" w14:textId="3CB407FA" w:rsidR="003407F2" w:rsidRPr="003407F2" w:rsidRDefault="003407F2">
      <w:pPr>
        <w:pStyle w:val="FootnoteText"/>
        <w:rPr>
          <w:rStyle w:val="Char"/>
        </w:rPr>
      </w:pPr>
      <w:r>
        <w:rPr>
          <w:rStyle w:val="FootnoteReference"/>
        </w:rPr>
        <w:footnoteRef/>
      </w:r>
      <w:r w:rsidRPr="003407F2">
        <w:rPr>
          <w:lang w:val="en-US"/>
        </w:rPr>
        <w:t xml:space="preserve"> </w:t>
      </w:r>
      <w:r w:rsidRPr="003407F2">
        <w:rPr>
          <w:rStyle w:val="Char"/>
        </w:rPr>
        <w:t>All rates and values are artificial and are used for illustration purposes only</w:t>
      </w:r>
    </w:p>
  </w:footnote>
  <w:footnote w:id="24">
    <w:p w14:paraId="6F92C4DC" w14:textId="493059DB" w:rsidR="00932104" w:rsidRPr="00E52439" w:rsidRDefault="00932104">
      <w:pPr>
        <w:pStyle w:val="FootnoteText"/>
        <w:rPr>
          <w:lang w:val="en-US"/>
        </w:rPr>
      </w:pPr>
      <w:r>
        <w:rPr>
          <w:rStyle w:val="FootnoteReference"/>
        </w:rPr>
        <w:footnoteRef/>
      </w:r>
      <w:r w:rsidRPr="00E52439">
        <w:rPr>
          <w:lang w:val="en-US"/>
        </w:rPr>
        <w:t xml:space="preserve"> </w:t>
      </w:r>
      <w:r w:rsidRPr="003407F2">
        <w:rPr>
          <w:rStyle w:val="Char"/>
        </w:rPr>
        <w:t>0.995086 = 1 *</w:t>
      </w:r>
      <m:oMath>
        <m:r>
          <w:rPr>
            <w:rStyle w:val="Char"/>
            <w:rFonts w:ascii="Cambria Math" w:hAnsi="Cambria Math"/>
          </w:rPr>
          <m:t xml:space="preserve"> </m:t>
        </m:r>
        <m:f>
          <m:fPr>
            <m:ctrlPr>
              <w:rPr>
                <w:rStyle w:val="Char"/>
                <w:rFonts w:ascii="Cambria Math" w:hAnsi="Cambria Math"/>
              </w:rPr>
            </m:ctrlPr>
          </m:fPr>
          <m:num>
            <m:r>
              <w:rPr>
                <w:rStyle w:val="Char"/>
                <w:rFonts w:ascii="Cambria Math" w:hAnsi="Cambria Math"/>
              </w:rPr>
              <m:t>1+(5%*0.25)</m:t>
            </m:r>
          </m:num>
          <m:den>
            <m:r>
              <w:rPr>
                <w:rStyle w:val="Char"/>
                <w:rFonts w:ascii="Cambria Math" w:hAnsi="Cambria Math"/>
              </w:rPr>
              <m:t>1+(7%*0.25)</m:t>
            </m:r>
          </m:den>
        </m:f>
      </m:oMath>
    </w:p>
  </w:footnote>
  <w:footnote w:id="25">
    <w:p w14:paraId="5FEB7F43" w14:textId="77777777" w:rsidR="00932104" w:rsidRPr="00F60DB8" w:rsidRDefault="00932104" w:rsidP="004A409E">
      <w:pPr>
        <w:pStyle w:val="FootnoteText"/>
        <w:rPr>
          <w:lang w:val="en-US"/>
        </w:rPr>
      </w:pPr>
      <w:r>
        <w:rPr>
          <w:rStyle w:val="FootnoteReference"/>
        </w:rPr>
        <w:footnoteRef/>
      </w:r>
      <w:r w:rsidRPr="00F60DB8">
        <w:rPr>
          <w:lang w:val="en-US"/>
        </w:rPr>
        <w:t xml:space="preserve"> </w:t>
      </w:r>
      <w:r w:rsidRPr="003407F2">
        <w:rPr>
          <w:rStyle w:val="Char"/>
        </w:rPr>
        <w:t>Initial margin is assumed to be 40%</w:t>
      </w:r>
    </w:p>
  </w:footnote>
  <w:footnote w:id="26">
    <w:p w14:paraId="0F37FBAF" w14:textId="2F074341" w:rsidR="00932104" w:rsidRPr="00FC0F42" w:rsidRDefault="00932104">
      <w:pPr>
        <w:pStyle w:val="FootnoteText"/>
        <w:rPr>
          <w:lang w:val="en-US"/>
        </w:rPr>
      </w:pPr>
      <w:r>
        <w:rPr>
          <w:rStyle w:val="FootnoteReference"/>
        </w:rPr>
        <w:footnoteRef/>
      </w:r>
      <w:r w:rsidRPr="00FC0F42">
        <w:rPr>
          <w:lang w:val="en-US"/>
        </w:rPr>
        <w:t xml:space="preserve"> </w:t>
      </w:r>
      <w:r w:rsidRPr="003407F2">
        <w:rPr>
          <w:rStyle w:val="Char"/>
        </w:rPr>
        <w:t>In our simplified example we assumed that settlement price is equal to the theoretical value, but in reality deviations are possible</w:t>
      </w:r>
    </w:p>
  </w:footnote>
  <w:footnote w:id="27">
    <w:p w14:paraId="086EEBBF" w14:textId="044FAC5B" w:rsidR="00932104" w:rsidRPr="0027709C" w:rsidRDefault="00932104" w:rsidP="0068641B">
      <w:pPr>
        <w:autoSpaceDE w:val="0"/>
        <w:autoSpaceDN w:val="0"/>
        <w:adjustRightInd w:val="0"/>
        <w:spacing w:after="0" w:line="240" w:lineRule="auto"/>
        <w:rPr>
          <w:lang w:val="en-US"/>
        </w:rPr>
      </w:pPr>
      <w:r>
        <w:rPr>
          <w:rStyle w:val="FootnoteReference"/>
        </w:rPr>
        <w:footnoteRef/>
      </w:r>
      <w:r w:rsidRPr="0068641B">
        <w:rPr>
          <w:lang w:val="en-US"/>
        </w:rPr>
        <w:t xml:space="preserve"> </w:t>
      </w:r>
      <w:r w:rsidRPr="003407F2">
        <w:rPr>
          <w:rStyle w:val="Char"/>
        </w:rPr>
        <w:t>See Hull, J. Options, Futures and Other Derivatives. P. 39. «The final settlement price is set equal to the spot price of the underlying asset at either the open or close of trading on that day»</w:t>
      </w:r>
    </w:p>
  </w:footnote>
  <w:footnote w:id="28">
    <w:p w14:paraId="00678EF7" w14:textId="70AAB461" w:rsidR="00932104" w:rsidRPr="008D49FF" w:rsidRDefault="00932104">
      <w:pPr>
        <w:pStyle w:val="FootnoteText"/>
        <w:rPr>
          <w:lang w:val="en-US"/>
        </w:rPr>
      </w:pPr>
      <w:r>
        <w:rPr>
          <w:rStyle w:val="FootnoteReference"/>
        </w:rPr>
        <w:footnoteRef/>
      </w:r>
      <w:r w:rsidRPr="008D49FF">
        <w:rPr>
          <w:lang w:val="en-US"/>
        </w:rPr>
        <w:t xml:space="preserve"> </w:t>
      </w:r>
      <w:r w:rsidRPr="003407F2">
        <w:rPr>
          <w:rStyle w:val="Char"/>
        </w:rPr>
        <w:t>Ibid. p. 43</w:t>
      </w:r>
    </w:p>
  </w:footnote>
  <w:footnote w:id="29">
    <w:p w14:paraId="58B4B274" w14:textId="0448340A" w:rsidR="00932104" w:rsidRPr="00754DB8" w:rsidRDefault="00932104" w:rsidP="00815A70">
      <w:pPr>
        <w:pStyle w:val="FootnoteText"/>
        <w:rPr>
          <w:lang w:val="en-US"/>
        </w:rPr>
      </w:pPr>
      <w:r>
        <w:rPr>
          <w:rStyle w:val="FootnoteReference"/>
        </w:rPr>
        <w:footnoteRef/>
      </w:r>
      <w:r w:rsidRPr="00754DB8">
        <w:rPr>
          <w:lang w:val="en-US"/>
        </w:rPr>
        <w:t xml:space="preserve"> </w:t>
      </w:r>
      <w:r w:rsidRPr="0060316D">
        <w:rPr>
          <w:rStyle w:val="Char"/>
        </w:rPr>
        <w:t xml:space="preserve">Volatility was measured as a sum of squared log changes in future price, </w:t>
      </w:r>
      <m:oMath>
        <m:sSup>
          <m:sSupPr>
            <m:ctrlPr>
              <w:rPr>
                <w:rStyle w:val="Char"/>
                <w:rFonts w:ascii="Cambria Math" w:hAnsi="Cambria Math"/>
              </w:rPr>
            </m:ctrlPr>
          </m:sSupPr>
          <m:e>
            <m:nary>
              <m:naryPr>
                <m:chr m:val="∑"/>
                <m:limLoc m:val="undOvr"/>
                <m:subHide m:val="1"/>
                <m:supHide m:val="1"/>
                <m:ctrlPr>
                  <w:rPr>
                    <w:rStyle w:val="Char"/>
                    <w:rFonts w:ascii="Cambria Math" w:hAnsi="Cambria Math"/>
                  </w:rPr>
                </m:ctrlPr>
              </m:naryPr>
              <m:sub/>
              <m:sup/>
              <m:e>
                <m:r>
                  <m:rPr>
                    <m:sty m:val="p"/>
                  </m:rPr>
                  <w:rPr>
                    <w:rStyle w:val="Char"/>
                    <w:rFonts w:ascii="Cambria Math" w:hAnsi="Cambria Math"/>
                  </w:rPr>
                  <m:t>[</m:t>
                </m:r>
                <m:func>
                  <m:funcPr>
                    <m:ctrlPr>
                      <w:rPr>
                        <w:rStyle w:val="Char"/>
                        <w:rFonts w:ascii="Cambria Math" w:hAnsi="Cambria Math"/>
                      </w:rPr>
                    </m:ctrlPr>
                  </m:funcPr>
                  <m:fName>
                    <m:r>
                      <m:rPr>
                        <m:sty m:val="p"/>
                      </m:rPr>
                      <w:rPr>
                        <w:rStyle w:val="Char"/>
                        <w:rFonts w:ascii="Cambria Math" w:hAnsi="Cambria Math"/>
                      </w:rPr>
                      <m:t>ln</m:t>
                    </m:r>
                  </m:fName>
                  <m:e>
                    <m:r>
                      <m:rPr>
                        <m:sty m:val="p"/>
                      </m:rPr>
                      <w:rPr>
                        <w:rStyle w:val="Char"/>
                        <w:rFonts w:ascii="Cambria Math" w:hAnsi="Cambria Math"/>
                      </w:rPr>
                      <m:t>(</m:t>
                    </m:r>
                    <m:f>
                      <m:fPr>
                        <m:ctrlPr>
                          <w:rPr>
                            <w:rStyle w:val="Char"/>
                            <w:rFonts w:ascii="Cambria Math" w:hAnsi="Cambria Math"/>
                          </w:rPr>
                        </m:ctrlPr>
                      </m:fPr>
                      <m:num>
                        <m:sSub>
                          <m:sSubPr>
                            <m:ctrlPr>
                              <w:rPr>
                                <w:rStyle w:val="Char"/>
                                <w:rFonts w:ascii="Cambria Math" w:hAnsi="Cambria Math"/>
                              </w:rPr>
                            </m:ctrlPr>
                          </m:sSubPr>
                          <m:e>
                            <m:r>
                              <m:rPr>
                                <m:sty m:val="p"/>
                              </m:rPr>
                              <w:rPr>
                                <w:rStyle w:val="Char"/>
                                <w:rFonts w:ascii="Cambria Math" w:hAnsi="Cambria Math"/>
                              </w:rPr>
                              <m:t>bid price</m:t>
                            </m:r>
                          </m:e>
                          <m:sub>
                            <m:r>
                              <m:rPr>
                                <m:sty m:val="p"/>
                              </m:rPr>
                              <w:rPr>
                                <w:rStyle w:val="Char"/>
                                <w:rFonts w:ascii="Cambria Math" w:hAnsi="Cambria Math"/>
                              </w:rPr>
                              <m:t>t</m:t>
                            </m:r>
                          </m:sub>
                        </m:sSub>
                        <m:r>
                          <m:rPr>
                            <m:sty m:val="p"/>
                          </m:rPr>
                          <w:rPr>
                            <w:rStyle w:val="Char"/>
                            <w:rFonts w:ascii="Cambria Math" w:hAnsi="Cambria Math"/>
                          </w:rPr>
                          <m:t>+</m:t>
                        </m:r>
                        <m:sSub>
                          <m:sSubPr>
                            <m:ctrlPr>
                              <w:rPr>
                                <w:rStyle w:val="Char"/>
                                <w:rFonts w:ascii="Cambria Math" w:hAnsi="Cambria Math"/>
                              </w:rPr>
                            </m:ctrlPr>
                          </m:sSubPr>
                          <m:e>
                            <m:r>
                              <m:rPr>
                                <m:sty m:val="p"/>
                              </m:rPr>
                              <w:rPr>
                                <w:rStyle w:val="Char"/>
                                <w:rFonts w:ascii="Cambria Math" w:hAnsi="Cambria Math"/>
                              </w:rPr>
                              <m:t>ask price</m:t>
                            </m:r>
                          </m:e>
                          <m:sub>
                            <m:r>
                              <m:rPr>
                                <m:sty m:val="p"/>
                              </m:rPr>
                              <w:rPr>
                                <w:rStyle w:val="Char"/>
                                <w:rFonts w:ascii="Cambria Math" w:hAnsi="Cambria Math"/>
                              </w:rPr>
                              <m:t>t</m:t>
                            </m:r>
                          </m:sub>
                        </m:sSub>
                      </m:num>
                      <m:den>
                        <m:r>
                          <m:rPr>
                            <m:sty m:val="p"/>
                          </m:rPr>
                          <w:rPr>
                            <w:rStyle w:val="Char"/>
                            <w:rFonts w:ascii="Cambria Math" w:hAnsi="Cambria Math"/>
                          </w:rPr>
                          <m:t>2</m:t>
                        </m:r>
                      </m:den>
                    </m:f>
                  </m:e>
                </m:func>
              </m:e>
            </m:nary>
            <m:r>
              <m:rPr>
                <m:sty m:val="p"/>
              </m:rPr>
              <w:rPr>
                <w:rStyle w:val="Char"/>
                <w:rFonts w:ascii="Cambria Math" w:hAnsi="Cambria Math"/>
              </w:rPr>
              <m:t>)-</m:t>
            </m:r>
            <m:func>
              <m:funcPr>
                <m:ctrlPr>
                  <w:rPr>
                    <w:rStyle w:val="Char"/>
                    <w:rFonts w:ascii="Cambria Math" w:hAnsi="Cambria Math"/>
                  </w:rPr>
                </m:ctrlPr>
              </m:funcPr>
              <m:fName>
                <m:r>
                  <m:rPr>
                    <m:sty m:val="p"/>
                  </m:rPr>
                  <w:rPr>
                    <w:rStyle w:val="Char"/>
                    <w:rFonts w:ascii="Cambria Math" w:hAnsi="Cambria Math"/>
                  </w:rPr>
                  <m:t>ln</m:t>
                </m:r>
              </m:fName>
              <m:e>
                <m:r>
                  <m:rPr>
                    <m:sty m:val="p"/>
                  </m:rPr>
                  <w:rPr>
                    <w:rStyle w:val="Char"/>
                    <w:rFonts w:ascii="Cambria Math" w:hAnsi="Cambria Math"/>
                  </w:rPr>
                  <m:t xml:space="preserve">( </m:t>
                </m:r>
                <m:f>
                  <m:fPr>
                    <m:ctrlPr>
                      <w:rPr>
                        <w:rStyle w:val="Char"/>
                        <w:rFonts w:ascii="Cambria Math" w:hAnsi="Cambria Math"/>
                      </w:rPr>
                    </m:ctrlPr>
                  </m:fPr>
                  <m:num>
                    <m:sSub>
                      <m:sSubPr>
                        <m:ctrlPr>
                          <w:rPr>
                            <w:rStyle w:val="Char"/>
                            <w:rFonts w:ascii="Cambria Math" w:hAnsi="Cambria Math"/>
                          </w:rPr>
                        </m:ctrlPr>
                      </m:sSubPr>
                      <m:e>
                        <m:r>
                          <m:rPr>
                            <m:sty m:val="p"/>
                          </m:rPr>
                          <w:rPr>
                            <w:rStyle w:val="Char"/>
                            <w:rFonts w:ascii="Cambria Math" w:hAnsi="Cambria Math"/>
                          </w:rPr>
                          <m:t>bid price</m:t>
                        </m:r>
                      </m:e>
                      <m:sub>
                        <m:r>
                          <m:rPr>
                            <m:sty m:val="p"/>
                          </m:rPr>
                          <w:rPr>
                            <w:rStyle w:val="Char"/>
                            <w:rFonts w:ascii="Cambria Math" w:hAnsi="Cambria Math"/>
                          </w:rPr>
                          <m:t>t-1</m:t>
                        </m:r>
                      </m:sub>
                    </m:sSub>
                    <m:r>
                      <m:rPr>
                        <m:sty m:val="p"/>
                      </m:rPr>
                      <w:rPr>
                        <w:rStyle w:val="Char"/>
                        <w:rFonts w:ascii="Cambria Math" w:hAnsi="Cambria Math"/>
                      </w:rPr>
                      <m:t>+</m:t>
                    </m:r>
                    <m:sSub>
                      <m:sSubPr>
                        <m:ctrlPr>
                          <w:rPr>
                            <w:rStyle w:val="Char"/>
                            <w:rFonts w:ascii="Cambria Math" w:hAnsi="Cambria Math"/>
                          </w:rPr>
                        </m:ctrlPr>
                      </m:sSubPr>
                      <m:e>
                        <m:r>
                          <m:rPr>
                            <m:sty m:val="p"/>
                          </m:rPr>
                          <w:rPr>
                            <w:rStyle w:val="Char"/>
                            <w:rFonts w:ascii="Cambria Math" w:hAnsi="Cambria Math"/>
                          </w:rPr>
                          <m:t>ask price</m:t>
                        </m:r>
                      </m:e>
                      <m:sub>
                        <m:r>
                          <m:rPr>
                            <m:sty m:val="p"/>
                          </m:rPr>
                          <w:rPr>
                            <w:rStyle w:val="Char"/>
                            <w:rFonts w:ascii="Cambria Math" w:hAnsi="Cambria Math"/>
                          </w:rPr>
                          <m:t>t-1</m:t>
                        </m:r>
                      </m:sub>
                    </m:sSub>
                  </m:num>
                  <m:den>
                    <m:r>
                      <m:rPr>
                        <m:sty m:val="p"/>
                      </m:rPr>
                      <w:rPr>
                        <w:rStyle w:val="Char"/>
                        <w:rFonts w:ascii="Cambria Math" w:hAnsi="Cambria Math"/>
                      </w:rPr>
                      <m:t>2</m:t>
                    </m:r>
                  </m:den>
                </m:f>
                <m:r>
                  <m:rPr>
                    <m:sty m:val="p"/>
                  </m:rPr>
                  <w:rPr>
                    <w:rStyle w:val="Char"/>
                    <w:rFonts w:ascii="Cambria Math" w:hAnsi="Cambria Math"/>
                  </w:rPr>
                  <m:t xml:space="preserve"> )]</m:t>
                </m:r>
              </m:e>
            </m:func>
          </m:e>
          <m:sup>
            <m:r>
              <m:rPr>
                <m:sty m:val="p"/>
              </m:rPr>
              <w:rPr>
                <w:rStyle w:val="Char"/>
                <w:rFonts w:ascii="Cambria Math" w:hAnsi="Cambria Math"/>
              </w:rPr>
              <m:t>2</m:t>
            </m:r>
          </m:sup>
        </m:sSup>
      </m:oMath>
      <w:r w:rsidRPr="0060316D">
        <w:rPr>
          <w:rStyle w:val="Char"/>
        </w:rPr>
        <w:t xml:space="preserve">, and sensitivity as </w:t>
      </w:r>
      <m:oMath>
        <m:func>
          <m:funcPr>
            <m:ctrlPr>
              <w:rPr>
                <w:rStyle w:val="Char"/>
                <w:rFonts w:ascii="Cambria Math" w:hAnsi="Cambria Math"/>
              </w:rPr>
            </m:ctrlPr>
          </m:funcPr>
          <m:fName>
            <m:r>
              <m:rPr>
                <m:sty m:val="p"/>
              </m:rPr>
              <w:rPr>
                <w:rStyle w:val="Char"/>
                <w:rFonts w:ascii="Cambria Math" w:hAnsi="Cambria Math"/>
              </w:rPr>
              <m:t>ln</m:t>
            </m:r>
          </m:fName>
          <m:e>
            <m:r>
              <m:rPr>
                <m:sty m:val="p"/>
              </m:rPr>
              <w:rPr>
                <w:rStyle w:val="Char"/>
                <w:rFonts w:ascii="Cambria Math" w:hAnsi="Cambria Math"/>
              </w:rPr>
              <m:t>(</m:t>
            </m:r>
            <m:f>
              <m:fPr>
                <m:ctrlPr>
                  <w:rPr>
                    <w:rStyle w:val="Char"/>
                    <w:rFonts w:ascii="Cambria Math" w:hAnsi="Cambria Math"/>
                  </w:rPr>
                </m:ctrlPr>
              </m:fPr>
              <m:num>
                <m:sSub>
                  <m:sSubPr>
                    <m:ctrlPr>
                      <w:rPr>
                        <w:rStyle w:val="Char"/>
                        <w:rFonts w:ascii="Cambria Math" w:hAnsi="Cambria Math"/>
                      </w:rPr>
                    </m:ctrlPr>
                  </m:sSubPr>
                  <m:e>
                    <m:r>
                      <m:rPr>
                        <m:sty m:val="p"/>
                      </m:rPr>
                      <w:rPr>
                        <w:rStyle w:val="Char"/>
                        <w:rFonts w:ascii="Cambria Math" w:hAnsi="Cambria Math"/>
                      </w:rPr>
                      <m:t>volatility</m:t>
                    </m:r>
                  </m:e>
                  <m:sub>
                    <m:r>
                      <m:rPr>
                        <m:sty m:val="p"/>
                      </m:rPr>
                      <w:rPr>
                        <w:rStyle w:val="Char"/>
                        <w:rFonts w:ascii="Cambria Math" w:hAnsi="Cambria Math"/>
                      </w:rPr>
                      <m:t>t</m:t>
                    </m:r>
                  </m:sub>
                </m:sSub>
              </m:num>
              <m:den>
                <m:sSub>
                  <m:sSubPr>
                    <m:ctrlPr>
                      <w:rPr>
                        <w:rStyle w:val="Char"/>
                        <w:rFonts w:ascii="Cambria Math" w:hAnsi="Cambria Math"/>
                      </w:rPr>
                    </m:ctrlPr>
                  </m:sSubPr>
                  <m:e>
                    <m:r>
                      <m:rPr>
                        <m:sty m:val="p"/>
                      </m:rPr>
                      <w:rPr>
                        <w:rStyle w:val="Char"/>
                        <w:rFonts w:ascii="Cambria Math" w:hAnsi="Cambria Math"/>
                      </w:rPr>
                      <m:t>№ of news</m:t>
                    </m:r>
                  </m:e>
                  <m:sub>
                    <m:r>
                      <m:rPr>
                        <m:sty m:val="p"/>
                      </m:rPr>
                      <w:rPr>
                        <w:rStyle w:val="Char"/>
                        <w:rFonts w:ascii="Cambria Math" w:hAnsi="Cambria Math"/>
                      </w:rPr>
                      <m:t>t</m:t>
                    </m:r>
                  </m:sub>
                </m:sSub>
                <m:r>
                  <m:rPr>
                    <m:sty m:val="p"/>
                  </m:rPr>
                  <w:rPr>
                    <w:rStyle w:val="Char"/>
                    <w:rFonts w:ascii="Cambria Math" w:hAnsi="Cambria Math"/>
                  </w:rPr>
                  <m:t>+1</m:t>
                </m:r>
              </m:den>
            </m:f>
          </m:e>
        </m:func>
        <m:r>
          <m:rPr>
            <m:sty m:val="p"/>
          </m:rPr>
          <w:rPr>
            <w:rStyle w:val="Char"/>
            <w:rFonts w:ascii="Cambria Math" w:hAnsi="Cambria Math"/>
          </w:rPr>
          <m:t>)</m:t>
        </m:r>
      </m:oMath>
    </w:p>
  </w:footnote>
  <w:footnote w:id="30">
    <w:p w14:paraId="523DDB8C" w14:textId="73CA25A7" w:rsidR="00932104" w:rsidRPr="0060316D" w:rsidRDefault="00932104" w:rsidP="00815A70">
      <w:pPr>
        <w:pStyle w:val="FootnoteText"/>
        <w:rPr>
          <w:rStyle w:val="Char"/>
        </w:rPr>
      </w:pPr>
      <w:r>
        <w:rPr>
          <w:rStyle w:val="FootnoteReference"/>
        </w:rPr>
        <w:footnoteRef/>
      </w:r>
      <w:r w:rsidRPr="00815A70">
        <w:rPr>
          <w:lang w:val="en-US"/>
        </w:rPr>
        <w:t xml:space="preserve"> </w:t>
      </w:r>
      <w:r w:rsidRPr="0060316D">
        <w:rPr>
          <w:rStyle w:val="Char"/>
        </w:rPr>
        <w:t>Phan H‐L, Zurbruegg R. The time‐to‐maturity pattern of futures price sensitivity to news. Journal of Futures Markets. 2020; 40:126–144 P. 127</w:t>
      </w:r>
    </w:p>
  </w:footnote>
  <w:footnote w:id="31">
    <w:p w14:paraId="79E09077" w14:textId="4B2108A0" w:rsidR="00932104" w:rsidRPr="00815A70" w:rsidRDefault="00932104">
      <w:pPr>
        <w:pStyle w:val="FootnoteText"/>
        <w:rPr>
          <w:lang w:val="en-US"/>
        </w:rPr>
      </w:pPr>
      <w:r>
        <w:rPr>
          <w:rStyle w:val="FootnoteReference"/>
        </w:rPr>
        <w:footnoteRef/>
      </w:r>
      <w:r w:rsidRPr="00815A70">
        <w:rPr>
          <w:lang w:val="en-US"/>
        </w:rPr>
        <w:t xml:space="preserve"> </w:t>
      </w:r>
      <w:r w:rsidRPr="0060316D">
        <w:rPr>
          <w:rStyle w:val="Char"/>
        </w:rPr>
        <w:t>Ibid. P. 138</w:t>
      </w:r>
    </w:p>
  </w:footnote>
  <w:footnote w:id="32">
    <w:p w14:paraId="0C9113D0" w14:textId="0DE87FB5" w:rsidR="00932104" w:rsidRPr="002D33AB" w:rsidRDefault="00932104" w:rsidP="008C2BE5">
      <w:pPr>
        <w:pStyle w:val="FootnoteText"/>
        <w:rPr>
          <w:lang w:val="en-US"/>
        </w:rPr>
      </w:pPr>
      <w:r>
        <w:rPr>
          <w:rStyle w:val="FootnoteReference"/>
        </w:rPr>
        <w:footnoteRef/>
      </w:r>
      <w:r w:rsidRPr="002D33AB">
        <w:rPr>
          <w:lang w:val="en-US"/>
        </w:rPr>
        <w:t xml:space="preserve"> </w:t>
      </w:r>
      <w:r w:rsidRPr="006F72AE">
        <w:rPr>
          <w:rStyle w:val="Char"/>
        </w:rPr>
        <w:t>This predictability is frequently referred as a «price development». One of the most common explanations of reliability of such predictions is that the concentration of professional traders in futures markets is higher and spot market participants tend to follow direction, observed in a futures markets.</w:t>
      </w:r>
      <w:r>
        <w:rPr>
          <w:lang w:val="en-US"/>
        </w:rPr>
        <w:t xml:space="preserve"> </w:t>
      </w:r>
    </w:p>
  </w:footnote>
  <w:footnote w:id="33">
    <w:p w14:paraId="65DDEC77" w14:textId="25FE9308" w:rsidR="00932104" w:rsidRPr="00681921" w:rsidRDefault="00932104">
      <w:pPr>
        <w:pStyle w:val="FootnoteText"/>
        <w:rPr>
          <w:lang w:val="en-US"/>
        </w:rPr>
      </w:pPr>
      <w:r>
        <w:rPr>
          <w:rStyle w:val="FootnoteReference"/>
        </w:rPr>
        <w:footnoteRef/>
      </w:r>
      <w:r w:rsidRPr="00681921">
        <w:rPr>
          <w:lang w:val="en-US"/>
        </w:rPr>
        <w:t xml:space="preserve"> </w:t>
      </w:r>
      <w:r w:rsidRPr="006F72AE">
        <w:rPr>
          <w:rStyle w:val="Char"/>
        </w:rPr>
        <w:t>Because, in theory, all movements in spot prices are already incorporated into the price of the future contract, positive skewness in basis means that FX future price delta is positively biased. This bias, while does not mean overpricing, does mean that over specific time period up movements were both more frequent and more strong than down movements in prices. This could mean that either buying pressure were higher, or future price simply reacted to rapid changes in spot.</w:t>
      </w:r>
    </w:p>
  </w:footnote>
  <w:footnote w:id="34">
    <w:p w14:paraId="75F9BA87" w14:textId="260577B2" w:rsidR="00932104" w:rsidRPr="00681921" w:rsidRDefault="00932104" w:rsidP="00681921">
      <w:pPr>
        <w:spacing w:after="0"/>
        <w:rPr>
          <w:rFonts w:cs="Times New Roman"/>
          <w:lang w:val="en-US"/>
        </w:rPr>
      </w:pPr>
      <w:r>
        <w:rPr>
          <w:rStyle w:val="FootnoteReference"/>
        </w:rPr>
        <w:footnoteRef/>
      </w:r>
      <w:r w:rsidRPr="002E662A">
        <w:rPr>
          <w:lang w:val="en-US"/>
        </w:rPr>
        <w:t xml:space="preserve"> </w:t>
      </w:r>
      <w:r w:rsidRPr="006F72AE">
        <w:rPr>
          <w:rStyle w:val="Char"/>
        </w:rPr>
        <w:t>Jiang X, Han L, Yin L. Can skewness of the futures‐spot basis predict currency spot returns? Journal of Futures Markets. 2019; 39:1435–1449, P. 1439</w:t>
      </w:r>
    </w:p>
  </w:footnote>
  <w:footnote w:id="35">
    <w:p w14:paraId="0AEC62D9" w14:textId="22C2C95E" w:rsidR="00932104" w:rsidRPr="000247E1" w:rsidRDefault="00932104" w:rsidP="00B426BD">
      <w:pPr>
        <w:pStyle w:val="FootnoteText"/>
        <w:rPr>
          <w:lang w:val="en-US"/>
        </w:rPr>
      </w:pPr>
      <w:r>
        <w:rPr>
          <w:rStyle w:val="FootnoteReference"/>
        </w:rPr>
        <w:footnoteRef/>
      </w:r>
      <w:r w:rsidRPr="000247E1">
        <w:rPr>
          <w:lang w:val="en-US"/>
        </w:rPr>
        <w:t xml:space="preserve"> </w:t>
      </w:r>
      <w:r w:rsidRPr="00AF6A3F">
        <w:rPr>
          <w:rStyle w:val="Char"/>
        </w:rPr>
        <w:t>Hazelkorn T., Moskowitz T., and Vasudevan K. Beyond basis basics: Leverage demand and deviations from the law of one price. National Bureau Of Economic Research. 2020; Working Paper 26773, P.25</w:t>
      </w:r>
    </w:p>
  </w:footnote>
  <w:footnote w:id="36">
    <w:p w14:paraId="3D0A8203" w14:textId="15412DA7" w:rsidR="00932104" w:rsidRPr="00716810" w:rsidRDefault="00932104" w:rsidP="00C2637C">
      <w:pPr>
        <w:spacing w:after="0"/>
        <w:rPr>
          <w:rStyle w:val="Char"/>
        </w:rPr>
      </w:pPr>
      <w:r>
        <w:rPr>
          <w:rStyle w:val="FootnoteReference"/>
        </w:rPr>
        <w:footnoteRef/>
      </w:r>
      <w:r w:rsidRPr="00C2637C">
        <w:rPr>
          <w:lang w:val="en-US"/>
        </w:rPr>
        <w:t xml:space="preserve"> </w:t>
      </w:r>
      <w:r w:rsidRPr="00716810">
        <w:rPr>
          <w:rStyle w:val="Char"/>
        </w:rPr>
        <w:t>Borio C., Iqbal M. McCauley R., McGuire P., Sushko V. The failure of covered interest parity: FX hedging demand and costly balance sheets. 2018; BIS Working Papers. №590</w:t>
      </w:r>
    </w:p>
  </w:footnote>
  <w:footnote w:id="37">
    <w:p w14:paraId="1A02DDCE" w14:textId="067838EC" w:rsidR="00932104" w:rsidRPr="00070E61" w:rsidRDefault="00932104">
      <w:pPr>
        <w:pStyle w:val="FootnoteText"/>
        <w:rPr>
          <w:lang w:val="en-US"/>
        </w:rPr>
      </w:pPr>
      <w:r>
        <w:rPr>
          <w:rStyle w:val="FootnoteReference"/>
        </w:rPr>
        <w:footnoteRef/>
      </w:r>
      <w:r w:rsidRPr="00070E61">
        <w:rPr>
          <w:lang w:val="en-US"/>
        </w:rPr>
        <w:t xml:space="preserve"> </w:t>
      </w:r>
      <w:r w:rsidRPr="00716810">
        <w:rPr>
          <w:rStyle w:val="Char"/>
        </w:rPr>
        <w:t>Ibid. P.1</w:t>
      </w:r>
    </w:p>
  </w:footnote>
  <w:footnote w:id="38">
    <w:p w14:paraId="344F2617" w14:textId="5E5F14D7" w:rsidR="00932104" w:rsidRPr="00070E61" w:rsidRDefault="00932104">
      <w:pPr>
        <w:pStyle w:val="FootnoteText"/>
        <w:rPr>
          <w:lang w:val="en-US"/>
        </w:rPr>
      </w:pPr>
      <w:r>
        <w:rPr>
          <w:rStyle w:val="FootnoteReference"/>
        </w:rPr>
        <w:footnoteRef/>
      </w:r>
      <w:r w:rsidRPr="00070E61">
        <w:rPr>
          <w:lang w:val="en-US"/>
        </w:rPr>
        <w:t xml:space="preserve"> </w:t>
      </w:r>
      <w:r w:rsidRPr="00716810">
        <w:rPr>
          <w:rStyle w:val="Char"/>
        </w:rPr>
        <w:t>Ibid. P.6</w:t>
      </w:r>
    </w:p>
  </w:footnote>
  <w:footnote w:id="39">
    <w:p w14:paraId="7D1970B6" w14:textId="28D48C04" w:rsidR="00932104" w:rsidRPr="00070E61" w:rsidRDefault="00932104">
      <w:pPr>
        <w:pStyle w:val="FootnoteText"/>
        <w:rPr>
          <w:lang w:val="en-US"/>
        </w:rPr>
      </w:pPr>
      <w:r>
        <w:rPr>
          <w:rStyle w:val="FootnoteReference"/>
        </w:rPr>
        <w:footnoteRef/>
      </w:r>
      <w:r w:rsidRPr="00070E61">
        <w:rPr>
          <w:lang w:val="en-US"/>
        </w:rPr>
        <w:t xml:space="preserve"> </w:t>
      </w:r>
      <w:r w:rsidRPr="00716810">
        <w:rPr>
          <w:rStyle w:val="Char"/>
        </w:rPr>
        <w:t>Ibid. P. 9</w:t>
      </w:r>
    </w:p>
  </w:footnote>
  <w:footnote w:id="40">
    <w:p w14:paraId="6EA75512" w14:textId="4B47913C" w:rsidR="00932104" w:rsidRPr="00070E61" w:rsidRDefault="00932104">
      <w:pPr>
        <w:pStyle w:val="FootnoteText"/>
        <w:rPr>
          <w:lang w:val="en-US"/>
        </w:rPr>
      </w:pPr>
      <w:r>
        <w:rPr>
          <w:rStyle w:val="FootnoteReference"/>
        </w:rPr>
        <w:footnoteRef/>
      </w:r>
      <w:r w:rsidRPr="00070E61">
        <w:rPr>
          <w:lang w:val="en-US"/>
        </w:rPr>
        <w:t xml:space="preserve"> </w:t>
      </w:r>
      <w:r w:rsidRPr="00716810">
        <w:rPr>
          <w:rStyle w:val="Char"/>
        </w:rPr>
        <w:t>Ibid. P. 29</w:t>
      </w:r>
    </w:p>
  </w:footnote>
  <w:footnote w:id="41">
    <w:p w14:paraId="7196F555" w14:textId="77777777" w:rsidR="00932104" w:rsidRPr="000F6166" w:rsidRDefault="00932104" w:rsidP="002E7BAC">
      <w:pPr>
        <w:pStyle w:val="FootnoteText"/>
        <w:rPr>
          <w:lang w:val="en-US"/>
        </w:rPr>
      </w:pPr>
      <w:r>
        <w:rPr>
          <w:rStyle w:val="FootnoteReference"/>
        </w:rPr>
        <w:footnoteRef/>
      </w:r>
      <w:r w:rsidRPr="000F6166">
        <w:rPr>
          <w:lang w:val="en-US"/>
        </w:rPr>
        <w:t xml:space="preserve"> </w:t>
      </w:r>
      <w:r w:rsidRPr="00716810">
        <w:rPr>
          <w:rStyle w:val="Char"/>
        </w:rPr>
        <w:t>Ito T. Transmission of monetary policy expectations on the money markets: Comparative analysis of nontraditional monetary policy regimes in Japan. Journal of Corporate Accounting and Finance. 2019;30: 48–53. P.53</w:t>
      </w:r>
    </w:p>
  </w:footnote>
  <w:footnote w:id="42">
    <w:p w14:paraId="3D3264E1" w14:textId="21E59E07" w:rsidR="00932104" w:rsidRPr="00716810" w:rsidRDefault="00932104">
      <w:pPr>
        <w:pStyle w:val="FootnoteText"/>
        <w:rPr>
          <w:rStyle w:val="Char"/>
        </w:rPr>
      </w:pPr>
      <w:r>
        <w:rPr>
          <w:rStyle w:val="FootnoteReference"/>
        </w:rPr>
        <w:footnoteRef/>
      </w:r>
      <w:r w:rsidRPr="00231664">
        <w:rPr>
          <w:lang w:val="en-US"/>
        </w:rPr>
        <w:t xml:space="preserve"> </w:t>
      </w:r>
      <w:r w:rsidRPr="00716810">
        <w:rPr>
          <w:rStyle w:val="Char"/>
        </w:rPr>
        <w:t>Miyao R, Okimoto T. Regime shifts in the effects of Japan’s unconventional monetary policies. The Manchester School. 2020;88</w:t>
      </w:r>
    </w:p>
  </w:footnote>
  <w:footnote w:id="43">
    <w:p w14:paraId="364E0EA6" w14:textId="0052645F" w:rsidR="00932104" w:rsidRPr="00A25778" w:rsidRDefault="00932104" w:rsidP="004E6607">
      <w:pPr>
        <w:pStyle w:val="FootnoteText"/>
        <w:rPr>
          <w:lang w:val="en-US"/>
        </w:rPr>
      </w:pPr>
      <w:r>
        <w:rPr>
          <w:rStyle w:val="FootnoteReference"/>
        </w:rPr>
        <w:footnoteRef/>
      </w:r>
      <w:r w:rsidRPr="00A25778">
        <w:rPr>
          <w:lang w:val="en-US"/>
        </w:rPr>
        <w:t xml:space="preserve"> </w:t>
      </w:r>
      <w:r w:rsidRPr="00716810">
        <w:rPr>
          <w:rStyle w:val="Char"/>
        </w:rPr>
        <w:t>Having studied author’s arguments we also could characterise current monetary policy in Japan as “aggressive”. Author’s conclusions are made purely on the given sample and thus are not restrictuve for us.</w:t>
      </w:r>
    </w:p>
  </w:footnote>
  <w:footnote w:id="44">
    <w:p w14:paraId="74E0F922" w14:textId="77777777" w:rsidR="00932104" w:rsidRPr="00716810" w:rsidRDefault="00932104" w:rsidP="00231664">
      <w:pPr>
        <w:spacing w:after="0"/>
        <w:rPr>
          <w:rStyle w:val="Char"/>
        </w:rPr>
      </w:pPr>
      <w:r>
        <w:rPr>
          <w:rStyle w:val="FootnoteReference"/>
        </w:rPr>
        <w:footnoteRef/>
      </w:r>
      <w:r w:rsidRPr="00340745">
        <w:rPr>
          <w:lang w:val="en-US"/>
        </w:rPr>
        <w:t xml:space="preserve"> </w:t>
      </w:r>
      <w:r w:rsidRPr="00716810">
        <w:rPr>
          <w:rStyle w:val="Char"/>
        </w:rPr>
        <w:t>Miyao R, Okimoto T. Regime shifts in the effects of Japan’s unconventional monetary policies. The Manchester School. 2020;88: p. 752.</w:t>
      </w:r>
    </w:p>
  </w:footnote>
  <w:footnote w:id="45">
    <w:p w14:paraId="75C286F5" w14:textId="77777777" w:rsidR="00932104" w:rsidRPr="00340745" w:rsidRDefault="00932104" w:rsidP="00231664">
      <w:pPr>
        <w:pStyle w:val="FootnoteText"/>
        <w:rPr>
          <w:lang w:val="en-US"/>
        </w:rPr>
      </w:pPr>
      <w:r>
        <w:rPr>
          <w:rStyle w:val="FootnoteReference"/>
        </w:rPr>
        <w:footnoteRef/>
      </w:r>
      <w:r w:rsidRPr="006B6861">
        <w:rPr>
          <w:lang w:val="en-US"/>
        </w:rPr>
        <w:t xml:space="preserve"> </w:t>
      </w:r>
      <w:r w:rsidRPr="00716810">
        <w:rPr>
          <w:rStyle w:val="Char"/>
        </w:rPr>
        <w:t>Ibid. p.768</w:t>
      </w:r>
    </w:p>
  </w:footnote>
  <w:footnote w:id="46">
    <w:p w14:paraId="42C05DB7" w14:textId="77777777" w:rsidR="00932104" w:rsidRPr="000B6540" w:rsidRDefault="00932104" w:rsidP="00231664">
      <w:pPr>
        <w:spacing w:after="0"/>
        <w:rPr>
          <w:lang w:val="en-US"/>
        </w:rPr>
      </w:pPr>
      <w:r w:rsidRPr="00716810">
        <w:rPr>
          <w:rStyle w:val="FootnoteReference"/>
          <w:sz w:val="20"/>
          <w:szCs w:val="20"/>
        </w:rPr>
        <w:footnoteRef/>
      </w:r>
      <w:r w:rsidRPr="000B6540">
        <w:rPr>
          <w:lang w:val="en-US"/>
        </w:rPr>
        <w:t xml:space="preserve"> </w:t>
      </w:r>
      <w:r w:rsidRPr="00716810">
        <w:rPr>
          <w:rStyle w:val="Char"/>
        </w:rPr>
        <w:t>Huang X. Macroeconomic news announcements, systemic risk, financial market volatility, and jumps. J Futures Markets. 2018;38: p.514</w:t>
      </w:r>
    </w:p>
  </w:footnote>
  <w:footnote w:id="47">
    <w:p w14:paraId="68D800EE" w14:textId="77777777" w:rsidR="00932104" w:rsidRPr="00716810" w:rsidRDefault="00932104" w:rsidP="00231664">
      <w:pPr>
        <w:pStyle w:val="FootnoteText"/>
        <w:rPr>
          <w:rStyle w:val="Char"/>
        </w:rPr>
      </w:pPr>
      <w:r>
        <w:rPr>
          <w:rStyle w:val="FootnoteReference"/>
        </w:rPr>
        <w:footnoteRef/>
      </w:r>
      <w:r w:rsidRPr="00AD2A09">
        <w:rPr>
          <w:lang w:val="en-US"/>
        </w:rPr>
        <w:t xml:space="preserve"> </w:t>
      </w:r>
      <w:r w:rsidRPr="00716810">
        <w:rPr>
          <w:rStyle w:val="Char"/>
        </w:rPr>
        <w:t>Author defines “good” or “bad” news by referring whether values were higher than the market consensus expectation, expressed in polls.</w:t>
      </w:r>
    </w:p>
  </w:footnote>
  <w:footnote w:id="48">
    <w:p w14:paraId="41A8A74B" w14:textId="77777777" w:rsidR="00932104" w:rsidRPr="00F66C8A" w:rsidRDefault="00932104" w:rsidP="00231664">
      <w:pPr>
        <w:pStyle w:val="FootnoteText"/>
        <w:rPr>
          <w:lang w:val="en-US"/>
        </w:rPr>
      </w:pPr>
      <w:r>
        <w:rPr>
          <w:rStyle w:val="FootnoteReference"/>
        </w:rPr>
        <w:footnoteRef/>
      </w:r>
      <w:r w:rsidRPr="00AD2A09">
        <w:rPr>
          <w:lang w:val="en-US"/>
        </w:rPr>
        <w:t xml:space="preserve"> </w:t>
      </w:r>
      <w:r w:rsidRPr="00716810">
        <w:rPr>
          <w:rStyle w:val="Char"/>
        </w:rPr>
        <w:t>Ibid. p. 530</w:t>
      </w:r>
    </w:p>
  </w:footnote>
  <w:footnote w:id="49">
    <w:p w14:paraId="7E26B33F" w14:textId="77777777" w:rsidR="00932104" w:rsidRPr="00F66C8A" w:rsidRDefault="00932104" w:rsidP="00231664">
      <w:pPr>
        <w:pStyle w:val="FootnoteText"/>
        <w:rPr>
          <w:lang w:val="en-US"/>
        </w:rPr>
      </w:pPr>
      <w:r>
        <w:rPr>
          <w:rStyle w:val="FootnoteReference"/>
        </w:rPr>
        <w:footnoteRef/>
      </w:r>
      <w:r w:rsidRPr="00AD2A09">
        <w:rPr>
          <w:lang w:val="en-US"/>
        </w:rPr>
        <w:t xml:space="preserve"> </w:t>
      </w:r>
      <w:r w:rsidRPr="00716810">
        <w:rPr>
          <w:rStyle w:val="Char"/>
        </w:rPr>
        <w:t>Ibid.</w:t>
      </w:r>
    </w:p>
  </w:footnote>
  <w:footnote w:id="50">
    <w:p w14:paraId="5A7A5E46" w14:textId="5C7069EB" w:rsidR="00932104" w:rsidRPr="00EC31A2" w:rsidRDefault="00932104">
      <w:pPr>
        <w:pStyle w:val="FootnoteText"/>
        <w:rPr>
          <w:lang w:val="en-US"/>
        </w:rPr>
      </w:pPr>
      <w:r>
        <w:rPr>
          <w:rStyle w:val="FootnoteReference"/>
        </w:rPr>
        <w:footnoteRef/>
      </w:r>
      <w:r w:rsidRPr="00EC31A2">
        <w:rPr>
          <w:lang w:val="en-US"/>
        </w:rPr>
        <w:t xml:space="preserve"> </w:t>
      </w:r>
      <w:r w:rsidRPr="00716810">
        <w:rPr>
          <w:rStyle w:val="Char"/>
        </w:rPr>
        <w:t>Georgiadis G., Gräb J.</w:t>
      </w:r>
      <w:r w:rsidR="0012540F" w:rsidRPr="0012540F">
        <w:rPr>
          <w:rStyle w:val="Char"/>
        </w:rPr>
        <w:t xml:space="preserve"> </w:t>
      </w:r>
      <w:r w:rsidR="0012540F" w:rsidRPr="00194C92">
        <w:rPr>
          <w:rFonts w:cs="Times New Roman"/>
          <w:lang w:val="en-US"/>
        </w:rPr>
        <w:t>Global financial market impact of the announcement of the ECB’s</w:t>
      </w:r>
      <w:r w:rsidR="0012540F">
        <w:rPr>
          <w:rFonts w:cs="Times New Roman"/>
          <w:lang w:val="en-US"/>
        </w:rPr>
        <w:t xml:space="preserve"> </w:t>
      </w:r>
      <w:r w:rsidR="0012540F" w:rsidRPr="00194C92">
        <w:rPr>
          <w:rFonts w:cs="Times New Roman"/>
          <w:lang w:val="en-US"/>
        </w:rPr>
        <w:t>asset purchase programme</w:t>
      </w:r>
      <w:r w:rsidR="0012540F">
        <w:rPr>
          <w:rFonts w:cs="Times New Roman"/>
        </w:rPr>
        <w:t>ю</w:t>
      </w:r>
      <w:r w:rsidRPr="00716810">
        <w:rPr>
          <w:rStyle w:val="Char"/>
        </w:rPr>
        <w:t xml:space="preserve"> Journal of Financial Stability. 2016; 26 257–265</w:t>
      </w:r>
    </w:p>
  </w:footnote>
  <w:footnote w:id="51">
    <w:p w14:paraId="766B76FB" w14:textId="1EB7E419" w:rsidR="00932104" w:rsidRPr="00D71EB6" w:rsidRDefault="00932104" w:rsidP="00EC31A2">
      <w:pPr>
        <w:pStyle w:val="FootnoteText"/>
        <w:rPr>
          <w:lang w:val="en-US"/>
        </w:rPr>
      </w:pPr>
      <w:r>
        <w:rPr>
          <w:rStyle w:val="FootnoteReference"/>
        </w:rPr>
        <w:footnoteRef/>
      </w:r>
      <w:r w:rsidRPr="00D71EB6">
        <w:rPr>
          <w:lang w:val="en-US"/>
        </w:rPr>
        <w:t xml:space="preserve"> </w:t>
      </w:r>
      <w:r w:rsidRPr="00716810">
        <w:rPr>
          <w:rStyle w:val="Char"/>
        </w:rPr>
        <w:t>Effect was measured during the period from September, 2014 to January, 2015, when ECB made many monetary policy announcements and when EONIA first time ever entered negative rate territory, thus monetary policy communication was crucial: authors have counted 14 monetary policy-related events during mentioned 5-month period.</w:t>
      </w:r>
    </w:p>
  </w:footnote>
  <w:footnote w:id="52">
    <w:p w14:paraId="13C0734C" w14:textId="16EA4D4F" w:rsidR="00932104" w:rsidRPr="00D71EB6" w:rsidRDefault="00932104" w:rsidP="00EC31A2">
      <w:pPr>
        <w:pStyle w:val="FootnoteText"/>
        <w:rPr>
          <w:lang w:val="en-US"/>
        </w:rPr>
      </w:pPr>
      <w:r>
        <w:rPr>
          <w:rStyle w:val="FootnoteReference"/>
        </w:rPr>
        <w:footnoteRef/>
      </w:r>
      <w:r w:rsidRPr="00D71EB6">
        <w:rPr>
          <w:lang w:val="en-US"/>
        </w:rPr>
        <w:t xml:space="preserve"> </w:t>
      </w:r>
      <w:r w:rsidRPr="00716810">
        <w:rPr>
          <w:rStyle w:val="Char"/>
        </w:rPr>
        <w:t>Ibid. P. 259</w:t>
      </w:r>
    </w:p>
  </w:footnote>
  <w:footnote w:id="53">
    <w:p w14:paraId="01D23962" w14:textId="27BF0911" w:rsidR="00932104" w:rsidRPr="007843C2" w:rsidRDefault="00932104" w:rsidP="00CB7DFE">
      <w:pPr>
        <w:spacing w:after="0"/>
        <w:rPr>
          <w:lang w:val="en-US"/>
        </w:rPr>
      </w:pPr>
      <w:r>
        <w:rPr>
          <w:rStyle w:val="FootnoteReference"/>
        </w:rPr>
        <w:footnoteRef/>
      </w:r>
      <w:r w:rsidRPr="007843C2">
        <w:rPr>
          <w:lang w:val="en-US"/>
        </w:rPr>
        <w:t xml:space="preserve"> </w:t>
      </w:r>
      <w:r w:rsidRPr="00552D71">
        <w:rPr>
          <w:rStyle w:val="Char"/>
        </w:rPr>
        <w:t>Lee J, Ryu D. The impacts of public news announcements on intraday implied volatility dynamics. J Futures Markets. 2019;39: p. 659</w:t>
      </w:r>
    </w:p>
  </w:footnote>
  <w:footnote w:id="54">
    <w:p w14:paraId="71D0A28D" w14:textId="2679BFC7" w:rsidR="00932104" w:rsidRPr="00CB7DFE" w:rsidRDefault="00932104">
      <w:pPr>
        <w:pStyle w:val="FootnoteText"/>
        <w:rPr>
          <w:lang w:val="en-US"/>
        </w:rPr>
      </w:pPr>
      <w:r>
        <w:rPr>
          <w:rStyle w:val="FootnoteReference"/>
        </w:rPr>
        <w:footnoteRef/>
      </w:r>
      <w:r w:rsidRPr="006C298C">
        <w:rPr>
          <w:lang w:val="en-US"/>
        </w:rPr>
        <w:t xml:space="preserve"> </w:t>
      </w:r>
      <w:r w:rsidRPr="00552D71">
        <w:rPr>
          <w:rStyle w:val="Char"/>
        </w:rPr>
        <w:t>Ibid. p. 662</w:t>
      </w:r>
    </w:p>
  </w:footnote>
  <w:footnote w:id="55">
    <w:p w14:paraId="4DAAC3FF" w14:textId="77777777" w:rsidR="00932104" w:rsidRPr="008D1BF2" w:rsidRDefault="00932104" w:rsidP="00B016C7">
      <w:pPr>
        <w:pStyle w:val="FootnoteText"/>
        <w:rPr>
          <w:lang w:val="en-US"/>
        </w:rPr>
      </w:pPr>
      <w:r>
        <w:rPr>
          <w:rStyle w:val="FootnoteReference"/>
        </w:rPr>
        <w:footnoteRef/>
      </w:r>
      <w:r w:rsidRPr="008D1BF2">
        <w:rPr>
          <w:lang w:val="en-US"/>
        </w:rPr>
        <w:t xml:space="preserve"> </w:t>
      </w:r>
      <w:r w:rsidRPr="006B317A">
        <w:rPr>
          <w:rFonts w:cs="Times New Roman"/>
          <w:lang w:val="en-US"/>
        </w:rPr>
        <w:t>Currencies are listed according to the ISO standards</w:t>
      </w:r>
    </w:p>
  </w:footnote>
  <w:footnote w:id="56">
    <w:p w14:paraId="024C99E9" w14:textId="7630D06A" w:rsidR="008D06E5" w:rsidRPr="00566F83" w:rsidRDefault="008D06E5">
      <w:pPr>
        <w:pStyle w:val="FootnoteText"/>
        <w:rPr>
          <w:lang w:val="en-US"/>
        </w:rPr>
      </w:pPr>
      <w:r>
        <w:rPr>
          <w:rStyle w:val="FootnoteReference"/>
        </w:rPr>
        <w:footnoteRef/>
      </w:r>
      <w:r w:rsidRPr="008D06E5">
        <w:rPr>
          <w:lang w:val="en-US"/>
        </w:rPr>
        <w:t xml:space="preserve"> </w:t>
      </w:r>
      <w:r>
        <w:rPr>
          <w:lang w:val="en-US"/>
        </w:rPr>
        <w:t xml:space="preserve">Bank of Russia. </w:t>
      </w:r>
      <w:r w:rsidRPr="008D06E5">
        <w:rPr>
          <w:lang w:val="en-US"/>
        </w:rPr>
        <w:t xml:space="preserve">« MosPrime Rate». </w:t>
      </w:r>
      <w:hyperlink r:id="rId6" w:history="1">
        <w:r w:rsidRPr="00906081">
          <w:rPr>
            <w:rStyle w:val="Hyperlink"/>
            <w:lang w:val="en-US"/>
          </w:rPr>
          <w:t>https://www.cbr.ru/eng/hd_base/mosprime/</w:t>
        </w:r>
      </w:hyperlink>
      <w:r w:rsidRPr="00566F83">
        <w:rPr>
          <w:lang w:val="en-US"/>
        </w:rPr>
        <w:t xml:space="preserve"> </w:t>
      </w:r>
    </w:p>
  </w:footnote>
  <w:footnote w:id="57">
    <w:p w14:paraId="344A8C0A" w14:textId="6F638B7D" w:rsidR="00932104" w:rsidRPr="00A370EB" w:rsidRDefault="00932104">
      <w:pPr>
        <w:pStyle w:val="FootnoteText"/>
        <w:rPr>
          <w:lang w:val="en-US"/>
        </w:rPr>
      </w:pPr>
      <w:r>
        <w:rPr>
          <w:rStyle w:val="FootnoteReference"/>
        </w:rPr>
        <w:footnoteRef/>
      </w:r>
      <w:r w:rsidRPr="000D5256">
        <w:rPr>
          <w:lang w:val="en-US"/>
        </w:rPr>
        <w:t xml:space="preserve"> </w:t>
      </w:r>
      <w:r w:rsidRPr="00942FA0">
        <w:rPr>
          <w:rStyle w:val="Char"/>
        </w:rPr>
        <w:t>It was determined that such a small difference of 1 b.p. is even smaller than the bid-ask spread for the underlying currency pairs: typical spread in FX market is around 2 b.p.’s. Hence, if average value of deviation is less than 1 b.p., it could be concluded that contract is priced using exactly  chosen risk-free rates and under approach, which is similar to out approach.</w:t>
      </w:r>
    </w:p>
  </w:footnote>
  <w:footnote w:id="58">
    <w:p w14:paraId="411B73FD" w14:textId="5973F7B5" w:rsidR="00932104" w:rsidRPr="00DC34B6" w:rsidRDefault="00932104">
      <w:pPr>
        <w:pStyle w:val="FootnoteText"/>
        <w:rPr>
          <w:lang w:val="en-US"/>
        </w:rPr>
      </w:pPr>
      <w:r>
        <w:rPr>
          <w:rStyle w:val="FootnoteReference"/>
        </w:rPr>
        <w:footnoteRef/>
      </w:r>
      <w:r w:rsidRPr="00DC34B6">
        <w:rPr>
          <w:lang w:val="en-US"/>
        </w:rPr>
        <w:t xml:space="preserve"> </w:t>
      </w:r>
      <w:r w:rsidRPr="00C1321D">
        <w:rPr>
          <w:rStyle w:val="Char"/>
        </w:rPr>
        <w:t>Interest rates differential is basically the «</w:t>
      </w:r>
      <m:oMath>
        <m:sSub>
          <m:sSubPr>
            <m:ctrlPr>
              <w:rPr>
                <w:rStyle w:val="Char"/>
                <w:rFonts w:ascii="Cambria Math" w:hAnsi="Cambria Math"/>
              </w:rPr>
            </m:ctrlPr>
          </m:sSubPr>
          <m:e>
            <m:r>
              <w:rPr>
                <w:rStyle w:val="Char"/>
                <w:rFonts w:ascii="Cambria Math" w:hAnsi="Cambria Math"/>
              </w:rPr>
              <m:t>r</m:t>
            </m:r>
          </m:e>
          <m:sub>
            <m:r>
              <w:rPr>
                <w:rStyle w:val="Char"/>
                <w:rFonts w:ascii="Cambria Math" w:hAnsi="Cambria Math"/>
              </w:rPr>
              <m:t>q</m:t>
            </m:r>
          </m:sub>
        </m:sSub>
        <m:r>
          <m:rPr>
            <m:sty m:val="p"/>
          </m:rPr>
          <w:rPr>
            <w:rStyle w:val="Char"/>
            <w:rFonts w:ascii="Cambria Math" w:hAnsi="Cambria Math"/>
          </w:rPr>
          <m:t xml:space="preserve">- </m:t>
        </m:r>
        <m:sSub>
          <m:sSubPr>
            <m:ctrlPr>
              <w:rPr>
                <w:rStyle w:val="Char"/>
                <w:rFonts w:ascii="Cambria Math" w:hAnsi="Cambria Math"/>
              </w:rPr>
            </m:ctrlPr>
          </m:sSubPr>
          <m:e>
            <m:r>
              <w:rPr>
                <w:rStyle w:val="Char"/>
                <w:rFonts w:ascii="Cambria Math" w:hAnsi="Cambria Math"/>
              </w:rPr>
              <m:t>r</m:t>
            </m:r>
          </m:e>
          <m:sub>
            <m:r>
              <w:rPr>
                <w:rStyle w:val="Char"/>
                <w:rFonts w:ascii="Cambria Math" w:hAnsi="Cambria Math"/>
              </w:rPr>
              <m:t>b</m:t>
            </m:r>
          </m:sub>
        </m:sSub>
      </m:oMath>
      <w:r w:rsidRPr="00C1321D">
        <w:rPr>
          <w:rStyle w:val="Char"/>
        </w:rPr>
        <w:t>» component of FX future pricing formula</w:t>
      </w:r>
    </w:p>
  </w:footnote>
  <w:footnote w:id="59">
    <w:p w14:paraId="39BF63F5" w14:textId="542AD81A" w:rsidR="00F71A88" w:rsidRPr="00F71A88" w:rsidRDefault="00F71A88">
      <w:pPr>
        <w:pStyle w:val="FootnoteText"/>
        <w:rPr>
          <w:lang w:val="en-US"/>
        </w:rPr>
      </w:pPr>
      <w:r>
        <w:rPr>
          <w:rStyle w:val="FootnoteReference"/>
        </w:rPr>
        <w:footnoteRef/>
      </w:r>
      <w:r w:rsidRPr="00F71A88">
        <w:rPr>
          <w:lang w:val="en-US"/>
        </w:rPr>
        <w:t xml:space="preserve"> </w:t>
      </w:r>
      <w:r w:rsidRPr="00F71A88">
        <w:rPr>
          <w:rFonts w:cs="Times New Roman"/>
          <w:lang w:val="en-US"/>
        </w:rPr>
        <w:t>All interbank le</w:t>
      </w:r>
      <w:r w:rsidR="00E12F13">
        <w:rPr>
          <w:rFonts w:cs="Times New Roman"/>
          <w:lang w:val="en-US"/>
        </w:rPr>
        <w:t>nd</w:t>
      </w:r>
      <w:r w:rsidRPr="00F71A88">
        <w:rPr>
          <w:rFonts w:cs="Times New Roman"/>
          <w:lang w:val="en-US"/>
        </w:rPr>
        <w:t>ing for the term greater than overnight</w:t>
      </w:r>
    </w:p>
  </w:footnote>
  <w:footnote w:id="60">
    <w:p w14:paraId="2A790C49" w14:textId="743F01E8" w:rsidR="00770FA0" w:rsidRPr="00770FA0" w:rsidRDefault="00770FA0" w:rsidP="00770FA0">
      <w:pPr>
        <w:pStyle w:val="FootnoteText"/>
        <w:rPr>
          <w:rFonts w:cs="Times New Roman"/>
          <w:color w:val="000000" w:themeColor="text1"/>
          <w:lang w:val="en-US"/>
        </w:rPr>
      </w:pPr>
      <w:r>
        <w:rPr>
          <w:rStyle w:val="FootnoteReference"/>
        </w:rPr>
        <w:footnoteRef/>
      </w:r>
      <w:r w:rsidRPr="00770FA0">
        <w:rPr>
          <w:lang w:val="en-US"/>
        </w:rPr>
        <w:t xml:space="preserve"> </w:t>
      </w:r>
      <w:r w:rsidRPr="00770FA0">
        <w:rPr>
          <w:rFonts w:cs="Times New Roman"/>
          <w:color w:val="000000" w:themeColor="text1"/>
          <w:lang w:val="en-US"/>
        </w:rPr>
        <w:t>Sight deposits is a common name for all bank deposits which could be withdrawn upon notice</w:t>
      </w:r>
      <w:r>
        <w:rPr>
          <w:rFonts w:cs="Times New Roman"/>
          <w:color w:val="000000" w:themeColor="text1"/>
          <w:lang w:val="en-US"/>
        </w:rPr>
        <w:t xml:space="preserve"> of the holder</w:t>
      </w:r>
    </w:p>
  </w:footnote>
  <w:footnote w:id="61">
    <w:p w14:paraId="3ADBD680" w14:textId="1FAC5554" w:rsidR="00363C96" w:rsidRPr="00363C96" w:rsidRDefault="00363C96">
      <w:pPr>
        <w:pStyle w:val="FootnoteText"/>
        <w:rPr>
          <w:lang w:val="en-US"/>
        </w:rPr>
      </w:pPr>
      <w:r>
        <w:rPr>
          <w:rStyle w:val="FootnoteReference"/>
        </w:rPr>
        <w:footnoteRef/>
      </w:r>
      <w:r w:rsidRPr="00363C96">
        <w:rPr>
          <w:lang w:val="en-US"/>
        </w:rPr>
        <w:t xml:space="preserve"> </w:t>
      </w:r>
      <w:r w:rsidRPr="00DB3491">
        <w:rPr>
          <w:rStyle w:val="Char"/>
        </w:rPr>
        <w:t>In export-oriented economies, the costs of production are incurred in domestic currency and revenue inflows are denominated in the foreign currency. Hence, in case of domestic currency appreciation, producers siffer decrease in their revenues, when convert foreign currency revenue back to domestic currency. Switzerland, often seen as a «safe haven» for investments, thus needs to counter appreciation of CHF. Negative interest rates policy is particularly useful in this case, because it makes passive holdings in CHF (incl. investments in interbank loans) not profitable and hence, in theory, this negative interest rates policy should counter additional demand for CHF.</w:t>
      </w:r>
    </w:p>
  </w:footnote>
  <w:footnote w:id="62">
    <w:p w14:paraId="485AFED5" w14:textId="572E74CC" w:rsidR="00190EB4" w:rsidRPr="00190EB4" w:rsidRDefault="00190EB4">
      <w:pPr>
        <w:pStyle w:val="FootnoteText"/>
        <w:rPr>
          <w:lang w:val="en-US"/>
        </w:rPr>
      </w:pPr>
      <w:r>
        <w:rPr>
          <w:rStyle w:val="FootnoteReference"/>
        </w:rPr>
        <w:footnoteRef/>
      </w:r>
      <w:r w:rsidRPr="00190EB4">
        <w:rPr>
          <w:lang w:val="en-US"/>
        </w:rPr>
        <w:t xml:space="preserve"> </w:t>
      </w:r>
      <w:r w:rsidRPr="00190EB4">
        <w:rPr>
          <w:rStyle w:val="Char"/>
        </w:rPr>
        <w:t>Mainly refers to USD. That is why it attracts our attention and we decided to calculate implied risk-free rate for USD also, but have not applied USD rate in calculations for other currencies.</w:t>
      </w:r>
    </w:p>
  </w:footnote>
  <w:footnote w:id="63">
    <w:p w14:paraId="4BFA9F89" w14:textId="77777777" w:rsidR="008E7238" w:rsidRPr="00336083" w:rsidRDefault="008E7238">
      <w:pPr>
        <w:pStyle w:val="FootnoteText"/>
        <w:rPr>
          <w:lang w:val="en-US"/>
        </w:rPr>
      </w:pPr>
      <w:r>
        <w:rPr>
          <w:rStyle w:val="FootnoteReference"/>
        </w:rPr>
        <w:footnoteRef/>
      </w:r>
      <w:r w:rsidRPr="00336083">
        <w:rPr>
          <w:lang w:val="en-US"/>
        </w:rPr>
        <w:t xml:space="preserve"> </w:t>
      </w:r>
      <w:r w:rsidRPr="00336083">
        <w:rPr>
          <w:rFonts w:cs="Times New Roman"/>
          <w:lang w:val="en-US"/>
        </w:rPr>
        <w:t>P-value of the beta-coefficient of «</w:t>
      </w:r>
      <w:r w:rsidRPr="00DC2FC9">
        <w:rPr>
          <w:rFonts w:cs="Times New Roman"/>
          <w:lang w:val="en-US"/>
        </w:rPr>
        <w:t xml:space="preserve">OIS diff </w:t>
      </w:r>
      <w:r w:rsidRPr="00336083">
        <w:rPr>
          <w:rFonts w:cs="Times New Roman"/>
          <w:lang w:val="en-US"/>
        </w:rPr>
        <w:t>d</w:t>
      </w:r>
      <w:r w:rsidRPr="00DC2FC9">
        <w:rPr>
          <w:rFonts w:cs="Times New Roman"/>
          <w:lang w:val="en-US"/>
        </w:rPr>
        <w:t>elta*act/365</w:t>
      </w:r>
      <w:r w:rsidRPr="00336083">
        <w:rPr>
          <w:rFonts w:cs="Times New Roman"/>
          <w:lang w:val="en-US"/>
        </w:rPr>
        <w:t>»</w:t>
      </w:r>
    </w:p>
  </w:footnote>
  <w:footnote w:id="64">
    <w:p w14:paraId="0086BC39" w14:textId="552ACE9B" w:rsidR="008E7238" w:rsidRPr="00224206" w:rsidRDefault="008E7238" w:rsidP="00224206">
      <w:pPr>
        <w:pStyle w:val="FootnoteText"/>
        <w:rPr>
          <w:rFonts w:cs="Times New Roman"/>
          <w:lang w:val="en-US"/>
        </w:rPr>
      </w:pPr>
      <w:r>
        <w:rPr>
          <w:rStyle w:val="FootnoteReference"/>
        </w:rPr>
        <w:footnoteRef/>
      </w:r>
      <w:r w:rsidRPr="00902249">
        <w:rPr>
          <w:lang w:val="en-US"/>
        </w:rPr>
        <w:t xml:space="preserve"> </w:t>
      </w:r>
      <w:r w:rsidRPr="00902249">
        <w:rPr>
          <w:rFonts w:cs="Times New Roman"/>
          <w:lang w:val="en-US"/>
        </w:rPr>
        <w:t>Contract was not liquid enough to run this test</w:t>
      </w:r>
      <w:r>
        <w:rPr>
          <w:rFonts w:cs="Times New Roman"/>
          <w:lang w:val="en-US"/>
        </w:rPr>
        <w:t xml:space="preserve">: as reported in a descriptive statistics only 373 observations within a sample period of </w:t>
      </w:r>
      <w:r w:rsidRPr="00224206">
        <w:rPr>
          <w:rFonts w:cs="Times New Roman"/>
          <w:lang w:val="en-US"/>
        </w:rPr>
        <w:t>177</w:t>
      </w:r>
      <w:r>
        <w:rPr>
          <w:rFonts w:cs="Times New Roman"/>
          <w:lang w:val="en-US"/>
        </w:rPr>
        <w:t xml:space="preserve"> days were found: hence, contract was traded within just 373 30-minutes time periods within the whole set of 177 days.</w:t>
      </w:r>
    </w:p>
  </w:footnote>
  <w:footnote w:id="65">
    <w:p w14:paraId="78957A12" w14:textId="7F5EC909" w:rsidR="00CB1277" w:rsidRPr="00CB1277" w:rsidRDefault="00CB1277">
      <w:pPr>
        <w:pStyle w:val="FootnoteText"/>
        <w:rPr>
          <w:lang w:val="en-US"/>
        </w:rPr>
      </w:pPr>
      <w:r>
        <w:rPr>
          <w:rStyle w:val="FootnoteReference"/>
        </w:rPr>
        <w:footnoteRef/>
      </w:r>
      <w:r w:rsidRPr="00CB1277">
        <w:rPr>
          <w:lang w:val="en-US"/>
        </w:rPr>
        <w:t xml:space="preserve"> </w:t>
      </w:r>
      <w:r w:rsidRPr="00CB1277">
        <w:rPr>
          <w:rFonts w:cs="Times New Roman"/>
          <w:lang w:val="en-US"/>
        </w:rPr>
        <w:t>Hull, J. Options, Futures and other Derivatives. 2018; p. 118</w:t>
      </w:r>
    </w:p>
  </w:footnote>
  <w:footnote w:id="66">
    <w:p w14:paraId="7E7AFD3E" w14:textId="3C5CC941" w:rsidR="00296AB6" w:rsidRPr="00296AB6" w:rsidRDefault="00296AB6">
      <w:pPr>
        <w:pStyle w:val="FootnoteText"/>
        <w:rPr>
          <w:lang w:val="en-US"/>
        </w:rPr>
      </w:pPr>
      <w:r>
        <w:rPr>
          <w:rStyle w:val="FootnoteReference"/>
        </w:rPr>
        <w:footnoteRef/>
      </w:r>
      <w:r w:rsidRPr="00296AB6">
        <w:rPr>
          <w:lang w:val="en-US"/>
        </w:rPr>
        <w:t xml:space="preserve"> </w:t>
      </w:r>
      <w:r w:rsidR="00A56FAC" w:rsidRPr="00A56FAC">
        <w:rPr>
          <w:rFonts w:cs="Times New Roman"/>
          <w:lang w:val="en-US"/>
        </w:rPr>
        <w:t>3-month interbank rate is t</w:t>
      </w:r>
      <w:r w:rsidRPr="00296AB6">
        <w:rPr>
          <w:rFonts w:cs="Times New Roman"/>
          <w:lang w:val="en-US"/>
        </w:rPr>
        <w:t>he most common indicator for referencing interbank</w:t>
      </w:r>
      <w:r w:rsidR="00CE4282">
        <w:rPr>
          <w:rFonts w:cs="Times New Roman"/>
          <w:lang w:val="en-US"/>
        </w:rPr>
        <w:t xml:space="preserve"> money market</w:t>
      </w:r>
      <w:r w:rsidRPr="00296AB6">
        <w:rPr>
          <w:rFonts w:cs="Times New Roman"/>
          <w:lang w:val="en-US"/>
        </w:rPr>
        <w:t xml:space="preserve"> rates, e.g.</w:t>
      </w:r>
      <w:r w:rsidR="00CE4282">
        <w:rPr>
          <w:rFonts w:cs="Times New Roman"/>
          <w:lang w:val="en-US"/>
        </w:rPr>
        <w:t xml:space="preserve"> 3m LIBOR is ext</w:t>
      </w:r>
      <w:r w:rsidR="00035965">
        <w:rPr>
          <w:rFonts w:cs="Times New Roman"/>
          <w:lang w:val="en-US"/>
        </w:rPr>
        <w:t>e</w:t>
      </w:r>
      <w:r w:rsidR="00CE4282">
        <w:rPr>
          <w:rFonts w:cs="Times New Roman"/>
          <w:lang w:val="en-US"/>
        </w:rPr>
        <w:t>nsively used</w:t>
      </w:r>
      <w:r w:rsidRPr="00296AB6">
        <w:rPr>
          <w:rFonts w:cs="Times New Roman"/>
          <w:lang w:val="en-US"/>
        </w:rPr>
        <w:t xml:space="preserve"> in floating rate notes pricing.</w:t>
      </w:r>
    </w:p>
  </w:footnote>
  <w:footnote w:id="67">
    <w:p w14:paraId="1C4DC134" w14:textId="7AF35542" w:rsidR="00446E3D" w:rsidRPr="00446E3D" w:rsidRDefault="00446E3D">
      <w:pPr>
        <w:pStyle w:val="FootnoteText"/>
        <w:rPr>
          <w:lang w:val="en-US"/>
        </w:rPr>
      </w:pPr>
      <w:r>
        <w:rPr>
          <w:rStyle w:val="FootnoteReference"/>
        </w:rPr>
        <w:footnoteRef/>
      </w:r>
      <w:r w:rsidRPr="00446E3D">
        <w:rPr>
          <w:lang w:val="en-US"/>
        </w:rPr>
        <w:t xml:space="preserve"> </w:t>
      </w:r>
      <w:r>
        <w:rPr>
          <w:lang w:val="en-US"/>
        </w:rPr>
        <w:t>When applied, provide more deviation of observed price from it’s theoretical value</w:t>
      </w:r>
    </w:p>
  </w:footnote>
  <w:footnote w:id="68">
    <w:p w14:paraId="2BFC9F79" w14:textId="2C8F43EA" w:rsidR="006713D0" w:rsidRPr="006713D0" w:rsidRDefault="006713D0">
      <w:pPr>
        <w:pStyle w:val="FootnoteText"/>
        <w:rPr>
          <w:lang w:val="en-US"/>
        </w:rPr>
      </w:pPr>
      <w:r>
        <w:rPr>
          <w:rStyle w:val="FootnoteReference"/>
        </w:rPr>
        <w:footnoteRef/>
      </w:r>
      <w:r w:rsidRPr="006713D0">
        <w:rPr>
          <w:lang w:val="en-US"/>
        </w:rPr>
        <w:t xml:space="preserve"> </w:t>
      </w:r>
      <w:r w:rsidRPr="002647A9">
        <w:rPr>
          <w:rStyle w:val="Char"/>
        </w:rPr>
        <w:t>We could mention again that the overpricing of JPY/USD future could be interpreted as underpricing of USD/JPY future (theoretical, inverted version of traded JPY/USD contract)</w:t>
      </w:r>
    </w:p>
  </w:footnote>
  <w:footnote w:id="69">
    <w:p w14:paraId="4A8D4F73" w14:textId="79EEC7BE" w:rsidR="00F1559D" w:rsidRPr="00F1559D" w:rsidRDefault="00F1559D">
      <w:pPr>
        <w:pStyle w:val="FootnoteText"/>
        <w:rPr>
          <w:lang w:val="en-US"/>
        </w:rPr>
      </w:pPr>
      <w:r>
        <w:rPr>
          <w:rStyle w:val="FootnoteReference"/>
        </w:rPr>
        <w:footnoteRef/>
      </w:r>
      <w:r w:rsidRPr="00F1559D">
        <w:rPr>
          <w:lang w:val="en-US"/>
        </w:rPr>
        <w:t xml:space="preserve"> </w:t>
      </w:r>
      <w:r>
        <w:rPr>
          <w:lang w:val="en-US"/>
        </w:rPr>
        <w:t>Because trade volume is always positive and reported for both short and long positions in FX futures, both upside and downside FX spot rate movements could result in increase in FX future trade volume. To capture this effect we applied absolute value for FX spot return. For the second hypothesis this action was not required.</w:t>
      </w:r>
    </w:p>
  </w:footnote>
  <w:footnote w:id="70">
    <w:p w14:paraId="76B78B79" w14:textId="77777777" w:rsidR="00100AC3" w:rsidRPr="005458F7" w:rsidRDefault="00100AC3" w:rsidP="00100AC3">
      <w:pPr>
        <w:pStyle w:val="FootnoteText"/>
        <w:rPr>
          <w:lang w:val="en-US"/>
        </w:rPr>
      </w:pPr>
      <w:r>
        <w:rPr>
          <w:rStyle w:val="FootnoteReference"/>
        </w:rPr>
        <w:footnoteRef/>
      </w:r>
      <w:r w:rsidRPr="005458F7">
        <w:rPr>
          <w:lang w:val="en-US"/>
        </w:rPr>
        <w:t xml:space="preserve"> </w:t>
      </w:r>
      <w:r w:rsidRPr="005458F7">
        <w:rPr>
          <w:rFonts w:cs="Times New Roman"/>
          <w:lang w:val="en-US"/>
        </w:rPr>
        <w:t>In this case, it is necessary to use absolute value, because both upward and downward movement in FX spot rate could result in demand for FX futures</w:t>
      </w:r>
    </w:p>
  </w:footnote>
  <w:footnote w:id="71">
    <w:p w14:paraId="4AF5CE5B" w14:textId="617BF01C" w:rsidR="00A650DD" w:rsidRDefault="00A650DD" w:rsidP="00214B13">
      <w:pPr>
        <w:pStyle w:val="FootnoteText"/>
        <w:jc w:val="left"/>
        <w:rPr>
          <w:lang w:val="en-US"/>
        </w:rPr>
      </w:pPr>
      <w:r>
        <w:rPr>
          <w:rStyle w:val="FootnoteReference"/>
        </w:rPr>
        <w:footnoteRef/>
      </w:r>
      <w:r w:rsidRPr="00A650DD">
        <w:rPr>
          <w:lang w:val="en-US"/>
        </w:rPr>
        <w:t xml:space="preserve"> </w:t>
      </w:r>
      <w:r w:rsidR="00214B13">
        <w:rPr>
          <w:lang w:val="en-US"/>
        </w:rPr>
        <w:t>For example, e</w:t>
      </w:r>
      <w:r>
        <w:rPr>
          <w:lang w:val="en-US"/>
        </w:rPr>
        <w:t>ffect of</w:t>
      </w:r>
      <w:r w:rsidR="00214B13">
        <w:rPr>
          <w:lang w:val="en-US"/>
        </w:rPr>
        <w:t xml:space="preserve"> possible revaluation of derivatives portfolio</w:t>
      </w:r>
      <w:r w:rsidR="00EB56A7">
        <w:rPr>
          <w:lang w:val="en-US"/>
        </w:rPr>
        <w:t xml:space="preserve"> if transfer from LIBOR to the risk-free rates, based on overnight rates occur,</w:t>
      </w:r>
      <w:r w:rsidR="00214B13">
        <w:rPr>
          <w:lang w:val="en-US"/>
        </w:rPr>
        <w:t xml:space="preserve"> i</w:t>
      </w:r>
      <w:r>
        <w:rPr>
          <w:lang w:val="en-US"/>
        </w:rPr>
        <w:t>s addressed by BlackRock and KPMG:</w:t>
      </w:r>
    </w:p>
    <w:p w14:paraId="202C545E" w14:textId="43038A55" w:rsidR="00A650DD" w:rsidRDefault="00A650DD" w:rsidP="00214B13">
      <w:pPr>
        <w:pStyle w:val="FootnoteText"/>
        <w:jc w:val="left"/>
        <w:rPr>
          <w:lang w:val="en-US"/>
        </w:rPr>
      </w:pPr>
      <w:r>
        <w:rPr>
          <w:lang w:val="en-US"/>
        </w:rPr>
        <w:t xml:space="preserve">Blackrock. </w:t>
      </w:r>
      <w:r w:rsidRPr="00A650DD">
        <w:rPr>
          <w:lang w:val="en-US"/>
        </w:rPr>
        <w:t>BlackRock’s Guide to</w:t>
      </w:r>
      <w:r>
        <w:rPr>
          <w:lang w:val="en-US"/>
        </w:rPr>
        <w:t xml:space="preserve"> </w:t>
      </w:r>
      <w:r w:rsidRPr="00A650DD">
        <w:rPr>
          <w:lang w:val="en-US"/>
        </w:rPr>
        <w:t>LIBOR Transition</w:t>
      </w:r>
      <w:r>
        <w:rPr>
          <w:lang w:val="en-US"/>
        </w:rPr>
        <w:t xml:space="preserve">. April, 2020. </w:t>
      </w:r>
      <w:hyperlink r:id="rId7" w:history="1">
        <w:r w:rsidRPr="00583874">
          <w:rPr>
            <w:rStyle w:val="Hyperlink"/>
            <w:lang w:val="en-US"/>
          </w:rPr>
          <w:t>https://www.blackrock.com/corporate/literature/whitepaper/viewpoint-blk-guide-libor-transition-april-2020.pdf</w:t>
        </w:r>
      </w:hyperlink>
      <w:r>
        <w:rPr>
          <w:lang w:val="en-US"/>
        </w:rPr>
        <w:t xml:space="preserve"> </w:t>
      </w:r>
    </w:p>
    <w:p w14:paraId="79DEC3BB" w14:textId="51CD06A1" w:rsidR="00214B13" w:rsidRPr="00A650DD" w:rsidRDefault="00214B13" w:rsidP="00214B13">
      <w:pPr>
        <w:pStyle w:val="FootnoteText"/>
        <w:jc w:val="left"/>
        <w:rPr>
          <w:lang w:val="en-US"/>
        </w:rPr>
      </w:pPr>
      <w:r>
        <w:rPr>
          <w:lang w:val="en-US"/>
        </w:rPr>
        <w:t xml:space="preserve">KPMG. Moving to new risk-free rates. January, 2019. </w:t>
      </w:r>
      <w:hyperlink r:id="rId8" w:history="1">
        <w:r w:rsidRPr="00583874">
          <w:rPr>
            <w:rStyle w:val="Hyperlink"/>
            <w:lang w:val="en-US"/>
          </w:rPr>
          <w:t>https://assets.kpmg/content/dam/kpmg/xx/pdf/2019/01/evolving-libor-risk-free-rates.pdf</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496723"/>
      <w:docPartObj>
        <w:docPartGallery w:val="Page Numbers (Top of Page)"/>
        <w:docPartUnique/>
      </w:docPartObj>
    </w:sdtPr>
    <w:sdtEndPr>
      <w:rPr>
        <w:noProof/>
        <w:color w:val="000000" w:themeColor="text1"/>
      </w:rPr>
    </w:sdtEndPr>
    <w:sdtContent>
      <w:p w14:paraId="0685D902" w14:textId="33DAC069" w:rsidR="00932104" w:rsidRPr="008611AD" w:rsidRDefault="00932104">
        <w:pPr>
          <w:pStyle w:val="Header"/>
          <w:jc w:val="right"/>
          <w:rPr>
            <w:color w:val="000000" w:themeColor="text1"/>
          </w:rPr>
        </w:pPr>
        <w:r w:rsidRPr="008611AD">
          <w:rPr>
            <w:rFonts w:cs="Times New Roman"/>
            <w:color w:val="000000" w:themeColor="text1"/>
          </w:rPr>
          <w:fldChar w:fldCharType="begin"/>
        </w:r>
        <w:r w:rsidRPr="008611AD">
          <w:rPr>
            <w:rFonts w:cs="Times New Roman"/>
            <w:color w:val="000000" w:themeColor="text1"/>
          </w:rPr>
          <w:instrText xml:space="preserve"> PAGE   \* MERGEFORMAT </w:instrText>
        </w:r>
        <w:r w:rsidRPr="008611AD">
          <w:rPr>
            <w:rFonts w:cs="Times New Roman"/>
            <w:color w:val="000000" w:themeColor="text1"/>
          </w:rPr>
          <w:fldChar w:fldCharType="separate"/>
        </w:r>
        <w:r w:rsidRPr="008611AD">
          <w:rPr>
            <w:rFonts w:cs="Times New Roman"/>
            <w:noProof/>
            <w:color w:val="000000" w:themeColor="text1"/>
          </w:rPr>
          <w:t>2</w:t>
        </w:r>
        <w:r w:rsidRPr="008611AD">
          <w:rPr>
            <w:rFonts w:cs="Times New Roman"/>
            <w:noProof/>
            <w:color w:val="000000" w:themeColor="text1"/>
          </w:rPr>
          <w:fldChar w:fldCharType="end"/>
        </w:r>
      </w:p>
    </w:sdtContent>
  </w:sdt>
  <w:p w14:paraId="59B7B7B4" w14:textId="77777777" w:rsidR="00932104" w:rsidRDefault="00932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5139"/>
    <w:multiLevelType w:val="hybridMultilevel"/>
    <w:tmpl w:val="66402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95614E"/>
    <w:multiLevelType w:val="hybridMultilevel"/>
    <w:tmpl w:val="5792D50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DC2371"/>
    <w:multiLevelType w:val="hybridMultilevel"/>
    <w:tmpl w:val="A738B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582298"/>
    <w:multiLevelType w:val="hybridMultilevel"/>
    <w:tmpl w:val="D472B4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434C5C"/>
    <w:multiLevelType w:val="hybridMultilevel"/>
    <w:tmpl w:val="40847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36071C"/>
    <w:multiLevelType w:val="hybridMultilevel"/>
    <w:tmpl w:val="E1AAE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896429"/>
    <w:multiLevelType w:val="hybridMultilevel"/>
    <w:tmpl w:val="782A6A72"/>
    <w:lvl w:ilvl="0" w:tplc="04190011">
      <w:start w:val="1"/>
      <w:numFmt w:val="decimal"/>
      <w:lvlText w:val="%1)"/>
      <w:lvlJc w:val="left"/>
      <w:pPr>
        <w:ind w:left="780" w:hanging="360"/>
      </w:pPr>
      <w:rPr>
        <w:rFont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0DEC4C1C"/>
    <w:multiLevelType w:val="hybridMultilevel"/>
    <w:tmpl w:val="166A57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ECA7F78"/>
    <w:multiLevelType w:val="hybridMultilevel"/>
    <w:tmpl w:val="C8DE6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E34E15"/>
    <w:multiLevelType w:val="hybridMultilevel"/>
    <w:tmpl w:val="8E0E52A8"/>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6E38E43A">
      <w:numFmt w:val="bullet"/>
      <w:lvlText w:val="-"/>
      <w:lvlJc w:val="left"/>
      <w:pPr>
        <w:ind w:left="2940" w:hanging="360"/>
      </w:pPr>
      <w:rPr>
        <w:rFonts w:ascii="Times New Roman" w:eastAsiaTheme="minorHAnsi" w:hAnsi="Times New Roman" w:cs="Times New Roman"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13345410"/>
    <w:multiLevelType w:val="multilevel"/>
    <w:tmpl w:val="9EB292DA"/>
    <w:lvl w:ilvl="0">
      <w:start w:val="1"/>
      <w:numFmt w:val="decimal"/>
      <w:lvlText w:val="%1."/>
      <w:lvlJc w:val="left"/>
      <w:pPr>
        <w:ind w:left="720" w:hanging="360"/>
      </w:pPr>
    </w:lvl>
    <w:lvl w:ilvl="1">
      <w:start w:val="3"/>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1" w15:restartNumberingAfterBreak="0">
    <w:nsid w:val="14745C5F"/>
    <w:multiLevelType w:val="hybridMultilevel"/>
    <w:tmpl w:val="08B08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794133"/>
    <w:multiLevelType w:val="hybridMultilevel"/>
    <w:tmpl w:val="F0324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A8575D"/>
    <w:multiLevelType w:val="hybridMultilevel"/>
    <w:tmpl w:val="812296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10C6895"/>
    <w:multiLevelType w:val="hybridMultilevel"/>
    <w:tmpl w:val="EEE2D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535A22"/>
    <w:multiLevelType w:val="hybridMultilevel"/>
    <w:tmpl w:val="11E60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0676A2"/>
    <w:multiLevelType w:val="hybridMultilevel"/>
    <w:tmpl w:val="0F4895D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62C6A5E"/>
    <w:multiLevelType w:val="hybridMultilevel"/>
    <w:tmpl w:val="D92602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64523A1"/>
    <w:multiLevelType w:val="hybridMultilevel"/>
    <w:tmpl w:val="435E030A"/>
    <w:lvl w:ilvl="0" w:tplc="04190001">
      <w:start w:val="1"/>
      <w:numFmt w:val="bullet"/>
      <w:lvlText w:val=""/>
      <w:lvlJc w:val="left"/>
      <w:pPr>
        <w:ind w:left="780" w:hanging="360"/>
      </w:pPr>
      <w:rPr>
        <w:rFonts w:ascii="Symbol" w:hAnsi="Symbol" w:hint="default"/>
      </w:rPr>
    </w:lvl>
    <w:lvl w:ilvl="1" w:tplc="04190001">
      <w:start w:val="1"/>
      <w:numFmt w:val="bullet"/>
      <w:lvlText w:val=""/>
      <w:lvlJc w:val="left"/>
      <w:pPr>
        <w:ind w:left="1500" w:hanging="360"/>
      </w:pPr>
      <w:rPr>
        <w:rFonts w:ascii="Symbol" w:hAnsi="Symbol" w:hint="default"/>
      </w:rPr>
    </w:lvl>
    <w:lvl w:ilvl="2" w:tplc="04190005">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15:restartNumberingAfterBreak="0">
    <w:nsid w:val="395C3B44"/>
    <w:multiLevelType w:val="hybridMultilevel"/>
    <w:tmpl w:val="E306E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0C5B73"/>
    <w:multiLevelType w:val="hybridMultilevel"/>
    <w:tmpl w:val="3496C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112551"/>
    <w:multiLevelType w:val="hybridMultilevel"/>
    <w:tmpl w:val="15084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1862F9"/>
    <w:multiLevelType w:val="hybridMultilevel"/>
    <w:tmpl w:val="6170635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3" w15:restartNumberingAfterBreak="0">
    <w:nsid w:val="4A7A7BBA"/>
    <w:multiLevelType w:val="hybridMultilevel"/>
    <w:tmpl w:val="D9ECED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CEA7243"/>
    <w:multiLevelType w:val="hybridMultilevel"/>
    <w:tmpl w:val="20E8DCA4"/>
    <w:lvl w:ilvl="0" w:tplc="29C83708">
      <w:start w:val="1"/>
      <w:numFmt w:val="bullet"/>
      <w:pStyle w:val="-"/>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15:restartNumberingAfterBreak="0">
    <w:nsid w:val="4F9C56AF"/>
    <w:multiLevelType w:val="hybridMultilevel"/>
    <w:tmpl w:val="49CECE86"/>
    <w:lvl w:ilvl="0" w:tplc="04190001">
      <w:start w:val="1"/>
      <w:numFmt w:val="bullet"/>
      <w:lvlText w:val=""/>
      <w:lvlJc w:val="left"/>
      <w:pPr>
        <w:ind w:left="780" w:hanging="360"/>
      </w:pPr>
      <w:rPr>
        <w:rFonts w:ascii="Symbol" w:hAnsi="Symbol" w:hint="default"/>
      </w:rPr>
    </w:lvl>
    <w:lvl w:ilvl="1" w:tplc="04190001">
      <w:start w:val="1"/>
      <w:numFmt w:val="bullet"/>
      <w:lvlText w:val=""/>
      <w:lvlJc w:val="left"/>
      <w:pPr>
        <w:ind w:left="1500" w:hanging="360"/>
      </w:pPr>
      <w:rPr>
        <w:rFonts w:ascii="Symbol" w:hAnsi="Symbol" w:hint="default"/>
      </w:rPr>
    </w:lvl>
    <w:lvl w:ilvl="2" w:tplc="A0B4AA72">
      <w:start w:val="1"/>
      <w:numFmt w:val="bullet"/>
      <w:pStyle w:val="2"/>
      <w:lvlText w:val="o"/>
      <w:lvlJc w:val="left"/>
      <w:pPr>
        <w:ind w:left="2220" w:hanging="360"/>
      </w:pPr>
      <w:rPr>
        <w:rFonts w:ascii="Courier New" w:hAnsi="Courier New" w:cs="Courier New"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15:restartNumberingAfterBreak="0">
    <w:nsid w:val="61233674"/>
    <w:multiLevelType w:val="hybridMultilevel"/>
    <w:tmpl w:val="73D05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583163F"/>
    <w:multiLevelType w:val="hybridMultilevel"/>
    <w:tmpl w:val="2EFA9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C91B84"/>
    <w:multiLevelType w:val="hybridMultilevel"/>
    <w:tmpl w:val="7AA80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D5641A"/>
    <w:multiLevelType w:val="hybridMultilevel"/>
    <w:tmpl w:val="720A63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FDC71AF"/>
    <w:multiLevelType w:val="hybridMultilevel"/>
    <w:tmpl w:val="36D88E80"/>
    <w:lvl w:ilvl="0" w:tplc="04190001">
      <w:start w:val="1"/>
      <w:numFmt w:val="bullet"/>
      <w:lvlText w:val=""/>
      <w:lvlJc w:val="left"/>
      <w:pPr>
        <w:ind w:left="1702" w:hanging="360"/>
      </w:pPr>
      <w:rPr>
        <w:rFonts w:ascii="Symbol" w:hAnsi="Symbol" w:hint="default"/>
      </w:rPr>
    </w:lvl>
    <w:lvl w:ilvl="1" w:tplc="04190003" w:tentative="1">
      <w:start w:val="1"/>
      <w:numFmt w:val="bullet"/>
      <w:lvlText w:val="o"/>
      <w:lvlJc w:val="left"/>
      <w:pPr>
        <w:ind w:left="2422" w:hanging="360"/>
      </w:pPr>
      <w:rPr>
        <w:rFonts w:ascii="Courier New" w:hAnsi="Courier New" w:cs="Courier New" w:hint="default"/>
      </w:rPr>
    </w:lvl>
    <w:lvl w:ilvl="2" w:tplc="04190005" w:tentative="1">
      <w:start w:val="1"/>
      <w:numFmt w:val="bullet"/>
      <w:lvlText w:val=""/>
      <w:lvlJc w:val="left"/>
      <w:pPr>
        <w:ind w:left="3142" w:hanging="360"/>
      </w:pPr>
      <w:rPr>
        <w:rFonts w:ascii="Wingdings" w:hAnsi="Wingdings" w:hint="default"/>
      </w:rPr>
    </w:lvl>
    <w:lvl w:ilvl="3" w:tplc="04190001" w:tentative="1">
      <w:start w:val="1"/>
      <w:numFmt w:val="bullet"/>
      <w:lvlText w:val=""/>
      <w:lvlJc w:val="left"/>
      <w:pPr>
        <w:ind w:left="3862" w:hanging="360"/>
      </w:pPr>
      <w:rPr>
        <w:rFonts w:ascii="Symbol" w:hAnsi="Symbol" w:hint="default"/>
      </w:rPr>
    </w:lvl>
    <w:lvl w:ilvl="4" w:tplc="04190003" w:tentative="1">
      <w:start w:val="1"/>
      <w:numFmt w:val="bullet"/>
      <w:lvlText w:val="o"/>
      <w:lvlJc w:val="left"/>
      <w:pPr>
        <w:ind w:left="4582" w:hanging="360"/>
      </w:pPr>
      <w:rPr>
        <w:rFonts w:ascii="Courier New" w:hAnsi="Courier New" w:cs="Courier New" w:hint="default"/>
      </w:rPr>
    </w:lvl>
    <w:lvl w:ilvl="5" w:tplc="04190005" w:tentative="1">
      <w:start w:val="1"/>
      <w:numFmt w:val="bullet"/>
      <w:lvlText w:val=""/>
      <w:lvlJc w:val="left"/>
      <w:pPr>
        <w:ind w:left="5302" w:hanging="360"/>
      </w:pPr>
      <w:rPr>
        <w:rFonts w:ascii="Wingdings" w:hAnsi="Wingdings" w:hint="default"/>
      </w:rPr>
    </w:lvl>
    <w:lvl w:ilvl="6" w:tplc="04190001" w:tentative="1">
      <w:start w:val="1"/>
      <w:numFmt w:val="bullet"/>
      <w:lvlText w:val=""/>
      <w:lvlJc w:val="left"/>
      <w:pPr>
        <w:ind w:left="6022" w:hanging="360"/>
      </w:pPr>
      <w:rPr>
        <w:rFonts w:ascii="Symbol" w:hAnsi="Symbol" w:hint="default"/>
      </w:rPr>
    </w:lvl>
    <w:lvl w:ilvl="7" w:tplc="04190003" w:tentative="1">
      <w:start w:val="1"/>
      <w:numFmt w:val="bullet"/>
      <w:lvlText w:val="o"/>
      <w:lvlJc w:val="left"/>
      <w:pPr>
        <w:ind w:left="6742" w:hanging="360"/>
      </w:pPr>
      <w:rPr>
        <w:rFonts w:ascii="Courier New" w:hAnsi="Courier New" w:cs="Courier New" w:hint="default"/>
      </w:rPr>
    </w:lvl>
    <w:lvl w:ilvl="8" w:tplc="04190005" w:tentative="1">
      <w:start w:val="1"/>
      <w:numFmt w:val="bullet"/>
      <w:lvlText w:val=""/>
      <w:lvlJc w:val="left"/>
      <w:pPr>
        <w:ind w:left="7462" w:hanging="360"/>
      </w:pPr>
      <w:rPr>
        <w:rFonts w:ascii="Wingdings" w:hAnsi="Wingdings" w:hint="default"/>
      </w:rPr>
    </w:lvl>
  </w:abstractNum>
  <w:num w:numId="1">
    <w:abstractNumId w:val="9"/>
  </w:num>
  <w:num w:numId="2">
    <w:abstractNumId w:val="18"/>
  </w:num>
  <w:num w:numId="3">
    <w:abstractNumId w:val="25"/>
  </w:num>
  <w:num w:numId="4">
    <w:abstractNumId w:val="0"/>
  </w:num>
  <w:num w:numId="5">
    <w:abstractNumId w:val="17"/>
  </w:num>
  <w:num w:numId="6">
    <w:abstractNumId w:val="1"/>
  </w:num>
  <w:num w:numId="7">
    <w:abstractNumId w:val="8"/>
  </w:num>
  <w:num w:numId="8">
    <w:abstractNumId w:val="20"/>
  </w:num>
  <w:num w:numId="9">
    <w:abstractNumId w:val="24"/>
  </w:num>
  <w:num w:numId="10">
    <w:abstractNumId w:val="2"/>
  </w:num>
  <w:num w:numId="11">
    <w:abstractNumId w:val="16"/>
  </w:num>
  <w:num w:numId="12">
    <w:abstractNumId w:val="11"/>
  </w:num>
  <w:num w:numId="13">
    <w:abstractNumId w:val="3"/>
  </w:num>
  <w:num w:numId="14">
    <w:abstractNumId w:val="7"/>
  </w:num>
  <w:num w:numId="15">
    <w:abstractNumId w:val="21"/>
  </w:num>
  <w:num w:numId="16">
    <w:abstractNumId w:val="28"/>
  </w:num>
  <w:num w:numId="17">
    <w:abstractNumId w:val="29"/>
  </w:num>
  <w:num w:numId="18">
    <w:abstractNumId w:val="14"/>
  </w:num>
  <w:num w:numId="19">
    <w:abstractNumId w:val="4"/>
  </w:num>
  <w:num w:numId="20">
    <w:abstractNumId w:val="12"/>
  </w:num>
  <w:num w:numId="21">
    <w:abstractNumId w:val="15"/>
  </w:num>
  <w:num w:numId="22">
    <w:abstractNumId w:val="19"/>
  </w:num>
  <w:num w:numId="23">
    <w:abstractNumId w:val="25"/>
  </w:num>
  <w:num w:numId="24">
    <w:abstractNumId w:val="30"/>
  </w:num>
  <w:num w:numId="25">
    <w:abstractNumId w:val="10"/>
  </w:num>
  <w:num w:numId="26">
    <w:abstractNumId w:val="27"/>
  </w:num>
  <w:num w:numId="27">
    <w:abstractNumId w:val="24"/>
  </w:num>
  <w:num w:numId="28">
    <w:abstractNumId w:val="24"/>
  </w:num>
  <w:num w:numId="29">
    <w:abstractNumId w:val="24"/>
  </w:num>
  <w:num w:numId="30">
    <w:abstractNumId w:val="24"/>
  </w:num>
  <w:num w:numId="31">
    <w:abstractNumId w:val="24"/>
  </w:num>
  <w:num w:numId="32">
    <w:abstractNumId w:val="24"/>
  </w:num>
  <w:num w:numId="33">
    <w:abstractNumId w:val="13"/>
  </w:num>
  <w:num w:numId="34">
    <w:abstractNumId w:val="6"/>
  </w:num>
  <w:num w:numId="35">
    <w:abstractNumId w:val="26"/>
  </w:num>
  <w:num w:numId="36">
    <w:abstractNumId w:val="5"/>
  </w:num>
  <w:num w:numId="37">
    <w:abstractNumId w:val="23"/>
  </w:num>
  <w:num w:numId="38">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3E1"/>
    <w:rsid w:val="00000E12"/>
    <w:rsid w:val="000011A9"/>
    <w:rsid w:val="00002889"/>
    <w:rsid w:val="000047EE"/>
    <w:rsid w:val="00011691"/>
    <w:rsid w:val="00016636"/>
    <w:rsid w:val="00016EAF"/>
    <w:rsid w:val="000247E1"/>
    <w:rsid w:val="00030A24"/>
    <w:rsid w:val="00032AC7"/>
    <w:rsid w:val="000334AB"/>
    <w:rsid w:val="00035965"/>
    <w:rsid w:val="00035B59"/>
    <w:rsid w:val="000368E8"/>
    <w:rsid w:val="00036C32"/>
    <w:rsid w:val="00036CCD"/>
    <w:rsid w:val="0003762E"/>
    <w:rsid w:val="00042311"/>
    <w:rsid w:val="00044E66"/>
    <w:rsid w:val="00045117"/>
    <w:rsid w:val="00050B6E"/>
    <w:rsid w:val="00056160"/>
    <w:rsid w:val="00056177"/>
    <w:rsid w:val="0005631C"/>
    <w:rsid w:val="0005699F"/>
    <w:rsid w:val="00057186"/>
    <w:rsid w:val="00060AA7"/>
    <w:rsid w:val="00063BB7"/>
    <w:rsid w:val="00066D94"/>
    <w:rsid w:val="00066DEB"/>
    <w:rsid w:val="00070E61"/>
    <w:rsid w:val="00071CFE"/>
    <w:rsid w:val="00073432"/>
    <w:rsid w:val="00073E78"/>
    <w:rsid w:val="000823AB"/>
    <w:rsid w:val="00086261"/>
    <w:rsid w:val="00091D4B"/>
    <w:rsid w:val="00094E1C"/>
    <w:rsid w:val="000A060E"/>
    <w:rsid w:val="000A0BFD"/>
    <w:rsid w:val="000A1444"/>
    <w:rsid w:val="000A272E"/>
    <w:rsid w:val="000A3195"/>
    <w:rsid w:val="000A31A7"/>
    <w:rsid w:val="000A487C"/>
    <w:rsid w:val="000A6A23"/>
    <w:rsid w:val="000B0767"/>
    <w:rsid w:val="000B21F4"/>
    <w:rsid w:val="000B497D"/>
    <w:rsid w:val="000B56B2"/>
    <w:rsid w:val="000B5F0C"/>
    <w:rsid w:val="000B6540"/>
    <w:rsid w:val="000B6D7E"/>
    <w:rsid w:val="000B713C"/>
    <w:rsid w:val="000C0A8C"/>
    <w:rsid w:val="000C308D"/>
    <w:rsid w:val="000C43E1"/>
    <w:rsid w:val="000D07FB"/>
    <w:rsid w:val="000D1F6A"/>
    <w:rsid w:val="000D38DA"/>
    <w:rsid w:val="000D3DA6"/>
    <w:rsid w:val="000D5256"/>
    <w:rsid w:val="000D5A0A"/>
    <w:rsid w:val="000D77F1"/>
    <w:rsid w:val="000E43C8"/>
    <w:rsid w:val="000E61EC"/>
    <w:rsid w:val="000F6166"/>
    <w:rsid w:val="000F6811"/>
    <w:rsid w:val="000F765E"/>
    <w:rsid w:val="00100AC3"/>
    <w:rsid w:val="00105031"/>
    <w:rsid w:val="00107130"/>
    <w:rsid w:val="00117CDF"/>
    <w:rsid w:val="00121F15"/>
    <w:rsid w:val="00121FC4"/>
    <w:rsid w:val="001221D4"/>
    <w:rsid w:val="00122DE3"/>
    <w:rsid w:val="0012540F"/>
    <w:rsid w:val="00126244"/>
    <w:rsid w:val="001336CE"/>
    <w:rsid w:val="00133EE1"/>
    <w:rsid w:val="00136728"/>
    <w:rsid w:val="0013741F"/>
    <w:rsid w:val="0014022D"/>
    <w:rsid w:val="00142523"/>
    <w:rsid w:val="00142852"/>
    <w:rsid w:val="00144716"/>
    <w:rsid w:val="001535AE"/>
    <w:rsid w:val="001535BD"/>
    <w:rsid w:val="001564C4"/>
    <w:rsid w:val="0016221B"/>
    <w:rsid w:val="00162DD3"/>
    <w:rsid w:val="00171FE1"/>
    <w:rsid w:val="001722BF"/>
    <w:rsid w:val="0017278B"/>
    <w:rsid w:val="00174D72"/>
    <w:rsid w:val="001767D5"/>
    <w:rsid w:val="00177E3D"/>
    <w:rsid w:val="001816EA"/>
    <w:rsid w:val="00182AA8"/>
    <w:rsid w:val="00183257"/>
    <w:rsid w:val="00187C3E"/>
    <w:rsid w:val="00190EB4"/>
    <w:rsid w:val="00191448"/>
    <w:rsid w:val="00194C92"/>
    <w:rsid w:val="001A533D"/>
    <w:rsid w:val="001A662F"/>
    <w:rsid w:val="001B0526"/>
    <w:rsid w:val="001B2726"/>
    <w:rsid w:val="001B4EC6"/>
    <w:rsid w:val="001B688A"/>
    <w:rsid w:val="001B6E0A"/>
    <w:rsid w:val="001C2D7B"/>
    <w:rsid w:val="001C34D1"/>
    <w:rsid w:val="001C4B86"/>
    <w:rsid w:val="001C6345"/>
    <w:rsid w:val="001C7F66"/>
    <w:rsid w:val="001D059A"/>
    <w:rsid w:val="001D1853"/>
    <w:rsid w:val="001D1B97"/>
    <w:rsid w:val="001D20E6"/>
    <w:rsid w:val="001D3316"/>
    <w:rsid w:val="001D342A"/>
    <w:rsid w:val="001D46FA"/>
    <w:rsid w:val="001D7651"/>
    <w:rsid w:val="001E3D99"/>
    <w:rsid w:val="001E53DD"/>
    <w:rsid w:val="001E5502"/>
    <w:rsid w:val="001E7D59"/>
    <w:rsid w:val="001E7D80"/>
    <w:rsid w:val="001F382F"/>
    <w:rsid w:val="001F3A03"/>
    <w:rsid w:val="001F5F78"/>
    <w:rsid w:val="001F6C71"/>
    <w:rsid w:val="001F71AC"/>
    <w:rsid w:val="001F7EBE"/>
    <w:rsid w:val="0020303E"/>
    <w:rsid w:val="002032AD"/>
    <w:rsid w:val="00203B79"/>
    <w:rsid w:val="0020426D"/>
    <w:rsid w:val="002056A3"/>
    <w:rsid w:val="002068D6"/>
    <w:rsid w:val="002138A7"/>
    <w:rsid w:val="00214B13"/>
    <w:rsid w:val="00220A09"/>
    <w:rsid w:val="00223375"/>
    <w:rsid w:val="00223861"/>
    <w:rsid w:val="00223E7B"/>
    <w:rsid w:val="00224206"/>
    <w:rsid w:val="00225A5C"/>
    <w:rsid w:val="00231664"/>
    <w:rsid w:val="00244299"/>
    <w:rsid w:val="00247903"/>
    <w:rsid w:val="00261BFC"/>
    <w:rsid w:val="002647A9"/>
    <w:rsid w:val="00265849"/>
    <w:rsid w:val="00266703"/>
    <w:rsid w:val="00267523"/>
    <w:rsid w:val="0027709C"/>
    <w:rsid w:val="002806B3"/>
    <w:rsid w:val="00285EC5"/>
    <w:rsid w:val="002875DA"/>
    <w:rsid w:val="002901DC"/>
    <w:rsid w:val="00293CAC"/>
    <w:rsid w:val="00296AB6"/>
    <w:rsid w:val="00296D1A"/>
    <w:rsid w:val="0029760E"/>
    <w:rsid w:val="002A01FF"/>
    <w:rsid w:val="002A2369"/>
    <w:rsid w:val="002A24DC"/>
    <w:rsid w:val="002A3006"/>
    <w:rsid w:val="002A351E"/>
    <w:rsid w:val="002A45BA"/>
    <w:rsid w:val="002B0CCE"/>
    <w:rsid w:val="002B4795"/>
    <w:rsid w:val="002B4E0B"/>
    <w:rsid w:val="002B70F9"/>
    <w:rsid w:val="002B73E6"/>
    <w:rsid w:val="002B7DFE"/>
    <w:rsid w:val="002C3D82"/>
    <w:rsid w:val="002D1B4D"/>
    <w:rsid w:val="002D33AB"/>
    <w:rsid w:val="002D3FD0"/>
    <w:rsid w:val="002D4A07"/>
    <w:rsid w:val="002D4BB3"/>
    <w:rsid w:val="002E18BA"/>
    <w:rsid w:val="002E4223"/>
    <w:rsid w:val="002E662A"/>
    <w:rsid w:val="002E7255"/>
    <w:rsid w:val="002E7BAC"/>
    <w:rsid w:val="002F429A"/>
    <w:rsid w:val="002F6459"/>
    <w:rsid w:val="002F7243"/>
    <w:rsid w:val="00302310"/>
    <w:rsid w:val="0030496F"/>
    <w:rsid w:val="0030538B"/>
    <w:rsid w:val="00310E5E"/>
    <w:rsid w:val="00313487"/>
    <w:rsid w:val="00313C94"/>
    <w:rsid w:val="00313DDC"/>
    <w:rsid w:val="003150B1"/>
    <w:rsid w:val="003167CB"/>
    <w:rsid w:val="00322ABD"/>
    <w:rsid w:val="0033119C"/>
    <w:rsid w:val="00333728"/>
    <w:rsid w:val="00334CA5"/>
    <w:rsid w:val="00336083"/>
    <w:rsid w:val="0033733C"/>
    <w:rsid w:val="0033787F"/>
    <w:rsid w:val="00340745"/>
    <w:rsid w:val="003407F2"/>
    <w:rsid w:val="00342EC0"/>
    <w:rsid w:val="003458DC"/>
    <w:rsid w:val="0034601B"/>
    <w:rsid w:val="0035259D"/>
    <w:rsid w:val="00355B32"/>
    <w:rsid w:val="00357755"/>
    <w:rsid w:val="00360997"/>
    <w:rsid w:val="00363C96"/>
    <w:rsid w:val="00363CA9"/>
    <w:rsid w:val="00365A03"/>
    <w:rsid w:val="003668BF"/>
    <w:rsid w:val="00373209"/>
    <w:rsid w:val="003743D2"/>
    <w:rsid w:val="00375FE3"/>
    <w:rsid w:val="00377807"/>
    <w:rsid w:val="00377886"/>
    <w:rsid w:val="00377AE8"/>
    <w:rsid w:val="00380445"/>
    <w:rsid w:val="00380864"/>
    <w:rsid w:val="003819AD"/>
    <w:rsid w:val="00382670"/>
    <w:rsid w:val="0038647B"/>
    <w:rsid w:val="00393876"/>
    <w:rsid w:val="00394FAA"/>
    <w:rsid w:val="003969B1"/>
    <w:rsid w:val="00397C35"/>
    <w:rsid w:val="003A130D"/>
    <w:rsid w:val="003B01B8"/>
    <w:rsid w:val="003B0B81"/>
    <w:rsid w:val="003B1FF7"/>
    <w:rsid w:val="003B3F72"/>
    <w:rsid w:val="003B6E5F"/>
    <w:rsid w:val="003C1A97"/>
    <w:rsid w:val="003C3301"/>
    <w:rsid w:val="003D2C8A"/>
    <w:rsid w:val="003D325C"/>
    <w:rsid w:val="003D5BA2"/>
    <w:rsid w:val="003D636D"/>
    <w:rsid w:val="003D6C2D"/>
    <w:rsid w:val="003E23DD"/>
    <w:rsid w:val="003E2C8E"/>
    <w:rsid w:val="003E3069"/>
    <w:rsid w:val="003E67F2"/>
    <w:rsid w:val="003E6AFE"/>
    <w:rsid w:val="003E72C4"/>
    <w:rsid w:val="003E7E8F"/>
    <w:rsid w:val="003F161F"/>
    <w:rsid w:val="003F16C0"/>
    <w:rsid w:val="003F1888"/>
    <w:rsid w:val="003F6848"/>
    <w:rsid w:val="003F7388"/>
    <w:rsid w:val="003F7AA1"/>
    <w:rsid w:val="00402073"/>
    <w:rsid w:val="00403149"/>
    <w:rsid w:val="004036AD"/>
    <w:rsid w:val="00403EC8"/>
    <w:rsid w:val="004143BF"/>
    <w:rsid w:val="004202CC"/>
    <w:rsid w:val="004214D6"/>
    <w:rsid w:val="00421805"/>
    <w:rsid w:val="00422F86"/>
    <w:rsid w:val="00427F36"/>
    <w:rsid w:val="004322BB"/>
    <w:rsid w:val="00446E3D"/>
    <w:rsid w:val="00461196"/>
    <w:rsid w:val="00461417"/>
    <w:rsid w:val="00463F96"/>
    <w:rsid w:val="0046577F"/>
    <w:rsid w:val="00466285"/>
    <w:rsid w:val="00467D70"/>
    <w:rsid w:val="00473BA2"/>
    <w:rsid w:val="004761C1"/>
    <w:rsid w:val="00477BBA"/>
    <w:rsid w:val="00482330"/>
    <w:rsid w:val="004835BB"/>
    <w:rsid w:val="00484429"/>
    <w:rsid w:val="0049358A"/>
    <w:rsid w:val="00497F35"/>
    <w:rsid w:val="004A2A62"/>
    <w:rsid w:val="004A409E"/>
    <w:rsid w:val="004A4185"/>
    <w:rsid w:val="004A739C"/>
    <w:rsid w:val="004B25E0"/>
    <w:rsid w:val="004B27FA"/>
    <w:rsid w:val="004B3290"/>
    <w:rsid w:val="004B4CB5"/>
    <w:rsid w:val="004B65EB"/>
    <w:rsid w:val="004B6761"/>
    <w:rsid w:val="004C05F2"/>
    <w:rsid w:val="004C74CB"/>
    <w:rsid w:val="004D0A3A"/>
    <w:rsid w:val="004D0F21"/>
    <w:rsid w:val="004D16C9"/>
    <w:rsid w:val="004D35A6"/>
    <w:rsid w:val="004D3A96"/>
    <w:rsid w:val="004D6BE5"/>
    <w:rsid w:val="004D6C51"/>
    <w:rsid w:val="004E19A3"/>
    <w:rsid w:val="004E2DC3"/>
    <w:rsid w:val="004E6607"/>
    <w:rsid w:val="004F5DD5"/>
    <w:rsid w:val="004F793F"/>
    <w:rsid w:val="00507830"/>
    <w:rsid w:val="00507C89"/>
    <w:rsid w:val="005113E5"/>
    <w:rsid w:val="00513723"/>
    <w:rsid w:val="00514414"/>
    <w:rsid w:val="00515087"/>
    <w:rsid w:val="005178BC"/>
    <w:rsid w:val="005203BE"/>
    <w:rsid w:val="00525C88"/>
    <w:rsid w:val="00530D6F"/>
    <w:rsid w:val="00541373"/>
    <w:rsid w:val="005416C1"/>
    <w:rsid w:val="00541EC2"/>
    <w:rsid w:val="00543BC0"/>
    <w:rsid w:val="00544BEB"/>
    <w:rsid w:val="005458F7"/>
    <w:rsid w:val="005459B3"/>
    <w:rsid w:val="00550FD3"/>
    <w:rsid w:val="00552376"/>
    <w:rsid w:val="00552D71"/>
    <w:rsid w:val="005549BD"/>
    <w:rsid w:val="00560109"/>
    <w:rsid w:val="00560F23"/>
    <w:rsid w:val="00562A5F"/>
    <w:rsid w:val="00566F83"/>
    <w:rsid w:val="00567422"/>
    <w:rsid w:val="0056772B"/>
    <w:rsid w:val="00573427"/>
    <w:rsid w:val="00574023"/>
    <w:rsid w:val="005819F1"/>
    <w:rsid w:val="00582F61"/>
    <w:rsid w:val="0058333C"/>
    <w:rsid w:val="0059104E"/>
    <w:rsid w:val="0059406C"/>
    <w:rsid w:val="00595D27"/>
    <w:rsid w:val="00597E7F"/>
    <w:rsid w:val="005A0896"/>
    <w:rsid w:val="005A22FD"/>
    <w:rsid w:val="005A28B4"/>
    <w:rsid w:val="005A7528"/>
    <w:rsid w:val="005B2789"/>
    <w:rsid w:val="005B393A"/>
    <w:rsid w:val="005B6872"/>
    <w:rsid w:val="005C0EF3"/>
    <w:rsid w:val="005C3890"/>
    <w:rsid w:val="005C6DD3"/>
    <w:rsid w:val="005D1EDB"/>
    <w:rsid w:val="005D1FB2"/>
    <w:rsid w:val="005D3637"/>
    <w:rsid w:val="005E0714"/>
    <w:rsid w:val="005E479C"/>
    <w:rsid w:val="005E673E"/>
    <w:rsid w:val="005E68B9"/>
    <w:rsid w:val="005E6B92"/>
    <w:rsid w:val="005E6D2A"/>
    <w:rsid w:val="005F238A"/>
    <w:rsid w:val="005F41B8"/>
    <w:rsid w:val="005F6F96"/>
    <w:rsid w:val="005F7E45"/>
    <w:rsid w:val="00602173"/>
    <w:rsid w:val="00602860"/>
    <w:rsid w:val="0060316D"/>
    <w:rsid w:val="0060323D"/>
    <w:rsid w:val="00605BBF"/>
    <w:rsid w:val="0061063D"/>
    <w:rsid w:val="006114F6"/>
    <w:rsid w:val="006129C4"/>
    <w:rsid w:val="0061382C"/>
    <w:rsid w:val="00613E8D"/>
    <w:rsid w:val="00614E9F"/>
    <w:rsid w:val="006154C8"/>
    <w:rsid w:val="0062121F"/>
    <w:rsid w:val="00623BFA"/>
    <w:rsid w:val="00625DE5"/>
    <w:rsid w:val="0063224E"/>
    <w:rsid w:val="00632A33"/>
    <w:rsid w:val="006335EB"/>
    <w:rsid w:val="00636A52"/>
    <w:rsid w:val="006372AA"/>
    <w:rsid w:val="00637EA5"/>
    <w:rsid w:val="00641989"/>
    <w:rsid w:val="00642D06"/>
    <w:rsid w:val="00643B95"/>
    <w:rsid w:val="0064594C"/>
    <w:rsid w:val="00645F1F"/>
    <w:rsid w:val="00653677"/>
    <w:rsid w:val="00663747"/>
    <w:rsid w:val="00664AA2"/>
    <w:rsid w:val="00666023"/>
    <w:rsid w:val="006713D0"/>
    <w:rsid w:val="00672B3B"/>
    <w:rsid w:val="00672E3C"/>
    <w:rsid w:val="00673D9A"/>
    <w:rsid w:val="00673E8F"/>
    <w:rsid w:val="00680EBA"/>
    <w:rsid w:val="00681921"/>
    <w:rsid w:val="00683B28"/>
    <w:rsid w:val="0068641B"/>
    <w:rsid w:val="00687BFA"/>
    <w:rsid w:val="00690BDC"/>
    <w:rsid w:val="00690BF5"/>
    <w:rsid w:val="00692219"/>
    <w:rsid w:val="00695A69"/>
    <w:rsid w:val="006966B7"/>
    <w:rsid w:val="00697E77"/>
    <w:rsid w:val="006A2C38"/>
    <w:rsid w:val="006A69DE"/>
    <w:rsid w:val="006B2B75"/>
    <w:rsid w:val="006B317A"/>
    <w:rsid w:val="006B4209"/>
    <w:rsid w:val="006B4E3C"/>
    <w:rsid w:val="006B6861"/>
    <w:rsid w:val="006B74EB"/>
    <w:rsid w:val="006C298C"/>
    <w:rsid w:val="006C6394"/>
    <w:rsid w:val="006D0838"/>
    <w:rsid w:val="006D2296"/>
    <w:rsid w:val="006D45FB"/>
    <w:rsid w:val="006D54CF"/>
    <w:rsid w:val="006D5951"/>
    <w:rsid w:val="006E0D8F"/>
    <w:rsid w:val="006E3DFE"/>
    <w:rsid w:val="006E6C8D"/>
    <w:rsid w:val="006F193C"/>
    <w:rsid w:val="006F21CA"/>
    <w:rsid w:val="006F3032"/>
    <w:rsid w:val="006F6CF5"/>
    <w:rsid w:val="006F72AE"/>
    <w:rsid w:val="0070258D"/>
    <w:rsid w:val="00702C72"/>
    <w:rsid w:val="0070577C"/>
    <w:rsid w:val="0070654F"/>
    <w:rsid w:val="00712B9A"/>
    <w:rsid w:val="007141FF"/>
    <w:rsid w:val="00716810"/>
    <w:rsid w:val="0071753D"/>
    <w:rsid w:val="00721A19"/>
    <w:rsid w:val="00723059"/>
    <w:rsid w:val="007237B1"/>
    <w:rsid w:val="00723912"/>
    <w:rsid w:val="00724768"/>
    <w:rsid w:val="00730263"/>
    <w:rsid w:val="00731D98"/>
    <w:rsid w:val="00734040"/>
    <w:rsid w:val="00735C7A"/>
    <w:rsid w:val="0073705B"/>
    <w:rsid w:val="00744C79"/>
    <w:rsid w:val="00745581"/>
    <w:rsid w:val="007473C7"/>
    <w:rsid w:val="007474AF"/>
    <w:rsid w:val="007504E5"/>
    <w:rsid w:val="00753F0A"/>
    <w:rsid w:val="00754DB8"/>
    <w:rsid w:val="007618CF"/>
    <w:rsid w:val="00761B27"/>
    <w:rsid w:val="0076341A"/>
    <w:rsid w:val="00764815"/>
    <w:rsid w:val="00766788"/>
    <w:rsid w:val="00766A17"/>
    <w:rsid w:val="00767B27"/>
    <w:rsid w:val="00767C13"/>
    <w:rsid w:val="00770FA0"/>
    <w:rsid w:val="00773299"/>
    <w:rsid w:val="00773D25"/>
    <w:rsid w:val="00774ACA"/>
    <w:rsid w:val="007815BC"/>
    <w:rsid w:val="007843C2"/>
    <w:rsid w:val="00787075"/>
    <w:rsid w:val="007870D6"/>
    <w:rsid w:val="0079687E"/>
    <w:rsid w:val="00796E48"/>
    <w:rsid w:val="007A03A1"/>
    <w:rsid w:val="007A1234"/>
    <w:rsid w:val="007A2168"/>
    <w:rsid w:val="007B4188"/>
    <w:rsid w:val="007B4499"/>
    <w:rsid w:val="007C2808"/>
    <w:rsid w:val="007C4CE6"/>
    <w:rsid w:val="007C6531"/>
    <w:rsid w:val="007D0743"/>
    <w:rsid w:val="007D22FB"/>
    <w:rsid w:val="007D2DFE"/>
    <w:rsid w:val="007D4860"/>
    <w:rsid w:val="007D49A2"/>
    <w:rsid w:val="007E0474"/>
    <w:rsid w:val="007E2BF3"/>
    <w:rsid w:val="007E47E6"/>
    <w:rsid w:val="007F0DE1"/>
    <w:rsid w:val="007F2310"/>
    <w:rsid w:val="007F3F4D"/>
    <w:rsid w:val="007F41E5"/>
    <w:rsid w:val="007F4B5B"/>
    <w:rsid w:val="007F63EA"/>
    <w:rsid w:val="008004FB"/>
    <w:rsid w:val="00801F06"/>
    <w:rsid w:val="0080215C"/>
    <w:rsid w:val="0080263A"/>
    <w:rsid w:val="00815A70"/>
    <w:rsid w:val="00815C82"/>
    <w:rsid w:val="008162D1"/>
    <w:rsid w:val="008226B3"/>
    <w:rsid w:val="00823F67"/>
    <w:rsid w:val="008251C0"/>
    <w:rsid w:val="00830BF2"/>
    <w:rsid w:val="00831D01"/>
    <w:rsid w:val="0083322C"/>
    <w:rsid w:val="00833DB3"/>
    <w:rsid w:val="00834949"/>
    <w:rsid w:val="00841E35"/>
    <w:rsid w:val="00843DDB"/>
    <w:rsid w:val="00844F7E"/>
    <w:rsid w:val="00845BBE"/>
    <w:rsid w:val="00846F6B"/>
    <w:rsid w:val="0084723F"/>
    <w:rsid w:val="0084768D"/>
    <w:rsid w:val="00847CDA"/>
    <w:rsid w:val="00856080"/>
    <w:rsid w:val="00856DD9"/>
    <w:rsid w:val="00857ED8"/>
    <w:rsid w:val="008611AD"/>
    <w:rsid w:val="00863171"/>
    <w:rsid w:val="00866E8B"/>
    <w:rsid w:val="0087242F"/>
    <w:rsid w:val="00875A98"/>
    <w:rsid w:val="0088072D"/>
    <w:rsid w:val="00883213"/>
    <w:rsid w:val="00884627"/>
    <w:rsid w:val="008909AA"/>
    <w:rsid w:val="0089290B"/>
    <w:rsid w:val="00893526"/>
    <w:rsid w:val="008941EF"/>
    <w:rsid w:val="008956DC"/>
    <w:rsid w:val="008966FC"/>
    <w:rsid w:val="00897166"/>
    <w:rsid w:val="00897793"/>
    <w:rsid w:val="008A4A03"/>
    <w:rsid w:val="008B092B"/>
    <w:rsid w:val="008B1E40"/>
    <w:rsid w:val="008B3545"/>
    <w:rsid w:val="008B4532"/>
    <w:rsid w:val="008B5057"/>
    <w:rsid w:val="008B6293"/>
    <w:rsid w:val="008C2BE5"/>
    <w:rsid w:val="008C34A6"/>
    <w:rsid w:val="008C387C"/>
    <w:rsid w:val="008C7129"/>
    <w:rsid w:val="008C78FC"/>
    <w:rsid w:val="008D06E5"/>
    <w:rsid w:val="008D1BF2"/>
    <w:rsid w:val="008D1DA9"/>
    <w:rsid w:val="008D2B48"/>
    <w:rsid w:val="008D2C73"/>
    <w:rsid w:val="008D2EC0"/>
    <w:rsid w:val="008D3B93"/>
    <w:rsid w:val="008D49FF"/>
    <w:rsid w:val="008D5DA3"/>
    <w:rsid w:val="008E037F"/>
    <w:rsid w:val="008E2721"/>
    <w:rsid w:val="008E4E51"/>
    <w:rsid w:val="008E65ED"/>
    <w:rsid w:val="008E7238"/>
    <w:rsid w:val="008F1998"/>
    <w:rsid w:val="008F28D9"/>
    <w:rsid w:val="008F39D7"/>
    <w:rsid w:val="008F4DBF"/>
    <w:rsid w:val="008F57A6"/>
    <w:rsid w:val="008F5C7A"/>
    <w:rsid w:val="008F60C6"/>
    <w:rsid w:val="0090015F"/>
    <w:rsid w:val="00901784"/>
    <w:rsid w:val="00901E8E"/>
    <w:rsid w:val="00902249"/>
    <w:rsid w:val="0090384E"/>
    <w:rsid w:val="009068A5"/>
    <w:rsid w:val="00907799"/>
    <w:rsid w:val="00907D96"/>
    <w:rsid w:val="00907EDF"/>
    <w:rsid w:val="00916AFC"/>
    <w:rsid w:val="00916D7B"/>
    <w:rsid w:val="00921DDA"/>
    <w:rsid w:val="00924521"/>
    <w:rsid w:val="00926CD3"/>
    <w:rsid w:val="009274FD"/>
    <w:rsid w:val="00930158"/>
    <w:rsid w:val="009308B9"/>
    <w:rsid w:val="009309AB"/>
    <w:rsid w:val="00932104"/>
    <w:rsid w:val="0094287F"/>
    <w:rsid w:val="00942E2A"/>
    <w:rsid w:val="00942FA0"/>
    <w:rsid w:val="00944378"/>
    <w:rsid w:val="0094458C"/>
    <w:rsid w:val="009513A0"/>
    <w:rsid w:val="00956EEF"/>
    <w:rsid w:val="00956F50"/>
    <w:rsid w:val="00957972"/>
    <w:rsid w:val="0096056A"/>
    <w:rsid w:val="00960EFB"/>
    <w:rsid w:val="00963E1B"/>
    <w:rsid w:val="00967DD7"/>
    <w:rsid w:val="00970949"/>
    <w:rsid w:val="0097337F"/>
    <w:rsid w:val="009739FE"/>
    <w:rsid w:val="00975AB7"/>
    <w:rsid w:val="00982DEA"/>
    <w:rsid w:val="00983B2D"/>
    <w:rsid w:val="00984C70"/>
    <w:rsid w:val="00985237"/>
    <w:rsid w:val="0098549F"/>
    <w:rsid w:val="009857F2"/>
    <w:rsid w:val="00985920"/>
    <w:rsid w:val="009865A9"/>
    <w:rsid w:val="00993CF5"/>
    <w:rsid w:val="00993E27"/>
    <w:rsid w:val="009A213F"/>
    <w:rsid w:val="009B0364"/>
    <w:rsid w:val="009B0E59"/>
    <w:rsid w:val="009B0F29"/>
    <w:rsid w:val="009B1A98"/>
    <w:rsid w:val="009B40A6"/>
    <w:rsid w:val="009B703B"/>
    <w:rsid w:val="009C1F1B"/>
    <w:rsid w:val="009C4081"/>
    <w:rsid w:val="009C546E"/>
    <w:rsid w:val="009D074F"/>
    <w:rsid w:val="009D0F46"/>
    <w:rsid w:val="009D1415"/>
    <w:rsid w:val="009D47E4"/>
    <w:rsid w:val="009D4AC6"/>
    <w:rsid w:val="009D599D"/>
    <w:rsid w:val="009D5CF0"/>
    <w:rsid w:val="009D6A24"/>
    <w:rsid w:val="009E19BB"/>
    <w:rsid w:val="009E5D04"/>
    <w:rsid w:val="009F011A"/>
    <w:rsid w:val="009F23E0"/>
    <w:rsid w:val="009F418D"/>
    <w:rsid w:val="009F7916"/>
    <w:rsid w:val="00A00128"/>
    <w:rsid w:val="00A02A34"/>
    <w:rsid w:val="00A06202"/>
    <w:rsid w:val="00A0757C"/>
    <w:rsid w:val="00A117FA"/>
    <w:rsid w:val="00A131F1"/>
    <w:rsid w:val="00A134EF"/>
    <w:rsid w:val="00A15B50"/>
    <w:rsid w:val="00A2057B"/>
    <w:rsid w:val="00A22F54"/>
    <w:rsid w:val="00A25778"/>
    <w:rsid w:val="00A26521"/>
    <w:rsid w:val="00A27442"/>
    <w:rsid w:val="00A34160"/>
    <w:rsid w:val="00A370EB"/>
    <w:rsid w:val="00A37F8E"/>
    <w:rsid w:val="00A403D7"/>
    <w:rsid w:val="00A40476"/>
    <w:rsid w:val="00A40F48"/>
    <w:rsid w:val="00A46EF4"/>
    <w:rsid w:val="00A513E4"/>
    <w:rsid w:val="00A55AB8"/>
    <w:rsid w:val="00A56FAC"/>
    <w:rsid w:val="00A61F94"/>
    <w:rsid w:val="00A63949"/>
    <w:rsid w:val="00A650DD"/>
    <w:rsid w:val="00A658C4"/>
    <w:rsid w:val="00A71842"/>
    <w:rsid w:val="00A726A7"/>
    <w:rsid w:val="00A7591C"/>
    <w:rsid w:val="00A7701E"/>
    <w:rsid w:val="00A81835"/>
    <w:rsid w:val="00A83D1A"/>
    <w:rsid w:val="00A90C9B"/>
    <w:rsid w:val="00A93C55"/>
    <w:rsid w:val="00A947D1"/>
    <w:rsid w:val="00AA09D6"/>
    <w:rsid w:val="00AA1A47"/>
    <w:rsid w:val="00AA35ED"/>
    <w:rsid w:val="00AA47F5"/>
    <w:rsid w:val="00AA6A40"/>
    <w:rsid w:val="00AC476B"/>
    <w:rsid w:val="00AD08C4"/>
    <w:rsid w:val="00AD1607"/>
    <w:rsid w:val="00AD2A09"/>
    <w:rsid w:val="00AD3EAB"/>
    <w:rsid w:val="00AD536B"/>
    <w:rsid w:val="00AD674B"/>
    <w:rsid w:val="00AE01D7"/>
    <w:rsid w:val="00AE34E9"/>
    <w:rsid w:val="00AE66BE"/>
    <w:rsid w:val="00AE7BE2"/>
    <w:rsid w:val="00AF0FD7"/>
    <w:rsid w:val="00AF6A3F"/>
    <w:rsid w:val="00B007A3"/>
    <w:rsid w:val="00B016C7"/>
    <w:rsid w:val="00B05668"/>
    <w:rsid w:val="00B06E8F"/>
    <w:rsid w:val="00B07735"/>
    <w:rsid w:val="00B07B07"/>
    <w:rsid w:val="00B12378"/>
    <w:rsid w:val="00B14E2F"/>
    <w:rsid w:val="00B2028B"/>
    <w:rsid w:val="00B2091A"/>
    <w:rsid w:val="00B27A79"/>
    <w:rsid w:val="00B30051"/>
    <w:rsid w:val="00B3106F"/>
    <w:rsid w:val="00B31F11"/>
    <w:rsid w:val="00B32F5A"/>
    <w:rsid w:val="00B34B2C"/>
    <w:rsid w:val="00B4003B"/>
    <w:rsid w:val="00B4081F"/>
    <w:rsid w:val="00B42569"/>
    <w:rsid w:val="00B426BD"/>
    <w:rsid w:val="00B505D0"/>
    <w:rsid w:val="00B50BA2"/>
    <w:rsid w:val="00B51696"/>
    <w:rsid w:val="00B52FBF"/>
    <w:rsid w:val="00B53357"/>
    <w:rsid w:val="00B61484"/>
    <w:rsid w:val="00B61F90"/>
    <w:rsid w:val="00B630BE"/>
    <w:rsid w:val="00B64623"/>
    <w:rsid w:val="00B67BB3"/>
    <w:rsid w:val="00B706E6"/>
    <w:rsid w:val="00B73F72"/>
    <w:rsid w:val="00B74674"/>
    <w:rsid w:val="00B7634C"/>
    <w:rsid w:val="00B76FBD"/>
    <w:rsid w:val="00B80C7C"/>
    <w:rsid w:val="00B83EDD"/>
    <w:rsid w:val="00B95C60"/>
    <w:rsid w:val="00BA1CEF"/>
    <w:rsid w:val="00BA1F01"/>
    <w:rsid w:val="00BA2283"/>
    <w:rsid w:val="00BA2BE0"/>
    <w:rsid w:val="00BA61B1"/>
    <w:rsid w:val="00BB6810"/>
    <w:rsid w:val="00BB6AB7"/>
    <w:rsid w:val="00BB6E8E"/>
    <w:rsid w:val="00BB777B"/>
    <w:rsid w:val="00BC4BB5"/>
    <w:rsid w:val="00BC4E75"/>
    <w:rsid w:val="00BC5818"/>
    <w:rsid w:val="00BC715E"/>
    <w:rsid w:val="00BD4220"/>
    <w:rsid w:val="00BD4BB1"/>
    <w:rsid w:val="00BD54D4"/>
    <w:rsid w:val="00BE057D"/>
    <w:rsid w:val="00BE4482"/>
    <w:rsid w:val="00BE5A7F"/>
    <w:rsid w:val="00BE5FC9"/>
    <w:rsid w:val="00BF04FA"/>
    <w:rsid w:val="00BF680A"/>
    <w:rsid w:val="00C039FB"/>
    <w:rsid w:val="00C04629"/>
    <w:rsid w:val="00C1321D"/>
    <w:rsid w:val="00C178CF"/>
    <w:rsid w:val="00C2175D"/>
    <w:rsid w:val="00C2637C"/>
    <w:rsid w:val="00C3099D"/>
    <w:rsid w:val="00C323A8"/>
    <w:rsid w:val="00C35CB3"/>
    <w:rsid w:val="00C406A5"/>
    <w:rsid w:val="00C4230B"/>
    <w:rsid w:val="00C43711"/>
    <w:rsid w:val="00C5233C"/>
    <w:rsid w:val="00C5237C"/>
    <w:rsid w:val="00C556AD"/>
    <w:rsid w:val="00C570C9"/>
    <w:rsid w:val="00C60421"/>
    <w:rsid w:val="00C60E7D"/>
    <w:rsid w:val="00C613F6"/>
    <w:rsid w:val="00C63753"/>
    <w:rsid w:val="00C66CFD"/>
    <w:rsid w:val="00C75AA1"/>
    <w:rsid w:val="00C77747"/>
    <w:rsid w:val="00C813C6"/>
    <w:rsid w:val="00C90DF3"/>
    <w:rsid w:val="00C91559"/>
    <w:rsid w:val="00C916D1"/>
    <w:rsid w:val="00C94303"/>
    <w:rsid w:val="00C97D16"/>
    <w:rsid w:val="00C97DA2"/>
    <w:rsid w:val="00CA05B7"/>
    <w:rsid w:val="00CA515F"/>
    <w:rsid w:val="00CA5992"/>
    <w:rsid w:val="00CB0900"/>
    <w:rsid w:val="00CB1277"/>
    <w:rsid w:val="00CB7DFE"/>
    <w:rsid w:val="00CC1E4C"/>
    <w:rsid w:val="00CC27F6"/>
    <w:rsid w:val="00CC7220"/>
    <w:rsid w:val="00CC753F"/>
    <w:rsid w:val="00CD1700"/>
    <w:rsid w:val="00CD3D58"/>
    <w:rsid w:val="00CD4CFF"/>
    <w:rsid w:val="00CD589C"/>
    <w:rsid w:val="00CE4282"/>
    <w:rsid w:val="00CE5A20"/>
    <w:rsid w:val="00CE6970"/>
    <w:rsid w:val="00CF055C"/>
    <w:rsid w:val="00CF122E"/>
    <w:rsid w:val="00CF310C"/>
    <w:rsid w:val="00CF488A"/>
    <w:rsid w:val="00CF4EEA"/>
    <w:rsid w:val="00CF5DEF"/>
    <w:rsid w:val="00CF742C"/>
    <w:rsid w:val="00D00386"/>
    <w:rsid w:val="00D016C8"/>
    <w:rsid w:val="00D01F34"/>
    <w:rsid w:val="00D02B60"/>
    <w:rsid w:val="00D04B3A"/>
    <w:rsid w:val="00D074A5"/>
    <w:rsid w:val="00D1691B"/>
    <w:rsid w:val="00D17922"/>
    <w:rsid w:val="00D17EA4"/>
    <w:rsid w:val="00D20A8F"/>
    <w:rsid w:val="00D20AA5"/>
    <w:rsid w:val="00D2115D"/>
    <w:rsid w:val="00D21CDC"/>
    <w:rsid w:val="00D2208D"/>
    <w:rsid w:val="00D227F8"/>
    <w:rsid w:val="00D24BE3"/>
    <w:rsid w:val="00D30103"/>
    <w:rsid w:val="00D3291F"/>
    <w:rsid w:val="00D35BCB"/>
    <w:rsid w:val="00D3749B"/>
    <w:rsid w:val="00D3785B"/>
    <w:rsid w:val="00D37EB7"/>
    <w:rsid w:val="00D403E8"/>
    <w:rsid w:val="00D40CB8"/>
    <w:rsid w:val="00D4286B"/>
    <w:rsid w:val="00D479BA"/>
    <w:rsid w:val="00D513FF"/>
    <w:rsid w:val="00D54F2F"/>
    <w:rsid w:val="00D55B9F"/>
    <w:rsid w:val="00D578A5"/>
    <w:rsid w:val="00D62751"/>
    <w:rsid w:val="00D652E5"/>
    <w:rsid w:val="00D65C04"/>
    <w:rsid w:val="00D666D6"/>
    <w:rsid w:val="00D71678"/>
    <w:rsid w:val="00D7180E"/>
    <w:rsid w:val="00D71EB6"/>
    <w:rsid w:val="00D72E37"/>
    <w:rsid w:val="00D74445"/>
    <w:rsid w:val="00D84C33"/>
    <w:rsid w:val="00D93D0D"/>
    <w:rsid w:val="00D9498B"/>
    <w:rsid w:val="00D94F89"/>
    <w:rsid w:val="00D95EB7"/>
    <w:rsid w:val="00D96F93"/>
    <w:rsid w:val="00DA1AD3"/>
    <w:rsid w:val="00DA430F"/>
    <w:rsid w:val="00DA4B44"/>
    <w:rsid w:val="00DB01D4"/>
    <w:rsid w:val="00DB0A7F"/>
    <w:rsid w:val="00DB3491"/>
    <w:rsid w:val="00DB4486"/>
    <w:rsid w:val="00DB7219"/>
    <w:rsid w:val="00DB7AF5"/>
    <w:rsid w:val="00DC0F3F"/>
    <w:rsid w:val="00DC0FCD"/>
    <w:rsid w:val="00DC1C4E"/>
    <w:rsid w:val="00DC2FC9"/>
    <w:rsid w:val="00DC34B6"/>
    <w:rsid w:val="00DC57FF"/>
    <w:rsid w:val="00DC7327"/>
    <w:rsid w:val="00DC761F"/>
    <w:rsid w:val="00DD1A54"/>
    <w:rsid w:val="00DD2A0F"/>
    <w:rsid w:val="00DD2C65"/>
    <w:rsid w:val="00DD3F94"/>
    <w:rsid w:val="00DD49C5"/>
    <w:rsid w:val="00DD5D67"/>
    <w:rsid w:val="00DD602C"/>
    <w:rsid w:val="00DD63BC"/>
    <w:rsid w:val="00DD658D"/>
    <w:rsid w:val="00DE1AC8"/>
    <w:rsid w:val="00DE26F2"/>
    <w:rsid w:val="00DE2948"/>
    <w:rsid w:val="00DE586A"/>
    <w:rsid w:val="00DE5AF3"/>
    <w:rsid w:val="00DF3928"/>
    <w:rsid w:val="00DF4318"/>
    <w:rsid w:val="00DF46DE"/>
    <w:rsid w:val="00DF65C1"/>
    <w:rsid w:val="00DF74A2"/>
    <w:rsid w:val="00E00000"/>
    <w:rsid w:val="00E00F93"/>
    <w:rsid w:val="00E047E5"/>
    <w:rsid w:val="00E0747E"/>
    <w:rsid w:val="00E074E0"/>
    <w:rsid w:val="00E100ED"/>
    <w:rsid w:val="00E12874"/>
    <w:rsid w:val="00E12F13"/>
    <w:rsid w:val="00E153D1"/>
    <w:rsid w:val="00E22162"/>
    <w:rsid w:val="00E22D94"/>
    <w:rsid w:val="00E27ADB"/>
    <w:rsid w:val="00E310B8"/>
    <w:rsid w:val="00E3317C"/>
    <w:rsid w:val="00E35B4E"/>
    <w:rsid w:val="00E35F03"/>
    <w:rsid w:val="00E370BE"/>
    <w:rsid w:val="00E41BBC"/>
    <w:rsid w:val="00E42AF3"/>
    <w:rsid w:val="00E43F85"/>
    <w:rsid w:val="00E471E6"/>
    <w:rsid w:val="00E477E7"/>
    <w:rsid w:val="00E47A84"/>
    <w:rsid w:val="00E50D2C"/>
    <w:rsid w:val="00E50DAC"/>
    <w:rsid w:val="00E52439"/>
    <w:rsid w:val="00E53683"/>
    <w:rsid w:val="00E5385D"/>
    <w:rsid w:val="00E55A84"/>
    <w:rsid w:val="00E6152F"/>
    <w:rsid w:val="00E62D1D"/>
    <w:rsid w:val="00E64B3B"/>
    <w:rsid w:val="00E64FAD"/>
    <w:rsid w:val="00E65F99"/>
    <w:rsid w:val="00E66525"/>
    <w:rsid w:val="00E70287"/>
    <w:rsid w:val="00E7037D"/>
    <w:rsid w:val="00E7406E"/>
    <w:rsid w:val="00E761F0"/>
    <w:rsid w:val="00E778DF"/>
    <w:rsid w:val="00E83A9E"/>
    <w:rsid w:val="00E877A5"/>
    <w:rsid w:val="00E87C21"/>
    <w:rsid w:val="00E91723"/>
    <w:rsid w:val="00E93070"/>
    <w:rsid w:val="00E96724"/>
    <w:rsid w:val="00E97748"/>
    <w:rsid w:val="00EB56A7"/>
    <w:rsid w:val="00EB6586"/>
    <w:rsid w:val="00EB7882"/>
    <w:rsid w:val="00EB7883"/>
    <w:rsid w:val="00EC31A2"/>
    <w:rsid w:val="00EC32B7"/>
    <w:rsid w:val="00ED0FC1"/>
    <w:rsid w:val="00ED329B"/>
    <w:rsid w:val="00ED4138"/>
    <w:rsid w:val="00ED4982"/>
    <w:rsid w:val="00ED68AF"/>
    <w:rsid w:val="00EE692D"/>
    <w:rsid w:val="00EF0A98"/>
    <w:rsid w:val="00EF0B6A"/>
    <w:rsid w:val="00EF140D"/>
    <w:rsid w:val="00EF2A99"/>
    <w:rsid w:val="00EF51F0"/>
    <w:rsid w:val="00EF6906"/>
    <w:rsid w:val="00EF7AFC"/>
    <w:rsid w:val="00F00DEC"/>
    <w:rsid w:val="00F00E17"/>
    <w:rsid w:val="00F0331E"/>
    <w:rsid w:val="00F06966"/>
    <w:rsid w:val="00F10012"/>
    <w:rsid w:val="00F10158"/>
    <w:rsid w:val="00F10B27"/>
    <w:rsid w:val="00F138E4"/>
    <w:rsid w:val="00F148AA"/>
    <w:rsid w:val="00F1559D"/>
    <w:rsid w:val="00F20EA7"/>
    <w:rsid w:val="00F2159D"/>
    <w:rsid w:val="00F24E28"/>
    <w:rsid w:val="00F2700C"/>
    <w:rsid w:val="00F32C17"/>
    <w:rsid w:val="00F33DB2"/>
    <w:rsid w:val="00F33F14"/>
    <w:rsid w:val="00F34F3B"/>
    <w:rsid w:val="00F3678B"/>
    <w:rsid w:val="00F47C55"/>
    <w:rsid w:val="00F500E5"/>
    <w:rsid w:val="00F51C51"/>
    <w:rsid w:val="00F525F2"/>
    <w:rsid w:val="00F52998"/>
    <w:rsid w:val="00F5608F"/>
    <w:rsid w:val="00F579F3"/>
    <w:rsid w:val="00F6002E"/>
    <w:rsid w:val="00F60B8E"/>
    <w:rsid w:val="00F60DB8"/>
    <w:rsid w:val="00F61BB7"/>
    <w:rsid w:val="00F61F64"/>
    <w:rsid w:val="00F63810"/>
    <w:rsid w:val="00F64672"/>
    <w:rsid w:val="00F66C8A"/>
    <w:rsid w:val="00F70791"/>
    <w:rsid w:val="00F71A88"/>
    <w:rsid w:val="00F76594"/>
    <w:rsid w:val="00F8359F"/>
    <w:rsid w:val="00F86E4D"/>
    <w:rsid w:val="00F87E1C"/>
    <w:rsid w:val="00F901CB"/>
    <w:rsid w:val="00F91157"/>
    <w:rsid w:val="00F9178C"/>
    <w:rsid w:val="00F917CC"/>
    <w:rsid w:val="00F965A5"/>
    <w:rsid w:val="00FA1B89"/>
    <w:rsid w:val="00FB1282"/>
    <w:rsid w:val="00FB3432"/>
    <w:rsid w:val="00FB4736"/>
    <w:rsid w:val="00FC0310"/>
    <w:rsid w:val="00FC0F42"/>
    <w:rsid w:val="00FC1DF6"/>
    <w:rsid w:val="00FC2E4D"/>
    <w:rsid w:val="00FC44E3"/>
    <w:rsid w:val="00FC6211"/>
    <w:rsid w:val="00FC6B24"/>
    <w:rsid w:val="00FD578C"/>
    <w:rsid w:val="00FE26F0"/>
    <w:rsid w:val="00FE54E0"/>
    <w:rsid w:val="00FE78E8"/>
    <w:rsid w:val="00FF02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7853F"/>
  <w15:chartTrackingRefBased/>
  <w15:docId w15:val="{DA4B9690-2335-441B-849E-36AB73282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Текст"/>
    <w:qFormat/>
    <w:rsid w:val="007A03A1"/>
    <w:pPr>
      <w:jc w:val="both"/>
    </w:pPr>
    <w:rPr>
      <w:rFonts w:ascii="Times New Roman" w:hAnsi="Times New Roman"/>
      <w:sz w:val="24"/>
    </w:rPr>
  </w:style>
  <w:style w:type="paragraph" w:styleId="Heading1">
    <w:name w:val="heading 1"/>
    <w:aliases w:val="1 Заг"/>
    <w:basedOn w:val="Normal"/>
    <w:next w:val="Normal"/>
    <w:link w:val="Heading1Char"/>
    <w:uiPriority w:val="9"/>
    <w:qFormat/>
    <w:rsid w:val="00A2057B"/>
    <w:pPr>
      <w:keepNext/>
      <w:keepLines/>
      <w:spacing w:before="240" w:after="0"/>
      <w:outlineLvl w:val="0"/>
    </w:pPr>
    <w:rPr>
      <w:rFonts w:eastAsiaTheme="majorEastAsia" w:cstheme="majorBidi"/>
      <w:b/>
      <w:sz w:val="32"/>
      <w:szCs w:val="32"/>
    </w:rPr>
  </w:style>
  <w:style w:type="paragraph" w:styleId="Heading2">
    <w:name w:val="heading 2"/>
    <w:aliases w:val="2 Заг"/>
    <w:basedOn w:val="Normal"/>
    <w:next w:val="Normal"/>
    <w:link w:val="Heading2Char"/>
    <w:uiPriority w:val="9"/>
    <w:unhideWhenUsed/>
    <w:qFormat/>
    <w:rsid w:val="00A2057B"/>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rsid w:val="003C3301"/>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329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91F"/>
    <w:rPr>
      <w:sz w:val="20"/>
      <w:szCs w:val="20"/>
    </w:rPr>
  </w:style>
  <w:style w:type="character" w:styleId="FootnoteReference">
    <w:name w:val="footnote reference"/>
    <w:basedOn w:val="DefaultParagraphFont"/>
    <w:uiPriority w:val="99"/>
    <w:semiHidden/>
    <w:unhideWhenUsed/>
    <w:rsid w:val="00D3291F"/>
    <w:rPr>
      <w:vertAlign w:val="superscript"/>
    </w:rPr>
  </w:style>
  <w:style w:type="paragraph" w:styleId="ListParagraph">
    <w:name w:val="List Paragraph"/>
    <w:basedOn w:val="Normal"/>
    <w:link w:val="ListParagraphChar"/>
    <w:uiPriority w:val="34"/>
    <w:rsid w:val="000B21F4"/>
    <w:pPr>
      <w:ind w:left="720"/>
      <w:contextualSpacing/>
    </w:pPr>
  </w:style>
  <w:style w:type="table" w:styleId="TableGrid">
    <w:name w:val="Table Grid"/>
    <w:basedOn w:val="TableNormal"/>
    <w:uiPriority w:val="39"/>
    <w:rsid w:val="006F6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54DB8"/>
    <w:rPr>
      <w:color w:val="808080"/>
    </w:rPr>
  </w:style>
  <w:style w:type="character" w:styleId="Hyperlink">
    <w:name w:val="Hyperlink"/>
    <w:basedOn w:val="DefaultParagraphFont"/>
    <w:uiPriority w:val="99"/>
    <w:unhideWhenUsed/>
    <w:rsid w:val="00525C88"/>
    <w:rPr>
      <w:color w:val="0563C1" w:themeColor="hyperlink"/>
      <w:u w:val="single"/>
    </w:rPr>
  </w:style>
  <w:style w:type="character" w:styleId="UnresolvedMention">
    <w:name w:val="Unresolved Mention"/>
    <w:basedOn w:val="DefaultParagraphFont"/>
    <w:uiPriority w:val="99"/>
    <w:semiHidden/>
    <w:unhideWhenUsed/>
    <w:rsid w:val="00525C88"/>
    <w:rPr>
      <w:color w:val="605E5C"/>
      <w:shd w:val="clear" w:color="auto" w:fill="E1DFDD"/>
    </w:rPr>
  </w:style>
  <w:style w:type="paragraph" w:styleId="Header">
    <w:name w:val="header"/>
    <w:basedOn w:val="Normal"/>
    <w:link w:val="HeaderChar"/>
    <w:uiPriority w:val="99"/>
    <w:unhideWhenUsed/>
    <w:rsid w:val="0096056A"/>
    <w:pPr>
      <w:tabs>
        <w:tab w:val="center" w:pos="4677"/>
        <w:tab w:val="right" w:pos="9355"/>
      </w:tabs>
      <w:spacing w:after="0" w:line="240" w:lineRule="auto"/>
    </w:pPr>
  </w:style>
  <w:style w:type="character" w:customStyle="1" w:styleId="HeaderChar">
    <w:name w:val="Header Char"/>
    <w:basedOn w:val="DefaultParagraphFont"/>
    <w:link w:val="Header"/>
    <w:uiPriority w:val="99"/>
    <w:rsid w:val="0096056A"/>
  </w:style>
  <w:style w:type="paragraph" w:styleId="Footer">
    <w:name w:val="footer"/>
    <w:basedOn w:val="Normal"/>
    <w:link w:val="FooterChar"/>
    <w:uiPriority w:val="99"/>
    <w:unhideWhenUsed/>
    <w:rsid w:val="0096056A"/>
    <w:pPr>
      <w:tabs>
        <w:tab w:val="center" w:pos="4677"/>
        <w:tab w:val="right" w:pos="9355"/>
      </w:tabs>
      <w:spacing w:after="0" w:line="240" w:lineRule="auto"/>
    </w:pPr>
  </w:style>
  <w:style w:type="character" w:customStyle="1" w:styleId="FooterChar">
    <w:name w:val="Footer Char"/>
    <w:basedOn w:val="DefaultParagraphFont"/>
    <w:link w:val="Footer"/>
    <w:uiPriority w:val="99"/>
    <w:rsid w:val="0096056A"/>
  </w:style>
  <w:style w:type="character" w:customStyle="1" w:styleId="Heading1Char">
    <w:name w:val="Heading 1 Char"/>
    <w:aliases w:val="1 Заг Char"/>
    <w:basedOn w:val="DefaultParagraphFont"/>
    <w:link w:val="Heading1"/>
    <w:uiPriority w:val="9"/>
    <w:rsid w:val="00A2057B"/>
    <w:rPr>
      <w:rFonts w:ascii="Times New Roman" w:eastAsiaTheme="majorEastAsia" w:hAnsi="Times New Roman" w:cstheme="majorBidi"/>
      <w:b/>
      <w:sz w:val="32"/>
      <w:szCs w:val="32"/>
    </w:rPr>
  </w:style>
  <w:style w:type="character" w:customStyle="1" w:styleId="Heading2Char">
    <w:name w:val="Heading 2 Char"/>
    <w:aliases w:val="2 Заг Char"/>
    <w:basedOn w:val="DefaultParagraphFont"/>
    <w:link w:val="Heading2"/>
    <w:uiPriority w:val="9"/>
    <w:rsid w:val="00A2057B"/>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rsid w:val="00E47A84"/>
    <w:pPr>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E47A84"/>
    <w:pPr>
      <w:spacing w:after="100"/>
    </w:pPr>
  </w:style>
  <w:style w:type="paragraph" w:styleId="TOC2">
    <w:name w:val="toc 2"/>
    <w:basedOn w:val="Normal"/>
    <w:next w:val="Normal"/>
    <w:autoRedefine/>
    <w:uiPriority w:val="39"/>
    <w:unhideWhenUsed/>
    <w:rsid w:val="00E47A84"/>
    <w:pPr>
      <w:spacing w:after="100"/>
      <w:ind w:left="220"/>
    </w:pPr>
  </w:style>
  <w:style w:type="character" w:customStyle="1" w:styleId="Heading3Char">
    <w:name w:val="Heading 3 Char"/>
    <w:basedOn w:val="DefaultParagraphFont"/>
    <w:link w:val="Heading3"/>
    <w:uiPriority w:val="9"/>
    <w:rsid w:val="003C3301"/>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3C3301"/>
    <w:pPr>
      <w:spacing w:after="100"/>
      <w:ind w:left="440"/>
    </w:pPr>
  </w:style>
  <w:style w:type="character" w:styleId="CommentReference">
    <w:name w:val="annotation reference"/>
    <w:basedOn w:val="DefaultParagraphFont"/>
    <w:uiPriority w:val="99"/>
    <w:semiHidden/>
    <w:unhideWhenUsed/>
    <w:rsid w:val="00AE34E9"/>
    <w:rPr>
      <w:sz w:val="16"/>
      <w:szCs w:val="16"/>
    </w:rPr>
  </w:style>
  <w:style w:type="paragraph" w:styleId="CommentText">
    <w:name w:val="annotation text"/>
    <w:basedOn w:val="Normal"/>
    <w:link w:val="CommentTextChar"/>
    <w:uiPriority w:val="99"/>
    <w:unhideWhenUsed/>
    <w:rsid w:val="00AE34E9"/>
    <w:pPr>
      <w:spacing w:line="240" w:lineRule="auto"/>
    </w:pPr>
    <w:rPr>
      <w:sz w:val="20"/>
      <w:szCs w:val="20"/>
    </w:rPr>
  </w:style>
  <w:style w:type="character" w:customStyle="1" w:styleId="CommentTextChar">
    <w:name w:val="Comment Text Char"/>
    <w:basedOn w:val="DefaultParagraphFont"/>
    <w:link w:val="CommentText"/>
    <w:uiPriority w:val="99"/>
    <w:rsid w:val="00AE34E9"/>
    <w:rPr>
      <w:sz w:val="20"/>
      <w:szCs w:val="20"/>
    </w:rPr>
  </w:style>
  <w:style w:type="paragraph" w:styleId="CommentSubject">
    <w:name w:val="annotation subject"/>
    <w:basedOn w:val="CommentText"/>
    <w:next w:val="CommentText"/>
    <w:link w:val="CommentSubjectChar"/>
    <w:uiPriority w:val="99"/>
    <w:semiHidden/>
    <w:unhideWhenUsed/>
    <w:rsid w:val="00AE34E9"/>
    <w:rPr>
      <w:b/>
      <w:bCs/>
    </w:rPr>
  </w:style>
  <w:style w:type="character" w:customStyle="1" w:styleId="CommentSubjectChar">
    <w:name w:val="Comment Subject Char"/>
    <w:basedOn w:val="CommentTextChar"/>
    <w:link w:val="CommentSubject"/>
    <w:uiPriority w:val="99"/>
    <w:semiHidden/>
    <w:rsid w:val="00AE34E9"/>
    <w:rPr>
      <w:b/>
      <w:bCs/>
      <w:sz w:val="20"/>
      <w:szCs w:val="20"/>
    </w:rPr>
  </w:style>
  <w:style w:type="paragraph" w:customStyle="1" w:styleId="a">
    <w:name w:val="Сноска"/>
    <w:basedOn w:val="FootnoteText"/>
    <w:link w:val="Char"/>
    <w:qFormat/>
    <w:rsid w:val="007A03A1"/>
    <w:rPr>
      <w:rFonts w:cs="Times New Roman"/>
      <w:szCs w:val="18"/>
      <w:lang w:val="en-US"/>
    </w:rPr>
  </w:style>
  <w:style w:type="paragraph" w:customStyle="1" w:styleId="-">
    <w:name w:val="Буллет-поинты"/>
    <w:basedOn w:val="ListParagraph"/>
    <w:link w:val="-Char"/>
    <w:qFormat/>
    <w:rsid w:val="009B703B"/>
    <w:pPr>
      <w:numPr>
        <w:numId w:val="9"/>
      </w:numPr>
      <w:spacing w:after="0" w:line="360" w:lineRule="auto"/>
    </w:pPr>
    <w:rPr>
      <w:rFonts w:cs="Times New Roman"/>
      <w:lang w:val="en-US"/>
    </w:rPr>
  </w:style>
  <w:style w:type="character" w:customStyle="1" w:styleId="Char">
    <w:name w:val="Сноска Char"/>
    <w:basedOn w:val="FootnoteTextChar"/>
    <w:link w:val="a"/>
    <w:rsid w:val="007A03A1"/>
    <w:rPr>
      <w:rFonts w:ascii="Times New Roman" w:hAnsi="Times New Roman" w:cs="Times New Roman"/>
      <w:sz w:val="20"/>
      <w:szCs w:val="18"/>
      <w:lang w:val="en-US"/>
    </w:rPr>
  </w:style>
  <w:style w:type="paragraph" w:customStyle="1" w:styleId="a0">
    <w:name w:val="Рис/Табл"/>
    <w:basedOn w:val="Normal"/>
    <w:link w:val="Char0"/>
    <w:qFormat/>
    <w:rsid w:val="00F148AA"/>
    <w:pPr>
      <w:spacing w:after="0" w:line="360" w:lineRule="auto"/>
    </w:pPr>
    <w:rPr>
      <w:rFonts w:cs="Times New Roman"/>
      <w:b/>
      <w:bCs/>
      <w:lang w:val="en-US"/>
    </w:rPr>
  </w:style>
  <w:style w:type="character" w:customStyle="1" w:styleId="ListParagraphChar">
    <w:name w:val="List Paragraph Char"/>
    <w:basedOn w:val="DefaultParagraphFont"/>
    <w:link w:val="ListParagraph"/>
    <w:uiPriority w:val="34"/>
    <w:rsid w:val="009B703B"/>
    <w:rPr>
      <w:rFonts w:ascii="Times New Roman" w:hAnsi="Times New Roman"/>
      <w:sz w:val="24"/>
    </w:rPr>
  </w:style>
  <w:style w:type="character" w:customStyle="1" w:styleId="-Char">
    <w:name w:val="Буллет-поинты Char"/>
    <w:basedOn w:val="ListParagraphChar"/>
    <w:link w:val="-"/>
    <w:rsid w:val="009B703B"/>
    <w:rPr>
      <w:rFonts w:ascii="Times New Roman" w:hAnsi="Times New Roman" w:cs="Times New Roman"/>
      <w:sz w:val="24"/>
      <w:lang w:val="en-US"/>
    </w:rPr>
  </w:style>
  <w:style w:type="paragraph" w:customStyle="1" w:styleId="a1">
    <w:name w:val="Подпись источника"/>
    <w:basedOn w:val="Normal"/>
    <w:link w:val="Char1"/>
    <w:qFormat/>
    <w:rsid w:val="00F148AA"/>
    <w:pPr>
      <w:spacing w:after="0" w:line="360" w:lineRule="auto"/>
      <w:ind w:firstLine="709"/>
      <w:jc w:val="center"/>
    </w:pPr>
    <w:rPr>
      <w:rFonts w:cs="Times New Roman"/>
      <w:i/>
      <w:iCs/>
      <w:sz w:val="20"/>
      <w:szCs w:val="20"/>
      <w:lang w:val="en-US"/>
    </w:rPr>
  </w:style>
  <w:style w:type="character" w:customStyle="1" w:styleId="Char0">
    <w:name w:val="Рис/Табл Char"/>
    <w:basedOn w:val="DefaultParagraphFont"/>
    <w:link w:val="a0"/>
    <w:rsid w:val="00F148AA"/>
    <w:rPr>
      <w:rFonts w:ascii="Times New Roman" w:hAnsi="Times New Roman" w:cs="Times New Roman"/>
      <w:b/>
      <w:bCs/>
      <w:sz w:val="24"/>
      <w:lang w:val="en-US"/>
    </w:rPr>
  </w:style>
  <w:style w:type="paragraph" w:customStyle="1" w:styleId="3">
    <w:name w:val="3 Заг"/>
    <w:basedOn w:val="Normal"/>
    <w:link w:val="3Char"/>
    <w:qFormat/>
    <w:rsid w:val="00056160"/>
    <w:pPr>
      <w:spacing w:after="0" w:line="360" w:lineRule="auto"/>
      <w:ind w:left="708" w:firstLine="709"/>
    </w:pPr>
    <w:rPr>
      <w:rFonts w:cs="Times New Roman"/>
      <w:u w:val="single"/>
      <w:lang w:val="en-US"/>
    </w:rPr>
  </w:style>
  <w:style w:type="character" w:customStyle="1" w:styleId="Char1">
    <w:name w:val="Подпись источника Char"/>
    <w:basedOn w:val="DefaultParagraphFont"/>
    <w:link w:val="a1"/>
    <w:rsid w:val="00F148AA"/>
    <w:rPr>
      <w:rFonts w:ascii="Times New Roman" w:hAnsi="Times New Roman" w:cs="Times New Roman"/>
      <w:i/>
      <w:iCs/>
      <w:sz w:val="20"/>
      <w:szCs w:val="20"/>
      <w:lang w:val="en-US"/>
    </w:rPr>
  </w:style>
  <w:style w:type="character" w:customStyle="1" w:styleId="3Char">
    <w:name w:val="3 Заг Char"/>
    <w:basedOn w:val="DefaultParagraphFont"/>
    <w:link w:val="3"/>
    <w:rsid w:val="00056160"/>
    <w:rPr>
      <w:rFonts w:ascii="Times New Roman" w:hAnsi="Times New Roman" w:cs="Times New Roman"/>
      <w:sz w:val="24"/>
      <w:u w:val="single"/>
      <w:lang w:val="en-US"/>
    </w:rPr>
  </w:style>
  <w:style w:type="paragraph" w:styleId="Caption">
    <w:name w:val="caption"/>
    <w:basedOn w:val="Normal"/>
    <w:next w:val="Normal"/>
    <w:uiPriority w:val="35"/>
    <w:unhideWhenUsed/>
    <w:qFormat/>
    <w:rsid w:val="00D227F8"/>
    <w:pPr>
      <w:spacing w:after="200" w:line="240" w:lineRule="auto"/>
    </w:pPr>
    <w:rPr>
      <w:i/>
      <w:iCs/>
      <w:color w:val="44546A" w:themeColor="text2"/>
      <w:sz w:val="18"/>
      <w:szCs w:val="18"/>
    </w:rPr>
  </w:style>
  <w:style w:type="paragraph" w:customStyle="1" w:styleId="2">
    <w:name w:val="2 Буллет"/>
    <w:basedOn w:val="ListParagraph"/>
    <w:link w:val="2Char"/>
    <w:qFormat/>
    <w:rsid w:val="00E778DF"/>
    <w:pPr>
      <w:numPr>
        <w:ilvl w:val="2"/>
        <w:numId w:val="3"/>
      </w:numPr>
      <w:spacing w:after="0" w:line="360" w:lineRule="auto"/>
    </w:pPr>
    <w:rPr>
      <w:rFonts w:cs="Times New Roman"/>
      <w:lang w:val="en-US"/>
    </w:rPr>
  </w:style>
  <w:style w:type="character" w:customStyle="1" w:styleId="2Char">
    <w:name w:val="2 Буллет Char"/>
    <w:basedOn w:val="ListParagraphChar"/>
    <w:link w:val="2"/>
    <w:rsid w:val="00E778DF"/>
    <w:rPr>
      <w:rFonts w:ascii="Times New Roman" w:hAnsi="Times New Roman" w:cs="Times New Roman"/>
      <w:sz w:val="24"/>
      <w:lang w:val="en-US"/>
    </w:rPr>
  </w:style>
  <w:style w:type="paragraph" w:styleId="EndnoteText">
    <w:name w:val="endnote text"/>
    <w:basedOn w:val="Normal"/>
    <w:link w:val="EndnoteTextChar"/>
    <w:uiPriority w:val="99"/>
    <w:semiHidden/>
    <w:unhideWhenUsed/>
    <w:rsid w:val="00190E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0EB4"/>
    <w:rPr>
      <w:rFonts w:ascii="Times New Roman" w:hAnsi="Times New Roman"/>
      <w:sz w:val="20"/>
      <w:szCs w:val="20"/>
    </w:rPr>
  </w:style>
  <w:style w:type="character" w:styleId="EndnoteReference">
    <w:name w:val="endnote reference"/>
    <w:basedOn w:val="DefaultParagraphFont"/>
    <w:uiPriority w:val="99"/>
    <w:semiHidden/>
    <w:unhideWhenUsed/>
    <w:rsid w:val="00190EB4"/>
    <w:rPr>
      <w:vertAlign w:val="superscript"/>
    </w:rPr>
  </w:style>
  <w:style w:type="paragraph" w:styleId="Revision">
    <w:name w:val="Revision"/>
    <w:hidden/>
    <w:uiPriority w:val="99"/>
    <w:semiHidden/>
    <w:rsid w:val="00566F8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6395">
      <w:bodyDiv w:val="1"/>
      <w:marLeft w:val="0"/>
      <w:marRight w:val="0"/>
      <w:marTop w:val="0"/>
      <w:marBottom w:val="0"/>
      <w:divBdr>
        <w:top w:val="none" w:sz="0" w:space="0" w:color="auto"/>
        <w:left w:val="none" w:sz="0" w:space="0" w:color="auto"/>
        <w:bottom w:val="none" w:sz="0" w:space="0" w:color="auto"/>
        <w:right w:val="none" w:sz="0" w:space="0" w:color="auto"/>
      </w:divBdr>
    </w:div>
    <w:div w:id="138085080">
      <w:bodyDiv w:val="1"/>
      <w:marLeft w:val="0"/>
      <w:marRight w:val="0"/>
      <w:marTop w:val="0"/>
      <w:marBottom w:val="0"/>
      <w:divBdr>
        <w:top w:val="none" w:sz="0" w:space="0" w:color="auto"/>
        <w:left w:val="none" w:sz="0" w:space="0" w:color="auto"/>
        <w:bottom w:val="none" w:sz="0" w:space="0" w:color="auto"/>
        <w:right w:val="none" w:sz="0" w:space="0" w:color="auto"/>
      </w:divBdr>
    </w:div>
    <w:div w:id="186019018">
      <w:bodyDiv w:val="1"/>
      <w:marLeft w:val="0"/>
      <w:marRight w:val="0"/>
      <w:marTop w:val="0"/>
      <w:marBottom w:val="0"/>
      <w:divBdr>
        <w:top w:val="none" w:sz="0" w:space="0" w:color="auto"/>
        <w:left w:val="none" w:sz="0" w:space="0" w:color="auto"/>
        <w:bottom w:val="none" w:sz="0" w:space="0" w:color="auto"/>
        <w:right w:val="none" w:sz="0" w:space="0" w:color="auto"/>
      </w:divBdr>
    </w:div>
    <w:div w:id="207570111">
      <w:bodyDiv w:val="1"/>
      <w:marLeft w:val="0"/>
      <w:marRight w:val="0"/>
      <w:marTop w:val="0"/>
      <w:marBottom w:val="0"/>
      <w:divBdr>
        <w:top w:val="none" w:sz="0" w:space="0" w:color="auto"/>
        <w:left w:val="none" w:sz="0" w:space="0" w:color="auto"/>
        <w:bottom w:val="none" w:sz="0" w:space="0" w:color="auto"/>
        <w:right w:val="none" w:sz="0" w:space="0" w:color="auto"/>
      </w:divBdr>
    </w:div>
    <w:div w:id="242420346">
      <w:bodyDiv w:val="1"/>
      <w:marLeft w:val="0"/>
      <w:marRight w:val="0"/>
      <w:marTop w:val="0"/>
      <w:marBottom w:val="0"/>
      <w:divBdr>
        <w:top w:val="none" w:sz="0" w:space="0" w:color="auto"/>
        <w:left w:val="none" w:sz="0" w:space="0" w:color="auto"/>
        <w:bottom w:val="none" w:sz="0" w:space="0" w:color="auto"/>
        <w:right w:val="none" w:sz="0" w:space="0" w:color="auto"/>
      </w:divBdr>
    </w:div>
    <w:div w:id="280572051">
      <w:bodyDiv w:val="1"/>
      <w:marLeft w:val="0"/>
      <w:marRight w:val="0"/>
      <w:marTop w:val="0"/>
      <w:marBottom w:val="0"/>
      <w:divBdr>
        <w:top w:val="none" w:sz="0" w:space="0" w:color="auto"/>
        <w:left w:val="none" w:sz="0" w:space="0" w:color="auto"/>
        <w:bottom w:val="none" w:sz="0" w:space="0" w:color="auto"/>
        <w:right w:val="none" w:sz="0" w:space="0" w:color="auto"/>
      </w:divBdr>
    </w:div>
    <w:div w:id="320351200">
      <w:bodyDiv w:val="1"/>
      <w:marLeft w:val="0"/>
      <w:marRight w:val="0"/>
      <w:marTop w:val="0"/>
      <w:marBottom w:val="0"/>
      <w:divBdr>
        <w:top w:val="none" w:sz="0" w:space="0" w:color="auto"/>
        <w:left w:val="none" w:sz="0" w:space="0" w:color="auto"/>
        <w:bottom w:val="none" w:sz="0" w:space="0" w:color="auto"/>
        <w:right w:val="none" w:sz="0" w:space="0" w:color="auto"/>
      </w:divBdr>
    </w:div>
    <w:div w:id="325548363">
      <w:bodyDiv w:val="1"/>
      <w:marLeft w:val="0"/>
      <w:marRight w:val="0"/>
      <w:marTop w:val="0"/>
      <w:marBottom w:val="0"/>
      <w:divBdr>
        <w:top w:val="none" w:sz="0" w:space="0" w:color="auto"/>
        <w:left w:val="none" w:sz="0" w:space="0" w:color="auto"/>
        <w:bottom w:val="none" w:sz="0" w:space="0" w:color="auto"/>
        <w:right w:val="none" w:sz="0" w:space="0" w:color="auto"/>
      </w:divBdr>
    </w:div>
    <w:div w:id="343745825">
      <w:bodyDiv w:val="1"/>
      <w:marLeft w:val="0"/>
      <w:marRight w:val="0"/>
      <w:marTop w:val="0"/>
      <w:marBottom w:val="0"/>
      <w:divBdr>
        <w:top w:val="none" w:sz="0" w:space="0" w:color="auto"/>
        <w:left w:val="none" w:sz="0" w:space="0" w:color="auto"/>
        <w:bottom w:val="none" w:sz="0" w:space="0" w:color="auto"/>
        <w:right w:val="none" w:sz="0" w:space="0" w:color="auto"/>
      </w:divBdr>
    </w:div>
    <w:div w:id="429008218">
      <w:bodyDiv w:val="1"/>
      <w:marLeft w:val="0"/>
      <w:marRight w:val="0"/>
      <w:marTop w:val="0"/>
      <w:marBottom w:val="0"/>
      <w:divBdr>
        <w:top w:val="none" w:sz="0" w:space="0" w:color="auto"/>
        <w:left w:val="none" w:sz="0" w:space="0" w:color="auto"/>
        <w:bottom w:val="none" w:sz="0" w:space="0" w:color="auto"/>
        <w:right w:val="none" w:sz="0" w:space="0" w:color="auto"/>
      </w:divBdr>
    </w:div>
    <w:div w:id="433131838">
      <w:bodyDiv w:val="1"/>
      <w:marLeft w:val="0"/>
      <w:marRight w:val="0"/>
      <w:marTop w:val="0"/>
      <w:marBottom w:val="0"/>
      <w:divBdr>
        <w:top w:val="none" w:sz="0" w:space="0" w:color="auto"/>
        <w:left w:val="none" w:sz="0" w:space="0" w:color="auto"/>
        <w:bottom w:val="none" w:sz="0" w:space="0" w:color="auto"/>
        <w:right w:val="none" w:sz="0" w:space="0" w:color="auto"/>
      </w:divBdr>
    </w:div>
    <w:div w:id="553858117">
      <w:bodyDiv w:val="1"/>
      <w:marLeft w:val="0"/>
      <w:marRight w:val="0"/>
      <w:marTop w:val="0"/>
      <w:marBottom w:val="0"/>
      <w:divBdr>
        <w:top w:val="none" w:sz="0" w:space="0" w:color="auto"/>
        <w:left w:val="none" w:sz="0" w:space="0" w:color="auto"/>
        <w:bottom w:val="none" w:sz="0" w:space="0" w:color="auto"/>
        <w:right w:val="none" w:sz="0" w:space="0" w:color="auto"/>
      </w:divBdr>
    </w:div>
    <w:div w:id="557862191">
      <w:bodyDiv w:val="1"/>
      <w:marLeft w:val="0"/>
      <w:marRight w:val="0"/>
      <w:marTop w:val="0"/>
      <w:marBottom w:val="0"/>
      <w:divBdr>
        <w:top w:val="none" w:sz="0" w:space="0" w:color="auto"/>
        <w:left w:val="none" w:sz="0" w:space="0" w:color="auto"/>
        <w:bottom w:val="none" w:sz="0" w:space="0" w:color="auto"/>
        <w:right w:val="none" w:sz="0" w:space="0" w:color="auto"/>
      </w:divBdr>
    </w:div>
    <w:div w:id="609433654">
      <w:bodyDiv w:val="1"/>
      <w:marLeft w:val="0"/>
      <w:marRight w:val="0"/>
      <w:marTop w:val="0"/>
      <w:marBottom w:val="0"/>
      <w:divBdr>
        <w:top w:val="none" w:sz="0" w:space="0" w:color="auto"/>
        <w:left w:val="none" w:sz="0" w:space="0" w:color="auto"/>
        <w:bottom w:val="none" w:sz="0" w:space="0" w:color="auto"/>
        <w:right w:val="none" w:sz="0" w:space="0" w:color="auto"/>
      </w:divBdr>
    </w:div>
    <w:div w:id="777601788">
      <w:bodyDiv w:val="1"/>
      <w:marLeft w:val="0"/>
      <w:marRight w:val="0"/>
      <w:marTop w:val="0"/>
      <w:marBottom w:val="0"/>
      <w:divBdr>
        <w:top w:val="none" w:sz="0" w:space="0" w:color="auto"/>
        <w:left w:val="none" w:sz="0" w:space="0" w:color="auto"/>
        <w:bottom w:val="none" w:sz="0" w:space="0" w:color="auto"/>
        <w:right w:val="none" w:sz="0" w:space="0" w:color="auto"/>
      </w:divBdr>
    </w:div>
    <w:div w:id="779229205">
      <w:bodyDiv w:val="1"/>
      <w:marLeft w:val="0"/>
      <w:marRight w:val="0"/>
      <w:marTop w:val="0"/>
      <w:marBottom w:val="0"/>
      <w:divBdr>
        <w:top w:val="none" w:sz="0" w:space="0" w:color="auto"/>
        <w:left w:val="none" w:sz="0" w:space="0" w:color="auto"/>
        <w:bottom w:val="none" w:sz="0" w:space="0" w:color="auto"/>
        <w:right w:val="none" w:sz="0" w:space="0" w:color="auto"/>
      </w:divBdr>
    </w:div>
    <w:div w:id="789708997">
      <w:bodyDiv w:val="1"/>
      <w:marLeft w:val="0"/>
      <w:marRight w:val="0"/>
      <w:marTop w:val="0"/>
      <w:marBottom w:val="0"/>
      <w:divBdr>
        <w:top w:val="none" w:sz="0" w:space="0" w:color="auto"/>
        <w:left w:val="none" w:sz="0" w:space="0" w:color="auto"/>
        <w:bottom w:val="none" w:sz="0" w:space="0" w:color="auto"/>
        <w:right w:val="none" w:sz="0" w:space="0" w:color="auto"/>
      </w:divBdr>
    </w:div>
    <w:div w:id="801118586">
      <w:bodyDiv w:val="1"/>
      <w:marLeft w:val="0"/>
      <w:marRight w:val="0"/>
      <w:marTop w:val="0"/>
      <w:marBottom w:val="0"/>
      <w:divBdr>
        <w:top w:val="none" w:sz="0" w:space="0" w:color="auto"/>
        <w:left w:val="none" w:sz="0" w:space="0" w:color="auto"/>
        <w:bottom w:val="none" w:sz="0" w:space="0" w:color="auto"/>
        <w:right w:val="none" w:sz="0" w:space="0" w:color="auto"/>
      </w:divBdr>
    </w:div>
    <w:div w:id="841578912">
      <w:bodyDiv w:val="1"/>
      <w:marLeft w:val="0"/>
      <w:marRight w:val="0"/>
      <w:marTop w:val="0"/>
      <w:marBottom w:val="0"/>
      <w:divBdr>
        <w:top w:val="none" w:sz="0" w:space="0" w:color="auto"/>
        <w:left w:val="none" w:sz="0" w:space="0" w:color="auto"/>
        <w:bottom w:val="none" w:sz="0" w:space="0" w:color="auto"/>
        <w:right w:val="none" w:sz="0" w:space="0" w:color="auto"/>
      </w:divBdr>
    </w:div>
    <w:div w:id="899025546">
      <w:bodyDiv w:val="1"/>
      <w:marLeft w:val="0"/>
      <w:marRight w:val="0"/>
      <w:marTop w:val="0"/>
      <w:marBottom w:val="0"/>
      <w:divBdr>
        <w:top w:val="none" w:sz="0" w:space="0" w:color="auto"/>
        <w:left w:val="none" w:sz="0" w:space="0" w:color="auto"/>
        <w:bottom w:val="none" w:sz="0" w:space="0" w:color="auto"/>
        <w:right w:val="none" w:sz="0" w:space="0" w:color="auto"/>
      </w:divBdr>
    </w:div>
    <w:div w:id="985553715">
      <w:bodyDiv w:val="1"/>
      <w:marLeft w:val="0"/>
      <w:marRight w:val="0"/>
      <w:marTop w:val="0"/>
      <w:marBottom w:val="0"/>
      <w:divBdr>
        <w:top w:val="none" w:sz="0" w:space="0" w:color="auto"/>
        <w:left w:val="none" w:sz="0" w:space="0" w:color="auto"/>
        <w:bottom w:val="none" w:sz="0" w:space="0" w:color="auto"/>
        <w:right w:val="none" w:sz="0" w:space="0" w:color="auto"/>
      </w:divBdr>
    </w:div>
    <w:div w:id="1047752881">
      <w:bodyDiv w:val="1"/>
      <w:marLeft w:val="0"/>
      <w:marRight w:val="0"/>
      <w:marTop w:val="0"/>
      <w:marBottom w:val="0"/>
      <w:divBdr>
        <w:top w:val="none" w:sz="0" w:space="0" w:color="auto"/>
        <w:left w:val="none" w:sz="0" w:space="0" w:color="auto"/>
        <w:bottom w:val="none" w:sz="0" w:space="0" w:color="auto"/>
        <w:right w:val="none" w:sz="0" w:space="0" w:color="auto"/>
      </w:divBdr>
    </w:div>
    <w:div w:id="1094858186">
      <w:bodyDiv w:val="1"/>
      <w:marLeft w:val="0"/>
      <w:marRight w:val="0"/>
      <w:marTop w:val="0"/>
      <w:marBottom w:val="0"/>
      <w:divBdr>
        <w:top w:val="none" w:sz="0" w:space="0" w:color="auto"/>
        <w:left w:val="none" w:sz="0" w:space="0" w:color="auto"/>
        <w:bottom w:val="none" w:sz="0" w:space="0" w:color="auto"/>
        <w:right w:val="none" w:sz="0" w:space="0" w:color="auto"/>
      </w:divBdr>
    </w:div>
    <w:div w:id="1158616547">
      <w:bodyDiv w:val="1"/>
      <w:marLeft w:val="0"/>
      <w:marRight w:val="0"/>
      <w:marTop w:val="0"/>
      <w:marBottom w:val="0"/>
      <w:divBdr>
        <w:top w:val="none" w:sz="0" w:space="0" w:color="auto"/>
        <w:left w:val="none" w:sz="0" w:space="0" w:color="auto"/>
        <w:bottom w:val="none" w:sz="0" w:space="0" w:color="auto"/>
        <w:right w:val="none" w:sz="0" w:space="0" w:color="auto"/>
      </w:divBdr>
    </w:div>
    <w:div w:id="1167281848">
      <w:bodyDiv w:val="1"/>
      <w:marLeft w:val="0"/>
      <w:marRight w:val="0"/>
      <w:marTop w:val="0"/>
      <w:marBottom w:val="0"/>
      <w:divBdr>
        <w:top w:val="none" w:sz="0" w:space="0" w:color="auto"/>
        <w:left w:val="none" w:sz="0" w:space="0" w:color="auto"/>
        <w:bottom w:val="none" w:sz="0" w:space="0" w:color="auto"/>
        <w:right w:val="none" w:sz="0" w:space="0" w:color="auto"/>
      </w:divBdr>
    </w:div>
    <w:div w:id="1192693590">
      <w:bodyDiv w:val="1"/>
      <w:marLeft w:val="0"/>
      <w:marRight w:val="0"/>
      <w:marTop w:val="0"/>
      <w:marBottom w:val="0"/>
      <w:divBdr>
        <w:top w:val="none" w:sz="0" w:space="0" w:color="auto"/>
        <w:left w:val="none" w:sz="0" w:space="0" w:color="auto"/>
        <w:bottom w:val="none" w:sz="0" w:space="0" w:color="auto"/>
        <w:right w:val="none" w:sz="0" w:space="0" w:color="auto"/>
      </w:divBdr>
    </w:div>
    <w:div w:id="1251695938">
      <w:bodyDiv w:val="1"/>
      <w:marLeft w:val="0"/>
      <w:marRight w:val="0"/>
      <w:marTop w:val="0"/>
      <w:marBottom w:val="0"/>
      <w:divBdr>
        <w:top w:val="none" w:sz="0" w:space="0" w:color="auto"/>
        <w:left w:val="none" w:sz="0" w:space="0" w:color="auto"/>
        <w:bottom w:val="none" w:sz="0" w:space="0" w:color="auto"/>
        <w:right w:val="none" w:sz="0" w:space="0" w:color="auto"/>
      </w:divBdr>
    </w:div>
    <w:div w:id="1301157806">
      <w:bodyDiv w:val="1"/>
      <w:marLeft w:val="0"/>
      <w:marRight w:val="0"/>
      <w:marTop w:val="0"/>
      <w:marBottom w:val="0"/>
      <w:divBdr>
        <w:top w:val="none" w:sz="0" w:space="0" w:color="auto"/>
        <w:left w:val="none" w:sz="0" w:space="0" w:color="auto"/>
        <w:bottom w:val="none" w:sz="0" w:space="0" w:color="auto"/>
        <w:right w:val="none" w:sz="0" w:space="0" w:color="auto"/>
      </w:divBdr>
    </w:div>
    <w:div w:id="1386177307">
      <w:bodyDiv w:val="1"/>
      <w:marLeft w:val="0"/>
      <w:marRight w:val="0"/>
      <w:marTop w:val="0"/>
      <w:marBottom w:val="0"/>
      <w:divBdr>
        <w:top w:val="none" w:sz="0" w:space="0" w:color="auto"/>
        <w:left w:val="none" w:sz="0" w:space="0" w:color="auto"/>
        <w:bottom w:val="none" w:sz="0" w:space="0" w:color="auto"/>
        <w:right w:val="none" w:sz="0" w:space="0" w:color="auto"/>
      </w:divBdr>
    </w:div>
    <w:div w:id="1570068217">
      <w:bodyDiv w:val="1"/>
      <w:marLeft w:val="0"/>
      <w:marRight w:val="0"/>
      <w:marTop w:val="0"/>
      <w:marBottom w:val="0"/>
      <w:divBdr>
        <w:top w:val="none" w:sz="0" w:space="0" w:color="auto"/>
        <w:left w:val="none" w:sz="0" w:space="0" w:color="auto"/>
        <w:bottom w:val="none" w:sz="0" w:space="0" w:color="auto"/>
        <w:right w:val="none" w:sz="0" w:space="0" w:color="auto"/>
      </w:divBdr>
    </w:div>
    <w:div w:id="1678117614">
      <w:bodyDiv w:val="1"/>
      <w:marLeft w:val="0"/>
      <w:marRight w:val="0"/>
      <w:marTop w:val="0"/>
      <w:marBottom w:val="0"/>
      <w:divBdr>
        <w:top w:val="none" w:sz="0" w:space="0" w:color="auto"/>
        <w:left w:val="none" w:sz="0" w:space="0" w:color="auto"/>
        <w:bottom w:val="none" w:sz="0" w:space="0" w:color="auto"/>
        <w:right w:val="none" w:sz="0" w:space="0" w:color="auto"/>
      </w:divBdr>
    </w:div>
    <w:div w:id="1698658701">
      <w:bodyDiv w:val="1"/>
      <w:marLeft w:val="0"/>
      <w:marRight w:val="0"/>
      <w:marTop w:val="0"/>
      <w:marBottom w:val="0"/>
      <w:divBdr>
        <w:top w:val="none" w:sz="0" w:space="0" w:color="auto"/>
        <w:left w:val="none" w:sz="0" w:space="0" w:color="auto"/>
        <w:bottom w:val="none" w:sz="0" w:space="0" w:color="auto"/>
        <w:right w:val="none" w:sz="0" w:space="0" w:color="auto"/>
      </w:divBdr>
    </w:div>
    <w:div w:id="1762753744">
      <w:bodyDiv w:val="1"/>
      <w:marLeft w:val="0"/>
      <w:marRight w:val="0"/>
      <w:marTop w:val="0"/>
      <w:marBottom w:val="0"/>
      <w:divBdr>
        <w:top w:val="none" w:sz="0" w:space="0" w:color="auto"/>
        <w:left w:val="none" w:sz="0" w:space="0" w:color="auto"/>
        <w:bottom w:val="none" w:sz="0" w:space="0" w:color="auto"/>
        <w:right w:val="none" w:sz="0" w:space="0" w:color="auto"/>
      </w:divBdr>
      <w:divsChild>
        <w:div w:id="1649288218">
          <w:marLeft w:val="0"/>
          <w:marRight w:val="0"/>
          <w:marTop w:val="0"/>
          <w:marBottom w:val="0"/>
          <w:divBdr>
            <w:top w:val="none" w:sz="0" w:space="0" w:color="auto"/>
            <w:left w:val="none" w:sz="0" w:space="0" w:color="auto"/>
            <w:bottom w:val="none" w:sz="0" w:space="0" w:color="auto"/>
            <w:right w:val="none" w:sz="0" w:space="0" w:color="auto"/>
          </w:divBdr>
        </w:div>
      </w:divsChild>
    </w:div>
    <w:div w:id="1777216649">
      <w:bodyDiv w:val="1"/>
      <w:marLeft w:val="0"/>
      <w:marRight w:val="0"/>
      <w:marTop w:val="0"/>
      <w:marBottom w:val="0"/>
      <w:divBdr>
        <w:top w:val="none" w:sz="0" w:space="0" w:color="auto"/>
        <w:left w:val="none" w:sz="0" w:space="0" w:color="auto"/>
        <w:bottom w:val="none" w:sz="0" w:space="0" w:color="auto"/>
        <w:right w:val="none" w:sz="0" w:space="0" w:color="auto"/>
      </w:divBdr>
    </w:div>
    <w:div w:id="1810047219">
      <w:bodyDiv w:val="1"/>
      <w:marLeft w:val="0"/>
      <w:marRight w:val="0"/>
      <w:marTop w:val="0"/>
      <w:marBottom w:val="0"/>
      <w:divBdr>
        <w:top w:val="none" w:sz="0" w:space="0" w:color="auto"/>
        <w:left w:val="none" w:sz="0" w:space="0" w:color="auto"/>
        <w:bottom w:val="none" w:sz="0" w:space="0" w:color="auto"/>
        <w:right w:val="none" w:sz="0" w:space="0" w:color="auto"/>
      </w:divBdr>
    </w:div>
    <w:div w:id="1838957659">
      <w:bodyDiv w:val="1"/>
      <w:marLeft w:val="0"/>
      <w:marRight w:val="0"/>
      <w:marTop w:val="0"/>
      <w:marBottom w:val="0"/>
      <w:divBdr>
        <w:top w:val="none" w:sz="0" w:space="0" w:color="auto"/>
        <w:left w:val="none" w:sz="0" w:space="0" w:color="auto"/>
        <w:bottom w:val="none" w:sz="0" w:space="0" w:color="auto"/>
        <w:right w:val="none" w:sz="0" w:space="0" w:color="auto"/>
      </w:divBdr>
    </w:div>
    <w:div w:id="1975020464">
      <w:bodyDiv w:val="1"/>
      <w:marLeft w:val="0"/>
      <w:marRight w:val="0"/>
      <w:marTop w:val="0"/>
      <w:marBottom w:val="0"/>
      <w:divBdr>
        <w:top w:val="none" w:sz="0" w:space="0" w:color="auto"/>
        <w:left w:val="none" w:sz="0" w:space="0" w:color="auto"/>
        <w:bottom w:val="none" w:sz="0" w:space="0" w:color="auto"/>
        <w:right w:val="none" w:sz="0" w:space="0" w:color="auto"/>
      </w:divBdr>
    </w:div>
    <w:div w:id="1976180478">
      <w:bodyDiv w:val="1"/>
      <w:marLeft w:val="0"/>
      <w:marRight w:val="0"/>
      <w:marTop w:val="0"/>
      <w:marBottom w:val="0"/>
      <w:divBdr>
        <w:top w:val="none" w:sz="0" w:space="0" w:color="auto"/>
        <w:left w:val="none" w:sz="0" w:space="0" w:color="auto"/>
        <w:bottom w:val="none" w:sz="0" w:space="0" w:color="auto"/>
        <w:right w:val="none" w:sz="0" w:space="0" w:color="auto"/>
      </w:divBdr>
    </w:div>
    <w:div w:id="2043089967">
      <w:bodyDiv w:val="1"/>
      <w:marLeft w:val="0"/>
      <w:marRight w:val="0"/>
      <w:marTop w:val="0"/>
      <w:marBottom w:val="0"/>
      <w:divBdr>
        <w:top w:val="none" w:sz="0" w:space="0" w:color="auto"/>
        <w:left w:val="none" w:sz="0" w:space="0" w:color="auto"/>
        <w:bottom w:val="none" w:sz="0" w:space="0" w:color="auto"/>
        <w:right w:val="none" w:sz="0" w:space="0" w:color="auto"/>
      </w:divBdr>
    </w:div>
    <w:div w:id="206131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https://www.fia.org/marketvoice/articles/2019-market-data-derivatives-volume-grows-bric-bric" TargetMode="External"/><Relationship Id="rId39" Type="http://schemas.openxmlformats.org/officeDocument/2006/relationships/hyperlink" Target="https://www.snb.ch/en/mmr/reference/repo_mb25/source/repo_mb25.en.pdf" TargetMode="External"/><Relationship Id="rId21" Type="http://schemas.openxmlformats.org/officeDocument/2006/relationships/image" Target="media/image12.png"/><Relationship Id="rId34" Type="http://schemas.openxmlformats.org/officeDocument/2006/relationships/hyperlink" Target="https://www.boj.or.jp/en/announcements/education/oshiete/seisaku/b38.htm/" TargetMode="External"/><Relationship Id="rId42" Type="http://schemas.openxmlformats.org/officeDocument/2006/relationships/hyperlink" Target="https://www.bankofengland.co.uk/markets/bank-of-england-market-operations-guide/our-tools"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assets.isda.org/media/7b78f06e/202e9dcd-pdf/"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assets.kpmg/content/dam/kpmg/xx/pdf/2019/01/evolving-libor-risk-free-rates.pdf" TargetMode="External"/><Relationship Id="rId37" Type="http://schemas.openxmlformats.org/officeDocument/2006/relationships/hyperlink" Target="https://www.snb.ch/en/mmr/reference/repo_mb23/source/repo_mb23.en.pdf" TargetMode="External"/><Relationship Id="rId40" Type="http://schemas.openxmlformats.org/officeDocument/2006/relationships/hyperlink" Target="https://www.snb.ch/en/mmr/reference/pre_20200924_1/source/pre_20200924_1.en.pdf" TargetMode="Externa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isda.org/a/MzFTE/Adoption-of-RFRs-Major-Developments-in-2021.pdf" TargetMode="External"/><Relationship Id="rId30" Type="http://schemas.openxmlformats.org/officeDocument/2006/relationships/hyperlink" Target="https://www.cbr.ru/eng/hd_base/mosprime/" TargetMode="External"/><Relationship Id="rId35" Type="http://schemas.openxmlformats.org/officeDocument/2006/relationships/hyperlink" Target="https://www.boj.or.jp/en/announcements/education/oshiete/seisaku/b37.htm/"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image" Target="media/image1.emf"/><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s://stats.bis.org/statx/toc/DER.html" TargetMode="External"/><Relationship Id="rId33" Type="http://schemas.openxmlformats.org/officeDocument/2006/relationships/hyperlink" Target="https://www.bankofengland.co.uk/-/media/boe/files/monetary-policy-summary-and-minutes/2021/february-2021.pdf" TargetMode="External"/><Relationship Id="rId38" Type="http://schemas.openxmlformats.org/officeDocument/2006/relationships/hyperlink" Target="https://www.snb.ch/en/mmr/reference/snb_legal_geldpol_instr/source/snb_legal_geldpol_instr.en.pdf" TargetMode="External"/><Relationship Id="rId46" Type="http://schemas.openxmlformats.org/officeDocument/2006/relationships/image" Target="media/image19.png"/><Relationship Id="rId20" Type="http://schemas.openxmlformats.org/officeDocument/2006/relationships/image" Target="media/image11.png"/><Relationship Id="rId41" Type="http://schemas.openxmlformats.org/officeDocument/2006/relationships/hyperlink" Target="https://www.ecb.europa.eu/press/pr/date/2020/html/ecb.mp200604~a307d3429c.en.html" TargetMode="Externa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theice.com/iba/libor" TargetMode="External"/><Relationship Id="rId36" Type="http://schemas.openxmlformats.org/officeDocument/2006/relationships/hyperlink" Target="https://www.boj.or.jp/en/announcements/education/oshiete/seisaku/b32.htm/" TargetMode="External"/><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www.blackrock.com/corporate/literature/whitepaper/viewpoint-blk-guide-libor-transition-april-2020.pdf" TargetMode="External"/><Relationship Id="rId44" Type="http://schemas.openxmlformats.org/officeDocument/2006/relationships/image" Target="media/image17.png"/><Relationship Id="rId52"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assets.kpmg/content/dam/kpmg/xx/pdf/2019/01/evolving-libor-risk-free-rates.pdf" TargetMode="External"/><Relationship Id="rId3" Type="http://schemas.openxmlformats.org/officeDocument/2006/relationships/hyperlink" Target="https://www.fia.org/marketvoice/articles/2019-market-data-derivatives-volume-grows-bric-bric" TargetMode="External"/><Relationship Id="rId7" Type="http://schemas.openxmlformats.org/officeDocument/2006/relationships/hyperlink" Target="https://www.blackrock.com/corporate/literature/whitepaper/viewpoint-blk-guide-libor-transition-april-2020.pdf" TargetMode="External"/><Relationship Id="rId2" Type="http://schemas.openxmlformats.org/officeDocument/2006/relationships/hyperlink" Target="https://stats.bis.org/statx/toc/DER.html" TargetMode="External"/><Relationship Id="rId1" Type="http://schemas.openxmlformats.org/officeDocument/2006/relationships/hyperlink" Target="https://www.bankofengland.co.uk/-/media/boe/files/monetary-policy-summary-and-minutes/2021/february-2021.pdf" TargetMode="External"/><Relationship Id="rId6" Type="http://schemas.openxmlformats.org/officeDocument/2006/relationships/hyperlink" Target="https://www.cbr.ru/eng/hd_base/mosprime/" TargetMode="External"/><Relationship Id="rId5" Type="http://schemas.openxmlformats.org/officeDocument/2006/relationships/hyperlink" Target="https://www.isda.org/a/MzFTE/Adoption-of-RFRs-Major-Developments-in-2021.pdf" TargetMode="External"/><Relationship Id="rId4" Type="http://schemas.openxmlformats.org/officeDocument/2006/relationships/hyperlink" Target="http://assets.isda.org/media/7b78f06e/202e9dc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A4F89-75B4-423A-AF02-7903186A5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18116</Words>
  <Characters>103266</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Самара Кирилл Олегович</dc:creator>
  <cp:keywords/>
  <dc:description/>
  <cp:lastModifiedBy>Самара Кирилл Олегович</cp:lastModifiedBy>
  <cp:revision>5</cp:revision>
  <cp:lastPrinted>2021-06-01T20:43:00Z</cp:lastPrinted>
  <dcterms:created xsi:type="dcterms:W3CDTF">2021-06-01T20:50:00Z</dcterms:created>
  <dcterms:modified xsi:type="dcterms:W3CDTF">2021-06-01T20:51:00Z</dcterms:modified>
</cp:coreProperties>
</file>